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auto"/>
          <w:sz w:val="45"/>
          <w:szCs w:val="4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5"/>
          <w:szCs w:val="45"/>
          <w:shd w:val="clear" w:fill="FFFFFF"/>
          <w:lang w:val="en-US" w:eastAsia="zh-CN"/>
        </w:rPr>
        <w:t>新盛街道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5"/>
          <w:szCs w:val="45"/>
          <w:shd w:val="clear" w:fill="FFFFFF"/>
          <w:lang w:val="en-US" w:eastAsia="zh-CN"/>
        </w:rPr>
        <w:t>4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  <w:t>年行政处罚实施情况统计表</w:t>
      </w:r>
    </w:p>
    <w:tbl>
      <w:tblPr>
        <w:tblStyle w:val="3"/>
        <w:tblpPr w:leftFromText="180" w:rightFromText="180" w:vertAnchor="text" w:horzAnchor="page" w:tblpXSpec="center" w:tblpY="522"/>
        <w:tblOverlap w:val="never"/>
        <w:tblW w:w="15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774"/>
        <w:gridCol w:w="622"/>
        <w:gridCol w:w="622"/>
        <w:gridCol w:w="622"/>
        <w:gridCol w:w="754"/>
        <w:gridCol w:w="622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887"/>
        <w:gridCol w:w="887"/>
        <w:gridCol w:w="887"/>
        <w:gridCol w:w="702"/>
        <w:gridCol w:w="670"/>
        <w:gridCol w:w="887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900" w:type="dxa"/>
            <w:gridSpan w:val="2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行政处罚实施情况统计表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  <w:jc w:val="center"/>
        </w:trPr>
        <w:tc>
          <w:tcPr>
            <w:tcW w:w="4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8849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行政处罚实施数量（件）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罚没金额（万元）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简易程序数量（件）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一般程序数量（件）</w:t>
            </w: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法制审核数量（件）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涉嫌犯罪移送案件数量（件）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司法机关受理案件数量（件）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警告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通报批评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罚款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没收违法所得、没收非法财物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暂扣许可证件</w:t>
            </w: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降低资质等级</w:t>
            </w: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吊销许可证件</w:t>
            </w: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限制开展生产经营活动</w:t>
            </w: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责令停产停业</w:t>
            </w: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责令关闭</w:t>
            </w: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限制从业</w:t>
            </w: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行政拘留</w:t>
            </w: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其他行政处罚</w:t>
            </w: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审核数量</w:t>
            </w:r>
          </w:p>
        </w:tc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纠错数量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  <w:jc w:val="center"/>
        </w:trPr>
        <w:tc>
          <w:tcPr>
            <w:tcW w:w="4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54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新盛街道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</w:rPr>
              <w:t>13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053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</w:rPr>
              <w:t>13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053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15900" w:type="dxa"/>
            <w:gridSpan w:val="2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说明：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1．统计范围为202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年1月1日至12月31日期间本单位实施的、以本单位名义作出的作出行政处罚决定以及法制审核的数量（包括经行政复议或者行政诉讼被撤销的行政处罚决定数量）。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2．其他行政处罚，为法律、行政法规规定的其他行政处罚，比如驱逐出境等。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．单处一个类别行政处罚的，计入相应的行政处罚类别；并处两种以上行政处罚的，计入一件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、通报批评，（2）罚款，（3）没收违法所得、没收非法财物，（4）暂扣许可证（5）责令停产停业，（6）吊销许可证，（7）行政拘留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4．没收违法所得、没收非法财物能确定金额的，计入“罚没金额”；不能确定金额的，不计入“罚没金额”。“罚没金额”以处罚决定书确定的金额为准。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5．警告行政处罚，属于要式行政行为，必须作出并送达书面处罚决定书。口头警告属于一般的批评教育，不具有强制力，不属于行政处罚。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6．乡镇（街道）受委托实施的行政处罚（如应急、消防、道路交通委托执法事项）应以委托单位名义作出，计入对应栏目。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MzQ4YzNlNzBlNDQ5OTY5MzlmMjA5MGVhZDQyYTkifQ=="/>
  </w:docVars>
  <w:rsids>
    <w:rsidRoot w:val="00000000"/>
    <w:rsid w:val="070772C5"/>
    <w:rsid w:val="0B421508"/>
    <w:rsid w:val="25FC6C4E"/>
    <w:rsid w:val="7F4FD09F"/>
    <w:rsid w:val="A86B3100"/>
    <w:rsid w:val="FFF79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HP</dc:creator>
  <cp:lastModifiedBy>user</cp:lastModifiedBy>
  <dcterms:modified xsi:type="dcterms:W3CDTF">2025-01-15T17:16:53Z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BDD62C1FBD3446BC9BC193506CDAF768_12</vt:lpwstr>
  </property>
</Properties>
</file>