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szCs w:val="32"/>
        </w:rPr>
      </w:pPr>
      <w:r>
        <w:rPr>
          <w:color w:val="000000"/>
          <w:spacing w:val="20"/>
          <w:szCs w:val="32"/>
        </w:rPr>
        <w:t>綦乡振</w:t>
      </w:r>
      <w:r>
        <w:rPr>
          <w:color w:val="000000"/>
          <w:szCs w:val="32"/>
        </w:rPr>
        <w:t>〔2023〕15</w:t>
      </w:r>
      <w:r>
        <w:rPr>
          <w:color w:val="000000"/>
          <w:spacing w:val="20"/>
          <w:szCs w:val="32"/>
        </w:rPr>
        <w:t>号</w:t>
      </w: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p>
    <w:p>
      <w:pPr>
        <w:snapToGrid w:val="0"/>
        <w:spacing w:line="620" w:lineRule="exact"/>
        <w:jc w:val="center"/>
        <w:rPr>
          <w:rFonts w:eastAsia="方正小标宋_GBK"/>
          <w:sz w:val="44"/>
          <w:szCs w:val="44"/>
        </w:rPr>
      </w:pPr>
      <w:r>
        <w:rPr>
          <w:rFonts w:eastAsia="方正小标宋_GBK"/>
          <w:sz w:val="44"/>
          <w:szCs w:val="44"/>
        </w:rPr>
        <w:t>重庆市綦江区乡村振兴局</w:t>
      </w:r>
    </w:p>
    <w:p>
      <w:pPr>
        <w:spacing w:line="620" w:lineRule="exact"/>
        <w:ind w:right="35" w:rightChars="11" w:firstLine="1992" w:firstLineChars="361"/>
        <w:rPr>
          <w:rFonts w:eastAsia="方正小标宋_GBK"/>
          <w:spacing w:val="56"/>
          <w:sz w:val="44"/>
          <w:szCs w:val="44"/>
        </w:rPr>
      </w:pPr>
      <w:r>
        <w:rPr>
          <w:rFonts w:eastAsia="方正小标宋_GBK"/>
          <w:spacing w:val="56"/>
          <w:sz w:val="44"/>
          <w:szCs w:val="44"/>
        </w:rPr>
        <w:t>重庆市綦江区财政局</w:t>
      </w:r>
    </w:p>
    <w:p>
      <w:pPr>
        <w:snapToGrid w:val="0"/>
        <w:spacing w:line="620" w:lineRule="exact"/>
        <w:jc w:val="center"/>
        <w:rPr>
          <w:rFonts w:eastAsia="方正小标宋_GBK"/>
          <w:sz w:val="44"/>
          <w:szCs w:val="44"/>
        </w:rPr>
      </w:pPr>
      <w:r>
        <w:rPr>
          <w:rFonts w:eastAsia="方正小标宋_GBK"/>
          <w:sz w:val="44"/>
          <w:szCs w:val="44"/>
        </w:rPr>
        <w:t>关于下达2023年度</w:t>
      </w:r>
      <w:r>
        <w:rPr>
          <w:rFonts w:hint="eastAsia" w:eastAsia="方正小标宋_GBK"/>
          <w:sz w:val="44"/>
          <w:szCs w:val="44"/>
        </w:rPr>
        <w:t>第二批中央</w:t>
      </w:r>
      <w:r>
        <w:rPr>
          <w:rFonts w:eastAsia="方正小标宋_GBK"/>
          <w:sz w:val="44"/>
          <w:szCs w:val="44"/>
        </w:rPr>
        <w:t>衔接推进乡村振兴补助</w:t>
      </w:r>
      <w:r>
        <w:rPr>
          <w:rFonts w:hint="eastAsia" w:eastAsia="方正小标宋_GBK"/>
          <w:sz w:val="44"/>
          <w:szCs w:val="44"/>
        </w:rPr>
        <w:t>资金</w:t>
      </w:r>
      <w:r>
        <w:rPr>
          <w:rFonts w:eastAsia="方正小标宋_GBK"/>
          <w:sz w:val="44"/>
          <w:szCs w:val="44"/>
        </w:rPr>
        <w:t>项目计划的通知</w:t>
      </w:r>
    </w:p>
    <w:p>
      <w:pPr>
        <w:snapToGrid w:val="0"/>
        <w:spacing w:line="620" w:lineRule="exact"/>
        <w:jc w:val="center"/>
        <w:rPr>
          <w:rFonts w:eastAsia="方正小标宋_GBK"/>
          <w:sz w:val="44"/>
          <w:szCs w:val="44"/>
        </w:rPr>
      </w:pPr>
    </w:p>
    <w:p>
      <w:pPr>
        <w:spacing w:line="576" w:lineRule="exact"/>
        <w:rPr>
          <w:szCs w:val="24"/>
        </w:rPr>
      </w:pPr>
      <w:r>
        <w:rPr>
          <w:rFonts w:hint="eastAsia"/>
          <w:szCs w:val="24"/>
        </w:rPr>
        <w:t>石角镇、永新镇、三角镇、安稳镇，区水利局、区农业农村委、区商务委</w:t>
      </w:r>
      <w:r>
        <w:rPr>
          <w:szCs w:val="24"/>
        </w:rPr>
        <w:t>：</w:t>
      </w:r>
    </w:p>
    <w:p>
      <w:pPr>
        <w:spacing w:line="576" w:lineRule="exact"/>
        <w:ind w:firstLine="640" w:firstLineChars="200"/>
        <w:rPr>
          <w:szCs w:val="32"/>
        </w:rPr>
      </w:pPr>
      <w:r>
        <w:rPr>
          <w:szCs w:val="32"/>
        </w:rPr>
        <w:t>根据《</w:t>
      </w:r>
      <w:r>
        <w:rPr>
          <w:rFonts w:hint="eastAsia"/>
          <w:szCs w:val="32"/>
        </w:rPr>
        <w:t xml:space="preserve">重庆市财政局关于下达 </w:t>
      </w:r>
      <w:r>
        <w:rPr>
          <w:szCs w:val="32"/>
        </w:rPr>
        <w:t>2023</w:t>
      </w:r>
      <w:r>
        <w:rPr>
          <w:rFonts w:hint="eastAsia"/>
          <w:szCs w:val="32"/>
        </w:rPr>
        <w:t>年中央财政衔接推进乡村振兴补助资金预算的通知</w:t>
      </w:r>
      <w:r>
        <w:rPr>
          <w:szCs w:val="32"/>
        </w:rPr>
        <w:t>》（</w:t>
      </w:r>
      <w:r>
        <w:rPr>
          <w:rFonts w:hint="eastAsia"/>
          <w:szCs w:val="32"/>
        </w:rPr>
        <w:t>渝财农〔</w:t>
      </w:r>
      <w:r>
        <w:rPr>
          <w:szCs w:val="32"/>
        </w:rPr>
        <w:t>2023</w:t>
      </w:r>
      <w:r>
        <w:rPr>
          <w:rFonts w:hint="eastAsia"/>
          <w:szCs w:val="32"/>
        </w:rPr>
        <w:t>〕</w:t>
      </w:r>
      <w:r>
        <w:rPr>
          <w:szCs w:val="32"/>
        </w:rPr>
        <w:t>25</w:t>
      </w:r>
      <w:r>
        <w:rPr>
          <w:rFonts w:hint="eastAsia"/>
          <w:szCs w:val="32"/>
        </w:rPr>
        <w:t>号</w:t>
      </w:r>
      <w:r>
        <w:rPr>
          <w:szCs w:val="32"/>
        </w:rPr>
        <w:t>）文件精神，</w:t>
      </w:r>
      <w:r>
        <w:rPr>
          <w:rFonts w:hint="eastAsia"/>
          <w:szCs w:val="32"/>
        </w:rPr>
        <w:t>经研究，本次下达全区</w:t>
      </w:r>
      <w:r>
        <w:rPr>
          <w:szCs w:val="32"/>
        </w:rPr>
        <w:t>2023</w:t>
      </w:r>
      <w:r>
        <w:rPr>
          <w:rFonts w:hint="eastAsia"/>
          <w:szCs w:val="32"/>
        </w:rPr>
        <w:t>年度第二批</w:t>
      </w:r>
      <w:r>
        <w:rPr>
          <w:szCs w:val="32"/>
        </w:rPr>
        <w:t>衔接推进乡村振兴补助</w:t>
      </w:r>
      <w:r>
        <w:rPr>
          <w:rFonts w:hint="eastAsia"/>
          <w:szCs w:val="32"/>
        </w:rPr>
        <w:t>资金（以下简称衔接资金）</w:t>
      </w:r>
      <w:r>
        <w:rPr>
          <w:szCs w:val="32"/>
          <w:u w:val="single"/>
        </w:rPr>
        <w:t>1150</w:t>
      </w:r>
      <w:r>
        <w:rPr>
          <w:rFonts w:hint="eastAsia"/>
          <w:szCs w:val="32"/>
        </w:rPr>
        <w:t>万元，主要用于</w:t>
      </w:r>
      <w:r>
        <w:rPr>
          <w:szCs w:val="32"/>
          <w:u w:val="single"/>
        </w:rPr>
        <w:t>2023</w:t>
      </w:r>
      <w:r>
        <w:rPr>
          <w:rFonts w:hint="eastAsia"/>
          <w:szCs w:val="32"/>
          <w:u w:val="single"/>
        </w:rPr>
        <w:t>年綦江区新型农村集体经济发展项目</w:t>
      </w:r>
      <w:r>
        <w:rPr>
          <w:rFonts w:hint="eastAsia"/>
          <w:szCs w:val="32"/>
        </w:rPr>
        <w:t>等项目（详见附件）。具体要求如下：</w:t>
      </w:r>
    </w:p>
    <w:p>
      <w:pPr>
        <w:spacing w:line="576" w:lineRule="exact"/>
        <w:rPr>
          <w:szCs w:val="24"/>
        </w:rPr>
      </w:pPr>
    </w:p>
    <w:p>
      <w:pPr>
        <w:spacing w:line="576" w:lineRule="exact"/>
        <w:ind w:firstLine="640" w:firstLineChars="200"/>
        <w:rPr>
          <w:sz w:val="15"/>
          <w:szCs w:val="15"/>
        </w:rPr>
      </w:pPr>
      <w:r>
        <w:rPr>
          <w:rFonts w:hint="eastAsia" w:ascii="方正黑体_GBK" w:hAnsi="方正黑体_GBK" w:eastAsia="方正黑体_GBK" w:cs="方正黑体_GBK"/>
          <w:color w:val="333333"/>
          <w:szCs w:val="32"/>
          <w:shd w:val="clear" w:color="auto" w:fill="FFFFFF"/>
        </w:rPr>
        <w:t>一、严格规范资金用途。</w:t>
      </w:r>
      <w:r>
        <w:rPr>
          <w:szCs w:val="32"/>
        </w:rPr>
        <w:t>项目实施单位要严格按照</w:t>
      </w:r>
      <w:r>
        <w:rPr>
          <w:rFonts w:hint="eastAsia"/>
          <w:szCs w:val="32"/>
        </w:rPr>
        <w:t>《重庆市綦江区财政局等</w:t>
      </w:r>
      <w:r>
        <w:rPr>
          <w:szCs w:val="32"/>
        </w:rPr>
        <w:t>6</w:t>
      </w:r>
      <w:r>
        <w:rPr>
          <w:rFonts w:hint="eastAsia"/>
          <w:szCs w:val="32"/>
        </w:rPr>
        <w:t>部门关于印发&lt;重庆市綦江区财政衔接推进乡村振兴补助资金管理实施细则&gt;的通知》</w:t>
      </w:r>
      <w:r>
        <w:rPr>
          <w:szCs w:val="32"/>
        </w:rPr>
        <w:t>（</w:t>
      </w:r>
      <w:r>
        <w:rPr>
          <w:rFonts w:hint="eastAsia"/>
          <w:szCs w:val="32"/>
        </w:rPr>
        <w:t>綦江财发</w:t>
      </w:r>
      <w:r>
        <w:rPr>
          <w:szCs w:val="32"/>
        </w:rPr>
        <w:t>〔2022〕123号）要求，规范资金使用范围，提高资金使用绩效。根据《</w:t>
      </w:r>
      <w:r>
        <w:rPr>
          <w:rFonts w:hint="eastAsia"/>
          <w:szCs w:val="32"/>
        </w:rPr>
        <w:t>关于转发&lt;关于加强财政衔接推进乡村振兴补助资金监管的意见&gt;的通知</w:t>
      </w:r>
      <w:r>
        <w:rPr>
          <w:szCs w:val="32"/>
        </w:rPr>
        <w:t>》（</w:t>
      </w:r>
      <w:r>
        <w:rPr>
          <w:rFonts w:hint="eastAsia"/>
          <w:szCs w:val="32"/>
        </w:rPr>
        <w:t>綦委农办</w:t>
      </w:r>
      <w:r>
        <w:rPr>
          <w:szCs w:val="32"/>
        </w:rPr>
        <w:t>〔2021〕33号），切实加强资金监管，</w:t>
      </w:r>
      <w:r>
        <w:rPr>
          <w:rFonts w:hint="eastAsia"/>
          <w:szCs w:val="32"/>
        </w:rPr>
        <w:t>强化绩效管理，</w:t>
      </w:r>
      <w:r>
        <w:rPr>
          <w:szCs w:val="32"/>
        </w:rPr>
        <w:t>全面落实公告公示制度，</w:t>
      </w:r>
      <w:r>
        <w:rPr>
          <w:rFonts w:hint="eastAsia"/>
          <w:szCs w:val="32"/>
        </w:rPr>
        <w:t>提高政策知晓率，确保资金安全和效益。</w:t>
      </w:r>
      <w:r>
        <w:rPr>
          <w:szCs w:val="32"/>
        </w:rPr>
        <w:t>驻村第一书记须在本村实施的项目验收单上签字，并监督资金项目的公告公示情况。</w:t>
      </w:r>
    </w:p>
    <w:p>
      <w:pPr>
        <w:pStyle w:val="5"/>
        <w:widowControl/>
        <w:spacing w:line="576" w:lineRule="exact"/>
        <w:ind w:firstLine="634"/>
        <w:jc w:val="left"/>
        <w:rPr>
          <w:sz w:val="32"/>
          <w:szCs w:val="32"/>
        </w:rPr>
      </w:pPr>
      <w:r>
        <w:rPr>
          <w:rFonts w:hint="eastAsia" w:ascii="方正黑体_GBK" w:hAnsi="方正黑体_GBK" w:eastAsia="方正黑体_GBK" w:cs="方正黑体_GBK"/>
          <w:color w:val="333333"/>
          <w:sz w:val="32"/>
          <w:szCs w:val="32"/>
          <w:shd w:val="clear" w:color="auto" w:fill="FFFFFF"/>
        </w:rPr>
        <w:t>二、</w:t>
      </w:r>
      <w:r>
        <w:rPr>
          <w:rFonts w:ascii="方正黑体_GBK" w:hAnsi="方正黑体_GBK" w:eastAsia="方正黑体_GBK" w:cs="方正黑体_GBK"/>
          <w:color w:val="333333"/>
          <w:sz w:val="32"/>
          <w:szCs w:val="32"/>
          <w:shd w:val="clear" w:color="auto" w:fill="FFFFFF"/>
        </w:rPr>
        <w:t>保质保量推进项目建设。</w:t>
      </w:r>
      <w:r>
        <w:rPr>
          <w:sz w:val="32"/>
          <w:szCs w:val="32"/>
        </w:rPr>
        <w:t>项目实施单位要按照工作要求，</w:t>
      </w:r>
      <w:r>
        <w:rPr>
          <w:rFonts w:hint="eastAsia"/>
          <w:sz w:val="32"/>
          <w:szCs w:val="32"/>
        </w:rPr>
        <w:t>强化事前事中事后全链条监管，有序推进项目实施和预算执行</w:t>
      </w:r>
      <w:r>
        <w:rPr>
          <w:sz w:val="32"/>
          <w:szCs w:val="32"/>
        </w:rPr>
        <w:t>，</w:t>
      </w:r>
      <w:r>
        <w:rPr>
          <w:rFonts w:hint="eastAsia"/>
          <w:sz w:val="32"/>
          <w:szCs w:val="32"/>
        </w:rPr>
        <w:t>确保项目质量达标，防止管理不善等导致工程拖延、项目烂尾</w:t>
      </w:r>
      <w:r>
        <w:rPr>
          <w:sz w:val="32"/>
          <w:szCs w:val="32"/>
        </w:rPr>
        <w:t>。</w:t>
      </w:r>
      <w:r>
        <w:rPr>
          <w:rFonts w:hint="eastAsia"/>
          <w:sz w:val="32"/>
          <w:szCs w:val="32"/>
        </w:rPr>
        <w:t>各级衔接资金支出进度</w:t>
      </w:r>
      <w:r>
        <w:rPr>
          <w:sz w:val="32"/>
          <w:szCs w:val="32"/>
        </w:rPr>
        <w:t>6</w:t>
      </w:r>
      <w:r>
        <w:rPr>
          <w:rFonts w:hint="eastAsia"/>
          <w:sz w:val="32"/>
          <w:szCs w:val="32"/>
        </w:rPr>
        <w:t>月、</w:t>
      </w:r>
      <w:r>
        <w:rPr>
          <w:sz w:val="32"/>
          <w:szCs w:val="32"/>
        </w:rPr>
        <w:t>9</w:t>
      </w:r>
      <w:r>
        <w:rPr>
          <w:rFonts w:hint="eastAsia"/>
          <w:sz w:val="32"/>
          <w:szCs w:val="32"/>
        </w:rPr>
        <w:t>月分别不低于</w:t>
      </w:r>
      <w:r>
        <w:rPr>
          <w:sz w:val="32"/>
          <w:szCs w:val="32"/>
        </w:rPr>
        <w:t>60</w:t>
      </w:r>
      <w:r>
        <w:rPr>
          <w:rFonts w:hint="eastAsia"/>
          <w:sz w:val="32"/>
          <w:szCs w:val="32"/>
        </w:rPr>
        <w:t>%、</w:t>
      </w:r>
      <w:r>
        <w:rPr>
          <w:sz w:val="32"/>
          <w:szCs w:val="32"/>
        </w:rPr>
        <w:t>80</w:t>
      </w:r>
      <w:r>
        <w:rPr>
          <w:rFonts w:hint="eastAsia"/>
          <w:sz w:val="32"/>
          <w:szCs w:val="32"/>
        </w:rPr>
        <w:t>%，且达到序时支付进度。各项目单位要落实监督管理责任，及时发现和纠正存在的风险和问题，创新监管制度，依据风险高低实施差异化监管。</w:t>
      </w:r>
    </w:p>
    <w:p>
      <w:pPr>
        <w:pStyle w:val="5"/>
        <w:widowControl/>
        <w:spacing w:line="576" w:lineRule="exact"/>
        <w:ind w:firstLine="634"/>
        <w:rPr>
          <w:sz w:val="32"/>
          <w:szCs w:val="32"/>
        </w:rPr>
      </w:pPr>
      <w:r>
        <w:rPr>
          <w:rFonts w:hint="eastAsia" w:ascii="方正黑体_GBK" w:hAnsi="方正黑体_GBK" w:eastAsia="方正黑体_GBK" w:cs="方正黑体_GBK"/>
          <w:color w:val="333333"/>
          <w:sz w:val="32"/>
          <w:szCs w:val="32"/>
          <w:shd w:val="clear" w:color="auto" w:fill="FFFFFF"/>
        </w:rPr>
        <w:t>三、</w:t>
      </w:r>
      <w:r>
        <w:rPr>
          <w:rFonts w:ascii="方正黑体_GBK" w:hAnsi="方正黑体_GBK" w:eastAsia="方正黑体_GBK" w:cs="方正黑体_GBK"/>
          <w:color w:val="333333"/>
          <w:sz w:val="32"/>
          <w:szCs w:val="32"/>
          <w:shd w:val="clear" w:color="auto" w:fill="FFFFFF"/>
        </w:rPr>
        <w:t>合法合规落实项目管理。</w:t>
      </w:r>
      <w:r>
        <w:rPr>
          <w:sz w:val="32"/>
          <w:szCs w:val="32"/>
        </w:rPr>
        <w:t>项目实施按照相关规定签订廉政合同，按规定组织好项目的</w:t>
      </w:r>
      <w:r>
        <w:rPr>
          <w:rFonts w:hint="eastAsia"/>
          <w:sz w:val="32"/>
          <w:szCs w:val="32"/>
        </w:rPr>
        <w:t>评审、</w:t>
      </w:r>
      <w:r>
        <w:rPr>
          <w:sz w:val="32"/>
          <w:szCs w:val="32"/>
        </w:rPr>
        <w:t>招投标、政府采购、工程监理、竣工验收、绩效评价、审计评估等工作。加强对项目实施过程的安全检查，并作好相关记录，确保项目实施安全。</w:t>
      </w:r>
    </w:p>
    <w:p>
      <w:pPr>
        <w:pStyle w:val="5"/>
        <w:widowControl/>
        <w:spacing w:line="576" w:lineRule="exact"/>
        <w:ind w:firstLine="634"/>
        <w:jc w:val="left"/>
        <w:rPr>
          <w:sz w:val="32"/>
          <w:szCs w:val="32"/>
        </w:rPr>
      </w:pPr>
      <w:r>
        <w:rPr>
          <w:rFonts w:hint="eastAsia" w:ascii="方正黑体_GBK" w:hAnsi="方正黑体_GBK" w:eastAsia="方正黑体_GBK" w:cs="方正黑体_GBK"/>
          <w:color w:val="333333"/>
          <w:sz w:val="32"/>
          <w:szCs w:val="32"/>
          <w:shd w:val="clear" w:color="auto" w:fill="FFFFFF"/>
        </w:rPr>
        <w:t>四、</w:t>
      </w:r>
      <w:r>
        <w:rPr>
          <w:rFonts w:ascii="方正黑体_GBK" w:hAnsi="方正黑体_GBK" w:eastAsia="方正黑体_GBK" w:cs="方正黑体_GBK"/>
          <w:color w:val="333333"/>
          <w:sz w:val="32"/>
          <w:szCs w:val="32"/>
          <w:shd w:val="clear" w:color="auto" w:fill="FFFFFF"/>
        </w:rPr>
        <w:t>管好用好项目库。</w:t>
      </w:r>
      <w:r>
        <w:rPr>
          <w:sz w:val="32"/>
          <w:szCs w:val="32"/>
        </w:rPr>
        <w:t>严格按照重庆市乡村振兴局《关于加强县级巩固拓展脱贫攻坚成果和乡村振兴项目库建设管理的通知》（渝乡振发〔2021〕4号）文件要求，及时更新项目库信息，做好项目库建设和维护，实现系统录入、上报数据、实际情况，三者相符。</w:t>
      </w:r>
    </w:p>
    <w:p>
      <w:pPr>
        <w:pStyle w:val="5"/>
        <w:widowControl/>
        <w:spacing w:line="576" w:lineRule="exact"/>
        <w:ind w:firstLine="634"/>
        <w:jc w:val="left"/>
        <w:rPr>
          <w:sz w:val="32"/>
          <w:szCs w:val="32"/>
        </w:rPr>
      </w:pPr>
    </w:p>
    <w:p>
      <w:pPr>
        <w:pStyle w:val="5"/>
        <w:widowControl/>
        <w:spacing w:line="576" w:lineRule="exact"/>
        <w:ind w:firstLine="634"/>
        <w:jc w:val="left"/>
        <w:rPr>
          <w:sz w:val="32"/>
          <w:szCs w:val="32"/>
        </w:rPr>
      </w:pPr>
    </w:p>
    <w:p>
      <w:pPr>
        <w:spacing w:line="576" w:lineRule="exact"/>
        <w:ind w:left="1600" w:leftChars="200" w:hanging="960" w:hangingChars="300"/>
        <w:rPr>
          <w:szCs w:val="32"/>
        </w:rPr>
      </w:pPr>
      <w:r>
        <w:rPr>
          <w:szCs w:val="32"/>
        </w:rPr>
        <w:t>附件：</w:t>
      </w:r>
      <w:r>
        <w:rPr>
          <w:rFonts w:hint="eastAsia"/>
          <w:sz w:val="30"/>
          <w:szCs w:val="30"/>
        </w:rPr>
        <w:t>綦江区</w:t>
      </w:r>
      <w:r>
        <w:rPr>
          <w:sz w:val="30"/>
          <w:szCs w:val="30"/>
        </w:rPr>
        <w:t>2023</w:t>
      </w:r>
      <w:r>
        <w:rPr>
          <w:rFonts w:hint="eastAsia"/>
          <w:sz w:val="30"/>
          <w:szCs w:val="30"/>
        </w:rPr>
        <w:t>年度第二批中央衔接资金项目安排明细表</w:t>
      </w:r>
    </w:p>
    <w:p>
      <w:pPr>
        <w:spacing w:line="576" w:lineRule="exact"/>
        <w:rPr>
          <w:rFonts w:hint="eastAsia"/>
          <w:szCs w:val="32"/>
        </w:rPr>
      </w:pPr>
    </w:p>
    <w:p>
      <w:pPr>
        <w:spacing w:line="576" w:lineRule="exact"/>
        <w:rPr>
          <w:szCs w:val="32"/>
        </w:rPr>
      </w:pPr>
    </w:p>
    <w:p>
      <w:pPr>
        <w:spacing w:line="576" w:lineRule="exact"/>
        <w:rPr>
          <w:szCs w:val="32"/>
        </w:rPr>
      </w:pPr>
      <w:r>
        <w:rPr>
          <w:szCs w:val="32"/>
        </w:rPr>
        <w:t xml:space="preserve">重庆市綦江区乡村振兴局   </w:t>
      </w:r>
      <w:r>
        <w:rPr>
          <w:rFonts w:hint="eastAsia"/>
          <w:szCs w:val="32"/>
        </w:rPr>
        <w:t xml:space="preserve">   </w:t>
      </w:r>
      <w:r>
        <w:rPr>
          <w:szCs w:val="32"/>
        </w:rPr>
        <w:t xml:space="preserve">    重庆市綦江区财政局</w:t>
      </w:r>
    </w:p>
    <w:p>
      <w:pPr>
        <w:spacing w:line="576" w:lineRule="exact"/>
        <w:ind w:firstLine="5440" w:firstLineChars="1700"/>
        <w:rPr>
          <w:szCs w:val="32"/>
        </w:rPr>
      </w:pPr>
      <w:bookmarkStart w:id="0" w:name="_GoBack"/>
      <w:bookmarkEnd w:id="0"/>
      <w:r>
        <w:rPr>
          <w:szCs w:val="32"/>
        </w:rPr>
        <w:t>2023年6月6日</w:t>
      </w:r>
    </w:p>
    <w:p>
      <w:pPr>
        <w:spacing w:line="576" w:lineRule="exact"/>
        <w:rPr>
          <w:szCs w:val="32"/>
        </w:rPr>
      </w:pPr>
    </w:p>
    <w:p>
      <w:pPr>
        <w:spacing w:line="576" w:lineRule="exact"/>
        <w:rPr>
          <w:szCs w:val="32"/>
        </w:rPr>
      </w:pPr>
    </w:p>
    <w:sectPr>
      <w:footerReference r:id="rId3" w:type="default"/>
      <w:footerReference r:id="rId4" w:type="even"/>
      <w:pgSz w:w="11906" w:h="16838"/>
      <w:pgMar w:top="2098" w:right="1474" w:bottom="1985" w:left="1588" w:header="851" w:footer="992" w:gutter="0"/>
      <w:pgNumType w:fmt="numberIn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5MjYwYzI2ZjgzNDIzYTU2ODhjMGE0NmZhYzYxYmYifQ=="/>
  </w:docVars>
  <w:rsids>
    <w:rsidRoot w:val="0CF66C67"/>
    <w:rsid w:val="00096F9B"/>
    <w:rsid w:val="00323146"/>
    <w:rsid w:val="00364B97"/>
    <w:rsid w:val="00654395"/>
    <w:rsid w:val="006B054E"/>
    <w:rsid w:val="006E0C5D"/>
    <w:rsid w:val="007201C6"/>
    <w:rsid w:val="007720E8"/>
    <w:rsid w:val="0078001B"/>
    <w:rsid w:val="0090095E"/>
    <w:rsid w:val="009C2E8D"/>
    <w:rsid w:val="019B3868"/>
    <w:rsid w:val="020B3FFC"/>
    <w:rsid w:val="06A9677E"/>
    <w:rsid w:val="0785502B"/>
    <w:rsid w:val="0BE35E8C"/>
    <w:rsid w:val="0C8D50C5"/>
    <w:rsid w:val="0CF66C67"/>
    <w:rsid w:val="0D005DD4"/>
    <w:rsid w:val="0DA7060E"/>
    <w:rsid w:val="10C46534"/>
    <w:rsid w:val="1220319B"/>
    <w:rsid w:val="14B16142"/>
    <w:rsid w:val="17F233ED"/>
    <w:rsid w:val="187F1162"/>
    <w:rsid w:val="19761967"/>
    <w:rsid w:val="1B4E755A"/>
    <w:rsid w:val="1BB867BB"/>
    <w:rsid w:val="1BFC713A"/>
    <w:rsid w:val="1CDB7931"/>
    <w:rsid w:val="1E1F5300"/>
    <w:rsid w:val="219854FD"/>
    <w:rsid w:val="22AD1C11"/>
    <w:rsid w:val="22DF08C5"/>
    <w:rsid w:val="235B60DC"/>
    <w:rsid w:val="24817B1A"/>
    <w:rsid w:val="261C543B"/>
    <w:rsid w:val="26C42C90"/>
    <w:rsid w:val="282E78D1"/>
    <w:rsid w:val="28996270"/>
    <w:rsid w:val="28B47CB5"/>
    <w:rsid w:val="28E25ED4"/>
    <w:rsid w:val="2CD65B36"/>
    <w:rsid w:val="2E1A4012"/>
    <w:rsid w:val="2F184319"/>
    <w:rsid w:val="32762C8D"/>
    <w:rsid w:val="33AE7A82"/>
    <w:rsid w:val="344B5016"/>
    <w:rsid w:val="35446B8C"/>
    <w:rsid w:val="35F30CCD"/>
    <w:rsid w:val="36E80F76"/>
    <w:rsid w:val="373050BD"/>
    <w:rsid w:val="3753537C"/>
    <w:rsid w:val="3CC24F3A"/>
    <w:rsid w:val="3D13665C"/>
    <w:rsid w:val="3E153786"/>
    <w:rsid w:val="3EFB03E1"/>
    <w:rsid w:val="3F1051F8"/>
    <w:rsid w:val="3F3F5FE6"/>
    <w:rsid w:val="3FA90E98"/>
    <w:rsid w:val="44496448"/>
    <w:rsid w:val="481E005F"/>
    <w:rsid w:val="4967305A"/>
    <w:rsid w:val="4D1F6494"/>
    <w:rsid w:val="4D4D021B"/>
    <w:rsid w:val="4E073294"/>
    <w:rsid w:val="4EEA13A7"/>
    <w:rsid w:val="5085007B"/>
    <w:rsid w:val="50F157F3"/>
    <w:rsid w:val="512B3ED8"/>
    <w:rsid w:val="5572319F"/>
    <w:rsid w:val="55FA157E"/>
    <w:rsid w:val="58AC4CBD"/>
    <w:rsid w:val="5CCB5B64"/>
    <w:rsid w:val="5E08087F"/>
    <w:rsid w:val="5FEB53D3"/>
    <w:rsid w:val="60F47630"/>
    <w:rsid w:val="61A60ADB"/>
    <w:rsid w:val="61BD395C"/>
    <w:rsid w:val="624F2451"/>
    <w:rsid w:val="650302C0"/>
    <w:rsid w:val="65037775"/>
    <w:rsid w:val="66C570D1"/>
    <w:rsid w:val="691240E0"/>
    <w:rsid w:val="69240F89"/>
    <w:rsid w:val="693E3C75"/>
    <w:rsid w:val="698D3155"/>
    <w:rsid w:val="72695938"/>
    <w:rsid w:val="73633E72"/>
    <w:rsid w:val="74A470FC"/>
    <w:rsid w:val="791B1D53"/>
    <w:rsid w:val="793312E5"/>
    <w:rsid w:val="79A84CF6"/>
    <w:rsid w:val="7A8A4362"/>
    <w:rsid w:val="7BEB05BF"/>
    <w:rsid w:val="7C275F73"/>
    <w:rsid w:val="7C5622C9"/>
    <w:rsid w:val="7D7D673C"/>
    <w:rsid w:val="7D8D6F68"/>
    <w:rsid w:val="7F5E48E8"/>
    <w:rsid w:val="7FA75CF2"/>
    <w:rsid w:val="FC775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1"/>
    <w:qFormat/>
    <w:uiPriority w:val="0"/>
    <w:pPr>
      <w:ind w:left="100" w:leftChars="2500"/>
    </w:pPr>
  </w:style>
  <w:style w:type="paragraph" w:styleId="3">
    <w:name w:val="footer"/>
    <w:basedOn w:val="1"/>
    <w:link w:val="32"/>
    <w:qFormat/>
    <w:uiPriority w:val="0"/>
    <w:pPr>
      <w:tabs>
        <w:tab w:val="center" w:pos="4153"/>
        <w:tab w:val="right" w:pos="8306"/>
      </w:tabs>
      <w:snapToGrid w:val="0"/>
      <w:jc w:val="left"/>
    </w:pPr>
    <w:rPr>
      <w:sz w:val="18"/>
      <w:szCs w:val="18"/>
    </w:rPr>
  </w:style>
  <w:style w:type="paragraph" w:styleId="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w100"/>
    <w:basedOn w:val="7"/>
    <w:qFormat/>
    <w:uiPriority w:val="0"/>
  </w:style>
  <w:style w:type="character" w:customStyle="1" w:styleId="11">
    <w:name w:val="yjl"/>
    <w:basedOn w:val="7"/>
    <w:qFormat/>
    <w:uiPriority w:val="0"/>
    <w:rPr>
      <w:color w:val="999999"/>
    </w:rPr>
  </w:style>
  <w:style w:type="character" w:customStyle="1" w:styleId="12">
    <w:name w:val="tit36"/>
    <w:basedOn w:val="7"/>
    <w:qFormat/>
    <w:uiPriority w:val="0"/>
    <w:rPr>
      <w:b/>
      <w:bCs/>
      <w:color w:val="333333"/>
      <w:sz w:val="31"/>
      <w:szCs w:val="31"/>
    </w:rPr>
  </w:style>
  <w:style w:type="character" w:customStyle="1" w:styleId="13">
    <w:name w:val="red"/>
    <w:basedOn w:val="7"/>
    <w:qFormat/>
    <w:uiPriority w:val="0"/>
    <w:rPr>
      <w:color w:val="E1211F"/>
    </w:rPr>
  </w:style>
  <w:style w:type="character" w:customStyle="1" w:styleId="14">
    <w:name w:val="red1"/>
    <w:basedOn w:val="7"/>
    <w:qFormat/>
    <w:uiPriority w:val="0"/>
    <w:rPr>
      <w:color w:val="E1211F"/>
    </w:rPr>
  </w:style>
  <w:style w:type="character" w:customStyle="1" w:styleId="15">
    <w:name w:val="red2"/>
    <w:basedOn w:val="7"/>
    <w:qFormat/>
    <w:uiPriority w:val="0"/>
    <w:rPr>
      <w:color w:val="E33938"/>
      <w:u w:val="single"/>
    </w:rPr>
  </w:style>
  <w:style w:type="character" w:customStyle="1" w:styleId="16">
    <w:name w:val="red3"/>
    <w:basedOn w:val="7"/>
    <w:qFormat/>
    <w:uiPriority w:val="0"/>
    <w:rPr>
      <w:color w:val="E1211F"/>
      <w:u w:val="single"/>
    </w:rPr>
  </w:style>
  <w:style w:type="character" w:customStyle="1" w:styleId="17">
    <w:name w:val="red4"/>
    <w:basedOn w:val="7"/>
    <w:qFormat/>
    <w:uiPriority w:val="0"/>
    <w:rPr>
      <w:color w:val="E1211F"/>
    </w:rPr>
  </w:style>
  <w:style w:type="character" w:customStyle="1" w:styleId="18">
    <w:name w:val="red5"/>
    <w:basedOn w:val="7"/>
    <w:qFormat/>
    <w:uiPriority w:val="0"/>
    <w:rPr>
      <w:color w:val="E1211F"/>
    </w:rPr>
  </w:style>
  <w:style w:type="character" w:customStyle="1" w:styleId="19">
    <w:name w:val="arrow"/>
    <w:basedOn w:val="7"/>
    <w:qFormat/>
    <w:uiPriority w:val="0"/>
  </w:style>
  <w:style w:type="character" w:customStyle="1" w:styleId="20">
    <w:name w:val="con8"/>
    <w:basedOn w:val="7"/>
    <w:qFormat/>
    <w:uiPriority w:val="0"/>
  </w:style>
  <w:style w:type="character" w:customStyle="1" w:styleId="21">
    <w:name w:val="cur8"/>
    <w:basedOn w:val="7"/>
    <w:qFormat/>
    <w:uiPriority w:val="0"/>
    <w:rPr>
      <w:color w:val="3354A2"/>
    </w:rPr>
  </w:style>
  <w:style w:type="character" w:customStyle="1" w:styleId="22">
    <w:name w:val="cur9"/>
    <w:basedOn w:val="7"/>
    <w:qFormat/>
    <w:uiPriority w:val="0"/>
    <w:rPr>
      <w:shd w:val="clear" w:color="auto" w:fill="448FE2"/>
    </w:rPr>
  </w:style>
  <w:style w:type="character" w:customStyle="1" w:styleId="23">
    <w:name w:val="hover77"/>
    <w:basedOn w:val="7"/>
    <w:qFormat/>
    <w:uiPriority w:val="0"/>
    <w:rPr>
      <w:b/>
      <w:bCs/>
    </w:rPr>
  </w:style>
  <w:style w:type="character" w:customStyle="1" w:styleId="24">
    <w:name w:val="yj-time"/>
    <w:basedOn w:val="7"/>
    <w:qFormat/>
    <w:uiPriority w:val="0"/>
    <w:rPr>
      <w:color w:val="AAAAAA"/>
      <w:sz w:val="14"/>
      <w:szCs w:val="14"/>
    </w:rPr>
  </w:style>
  <w:style w:type="character" w:customStyle="1" w:styleId="25">
    <w:name w:val="name"/>
    <w:basedOn w:val="7"/>
    <w:qFormat/>
    <w:uiPriority w:val="0"/>
    <w:rPr>
      <w:color w:val="2760B7"/>
    </w:rPr>
  </w:style>
  <w:style w:type="character" w:customStyle="1" w:styleId="26">
    <w:name w:val="yj-blue"/>
    <w:basedOn w:val="7"/>
    <w:qFormat/>
    <w:uiPriority w:val="0"/>
    <w:rPr>
      <w:b/>
      <w:bCs/>
      <w:color w:val="FFFFFF"/>
      <w:sz w:val="16"/>
      <w:szCs w:val="16"/>
      <w:shd w:val="clear" w:color="auto" w:fill="1E84CB"/>
    </w:rPr>
  </w:style>
  <w:style w:type="character" w:customStyle="1" w:styleId="27">
    <w:name w:val="yjr"/>
    <w:basedOn w:val="7"/>
    <w:qFormat/>
    <w:uiPriority w:val="0"/>
  </w:style>
  <w:style w:type="character" w:customStyle="1" w:styleId="28">
    <w:name w:val="tyhl"/>
    <w:basedOn w:val="7"/>
    <w:qFormat/>
    <w:uiPriority w:val="0"/>
    <w:rPr>
      <w:shd w:val="clear" w:color="auto" w:fill="FFFFFF"/>
    </w:rPr>
  </w:style>
  <w:style w:type="character" w:customStyle="1" w:styleId="29">
    <w:name w:val="sp"/>
    <w:basedOn w:val="7"/>
    <w:qFormat/>
    <w:uiPriority w:val="0"/>
    <w:rPr>
      <w:b/>
      <w:bCs/>
      <w:color w:val="307CD2"/>
    </w:rPr>
  </w:style>
  <w:style w:type="character" w:customStyle="1" w:styleId="30">
    <w:name w:val="页眉 Char"/>
    <w:basedOn w:val="7"/>
    <w:link w:val="4"/>
    <w:qFormat/>
    <w:uiPriority w:val="0"/>
    <w:rPr>
      <w:rFonts w:eastAsia="方正仿宋_GBK"/>
      <w:kern w:val="2"/>
      <w:sz w:val="18"/>
      <w:szCs w:val="18"/>
    </w:rPr>
  </w:style>
  <w:style w:type="character" w:customStyle="1" w:styleId="31">
    <w:name w:val="日期 Char"/>
    <w:basedOn w:val="7"/>
    <w:link w:val="2"/>
    <w:qFormat/>
    <w:uiPriority w:val="0"/>
    <w:rPr>
      <w:rFonts w:eastAsia="方正仿宋_GBK"/>
      <w:kern w:val="2"/>
      <w:sz w:val="32"/>
    </w:rPr>
  </w:style>
  <w:style w:type="character" w:customStyle="1" w:styleId="32">
    <w:name w:val="页脚 Char"/>
    <w:basedOn w:val="7"/>
    <w:link w:val="3"/>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917</Words>
  <Characters>141</Characters>
  <Lines>1</Lines>
  <Paragraphs>2</Paragraphs>
  <TotalTime>9</TotalTime>
  <ScaleCrop>false</ScaleCrop>
  <LinksUpToDate>false</LinksUpToDate>
  <CharactersWithSpaces>1056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2021-12-26T17:16:00Z</dcterms:created>
  <dc:creator>XIA</dc:creator>
  <cp:lastModifiedBy>user</cp:lastModifiedBy>
  <cp:lastPrinted>2023-06-09T10:46:00Z</cp:lastPrinted>
  <dcterms:modified xsi:type="dcterms:W3CDTF">2024-11-28T14:10:24Z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EC04054E5B8645FA8DD2DE906A7FEC2A</vt:lpwstr>
  </property>
</Properties>
</file>