
<file path=[Content_Types].xml><?xml version="1.0" encoding="utf-8"?>
<Types xmlns="http://schemas.openxmlformats.org/package/2006/content-types">
  <Default Extension="xml" ContentType="application/xml"/>
  <Default Extension="jpeg" ContentType="image/jpeg"/>
  <Default Extension="wmf" ContentType="image/x-wmf"/>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olors1.xml" ContentType="application/vnd.ms-office.chartcolorstyle+xml"/>
  <Override PartName="/word/charts/colors2.xml" ContentType="application/vnd.ms-office.chartcolorstyle+xml"/>
  <Override PartName="/word/charts/style1.xml" ContentType="application/vnd.ms-office.chartstyle+xml"/>
  <Override PartName="/word/charts/style2.xml" ContentType="application/vnd.ms-office.chartstyle+xml"/>
  <Override PartName="/word/document.xml" ContentType="application/vnd.openxmlformats-officedocument.wordprocessingml.document.main+xml"/>
  <Override PartName="/word/drawings/drawing1.xml" ContentType="application/vnd.openxmlformats-officedocument.drawingml.chartshapes+xml"/>
  <Override PartName="/word/drawings/drawing2.xml" ContentType="application/vnd.openxmlformats-officedocument.drawingml.chartshapes+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theme/themeOverride1.xml" ContentType="application/vnd.openxmlformats-officedocument.themeOverrid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355"/>
        <w:ind w:left="0" w:leftChars="0" w:firstLine="0" w:firstLineChars="0"/>
        <w:rPr>
          <w:rFonts w:hint="eastAsia"/>
        </w:rPr>
      </w:pPr>
    </w:p>
    <w:p>
      <w:pPr>
        <w:pStyle w:val="1355"/>
        <w:ind w:left="0" w:leftChars="0" w:firstLine="0" w:firstLineChars="0"/>
        <w:rPr>
          <w:rFonts w:hint="eastAsia"/>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方正小标宋_GBK" w:hAnsi="方正小标宋_GBK" w:eastAsia="方正小标宋_GBK" w:cs="方正小标宋_GBK"/>
          <w:spacing w:val="0"/>
          <w:sz w:val="44"/>
          <w:szCs w:val="44"/>
        </w:rPr>
      </w:pPr>
      <w:r>
        <w:rPr>
          <w:rFonts w:hint="eastAsia" w:ascii="方正小标宋_GBK" w:hAnsi="方正小标宋_GBK" w:eastAsia="方正小标宋_GBK" w:cs="方正小标宋_GBK"/>
          <w:spacing w:val="0"/>
          <w:sz w:val="44"/>
          <w:szCs w:val="44"/>
        </w:rPr>
        <w:t>重庆市綦江区城区防洪规划</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方正小标宋_GBK" w:cs="Times New Roman"/>
          <w:spacing w:val="0"/>
          <w:sz w:val="44"/>
          <w:szCs w:val="44"/>
        </w:rPr>
      </w:pPr>
      <w:r>
        <w:rPr>
          <w:rFonts w:hint="default" w:ascii="Times New Roman" w:hAnsi="Times New Roman" w:eastAsia="方正小标宋_GBK" w:cs="Times New Roman"/>
          <w:spacing w:val="0"/>
          <w:sz w:val="44"/>
          <w:szCs w:val="44"/>
        </w:rPr>
        <w:t>（2021</w:t>
      </w:r>
      <w:r>
        <w:rPr>
          <w:rFonts w:hint="eastAsia" w:ascii="Times New Roman" w:eastAsia="方正小标宋_GBK" w:cs="Times New Roman"/>
          <w:spacing w:val="0"/>
          <w:sz w:val="44"/>
          <w:szCs w:val="44"/>
          <w:lang w:eastAsia="zh-CN"/>
        </w:rPr>
        <w:t>—</w:t>
      </w:r>
      <w:r>
        <w:rPr>
          <w:rFonts w:hint="default" w:ascii="Times New Roman" w:hAnsi="Times New Roman" w:eastAsia="方正小标宋_GBK" w:cs="Times New Roman"/>
          <w:spacing w:val="0"/>
          <w:sz w:val="44"/>
          <w:szCs w:val="44"/>
        </w:rPr>
        <w:t>2035年）</w:t>
      </w:r>
    </w:p>
    <w:p>
      <w:pPr>
        <w:adjustRightInd w:val="0"/>
        <w:spacing w:line="0" w:lineRule="atLeast"/>
        <w:ind w:firstLine="0" w:firstLineChars="0"/>
        <w:jc w:val="center"/>
        <w:rPr>
          <w:rFonts w:hint="eastAsia"/>
          <w:sz w:val="52"/>
          <w:szCs w:val="52"/>
        </w:rPr>
      </w:pPr>
    </w:p>
    <w:p>
      <w:pPr>
        <w:adjustRightInd w:val="0"/>
        <w:spacing w:line="0" w:lineRule="atLeast"/>
        <w:ind w:firstLine="0" w:firstLineChars="0"/>
        <w:jc w:val="center"/>
        <w:rPr>
          <w:rFonts w:hint="eastAsia"/>
          <w:sz w:val="52"/>
          <w:szCs w:val="52"/>
        </w:rPr>
      </w:pPr>
    </w:p>
    <w:p>
      <w:pPr>
        <w:adjustRightInd w:val="0"/>
        <w:spacing w:line="0" w:lineRule="atLeast"/>
        <w:ind w:firstLine="0" w:firstLineChars="0"/>
        <w:jc w:val="center"/>
        <w:rPr>
          <w:rFonts w:hint="eastAsia"/>
          <w:sz w:val="52"/>
          <w:szCs w:val="52"/>
        </w:rPr>
      </w:pPr>
    </w:p>
    <w:p>
      <w:pPr>
        <w:adjustRightInd w:val="0"/>
        <w:spacing w:line="0" w:lineRule="atLeast"/>
        <w:ind w:firstLine="0" w:firstLineChars="0"/>
        <w:jc w:val="center"/>
        <w:rPr>
          <w:rFonts w:hint="eastAsia"/>
          <w:sz w:val="52"/>
          <w:szCs w:val="52"/>
        </w:rPr>
      </w:pPr>
    </w:p>
    <w:p>
      <w:pPr>
        <w:adjustRightInd w:val="0"/>
        <w:spacing w:line="0" w:lineRule="atLeast"/>
        <w:ind w:firstLine="0" w:firstLineChars="0"/>
        <w:jc w:val="center"/>
        <w:rPr>
          <w:rFonts w:hint="eastAsia"/>
          <w:sz w:val="52"/>
          <w:szCs w:val="52"/>
        </w:rPr>
      </w:pPr>
    </w:p>
    <w:p>
      <w:pPr>
        <w:adjustRightInd w:val="0"/>
        <w:spacing w:line="0" w:lineRule="atLeast"/>
        <w:ind w:firstLine="0" w:firstLineChars="0"/>
        <w:jc w:val="center"/>
        <w:rPr>
          <w:rFonts w:hint="eastAsia"/>
          <w:sz w:val="44"/>
          <w:szCs w:val="52"/>
        </w:rPr>
      </w:pPr>
      <w:bookmarkStart w:id="252" w:name="_GoBack"/>
      <w:bookmarkEnd w:id="252"/>
    </w:p>
    <w:p>
      <w:pPr>
        <w:adjustRightInd w:val="0"/>
        <w:spacing w:line="0" w:lineRule="atLeast"/>
        <w:ind w:firstLine="0" w:firstLineChars="0"/>
        <w:jc w:val="center"/>
        <w:rPr>
          <w:rFonts w:hint="eastAsia"/>
          <w:sz w:val="44"/>
          <w:szCs w:val="52"/>
        </w:rPr>
      </w:pPr>
    </w:p>
    <w:p>
      <w:pPr>
        <w:adjustRightInd w:val="0"/>
        <w:spacing w:line="0" w:lineRule="atLeast"/>
        <w:ind w:firstLine="0" w:firstLineChars="0"/>
        <w:jc w:val="center"/>
        <w:rPr>
          <w:sz w:val="44"/>
          <w:szCs w:val="52"/>
        </w:rPr>
      </w:pPr>
    </w:p>
    <w:p>
      <w:pPr>
        <w:adjustRightInd w:val="0"/>
        <w:spacing w:line="0" w:lineRule="atLeast"/>
        <w:ind w:firstLine="0" w:firstLineChars="0"/>
        <w:jc w:val="center"/>
        <w:rPr>
          <w:sz w:val="44"/>
          <w:szCs w:val="52"/>
        </w:rPr>
      </w:pPr>
    </w:p>
    <w:p>
      <w:pPr>
        <w:adjustRightInd w:val="0"/>
        <w:spacing w:line="0" w:lineRule="atLeast"/>
        <w:ind w:firstLine="0" w:firstLineChars="0"/>
        <w:jc w:val="center"/>
        <w:rPr>
          <w:rFonts w:hint="eastAsia"/>
          <w:sz w:val="60"/>
          <w:szCs w:val="52"/>
        </w:rPr>
      </w:pPr>
    </w:p>
    <w:p>
      <w:pPr>
        <w:adjustRightInd w:val="0"/>
        <w:spacing w:line="0" w:lineRule="atLeast"/>
        <w:ind w:firstLine="0" w:firstLineChars="0"/>
        <w:jc w:val="center"/>
        <w:rPr>
          <w:rFonts w:hint="eastAsia"/>
          <w:sz w:val="36"/>
          <w:szCs w:val="52"/>
        </w:rPr>
      </w:pPr>
    </w:p>
    <w:p>
      <w:pPr>
        <w:spacing w:line="0" w:lineRule="atLeast"/>
        <w:ind w:firstLine="0" w:firstLineChars="0"/>
        <w:jc w:val="center"/>
        <w:rPr>
          <w:rFonts w:hint="eastAsia" w:ascii="方正魏碑_GBK" w:eastAsia="方正魏碑_GBK"/>
          <w:sz w:val="40"/>
          <w:szCs w:val="40"/>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方正黑体_GBK" w:hAnsi="方正黑体_GBK" w:eastAsia="方正黑体_GBK" w:cs="方正黑体_GBK"/>
          <w:sz w:val="32"/>
          <w:szCs w:val="32"/>
          <w:lang w:val="en-US" w:eastAsia="zh-CN"/>
        </w:rPr>
      </w:pPr>
      <w:r>
        <w:rPr>
          <w:rFonts w:hint="eastAsia" w:ascii="方正黑体_GBK" w:hAnsi="方正黑体_GBK" w:eastAsia="方正黑体_GBK" w:cs="方正黑体_GBK"/>
          <w:sz w:val="32"/>
          <w:szCs w:val="32"/>
        </w:rPr>
        <w:t>重庆市綦江区</w:t>
      </w:r>
      <w:r>
        <w:rPr>
          <w:rFonts w:hint="eastAsia" w:ascii="方正黑体_GBK" w:hAnsi="方正黑体_GBK" w:eastAsia="方正黑体_GBK" w:cs="方正黑体_GBK"/>
          <w:sz w:val="32"/>
          <w:szCs w:val="32"/>
          <w:lang w:val="en-US" w:eastAsia="zh-CN"/>
        </w:rPr>
        <w:t>人民政府</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方正黑体_GBK" w:cs="Times New Roman"/>
          <w:sz w:val="32"/>
          <w:szCs w:val="32"/>
        </w:rPr>
      </w:pPr>
      <w:r>
        <w:rPr>
          <w:rFonts w:hint="default" w:ascii="Times New Roman" w:hAnsi="Times New Roman" w:eastAsia="方正黑体_GBK" w:cs="Times New Roman"/>
          <w:sz w:val="32"/>
          <w:szCs w:val="32"/>
          <w:lang w:val="en-US" w:eastAsia="zh-CN"/>
        </w:rPr>
        <w:t>2022</w:t>
      </w:r>
      <w:r>
        <w:rPr>
          <w:rFonts w:hint="default" w:ascii="Times New Roman" w:hAnsi="Times New Roman" w:eastAsia="方正黑体_GBK" w:cs="Times New Roman"/>
          <w:sz w:val="32"/>
          <w:szCs w:val="32"/>
        </w:rPr>
        <w:t>年</w:t>
      </w:r>
      <w:r>
        <w:rPr>
          <w:rFonts w:hint="default" w:ascii="Times New Roman" w:hAnsi="Times New Roman" w:eastAsia="方正黑体_GBK" w:cs="Times New Roman"/>
          <w:sz w:val="32"/>
          <w:szCs w:val="32"/>
          <w:lang w:val="en-US" w:eastAsia="zh-CN"/>
        </w:rPr>
        <w:t>6</w:t>
      </w:r>
      <w:r>
        <w:rPr>
          <w:rFonts w:hint="default" w:ascii="Times New Roman" w:hAnsi="Times New Roman" w:eastAsia="方正黑体_GBK" w:cs="Times New Roman"/>
          <w:sz w:val="32"/>
          <w:szCs w:val="32"/>
        </w:rPr>
        <w:t>月</w:t>
      </w:r>
    </w:p>
    <w:p>
      <w:pPr>
        <w:ind w:firstLine="720"/>
        <w:jc w:val="center"/>
        <w:rPr>
          <w:rFonts w:ascii="方正魏碑_GBK" w:eastAsia="方正魏碑_GBK"/>
          <w:sz w:val="36"/>
          <w:szCs w:val="36"/>
        </w:rPr>
      </w:pPr>
    </w:p>
    <w:p>
      <w:pPr>
        <w:ind w:firstLine="720"/>
        <w:jc w:val="center"/>
        <w:rPr>
          <w:rFonts w:ascii="方正魏碑_GBK" w:eastAsia="方正魏碑_GBK"/>
          <w:sz w:val="36"/>
          <w:szCs w:val="36"/>
        </w:rPr>
      </w:pPr>
    </w:p>
    <w:p>
      <w:pPr>
        <w:pStyle w:val="2953"/>
        <w:ind w:firstLine="0" w:firstLineChars="0"/>
        <w:jc w:val="center"/>
        <w:rPr>
          <w:rFonts w:hint="eastAsia" w:ascii="黑体" w:hAnsi="黑体" w:eastAsia="黑体"/>
          <w:sz w:val="36"/>
          <w:szCs w:val="36"/>
        </w:rPr>
      </w:pPr>
      <w:r>
        <w:br w:type="page"/>
      </w:r>
      <w:bookmarkStart w:id="0" w:name="_Toc458588158"/>
      <w:bookmarkStart w:id="1" w:name="_Toc67991540"/>
      <w:bookmarkStart w:id="2" w:name="_Toc61805515"/>
      <w:bookmarkStart w:id="3" w:name="_Toc58830653"/>
      <w:bookmarkStart w:id="4" w:name="_Toc59800411"/>
      <w:bookmarkStart w:id="5" w:name="_Toc469553296"/>
      <w:bookmarkStart w:id="6" w:name="_Toc71665842"/>
      <w:bookmarkStart w:id="7" w:name="_Toc482633932"/>
      <w:bookmarkStart w:id="8" w:name="_Toc61699475"/>
      <w:bookmarkStart w:id="9" w:name="_Toc68121067"/>
      <w:bookmarkStart w:id="10" w:name="_Toc69916470"/>
      <w:r>
        <w:rPr>
          <w:rFonts w:hint="eastAsia" w:ascii="方正小标宋_GBK" w:hAnsi="方正小标宋_GBK" w:eastAsia="方正小标宋_GBK" w:cs="方正小标宋_GBK"/>
          <w:sz w:val="36"/>
          <w:szCs w:val="36"/>
        </w:rPr>
        <w:t>前</w:t>
      </w:r>
      <w:r>
        <w:rPr>
          <w:rFonts w:hint="eastAsia" w:ascii="方正小标宋_GBK" w:hAnsi="方正小标宋_GBK" w:eastAsia="方正小标宋_GBK" w:cs="方正小标宋_GBK"/>
          <w:sz w:val="36"/>
          <w:szCs w:val="36"/>
          <w:lang w:val="en-US" w:eastAsia="zh-CN"/>
        </w:rPr>
        <w:t xml:space="preserve">  </w:t>
      </w:r>
      <w:r>
        <w:rPr>
          <w:rFonts w:hint="eastAsia" w:ascii="方正小标宋_GBK" w:hAnsi="方正小标宋_GBK" w:eastAsia="方正小标宋_GBK" w:cs="方正小标宋_GBK"/>
          <w:sz w:val="36"/>
          <w:szCs w:val="36"/>
        </w:rPr>
        <w:t>言</w:t>
      </w:r>
      <w:bookmarkEnd w:id="0"/>
      <w:bookmarkEnd w:id="1"/>
      <w:bookmarkEnd w:id="2"/>
      <w:bookmarkEnd w:id="3"/>
      <w:bookmarkEnd w:id="4"/>
      <w:bookmarkEnd w:id="5"/>
      <w:bookmarkEnd w:id="6"/>
      <w:bookmarkEnd w:id="7"/>
      <w:bookmarkEnd w:id="8"/>
      <w:bookmarkEnd w:id="9"/>
      <w:bookmarkEnd w:id="10"/>
    </w:p>
    <w:p>
      <w:pPr>
        <w:pStyle w:val="1355"/>
        <w:ind w:firstLine="0" w:firstLineChars="0"/>
        <w:jc w:val="center"/>
        <w:rPr>
          <w:rFonts w:hint="eastAsia"/>
        </w:rPr>
      </w:pPr>
    </w:p>
    <w:p>
      <w:pPr>
        <w:pStyle w:val="2094"/>
        <w:keepNext w:val="0"/>
        <w:keepLines w:val="0"/>
        <w:pageBreakBefore w:val="0"/>
        <w:widowControl w:val="0"/>
        <w:kinsoku/>
        <w:wordWrap/>
        <w:overflowPunct/>
        <w:topLinePunct w:val="0"/>
        <w:autoSpaceDE/>
        <w:autoSpaceDN/>
        <w:bidi w:val="0"/>
        <w:adjustRightInd w:val="0"/>
        <w:snapToGrid/>
        <w:spacing w:line="600" w:lineRule="exact"/>
        <w:ind w:firstLine="560"/>
        <w:textAlignment w:val="baseline"/>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重庆市綦江区位于重庆西南部，长江南岸綦江中游，是重庆通往贵州、云南、湖南、广西、广东、上海等地陆上重要通道，也是渝南及黔北毗邻地区重要物资集散地，具有良好的区位优势和发展前景。城区面积69km</w:t>
      </w:r>
      <w:r>
        <w:rPr>
          <w:rFonts w:hint="default" w:ascii="Times New Roman" w:hAnsi="Times New Roman" w:eastAsia="方正仿宋_GBK" w:cs="Times New Roman"/>
          <w:sz w:val="32"/>
          <w:szCs w:val="32"/>
          <w:vertAlign w:val="superscript"/>
        </w:rPr>
        <w:t>2</w:t>
      </w:r>
      <w:r>
        <w:rPr>
          <w:rFonts w:hint="default" w:ascii="Times New Roman" w:hAnsi="Times New Roman" w:eastAsia="方正仿宋_GBK" w:cs="Times New Roman"/>
          <w:sz w:val="32"/>
          <w:szCs w:val="32"/>
        </w:rPr>
        <w:t>，2020年户籍人口26.38万人，地区生产总值300.94亿元。</w:t>
      </w:r>
    </w:p>
    <w:p>
      <w:pPr>
        <w:pStyle w:val="2094"/>
        <w:keepNext w:val="0"/>
        <w:keepLines w:val="0"/>
        <w:pageBreakBefore w:val="0"/>
        <w:widowControl w:val="0"/>
        <w:kinsoku/>
        <w:wordWrap/>
        <w:overflowPunct/>
        <w:topLinePunct w:val="0"/>
        <w:autoSpaceDE/>
        <w:autoSpaceDN/>
        <w:bidi w:val="0"/>
        <w:adjustRightInd w:val="0"/>
        <w:snapToGrid/>
        <w:spacing w:line="600" w:lineRule="exact"/>
        <w:ind w:firstLine="560"/>
        <w:textAlignment w:val="baseline"/>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綦江洪灾频繁，1550</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2007年的458年间共发生较大洪水53次，约9年出现1次，每30年就有1次特大洪水。为了指导綦江主城区防洪建设，原綦江县防洪规划办、重庆市水利规划院于1999年和2007年先后编制了《綦江河流域防洪规划报告（2000</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2020年）》和《綦江县县城防洪规划方案报告》，提出通过修筑护岸工程，结合旧城改造回填低洼地带，分期、分片达到20年一遇洪水标准；通过上游修建防洪水库，将县城防洪标准提高到50年一遇。经多年建设，綦江城区已修建9.09km堤防护岸工程。然而，由于拆迁、投资、景观等限制性因素，目前堤防标准达到20年一遇的堤段长度仅为3.46km，规划兴建的藻渡等水库正在开展前期工作。</w:t>
      </w:r>
    </w:p>
    <w:p>
      <w:pPr>
        <w:pStyle w:val="2094"/>
        <w:keepNext w:val="0"/>
        <w:keepLines w:val="0"/>
        <w:pageBreakBefore w:val="0"/>
        <w:widowControl w:val="0"/>
        <w:kinsoku/>
        <w:wordWrap/>
        <w:overflowPunct/>
        <w:topLinePunct w:val="0"/>
        <w:autoSpaceDE/>
        <w:autoSpaceDN/>
        <w:bidi w:val="0"/>
        <w:adjustRightInd w:val="0"/>
        <w:snapToGrid/>
        <w:spacing w:line="600" w:lineRule="exact"/>
        <w:ind w:firstLine="560"/>
        <w:textAlignment w:val="baseline"/>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2007</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2020年的</w:t>
      </w:r>
      <w:r>
        <w:rPr>
          <w:rFonts w:hint="eastAsia" w:ascii="Times New Roman" w:eastAsia="方正仿宋_GBK" w:cs="Times New Roman"/>
          <w:sz w:val="32"/>
          <w:szCs w:val="32"/>
          <w:lang w:val="en-US" w:eastAsia="zh-CN"/>
        </w:rPr>
        <w:t>14</w:t>
      </w:r>
      <w:r>
        <w:rPr>
          <w:rFonts w:hint="default" w:ascii="Times New Roman" w:hAnsi="Times New Roman" w:eastAsia="方正仿宋_GBK" w:cs="Times New Roman"/>
          <w:sz w:val="32"/>
          <w:szCs w:val="32"/>
        </w:rPr>
        <w:t>年间共发生超保证洪水5次、约</w:t>
      </w:r>
      <w:r>
        <w:rPr>
          <w:rFonts w:hint="eastAsia" w:ascii="Times New Roman" w:eastAsia="方正仿宋_GBK" w:cs="Times New Roman"/>
          <w:sz w:val="32"/>
          <w:szCs w:val="32"/>
          <w:lang w:val="en-US" w:eastAsia="zh-CN"/>
        </w:rPr>
        <w:t>3</w:t>
      </w:r>
      <w:r>
        <w:rPr>
          <w:rFonts w:hint="default" w:ascii="Times New Roman" w:hAnsi="Times New Roman" w:eastAsia="方正仿宋_GBK" w:cs="Times New Roman"/>
          <w:sz w:val="32"/>
          <w:szCs w:val="32"/>
        </w:rPr>
        <w:t>年出现1次，超警戒洪水11次、几乎每年都会发生。其中，2016年5、6月綦江流域发生大洪水，綦江主城区彩虹桥处最高洪水位224.7</w:t>
      </w:r>
      <w:r>
        <w:rPr>
          <w:rFonts w:hint="eastAsia" w:ascii="Times New Roman" w:eastAsia="方正仿宋_GBK" w:cs="Times New Roman"/>
          <w:sz w:val="32"/>
          <w:szCs w:val="32"/>
          <w:lang w:val="en-US" w:eastAsia="zh-CN"/>
        </w:rPr>
        <w:t>0</w:t>
      </w:r>
      <w:r>
        <w:rPr>
          <w:rFonts w:hint="default" w:ascii="Times New Roman" w:hAnsi="Times New Roman" w:eastAsia="方正仿宋_GBK" w:cs="Times New Roman"/>
          <w:sz w:val="32"/>
          <w:szCs w:val="32"/>
        </w:rPr>
        <w:t>m，超保证水位2.20m，造成全区5万人受灾，主城区的南州小学被淹，直接经济损失1.68亿元。2020年6月22日綦江再次发生流域性超标准洪水，彩虹桥处最高洪水位227.6m，超保证水位5.1m，造成全区11.21万人受灾，主城区的文龙街道菜坝社区、下北街片区等沿江地区被淹，直接经济损失11.57亿元。</w:t>
      </w:r>
    </w:p>
    <w:p>
      <w:pPr>
        <w:pStyle w:val="2094"/>
        <w:keepNext w:val="0"/>
        <w:keepLines w:val="0"/>
        <w:pageBreakBefore w:val="0"/>
        <w:widowControl w:val="0"/>
        <w:kinsoku/>
        <w:wordWrap/>
        <w:overflowPunct/>
        <w:topLinePunct w:val="0"/>
        <w:autoSpaceDE/>
        <w:autoSpaceDN/>
        <w:bidi w:val="0"/>
        <w:adjustRightInd w:val="0"/>
        <w:snapToGrid/>
        <w:spacing w:line="600" w:lineRule="exact"/>
        <w:ind w:firstLine="560"/>
        <w:textAlignment w:val="baseline"/>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2016年、2020年綦江大洪水后，綦江城区存在的防洪问题再次引起广泛关注，重庆市各级领导对此十分重视。为了系统解决綦江城区目前面临的防洪问题，保障城市防洪安全，綦江区开展重庆市綦江区城区防洪规划工作，在梳理以往研究成果基础上，补充收集相关资料，开展了堤防建设、航运梯级优化改建、河道整治、跨河桥梁改造、新建防洪水库等工程措施防洪作用的研究，提出綦江区城区防洪规划方案。</w:t>
      </w:r>
    </w:p>
    <w:p>
      <w:pPr>
        <w:pStyle w:val="2094"/>
        <w:keepNext w:val="0"/>
        <w:keepLines w:val="0"/>
        <w:pageBreakBefore w:val="0"/>
        <w:widowControl w:val="0"/>
        <w:kinsoku/>
        <w:wordWrap/>
        <w:overflowPunct/>
        <w:topLinePunct w:val="0"/>
        <w:autoSpaceDE/>
        <w:autoSpaceDN/>
        <w:bidi w:val="0"/>
        <w:adjustRightInd w:val="0"/>
        <w:snapToGrid/>
        <w:spacing w:line="600" w:lineRule="exact"/>
        <w:ind w:firstLine="560"/>
        <w:textAlignment w:val="baseline"/>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本报告高程系统无特殊注明外，均为1985国家高程系统，主要站基面转换关系为：85基准=56黄海</w:t>
      </w:r>
      <w:r>
        <w:rPr>
          <w:rFonts w:hint="eastAsia" w:ascii="宋体" w:hAnsi="宋体" w:eastAsia="宋体" w:cs="宋体"/>
          <w:sz w:val="32"/>
          <w:szCs w:val="32"/>
          <w:lang w:eastAsia="zh-CN"/>
        </w:rPr>
        <w:t>－</w:t>
      </w:r>
      <w:r>
        <w:rPr>
          <w:rFonts w:hint="default" w:ascii="Times New Roman" w:hAnsi="Times New Roman" w:eastAsia="方正仿宋_GBK" w:cs="Times New Roman"/>
          <w:sz w:val="32"/>
          <w:szCs w:val="32"/>
        </w:rPr>
        <w:t>0.029m=吴淞高程</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1.488m。</w:t>
      </w:r>
    </w:p>
    <w:p>
      <w:pPr>
        <w:pStyle w:val="1355"/>
        <w:ind w:firstLine="0" w:firstLineChars="0"/>
        <w:jc w:val="both"/>
        <w:rPr>
          <w:rFonts w:hint="eastAsia"/>
        </w:rPr>
      </w:pPr>
    </w:p>
    <w:p>
      <w:pPr>
        <w:pStyle w:val="1355"/>
        <w:ind w:firstLine="0" w:firstLineChars="0"/>
        <w:jc w:val="center"/>
        <w:rPr>
          <w:rFonts w:hint="eastAsia" w:ascii="黑体" w:hAnsi="黑体" w:eastAsia="黑体"/>
          <w:sz w:val="36"/>
          <w:szCs w:val="36"/>
        </w:rPr>
      </w:pPr>
      <w:r>
        <w:rPr>
          <w:rFonts w:hint="eastAsia" w:ascii="黑体" w:hAnsi="黑体" w:eastAsia="黑体"/>
          <w:sz w:val="32"/>
          <w:szCs w:val="32"/>
          <w:lang w:val="zh-CN"/>
        </w:rPr>
        <w:br w:type="page"/>
      </w:r>
      <w:r>
        <w:rPr>
          <w:rFonts w:hint="eastAsia" w:ascii="黑体" w:hAnsi="黑体" w:eastAsia="黑体"/>
          <w:sz w:val="32"/>
          <w:szCs w:val="32"/>
          <w:lang w:val="zh-CN"/>
        </w:rPr>
        <w:t>目     录</w:t>
      </w:r>
      <w:r>
        <w:rPr>
          <w:rFonts w:hint="eastAsia" w:ascii="黑体" w:hAnsi="黑体" w:eastAsia="黑体"/>
          <w:sz w:val="36"/>
          <w:szCs w:val="36"/>
        </w:rPr>
        <w:t xml:space="preserve"> </w:t>
      </w:r>
    </w:p>
    <w:p>
      <w:pPr>
        <w:pStyle w:val="1355"/>
        <w:ind w:firstLine="0" w:firstLineChars="0"/>
        <w:jc w:val="center"/>
        <w:rPr>
          <w:rFonts w:hint="eastAsia" w:ascii="黑体" w:hAnsi="黑体" w:eastAsia="黑体"/>
          <w:sz w:val="36"/>
          <w:szCs w:val="36"/>
          <w:lang w:val="zh-CN"/>
        </w:rPr>
      </w:pPr>
    </w:p>
    <w:p>
      <w:pPr>
        <w:pStyle w:val="59"/>
        <w:tabs>
          <w:tab w:val="right" w:leader="dot" w:pos="9071"/>
        </w:tabs>
      </w:pPr>
      <w:bookmarkStart w:id="11" w:name="_Toc250624472"/>
      <w:r>
        <w:fldChar w:fldCharType="begin"/>
      </w:r>
      <w:r>
        <w:instrText xml:space="preserve"> TOC \o "1-2" \h \z \u </w:instrText>
      </w:r>
      <w:r>
        <w:fldChar w:fldCharType="separate"/>
      </w:r>
      <w:r>
        <w:fldChar w:fldCharType="begin"/>
      </w:r>
      <w:r>
        <w:instrText xml:space="preserve"> HYPERLINK \l _Toc10775 </w:instrText>
      </w:r>
      <w:r>
        <w:fldChar w:fldCharType="separate"/>
      </w:r>
      <w:r>
        <w:rPr>
          <w:rFonts w:hint="eastAsia" w:ascii="方正黑体_GBK" w:hAnsi="方正黑体_GBK" w:eastAsia="方正黑体_GBK" w:cs="方正黑体_GBK"/>
          <w:szCs w:val="32"/>
          <w:lang w:val="en-US" w:eastAsia="zh-CN"/>
        </w:rPr>
        <w:t>一、</w:t>
      </w:r>
      <w:r>
        <w:rPr>
          <w:rFonts w:hint="eastAsia" w:ascii="方正黑体_GBK" w:hAnsi="方正黑体_GBK" w:eastAsia="方正黑体_GBK" w:cs="方正黑体_GBK"/>
          <w:szCs w:val="32"/>
        </w:rPr>
        <w:t>基本情况</w:t>
      </w:r>
      <w:r>
        <w:tab/>
      </w:r>
      <w:r>
        <w:fldChar w:fldCharType="begin"/>
      </w:r>
      <w:r>
        <w:instrText xml:space="preserve"> PAGEREF _Toc10775 \h </w:instrText>
      </w:r>
      <w:r>
        <w:fldChar w:fldCharType="separate"/>
      </w:r>
      <w:r>
        <w:t>8</w:t>
      </w:r>
      <w:r>
        <w:fldChar w:fldCharType="end"/>
      </w:r>
      <w:r>
        <w:fldChar w:fldCharType="end"/>
      </w:r>
    </w:p>
    <w:p>
      <w:pPr>
        <w:pStyle w:val="74"/>
        <w:tabs>
          <w:tab w:val="right" w:leader="dot" w:pos="9071"/>
        </w:tabs>
      </w:pPr>
      <w:r>
        <w:fldChar w:fldCharType="begin"/>
      </w:r>
      <w:r>
        <w:instrText xml:space="preserve"> HYPERLINK \l _Toc24736 </w:instrText>
      </w:r>
      <w:r>
        <w:fldChar w:fldCharType="separate"/>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lang w:val="en-US" w:eastAsia="zh-CN"/>
        </w:rPr>
        <w:t>一</w:t>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rPr>
        <w:t>城市概况</w:t>
      </w:r>
      <w:r>
        <w:tab/>
      </w:r>
      <w:r>
        <w:fldChar w:fldCharType="begin"/>
      </w:r>
      <w:r>
        <w:instrText xml:space="preserve"> PAGEREF _Toc24736 \h </w:instrText>
      </w:r>
      <w:r>
        <w:fldChar w:fldCharType="separate"/>
      </w:r>
      <w:r>
        <w:t>8</w:t>
      </w:r>
      <w:r>
        <w:fldChar w:fldCharType="end"/>
      </w:r>
      <w:r>
        <w:fldChar w:fldCharType="end"/>
      </w:r>
    </w:p>
    <w:p>
      <w:pPr>
        <w:pStyle w:val="74"/>
        <w:tabs>
          <w:tab w:val="right" w:leader="dot" w:pos="9071"/>
        </w:tabs>
      </w:pPr>
      <w:r>
        <w:fldChar w:fldCharType="begin"/>
      </w:r>
      <w:r>
        <w:instrText xml:space="preserve"> HYPERLINK \l _Toc30740 </w:instrText>
      </w:r>
      <w:r>
        <w:fldChar w:fldCharType="separate"/>
      </w:r>
      <w:r>
        <w:rPr>
          <w:rFonts w:hint="default" w:ascii="Times New Roman" w:hAnsi="Times New Roman" w:eastAsia="方正楷体_GBK" w:cs="Times New Roman"/>
          <w:szCs w:val="32"/>
          <w:lang w:eastAsia="zh-CN"/>
        </w:rPr>
        <w:t>（</w:t>
      </w:r>
      <w:r>
        <w:rPr>
          <w:rFonts w:hint="default" w:ascii="Times New Roman" w:hAnsi="Times New Roman" w:eastAsia="方正楷体_GBK" w:cs="Times New Roman"/>
          <w:szCs w:val="32"/>
          <w:lang w:val="en-US" w:eastAsia="zh-CN"/>
        </w:rPr>
        <w:t>二</w:t>
      </w:r>
      <w:r>
        <w:rPr>
          <w:rFonts w:hint="default" w:ascii="Times New Roman" w:hAnsi="Times New Roman" w:eastAsia="方正楷体_GBK" w:cs="Times New Roman"/>
          <w:szCs w:val="32"/>
          <w:lang w:eastAsia="zh-CN"/>
        </w:rPr>
        <w:t>）</w:t>
      </w:r>
      <w:r>
        <w:rPr>
          <w:rFonts w:hint="default" w:ascii="Times New Roman" w:hAnsi="Times New Roman" w:eastAsia="方正楷体_GBK" w:cs="Times New Roman"/>
          <w:szCs w:val="32"/>
        </w:rPr>
        <w:t>自然概况</w:t>
      </w:r>
      <w:r>
        <w:tab/>
      </w:r>
      <w:r>
        <w:fldChar w:fldCharType="begin"/>
      </w:r>
      <w:r>
        <w:instrText xml:space="preserve"> PAGEREF _Toc30740 \h </w:instrText>
      </w:r>
      <w:r>
        <w:fldChar w:fldCharType="separate"/>
      </w:r>
      <w:r>
        <w:t>10</w:t>
      </w:r>
      <w:r>
        <w:fldChar w:fldCharType="end"/>
      </w:r>
      <w:r>
        <w:fldChar w:fldCharType="end"/>
      </w:r>
    </w:p>
    <w:p>
      <w:pPr>
        <w:pStyle w:val="74"/>
        <w:tabs>
          <w:tab w:val="right" w:leader="dot" w:pos="9071"/>
        </w:tabs>
      </w:pPr>
      <w:r>
        <w:fldChar w:fldCharType="begin"/>
      </w:r>
      <w:r>
        <w:instrText xml:space="preserve"> HYPERLINK \l _Toc3132 </w:instrText>
      </w:r>
      <w:r>
        <w:fldChar w:fldCharType="separate"/>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lang w:val="en-US" w:eastAsia="zh-CN"/>
        </w:rPr>
        <w:t>三</w:t>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rPr>
        <w:t>经济社会概况</w:t>
      </w:r>
      <w:r>
        <w:tab/>
      </w:r>
      <w:r>
        <w:fldChar w:fldCharType="begin"/>
      </w:r>
      <w:r>
        <w:instrText xml:space="preserve"> PAGEREF _Toc3132 \h </w:instrText>
      </w:r>
      <w:r>
        <w:fldChar w:fldCharType="separate"/>
      </w:r>
      <w:r>
        <w:t>28</w:t>
      </w:r>
      <w:r>
        <w:fldChar w:fldCharType="end"/>
      </w:r>
      <w:r>
        <w:fldChar w:fldCharType="end"/>
      </w:r>
    </w:p>
    <w:p>
      <w:pPr>
        <w:pStyle w:val="74"/>
        <w:tabs>
          <w:tab w:val="right" w:leader="dot" w:pos="9071"/>
        </w:tabs>
      </w:pPr>
      <w:r>
        <w:fldChar w:fldCharType="begin"/>
      </w:r>
      <w:r>
        <w:instrText xml:space="preserve"> HYPERLINK \l _Toc23852 </w:instrText>
      </w:r>
      <w:r>
        <w:fldChar w:fldCharType="separate"/>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lang w:val="en-US" w:eastAsia="zh-CN"/>
        </w:rPr>
        <w:t>四</w:t>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rPr>
        <w:t>涉河建筑物概况</w:t>
      </w:r>
      <w:r>
        <w:tab/>
      </w:r>
      <w:r>
        <w:fldChar w:fldCharType="begin"/>
      </w:r>
      <w:r>
        <w:instrText xml:space="preserve"> PAGEREF _Toc23852 \h </w:instrText>
      </w:r>
      <w:r>
        <w:fldChar w:fldCharType="separate"/>
      </w:r>
      <w:r>
        <w:t>32</w:t>
      </w:r>
      <w:r>
        <w:fldChar w:fldCharType="end"/>
      </w:r>
      <w:r>
        <w:fldChar w:fldCharType="end"/>
      </w:r>
    </w:p>
    <w:p>
      <w:pPr>
        <w:pStyle w:val="74"/>
        <w:tabs>
          <w:tab w:val="right" w:leader="dot" w:pos="9071"/>
        </w:tabs>
      </w:pPr>
      <w:r>
        <w:fldChar w:fldCharType="begin"/>
      </w:r>
      <w:r>
        <w:instrText xml:space="preserve"> HYPERLINK \l _Toc11091 </w:instrText>
      </w:r>
      <w:r>
        <w:fldChar w:fldCharType="separate"/>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lang w:val="en-US" w:eastAsia="zh-CN"/>
        </w:rPr>
        <w:t>五</w:t>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rPr>
        <w:t>相关规划</w:t>
      </w:r>
      <w:r>
        <w:tab/>
      </w:r>
      <w:r>
        <w:fldChar w:fldCharType="begin"/>
      </w:r>
      <w:r>
        <w:instrText xml:space="preserve"> PAGEREF _Toc11091 \h </w:instrText>
      </w:r>
      <w:r>
        <w:fldChar w:fldCharType="separate"/>
      </w:r>
      <w:r>
        <w:t>37</w:t>
      </w:r>
      <w:r>
        <w:fldChar w:fldCharType="end"/>
      </w:r>
      <w:r>
        <w:fldChar w:fldCharType="end"/>
      </w:r>
    </w:p>
    <w:p>
      <w:pPr>
        <w:pStyle w:val="59"/>
        <w:tabs>
          <w:tab w:val="right" w:leader="dot" w:pos="9071"/>
        </w:tabs>
      </w:pPr>
      <w:r>
        <w:fldChar w:fldCharType="begin"/>
      </w:r>
      <w:r>
        <w:instrText xml:space="preserve"> HYPERLINK \l _Toc618 </w:instrText>
      </w:r>
      <w:r>
        <w:fldChar w:fldCharType="separate"/>
      </w:r>
      <w:r>
        <w:rPr>
          <w:rFonts w:hint="eastAsia" w:ascii="方正黑体_GBK" w:hAnsi="方正黑体_GBK" w:eastAsia="方正黑体_GBK" w:cs="方正黑体_GBK"/>
          <w:szCs w:val="32"/>
          <w:lang w:val="en-US" w:eastAsia="zh-CN"/>
        </w:rPr>
        <w:t>二、</w:t>
      </w:r>
      <w:r>
        <w:rPr>
          <w:rFonts w:hint="eastAsia" w:ascii="方正黑体_GBK" w:hAnsi="方正黑体_GBK" w:eastAsia="方正黑体_GBK" w:cs="方正黑体_GBK"/>
          <w:szCs w:val="32"/>
        </w:rPr>
        <w:t>防洪现状及存在的主要问题</w:t>
      </w:r>
      <w:r>
        <w:tab/>
      </w:r>
      <w:r>
        <w:fldChar w:fldCharType="begin"/>
      </w:r>
      <w:r>
        <w:instrText xml:space="preserve"> PAGEREF _Toc618 \h </w:instrText>
      </w:r>
      <w:r>
        <w:fldChar w:fldCharType="separate"/>
      </w:r>
      <w:r>
        <w:t>45</w:t>
      </w:r>
      <w:r>
        <w:fldChar w:fldCharType="end"/>
      </w:r>
      <w:r>
        <w:fldChar w:fldCharType="end"/>
      </w:r>
    </w:p>
    <w:p>
      <w:pPr>
        <w:pStyle w:val="74"/>
        <w:tabs>
          <w:tab w:val="right" w:leader="dot" w:pos="9071"/>
        </w:tabs>
      </w:pPr>
      <w:r>
        <w:fldChar w:fldCharType="begin"/>
      </w:r>
      <w:r>
        <w:instrText xml:space="preserve"> HYPERLINK \l _Toc27438 </w:instrText>
      </w:r>
      <w:r>
        <w:fldChar w:fldCharType="separate"/>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lang w:val="en-US" w:eastAsia="zh-CN"/>
        </w:rPr>
        <w:t>一</w:t>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rPr>
        <w:t>防洪工程现状</w:t>
      </w:r>
      <w:r>
        <w:tab/>
      </w:r>
      <w:r>
        <w:fldChar w:fldCharType="begin"/>
      </w:r>
      <w:r>
        <w:instrText xml:space="preserve"> PAGEREF _Toc27438 \h </w:instrText>
      </w:r>
      <w:r>
        <w:fldChar w:fldCharType="separate"/>
      </w:r>
      <w:r>
        <w:t>45</w:t>
      </w:r>
      <w:r>
        <w:fldChar w:fldCharType="end"/>
      </w:r>
      <w:r>
        <w:fldChar w:fldCharType="end"/>
      </w:r>
    </w:p>
    <w:p>
      <w:pPr>
        <w:pStyle w:val="74"/>
        <w:tabs>
          <w:tab w:val="right" w:leader="dot" w:pos="9071"/>
        </w:tabs>
      </w:pPr>
      <w:r>
        <w:fldChar w:fldCharType="begin"/>
      </w:r>
      <w:r>
        <w:instrText xml:space="preserve"> HYPERLINK \l _Toc3767 </w:instrText>
      </w:r>
      <w:r>
        <w:fldChar w:fldCharType="separate"/>
      </w:r>
      <w:r>
        <w:rPr>
          <w:rFonts w:hint="eastAsia" w:ascii="方正楷体_GBK" w:hAnsi="方正楷体_GBK" w:eastAsia="方正楷体_GBK" w:cs="方正楷体_GBK"/>
          <w:szCs w:val="32"/>
          <w:lang w:eastAsia="zh-CN"/>
        </w:rPr>
        <w:t>（</w:t>
      </w:r>
      <w:r>
        <w:rPr>
          <w:rFonts w:hint="eastAsia" w:ascii="方正楷体_GBK" w:hAnsi="方正楷体_GBK" w:eastAsia="方正楷体_GBK" w:cs="方正楷体_GBK"/>
          <w:szCs w:val="32"/>
          <w:lang w:val="en-US" w:eastAsia="zh-CN"/>
        </w:rPr>
        <w:t>二</w:t>
      </w:r>
      <w:r>
        <w:rPr>
          <w:rFonts w:hint="eastAsia" w:ascii="方正楷体_GBK" w:hAnsi="方正楷体_GBK" w:eastAsia="方正楷体_GBK" w:cs="方正楷体_GBK"/>
          <w:szCs w:val="32"/>
          <w:lang w:eastAsia="zh-CN"/>
        </w:rPr>
        <w:t>）</w:t>
      </w:r>
      <w:r>
        <w:rPr>
          <w:rFonts w:hint="eastAsia" w:ascii="方正楷体_GBK" w:hAnsi="方正楷体_GBK" w:eastAsia="方正楷体_GBK" w:cs="方正楷体_GBK"/>
          <w:szCs w:val="32"/>
        </w:rPr>
        <w:t>防洪非工程措施现状</w:t>
      </w:r>
      <w:r>
        <w:tab/>
      </w:r>
      <w:r>
        <w:fldChar w:fldCharType="begin"/>
      </w:r>
      <w:r>
        <w:instrText xml:space="preserve"> PAGEREF _Toc3767 \h </w:instrText>
      </w:r>
      <w:r>
        <w:fldChar w:fldCharType="separate"/>
      </w:r>
      <w:r>
        <w:t>49</w:t>
      </w:r>
      <w:r>
        <w:fldChar w:fldCharType="end"/>
      </w:r>
      <w:r>
        <w:fldChar w:fldCharType="end"/>
      </w:r>
    </w:p>
    <w:p>
      <w:pPr>
        <w:pStyle w:val="74"/>
        <w:tabs>
          <w:tab w:val="right" w:leader="dot" w:pos="9071"/>
        </w:tabs>
      </w:pPr>
      <w:r>
        <w:fldChar w:fldCharType="begin"/>
      </w:r>
      <w:r>
        <w:instrText xml:space="preserve"> HYPERLINK \l _Toc21200 </w:instrText>
      </w:r>
      <w:r>
        <w:fldChar w:fldCharType="separate"/>
      </w:r>
      <w:r>
        <w:rPr>
          <w:rFonts w:hint="eastAsia"/>
          <w:lang w:eastAsia="zh-CN"/>
        </w:rPr>
        <w:t>（</w:t>
      </w:r>
      <w:r>
        <w:rPr>
          <w:rFonts w:hint="eastAsia" w:ascii="方正楷体_GBK" w:hAnsi="方正楷体_GBK" w:eastAsia="方正楷体_GBK" w:cs="方正楷体_GBK"/>
          <w:szCs w:val="32"/>
          <w:lang w:val="en-US" w:eastAsia="zh-CN"/>
        </w:rPr>
        <w:t>三</w:t>
      </w:r>
      <w:r>
        <w:rPr>
          <w:rFonts w:hint="eastAsia" w:ascii="方正楷体_GBK" w:hAnsi="方正楷体_GBK" w:eastAsia="方正楷体_GBK" w:cs="方正楷体_GBK"/>
          <w:szCs w:val="32"/>
          <w:lang w:eastAsia="zh-CN"/>
        </w:rPr>
        <w:t>）防洪存在的主要问题</w:t>
      </w:r>
      <w:r>
        <w:tab/>
      </w:r>
      <w:r>
        <w:fldChar w:fldCharType="begin"/>
      </w:r>
      <w:r>
        <w:instrText xml:space="preserve"> PAGEREF _Toc21200 \h </w:instrText>
      </w:r>
      <w:r>
        <w:fldChar w:fldCharType="separate"/>
      </w:r>
      <w:r>
        <w:t>50</w:t>
      </w:r>
      <w:r>
        <w:fldChar w:fldCharType="end"/>
      </w:r>
      <w:r>
        <w:fldChar w:fldCharType="end"/>
      </w:r>
    </w:p>
    <w:p>
      <w:pPr>
        <w:pStyle w:val="74"/>
        <w:tabs>
          <w:tab w:val="right" w:leader="dot" w:pos="9071"/>
        </w:tabs>
      </w:pPr>
      <w:r>
        <w:fldChar w:fldCharType="begin"/>
      </w:r>
      <w:r>
        <w:instrText xml:space="preserve"> HYPERLINK \l _Toc25050 </w:instrText>
      </w:r>
      <w:r>
        <w:fldChar w:fldCharType="separate"/>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lang w:val="en-US" w:eastAsia="zh-CN"/>
        </w:rPr>
        <w:t>四</w:t>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rPr>
        <w:t>綦江城区防洪形势</w:t>
      </w:r>
      <w:r>
        <w:tab/>
      </w:r>
      <w:r>
        <w:fldChar w:fldCharType="begin"/>
      </w:r>
      <w:r>
        <w:instrText xml:space="preserve"> PAGEREF _Toc25050 \h </w:instrText>
      </w:r>
      <w:r>
        <w:fldChar w:fldCharType="separate"/>
      </w:r>
      <w:r>
        <w:t>64</w:t>
      </w:r>
      <w:r>
        <w:fldChar w:fldCharType="end"/>
      </w:r>
      <w:r>
        <w:fldChar w:fldCharType="end"/>
      </w:r>
    </w:p>
    <w:p>
      <w:pPr>
        <w:pStyle w:val="59"/>
        <w:tabs>
          <w:tab w:val="right" w:leader="dot" w:pos="9071"/>
        </w:tabs>
      </w:pPr>
      <w:r>
        <w:fldChar w:fldCharType="begin"/>
      </w:r>
      <w:r>
        <w:instrText xml:space="preserve"> HYPERLINK \l _Toc11369 </w:instrText>
      </w:r>
      <w:r>
        <w:fldChar w:fldCharType="separate"/>
      </w:r>
      <w:r>
        <w:rPr>
          <w:rFonts w:hint="eastAsia" w:ascii="方正黑体_GBK" w:hAnsi="方正黑体_GBK" w:eastAsia="方正黑体_GBK" w:cs="方正黑体_GBK"/>
          <w:szCs w:val="32"/>
          <w:lang w:val="en-US" w:eastAsia="zh-CN"/>
        </w:rPr>
        <w:t>三、</w:t>
      </w:r>
      <w:r>
        <w:rPr>
          <w:rFonts w:hint="eastAsia" w:ascii="方正黑体_GBK" w:hAnsi="方正黑体_GBK" w:eastAsia="方正黑体_GBK" w:cs="方正黑体_GBK"/>
          <w:szCs w:val="32"/>
        </w:rPr>
        <w:t>规划指导思想、原则及目标</w:t>
      </w:r>
      <w:r>
        <w:tab/>
      </w:r>
      <w:r>
        <w:fldChar w:fldCharType="begin"/>
      </w:r>
      <w:r>
        <w:instrText xml:space="preserve"> PAGEREF _Toc11369 \h </w:instrText>
      </w:r>
      <w:r>
        <w:fldChar w:fldCharType="separate"/>
      </w:r>
      <w:r>
        <w:t>66</w:t>
      </w:r>
      <w:r>
        <w:fldChar w:fldCharType="end"/>
      </w:r>
      <w:r>
        <w:fldChar w:fldCharType="end"/>
      </w:r>
    </w:p>
    <w:p>
      <w:pPr>
        <w:pStyle w:val="74"/>
        <w:tabs>
          <w:tab w:val="right" w:leader="dot" w:pos="9071"/>
        </w:tabs>
      </w:pPr>
      <w:r>
        <w:fldChar w:fldCharType="begin"/>
      </w:r>
      <w:r>
        <w:instrText xml:space="preserve"> HYPERLINK \l _Toc2216 </w:instrText>
      </w:r>
      <w:r>
        <w:fldChar w:fldCharType="separate"/>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lang w:val="en-US" w:eastAsia="zh-CN"/>
        </w:rPr>
        <w:t>一</w:t>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rPr>
        <w:t>规划范围与规划水平年</w:t>
      </w:r>
      <w:r>
        <w:tab/>
      </w:r>
      <w:r>
        <w:fldChar w:fldCharType="begin"/>
      </w:r>
      <w:r>
        <w:instrText xml:space="preserve"> PAGEREF _Toc2216 \h </w:instrText>
      </w:r>
      <w:r>
        <w:fldChar w:fldCharType="separate"/>
      </w:r>
      <w:r>
        <w:t>66</w:t>
      </w:r>
      <w:r>
        <w:fldChar w:fldCharType="end"/>
      </w:r>
      <w:r>
        <w:fldChar w:fldCharType="end"/>
      </w:r>
    </w:p>
    <w:p>
      <w:pPr>
        <w:pStyle w:val="74"/>
        <w:tabs>
          <w:tab w:val="right" w:leader="dot" w:pos="9071"/>
        </w:tabs>
      </w:pPr>
      <w:r>
        <w:fldChar w:fldCharType="begin"/>
      </w:r>
      <w:r>
        <w:instrText xml:space="preserve"> HYPERLINK \l _Toc5975 </w:instrText>
      </w:r>
      <w:r>
        <w:fldChar w:fldCharType="separate"/>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lang w:val="en-US" w:eastAsia="zh-CN"/>
        </w:rPr>
        <w:t>二</w:t>
      </w:r>
      <w:r>
        <w:rPr>
          <w:rFonts w:hint="eastAsia" w:ascii="方正楷体_GBK" w:hAnsi="方正楷体_GBK" w:eastAsia="方正楷体_GBK" w:cs="方正楷体_GBK"/>
          <w:lang w:eastAsia="zh-CN"/>
        </w:rPr>
        <w:t>）规划指导思想</w:t>
      </w:r>
      <w:r>
        <w:tab/>
      </w:r>
      <w:r>
        <w:fldChar w:fldCharType="begin"/>
      </w:r>
      <w:r>
        <w:instrText xml:space="preserve"> PAGEREF _Toc5975 \h </w:instrText>
      </w:r>
      <w:r>
        <w:fldChar w:fldCharType="separate"/>
      </w:r>
      <w:r>
        <w:t>69</w:t>
      </w:r>
      <w:r>
        <w:fldChar w:fldCharType="end"/>
      </w:r>
      <w:r>
        <w:fldChar w:fldCharType="end"/>
      </w:r>
    </w:p>
    <w:p>
      <w:pPr>
        <w:pStyle w:val="74"/>
        <w:tabs>
          <w:tab w:val="right" w:leader="dot" w:pos="9071"/>
        </w:tabs>
      </w:pPr>
      <w:r>
        <w:fldChar w:fldCharType="begin"/>
      </w:r>
      <w:r>
        <w:instrText xml:space="preserve"> HYPERLINK \l _Toc15221 </w:instrText>
      </w:r>
      <w:r>
        <w:fldChar w:fldCharType="separate"/>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lang w:val="en-US" w:eastAsia="zh-CN"/>
        </w:rPr>
        <w:t>三</w:t>
      </w:r>
      <w:r>
        <w:rPr>
          <w:rFonts w:hint="eastAsia" w:ascii="方正楷体_GBK" w:hAnsi="方正楷体_GBK" w:eastAsia="方正楷体_GBK" w:cs="方正楷体_GBK"/>
          <w:lang w:eastAsia="zh-CN"/>
        </w:rPr>
        <w:t>）规划原则</w:t>
      </w:r>
      <w:r>
        <w:tab/>
      </w:r>
      <w:r>
        <w:fldChar w:fldCharType="begin"/>
      </w:r>
      <w:r>
        <w:instrText xml:space="preserve"> PAGEREF _Toc15221 \h </w:instrText>
      </w:r>
      <w:r>
        <w:fldChar w:fldCharType="separate"/>
      </w:r>
      <w:r>
        <w:t>71</w:t>
      </w:r>
      <w:r>
        <w:fldChar w:fldCharType="end"/>
      </w:r>
      <w:r>
        <w:fldChar w:fldCharType="end"/>
      </w:r>
    </w:p>
    <w:p>
      <w:pPr>
        <w:pStyle w:val="74"/>
        <w:tabs>
          <w:tab w:val="right" w:leader="dot" w:pos="9071"/>
        </w:tabs>
      </w:pPr>
      <w:r>
        <w:fldChar w:fldCharType="begin"/>
      </w:r>
      <w:r>
        <w:instrText xml:space="preserve"> HYPERLINK \l _Toc28486 </w:instrText>
      </w:r>
      <w:r>
        <w:fldChar w:fldCharType="separate"/>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lang w:val="en-US" w:eastAsia="zh-CN"/>
        </w:rPr>
        <w:t>四</w:t>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rPr>
        <w:t xml:space="preserve"> 规划依据</w:t>
      </w:r>
      <w:r>
        <w:tab/>
      </w:r>
      <w:r>
        <w:fldChar w:fldCharType="begin"/>
      </w:r>
      <w:r>
        <w:instrText xml:space="preserve"> PAGEREF _Toc28486 \h </w:instrText>
      </w:r>
      <w:r>
        <w:fldChar w:fldCharType="separate"/>
      </w:r>
      <w:r>
        <w:t>72</w:t>
      </w:r>
      <w:r>
        <w:fldChar w:fldCharType="end"/>
      </w:r>
      <w:r>
        <w:fldChar w:fldCharType="end"/>
      </w:r>
    </w:p>
    <w:p>
      <w:pPr>
        <w:pStyle w:val="74"/>
        <w:tabs>
          <w:tab w:val="right" w:leader="dot" w:pos="9071"/>
        </w:tabs>
      </w:pPr>
      <w:r>
        <w:fldChar w:fldCharType="begin"/>
      </w:r>
      <w:r>
        <w:instrText xml:space="preserve"> HYPERLINK \l _Toc325 </w:instrText>
      </w:r>
      <w:r>
        <w:fldChar w:fldCharType="separate"/>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lang w:val="en-US" w:eastAsia="zh-CN"/>
        </w:rPr>
        <w:t>五</w:t>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rPr>
        <w:t>规划目标</w:t>
      </w:r>
      <w:r>
        <w:tab/>
      </w:r>
      <w:r>
        <w:fldChar w:fldCharType="begin"/>
      </w:r>
      <w:r>
        <w:instrText xml:space="preserve"> PAGEREF _Toc325 \h </w:instrText>
      </w:r>
      <w:r>
        <w:fldChar w:fldCharType="separate"/>
      </w:r>
      <w:r>
        <w:t>74</w:t>
      </w:r>
      <w:r>
        <w:fldChar w:fldCharType="end"/>
      </w:r>
      <w:r>
        <w:fldChar w:fldCharType="end"/>
      </w:r>
    </w:p>
    <w:p>
      <w:pPr>
        <w:pStyle w:val="59"/>
        <w:tabs>
          <w:tab w:val="right" w:leader="dot" w:pos="9071"/>
        </w:tabs>
      </w:pPr>
      <w:r>
        <w:fldChar w:fldCharType="begin"/>
      </w:r>
      <w:r>
        <w:instrText xml:space="preserve"> HYPERLINK \l _Toc22823 </w:instrText>
      </w:r>
      <w:r>
        <w:fldChar w:fldCharType="separate"/>
      </w:r>
      <w:r>
        <w:rPr>
          <w:rFonts w:hint="eastAsia" w:ascii="方正黑体_GBK" w:hAnsi="方正黑体_GBK" w:eastAsia="方正黑体_GBK" w:cs="方正黑体_GBK"/>
          <w:szCs w:val="32"/>
          <w:lang w:val="en-US" w:eastAsia="zh-CN"/>
        </w:rPr>
        <w:t>四、</w:t>
      </w:r>
      <w:r>
        <w:rPr>
          <w:rFonts w:hint="eastAsia" w:ascii="方正黑体_GBK" w:hAnsi="方正黑体_GBK" w:eastAsia="方正黑体_GBK" w:cs="方正黑体_GBK"/>
          <w:szCs w:val="32"/>
        </w:rPr>
        <w:t>水文分析计算</w:t>
      </w:r>
      <w:r>
        <w:tab/>
      </w:r>
      <w:r>
        <w:fldChar w:fldCharType="begin"/>
      </w:r>
      <w:r>
        <w:instrText xml:space="preserve"> PAGEREF _Toc22823 \h </w:instrText>
      </w:r>
      <w:r>
        <w:fldChar w:fldCharType="separate"/>
      </w:r>
      <w:r>
        <w:t>76</w:t>
      </w:r>
      <w:r>
        <w:fldChar w:fldCharType="end"/>
      </w:r>
      <w:r>
        <w:fldChar w:fldCharType="end"/>
      </w:r>
    </w:p>
    <w:p>
      <w:pPr>
        <w:pStyle w:val="74"/>
        <w:tabs>
          <w:tab w:val="right" w:leader="dot" w:pos="9071"/>
        </w:tabs>
      </w:pPr>
      <w:r>
        <w:fldChar w:fldCharType="begin"/>
      </w:r>
      <w:r>
        <w:instrText xml:space="preserve"> HYPERLINK \l _Toc9550 </w:instrText>
      </w:r>
      <w:r>
        <w:fldChar w:fldCharType="separate"/>
      </w:r>
      <w:r>
        <w:rPr>
          <w:rFonts w:hint="eastAsia" w:ascii="方正楷体_GBK" w:hAnsi="方正楷体_GBK" w:eastAsia="方正楷体_GBK" w:cs="方正楷体_GBK"/>
          <w:bCs/>
          <w:lang w:eastAsia="zh-CN"/>
        </w:rPr>
        <w:t>（</w:t>
      </w:r>
      <w:r>
        <w:rPr>
          <w:rFonts w:hint="eastAsia" w:ascii="方正楷体_GBK" w:hAnsi="方正楷体_GBK" w:eastAsia="方正楷体_GBK" w:cs="方正楷体_GBK"/>
          <w:bCs/>
          <w:lang w:val="en-US" w:eastAsia="zh-CN"/>
        </w:rPr>
        <w:t>一</w:t>
      </w:r>
      <w:r>
        <w:rPr>
          <w:rFonts w:hint="eastAsia" w:ascii="方正楷体_GBK" w:hAnsi="方正楷体_GBK" w:eastAsia="方正楷体_GBK" w:cs="方正楷体_GBK"/>
          <w:bCs/>
          <w:lang w:eastAsia="zh-CN"/>
        </w:rPr>
        <w:t>）</w:t>
      </w:r>
      <w:r>
        <w:rPr>
          <w:rFonts w:hint="eastAsia" w:ascii="方正楷体_GBK" w:hAnsi="方正楷体_GBK" w:eastAsia="方正楷体_GBK" w:cs="方正楷体_GBK"/>
          <w:bCs/>
        </w:rPr>
        <w:t>水文基本资料</w:t>
      </w:r>
      <w:r>
        <w:tab/>
      </w:r>
      <w:r>
        <w:fldChar w:fldCharType="begin"/>
      </w:r>
      <w:r>
        <w:instrText xml:space="preserve"> PAGEREF _Toc9550 \h </w:instrText>
      </w:r>
      <w:r>
        <w:fldChar w:fldCharType="separate"/>
      </w:r>
      <w:r>
        <w:t>76</w:t>
      </w:r>
      <w:r>
        <w:fldChar w:fldCharType="end"/>
      </w:r>
      <w:r>
        <w:fldChar w:fldCharType="end"/>
      </w:r>
    </w:p>
    <w:p>
      <w:pPr>
        <w:pStyle w:val="74"/>
        <w:tabs>
          <w:tab w:val="right" w:leader="dot" w:pos="9071"/>
        </w:tabs>
      </w:pPr>
      <w:r>
        <w:fldChar w:fldCharType="begin"/>
      </w:r>
      <w:r>
        <w:instrText xml:space="preserve"> HYPERLINK \l _Toc3359 </w:instrText>
      </w:r>
      <w:r>
        <w:fldChar w:fldCharType="separate"/>
      </w:r>
      <w:r>
        <w:rPr>
          <w:rFonts w:hint="eastAsia" w:ascii="方正楷体_GBK" w:hAnsi="方正楷体_GBK" w:eastAsia="方正楷体_GBK" w:cs="方正楷体_GBK"/>
          <w:bCs/>
          <w:lang w:eastAsia="zh-CN"/>
        </w:rPr>
        <w:t>（</w:t>
      </w:r>
      <w:r>
        <w:rPr>
          <w:rFonts w:hint="eastAsia" w:ascii="方正楷体_GBK" w:hAnsi="方正楷体_GBK" w:eastAsia="方正楷体_GBK" w:cs="方正楷体_GBK"/>
          <w:bCs/>
          <w:lang w:val="en-US" w:eastAsia="zh-CN"/>
        </w:rPr>
        <w:t>二</w:t>
      </w:r>
      <w:r>
        <w:rPr>
          <w:rFonts w:hint="eastAsia" w:ascii="方正楷体_GBK" w:hAnsi="方正楷体_GBK" w:eastAsia="方正楷体_GBK" w:cs="方正楷体_GBK"/>
          <w:bCs/>
          <w:lang w:eastAsia="zh-CN"/>
        </w:rPr>
        <w:t>）</w:t>
      </w:r>
      <w:r>
        <w:rPr>
          <w:rFonts w:hint="eastAsia" w:ascii="方正楷体_GBK" w:hAnsi="方正楷体_GBK" w:eastAsia="方正楷体_GBK" w:cs="方正楷体_GBK"/>
          <w:bCs/>
        </w:rPr>
        <w:t>暴雨洪水特性</w:t>
      </w:r>
      <w:r>
        <w:tab/>
      </w:r>
      <w:r>
        <w:fldChar w:fldCharType="begin"/>
      </w:r>
      <w:r>
        <w:instrText xml:space="preserve"> PAGEREF _Toc3359 \h </w:instrText>
      </w:r>
      <w:r>
        <w:fldChar w:fldCharType="separate"/>
      </w:r>
      <w:r>
        <w:t>76</w:t>
      </w:r>
      <w:r>
        <w:fldChar w:fldCharType="end"/>
      </w:r>
      <w:r>
        <w:fldChar w:fldCharType="end"/>
      </w:r>
    </w:p>
    <w:p>
      <w:pPr>
        <w:pStyle w:val="74"/>
        <w:tabs>
          <w:tab w:val="right" w:leader="dot" w:pos="9071"/>
        </w:tabs>
      </w:pPr>
      <w:r>
        <w:fldChar w:fldCharType="begin"/>
      </w:r>
      <w:r>
        <w:instrText xml:space="preserve"> HYPERLINK \l _Toc22989 </w:instrText>
      </w:r>
      <w:r>
        <w:fldChar w:fldCharType="separate"/>
      </w:r>
      <w:r>
        <w:rPr>
          <w:rFonts w:hint="eastAsia" w:ascii="方正楷体_GBK" w:hAnsi="方正楷体_GBK" w:eastAsia="方正楷体_GBK" w:cs="方正楷体_GBK"/>
          <w:bCs/>
          <w:lang w:eastAsia="zh-CN"/>
        </w:rPr>
        <w:t>（</w:t>
      </w:r>
      <w:r>
        <w:rPr>
          <w:rFonts w:hint="eastAsia" w:ascii="方正楷体_GBK" w:hAnsi="方正楷体_GBK" w:eastAsia="方正楷体_GBK" w:cs="方正楷体_GBK"/>
          <w:bCs/>
          <w:lang w:val="en-US" w:eastAsia="zh-CN"/>
        </w:rPr>
        <w:t>三</w:t>
      </w:r>
      <w:r>
        <w:rPr>
          <w:rFonts w:hint="eastAsia" w:ascii="方正楷体_GBK" w:hAnsi="方正楷体_GBK" w:eastAsia="方正楷体_GBK" w:cs="方正楷体_GBK"/>
          <w:bCs/>
          <w:lang w:eastAsia="zh-CN"/>
        </w:rPr>
        <w:t>）</w:t>
      </w:r>
      <w:r>
        <w:rPr>
          <w:rFonts w:hint="eastAsia" w:ascii="方正楷体_GBK" w:hAnsi="方正楷体_GBK" w:eastAsia="方正楷体_GBK" w:cs="方正楷体_GBK"/>
          <w:bCs/>
        </w:rPr>
        <w:t>洪水的组成及遭遇</w:t>
      </w:r>
      <w:r>
        <w:tab/>
      </w:r>
      <w:r>
        <w:fldChar w:fldCharType="begin"/>
      </w:r>
      <w:r>
        <w:instrText xml:space="preserve"> PAGEREF _Toc22989 \h </w:instrText>
      </w:r>
      <w:r>
        <w:fldChar w:fldCharType="separate"/>
      </w:r>
      <w:r>
        <w:t>81</w:t>
      </w:r>
      <w:r>
        <w:fldChar w:fldCharType="end"/>
      </w:r>
      <w:r>
        <w:fldChar w:fldCharType="end"/>
      </w:r>
    </w:p>
    <w:p>
      <w:pPr>
        <w:pStyle w:val="74"/>
        <w:tabs>
          <w:tab w:val="right" w:leader="dot" w:pos="9071"/>
        </w:tabs>
      </w:pPr>
      <w:r>
        <w:fldChar w:fldCharType="begin"/>
      </w:r>
      <w:r>
        <w:instrText xml:space="preserve"> HYPERLINK \l _Toc27796 </w:instrText>
      </w:r>
      <w:r>
        <w:fldChar w:fldCharType="separate"/>
      </w:r>
      <w:r>
        <w:rPr>
          <w:rFonts w:hint="eastAsia" w:ascii="方正楷体_GBK" w:hAnsi="方正楷体_GBK" w:eastAsia="方正楷体_GBK" w:cs="方正楷体_GBK"/>
          <w:bCs/>
          <w:lang w:eastAsia="zh-CN"/>
        </w:rPr>
        <w:t>（</w:t>
      </w:r>
      <w:r>
        <w:rPr>
          <w:rFonts w:hint="eastAsia" w:ascii="方正楷体_GBK" w:hAnsi="方正楷体_GBK" w:eastAsia="方正楷体_GBK" w:cs="方正楷体_GBK"/>
          <w:bCs/>
          <w:lang w:val="en-US" w:eastAsia="zh-CN"/>
        </w:rPr>
        <w:t>四</w:t>
      </w:r>
      <w:r>
        <w:rPr>
          <w:rFonts w:hint="eastAsia" w:ascii="方正楷体_GBK" w:hAnsi="方正楷体_GBK" w:eastAsia="方正楷体_GBK" w:cs="方正楷体_GBK"/>
          <w:bCs/>
          <w:lang w:eastAsia="zh-CN"/>
        </w:rPr>
        <w:t>）</w:t>
      </w:r>
      <w:r>
        <w:rPr>
          <w:rFonts w:hint="eastAsia" w:ascii="方正楷体_GBK" w:hAnsi="方正楷体_GBK" w:eastAsia="方正楷体_GBK" w:cs="方正楷体_GBK"/>
          <w:bCs/>
        </w:rPr>
        <w:t>设计洪水</w:t>
      </w:r>
      <w:r>
        <w:tab/>
      </w:r>
      <w:r>
        <w:fldChar w:fldCharType="begin"/>
      </w:r>
      <w:r>
        <w:instrText xml:space="preserve"> PAGEREF _Toc27796 \h </w:instrText>
      </w:r>
      <w:r>
        <w:fldChar w:fldCharType="separate"/>
      </w:r>
      <w:r>
        <w:t>88</w:t>
      </w:r>
      <w:r>
        <w:fldChar w:fldCharType="end"/>
      </w:r>
      <w:r>
        <w:fldChar w:fldCharType="end"/>
      </w:r>
    </w:p>
    <w:p>
      <w:pPr>
        <w:pStyle w:val="74"/>
        <w:tabs>
          <w:tab w:val="right" w:leader="dot" w:pos="9071"/>
        </w:tabs>
      </w:pPr>
      <w:r>
        <w:fldChar w:fldCharType="begin"/>
      </w:r>
      <w:r>
        <w:instrText xml:space="preserve"> HYPERLINK \l _Toc31290 </w:instrText>
      </w:r>
      <w:r>
        <w:fldChar w:fldCharType="separate"/>
      </w:r>
      <w:r>
        <w:rPr>
          <w:rFonts w:hint="eastAsia" w:ascii="方正楷体_GBK" w:hAnsi="方正楷体_GBK" w:eastAsia="方正楷体_GBK" w:cs="方正楷体_GBK"/>
          <w:bCs/>
          <w:lang w:eastAsia="zh-CN"/>
        </w:rPr>
        <w:t>（</w:t>
      </w:r>
      <w:r>
        <w:rPr>
          <w:rFonts w:hint="eastAsia" w:ascii="方正楷体_GBK" w:hAnsi="方正楷体_GBK" w:eastAsia="方正楷体_GBK" w:cs="方正楷体_GBK"/>
          <w:bCs/>
          <w:lang w:val="en-US" w:eastAsia="zh-CN"/>
        </w:rPr>
        <w:t>五</w:t>
      </w:r>
      <w:r>
        <w:rPr>
          <w:rFonts w:hint="eastAsia" w:ascii="方正楷体_GBK" w:hAnsi="方正楷体_GBK" w:eastAsia="方正楷体_GBK" w:cs="方正楷体_GBK"/>
          <w:bCs/>
          <w:lang w:eastAsia="zh-CN"/>
        </w:rPr>
        <w:t>）</w:t>
      </w:r>
      <w:r>
        <w:rPr>
          <w:rFonts w:hint="eastAsia" w:ascii="方正楷体_GBK" w:hAnsi="方正楷体_GBK" w:eastAsia="方正楷体_GBK" w:cs="方正楷体_GBK"/>
          <w:bCs/>
        </w:rPr>
        <w:t>天然水面线计算</w:t>
      </w:r>
      <w:r>
        <w:tab/>
      </w:r>
      <w:r>
        <w:fldChar w:fldCharType="begin"/>
      </w:r>
      <w:r>
        <w:instrText xml:space="preserve"> PAGEREF _Toc31290 \h </w:instrText>
      </w:r>
      <w:r>
        <w:fldChar w:fldCharType="separate"/>
      </w:r>
      <w:r>
        <w:t>106</w:t>
      </w:r>
      <w:r>
        <w:fldChar w:fldCharType="end"/>
      </w:r>
      <w:r>
        <w:fldChar w:fldCharType="end"/>
      </w:r>
    </w:p>
    <w:p>
      <w:pPr>
        <w:pStyle w:val="74"/>
        <w:tabs>
          <w:tab w:val="right" w:leader="dot" w:pos="9071"/>
        </w:tabs>
      </w:pPr>
      <w:r>
        <w:fldChar w:fldCharType="begin"/>
      </w:r>
      <w:r>
        <w:instrText xml:space="preserve"> HYPERLINK \l _Toc11782 </w:instrText>
      </w:r>
      <w:r>
        <w:fldChar w:fldCharType="separate"/>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lang w:val="en-US" w:eastAsia="zh-CN"/>
        </w:rPr>
        <w:t>六</w:t>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rPr>
        <w:t>现状河道安全泄量</w:t>
      </w:r>
      <w:r>
        <w:tab/>
      </w:r>
      <w:r>
        <w:fldChar w:fldCharType="begin"/>
      </w:r>
      <w:r>
        <w:instrText xml:space="preserve"> PAGEREF _Toc11782 \h </w:instrText>
      </w:r>
      <w:r>
        <w:fldChar w:fldCharType="separate"/>
      </w:r>
      <w:r>
        <w:t>115</w:t>
      </w:r>
      <w:r>
        <w:fldChar w:fldCharType="end"/>
      </w:r>
      <w:r>
        <w:fldChar w:fldCharType="end"/>
      </w:r>
    </w:p>
    <w:p>
      <w:pPr>
        <w:pStyle w:val="59"/>
        <w:tabs>
          <w:tab w:val="right" w:leader="dot" w:pos="9071"/>
        </w:tabs>
      </w:pPr>
      <w:r>
        <w:fldChar w:fldCharType="begin"/>
      </w:r>
      <w:r>
        <w:instrText xml:space="preserve"> HYPERLINK \l _Toc12379 </w:instrText>
      </w:r>
      <w:r>
        <w:fldChar w:fldCharType="separate"/>
      </w:r>
      <w:r>
        <w:rPr>
          <w:rFonts w:hint="eastAsia" w:ascii="方正黑体_GBK" w:hAnsi="方正黑体_GBK" w:eastAsia="方正黑体_GBK" w:cs="方正黑体_GBK"/>
          <w:szCs w:val="32"/>
          <w:lang w:val="en-US" w:eastAsia="zh-CN"/>
        </w:rPr>
        <w:t>五、</w:t>
      </w:r>
      <w:r>
        <w:rPr>
          <w:rFonts w:hint="eastAsia" w:ascii="方正黑体_GBK" w:hAnsi="方正黑体_GBK" w:eastAsia="方正黑体_GBK" w:cs="方正黑体_GBK"/>
          <w:szCs w:val="32"/>
        </w:rPr>
        <w:t>防洪工程总体布局</w:t>
      </w:r>
      <w:r>
        <w:tab/>
      </w:r>
      <w:r>
        <w:fldChar w:fldCharType="begin"/>
      </w:r>
      <w:r>
        <w:instrText xml:space="preserve"> PAGEREF _Toc12379 \h </w:instrText>
      </w:r>
      <w:r>
        <w:fldChar w:fldCharType="separate"/>
      </w:r>
      <w:r>
        <w:t>116</w:t>
      </w:r>
      <w:r>
        <w:fldChar w:fldCharType="end"/>
      </w:r>
      <w:r>
        <w:fldChar w:fldCharType="end"/>
      </w:r>
    </w:p>
    <w:p>
      <w:pPr>
        <w:pStyle w:val="59"/>
        <w:tabs>
          <w:tab w:val="right" w:leader="dot" w:pos="9071"/>
        </w:tabs>
        <w:ind w:firstLine="280" w:firstLineChars="100"/>
      </w:pPr>
      <w:r>
        <w:fldChar w:fldCharType="begin"/>
      </w:r>
      <w:r>
        <w:instrText xml:space="preserve"> HYPERLINK \l _Toc29786 </w:instrText>
      </w:r>
      <w:r>
        <w:fldChar w:fldCharType="separate"/>
      </w:r>
      <w:r>
        <w:rPr>
          <w:rFonts w:hint="eastAsia" w:ascii="方正楷体_GBK" w:hAnsi="方正楷体_GBK" w:eastAsia="方正楷体_GBK" w:cs="方正楷体_GBK"/>
          <w:szCs w:val="32"/>
          <w:lang w:val="en-US" w:eastAsia="zh-CN"/>
        </w:rPr>
        <w:t>（一） 防洪标准</w:t>
      </w:r>
      <w:r>
        <w:tab/>
      </w:r>
      <w:r>
        <w:fldChar w:fldCharType="begin"/>
      </w:r>
      <w:r>
        <w:instrText xml:space="preserve"> PAGEREF _Toc29786 \h </w:instrText>
      </w:r>
      <w:r>
        <w:fldChar w:fldCharType="separate"/>
      </w:r>
      <w:r>
        <w:t>116</w:t>
      </w:r>
      <w:r>
        <w:fldChar w:fldCharType="end"/>
      </w:r>
      <w:r>
        <w:fldChar w:fldCharType="end"/>
      </w:r>
    </w:p>
    <w:p>
      <w:pPr>
        <w:pStyle w:val="59"/>
        <w:tabs>
          <w:tab w:val="right" w:leader="dot" w:pos="9071"/>
        </w:tabs>
        <w:ind w:firstLine="280" w:firstLineChars="100"/>
      </w:pPr>
      <w:r>
        <w:fldChar w:fldCharType="begin"/>
      </w:r>
      <w:r>
        <w:instrText xml:space="preserve"> HYPERLINK \l _Toc6867 </w:instrText>
      </w:r>
      <w:r>
        <w:fldChar w:fldCharType="separate"/>
      </w:r>
      <w:r>
        <w:rPr>
          <w:rFonts w:hint="eastAsia" w:ascii="方正楷体_GBK" w:hAnsi="方正楷体_GBK" w:eastAsia="方正楷体_GBK" w:cs="方正楷体_GBK"/>
          <w:szCs w:val="32"/>
          <w:lang w:val="en-US" w:eastAsia="zh-CN"/>
        </w:rPr>
        <w:t>（二）防洪工程总体布局</w:t>
      </w:r>
      <w:r>
        <w:tab/>
      </w:r>
      <w:r>
        <w:fldChar w:fldCharType="begin"/>
      </w:r>
      <w:r>
        <w:instrText xml:space="preserve"> PAGEREF _Toc6867 \h </w:instrText>
      </w:r>
      <w:r>
        <w:fldChar w:fldCharType="separate"/>
      </w:r>
      <w:r>
        <w:t>117</w:t>
      </w:r>
      <w:r>
        <w:fldChar w:fldCharType="end"/>
      </w:r>
      <w:r>
        <w:fldChar w:fldCharType="end"/>
      </w:r>
    </w:p>
    <w:p>
      <w:pPr>
        <w:pStyle w:val="59"/>
        <w:tabs>
          <w:tab w:val="right" w:leader="dot" w:pos="9071"/>
        </w:tabs>
      </w:pPr>
      <w:r>
        <w:fldChar w:fldCharType="begin"/>
      </w:r>
      <w:r>
        <w:instrText xml:space="preserve"> HYPERLINK \l _Toc5559 </w:instrText>
      </w:r>
      <w:r>
        <w:fldChar w:fldCharType="separate"/>
      </w:r>
      <w:r>
        <w:rPr>
          <w:rFonts w:hint="eastAsia" w:ascii="方正黑体_GBK" w:hAnsi="方正黑体_GBK" w:eastAsia="方正黑体_GBK" w:cs="方正黑体_GBK"/>
          <w:szCs w:val="32"/>
          <w:lang w:val="en-US" w:eastAsia="zh-CN"/>
        </w:rPr>
        <w:t>六、</w:t>
      </w:r>
      <w:r>
        <w:rPr>
          <w:rFonts w:hint="eastAsia" w:ascii="方正黑体_GBK" w:hAnsi="方正黑体_GBK" w:eastAsia="方正黑体_GBK" w:cs="方正黑体_GBK"/>
          <w:szCs w:val="32"/>
        </w:rPr>
        <w:t>防洪工程规划</w:t>
      </w:r>
      <w:r>
        <w:tab/>
      </w:r>
      <w:r>
        <w:fldChar w:fldCharType="begin"/>
      </w:r>
      <w:r>
        <w:instrText xml:space="preserve"> PAGEREF _Toc5559 \h </w:instrText>
      </w:r>
      <w:r>
        <w:fldChar w:fldCharType="separate"/>
      </w:r>
      <w:r>
        <w:t>119</w:t>
      </w:r>
      <w:r>
        <w:fldChar w:fldCharType="end"/>
      </w:r>
      <w:r>
        <w:fldChar w:fldCharType="end"/>
      </w:r>
    </w:p>
    <w:p>
      <w:pPr>
        <w:pStyle w:val="74"/>
        <w:tabs>
          <w:tab w:val="right" w:leader="dot" w:pos="9071"/>
        </w:tabs>
      </w:pPr>
      <w:r>
        <w:fldChar w:fldCharType="begin"/>
      </w:r>
      <w:r>
        <w:instrText xml:space="preserve"> HYPERLINK \l _Toc18702 </w:instrText>
      </w:r>
      <w:r>
        <w:fldChar w:fldCharType="separate"/>
      </w:r>
      <w:r>
        <w:rPr>
          <w:rFonts w:hint="eastAsia" w:ascii="方正楷体_GBK" w:hAnsi="方正楷体_GBK" w:eastAsia="方正楷体_GBK" w:cs="方正楷体_GBK"/>
          <w:bCs/>
          <w:lang w:eastAsia="zh-CN"/>
        </w:rPr>
        <w:t>（</w:t>
      </w:r>
      <w:r>
        <w:rPr>
          <w:rFonts w:hint="eastAsia" w:ascii="方正楷体_GBK" w:hAnsi="方正楷体_GBK" w:eastAsia="方正楷体_GBK" w:cs="方正楷体_GBK"/>
          <w:bCs/>
          <w:lang w:val="en-US" w:eastAsia="zh-CN"/>
        </w:rPr>
        <w:t>一</w:t>
      </w:r>
      <w:r>
        <w:rPr>
          <w:rFonts w:hint="eastAsia" w:ascii="方正楷体_GBK" w:hAnsi="方正楷体_GBK" w:eastAsia="方正楷体_GBK" w:cs="方正楷体_GBK"/>
          <w:bCs/>
          <w:lang w:eastAsia="zh-CN"/>
        </w:rPr>
        <w:t>）</w:t>
      </w:r>
      <w:r>
        <w:rPr>
          <w:rFonts w:hint="eastAsia" w:ascii="方正楷体_GBK" w:hAnsi="方正楷体_GBK" w:eastAsia="方正楷体_GBK" w:cs="方正楷体_GBK"/>
          <w:bCs/>
        </w:rPr>
        <w:t>河道综合整治规划</w:t>
      </w:r>
      <w:r>
        <w:tab/>
      </w:r>
      <w:r>
        <w:fldChar w:fldCharType="begin"/>
      </w:r>
      <w:r>
        <w:instrText xml:space="preserve"> PAGEREF _Toc18702 \h </w:instrText>
      </w:r>
      <w:r>
        <w:fldChar w:fldCharType="separate"/>
      </w:r>
      <w:r>
        <w:t>121</w:t>
      </w:r>
      <w:r>
        <w:fldChar w:fldCharType="end"/>
      </w:r>
      <w:r>
        <w:fldChar w:fldCharType="end"/>
      </w:r>
    </w:p>
    <w:p>
      <w:pPr>
        <w:pStyle w:val="74"/>
        <w:tabs>
          <w:tab w:val="right" w:leader="dot" w:pos="9071"/>
        </w:tabs>
      </w:pPr>
      <w:r>
        <w:fldChar w:fldCharType="begin"/>
      </w:r>
      <w:r>
        <w:instrText xml:space="preserve"> HYPERLINK \l _Toc13873 </w:instrText>
      </w:r>
      <w:r>
        <w:fldChar w:fldCharType="separate"/>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lang w:val="en-US" w:eastAsia="zh-CN"/>
        </w:rPr>
        <w:t>二</w:t>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rPr>
        <w:t>堤防工程规划</w:t>
      </w:r>
      <w:r>
        <w:tab/>
      </w:r>
      <w:r>
        <w:fldChar w:fldCharType="begin"/>
      </w:r>
      <w:r>
        <w:instrText xml:space="preserve"> PAGEREF _Toc13873 \h </w:instrText>
      </w:r>
      <w:r>
        <w:fldChar w:fldCharType="separate"/>
      </w:r>
      <w:r>
        <w:t>148</w:t>
      </w:r>
      <w:r>
        <w:fldChar w:fldCharType="end"/>
      </w:r>
      <w:r>
        <w:fldChar w:fldCharType="end"/>
      </w:r>
    </w:p>
    <w:p>
      <w:pPr>
        <w:pStyle w:val="74"/>
        <w:tabs>
          <w:tab w:val="right" w:leader="dot" w:pos="9071"/>
        </w:tabs>
      </w:pPr>
      <w:r>
        <w:fldChar w:fldCharType="begin"/>
      </w:r>
      <w:r>
        <w:instrText xml:space="preserve"> HYPERLINK \l _Toc16323 </w:instrText>
      </w:r>
      <w:r>
        <w:fldChar w:fldCharType="separate"/>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lang w:val="en-US" w:eastAsia="zh-CN"/>
        </w:rPr>
        <w:t>三</w:t>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rPr>
        <w:t>防洪水库</w:t>
      </w:r>
      <w:r>
        <w:tab/>
      </w:r>
      <w:r>
        <w:fldChar w:fldCharType="begin"/>
      </w:r>
      <w:r>
        <w:instrText xml:space="preserve"> PAGEREF _Toc16323 \h </w:instrText>
      </w:r>
      <w:r>
        <w:fldChar w:fldCharType="separate"/>
      </w:r>
      <w:r>
        <w:t>187</w:t>
      </w:r>
      <w:r>
        <w:fldChar w:fldCharType="end"/>
      </w:r>
      <w:r>
        <w:fldChar w:fldCharType="end"/>
      </w:r>
    </w:p>
    <w:p>
      <w:pPr>
        <w:pStyle w:val="74"/>
        <w:tabs>
          <w:tab w:val="right" w:leader="dot" w:pos="9071"/>
        </w:tabs>
      </w:pPr>
      <w:r>
        <w:fldChar w:fldCharType="begin"/>
      </w:r>
      <w:r>
        <w:instrText xml:space="preserve"> HYPERLINK \l _Toc15564 </w:instrText>
      </w:r>
      <w:r>
        <w:fldChar w:fldCharType="separate"/>
      </w:r>
      <w:r>
        <w:rPr>
          <w:rFonts w:hint="eastAsia" w:ascii="方正楷体_GBK" w:hAnsi="方正楷体_GBK" w:eastAsia="方正楷体_GBK" w:cs="方正楷体_GBK"/>
          <w:bCs/>
          <w:lang w:eastAsia="zh-CN"/>
        </w:rPr>
        <w:t>（</w:t>
      </w:r>
      <w:r>
        <w:rPr>
          <w:rFonts w:hint="eastAsia" w:ascii="方正楷体_GBK" w:hAnsi="方正楷体_GBK" w:eastAsia="方正楷体_GBK" w:cs="方正楷体_GBK"/>
          <w:bCs/>
          <w:lang w:val="en-US" w:eastAsia="zh-CN"/>
        </w:rPr>
        <w:t>四</w:t>
      </w:r>
      <w:r>
        <w:rPr>
          <w:rFonts w:hint="eastAsia" w:ascii="方正楷体_GBK" w:hAnsi="方正楷体_GBK" w:eastAsia="方正楷体_GBK" w:cs="方正楷体_GBK"/>
          <w:bCs/>
          <w:lang w:eastAsia="zh-CN"/>
        </w:rPr>
        <w:t>）</w:t>
      </w:r>
      <w:r>
        <w:rPr>
          <w:rFonts w:hint="eastAsia" w:ascii="方正楷体_GBK" w:hAnsi="方正楷体_GBK" w:eastAsia="方正楷体_GBK" w:cs="方正楷体_GBK"/>
          <w:bCs/>
        </w:rPr>
        <w:t>防洪工程规划方案</w:t>
      </w:r>
      <w:r>
        <w:tab/>
      </w:r>
      <w:r>
        <w:fldChar w:fldCharType="begin"/>
      </w:r>
      <w:r>
        <w:instrText xml:space="preserve"> PAGEREF _Toc15564 \h </w:instrText>
      </w:r>
      <w:r>
        <w:fldChar w:fldCharType="separate"/>
      </w:r>
      <w:r>
        <w:t>194</w:t>
      </w:r>
      <w:r>
        <w:fldChar w:fldCharType="end"/>
      </w:r>
      <w:r>
        <w:fldChar w:fldCharType="end"/>
      </w:r>
    </w:p>
    <w:p>
      <w:pPr>
        <w:pStyle w:val="59"/>
        <w:tabs>
          <w:tab w:val="right" w:leader="dot" w:pos="9071"/>
        </w:tabs>
      </w:pPr>
      <w:r>
        <w:fldChar w:fldCharType="begin"/>
      </w:r>
      <w:r>
        <w:instrText xml:space="preserve"> HYPERLINK \l _Toc4711 </w:instrText>
      </w:r>
      <w:r>
        <w:fldChar w:fldCharType="separate"/>
      </w:r>
      <w:r>
        <w:rPr>
          <w:rFonts w:hint="eastAsia" w:ascii="方正黑体_GBK" w:hAnsi="方正黑体_GBK" w:eastAsia="方正黑体_GBK" w:cs="方正黑体_GBK"/>
          <w:szCs w:val="32"/>
          <w:lang w:val="en-US" w:eastAsia="zh-CN"/>
        </w:rPr>
        <w:t>七、</w:t>
      </w:r>
      <w:r>
        <w:rPr>
          <w:rFonts w:hint="eastAsia" w:ascii="方正黑体_GBK" w:hAnsi="方正黑体_GBK" w:eastAsia="方正黑体_GBK" w:cs="方正黑体_GBK"/>
          <w:szCs w:val="32"/>
        </w:rPr>
        <w:t>排涝规划</w:t>
      </w:r>
      <w:r>
        <w:tab/>
      </w:r>
      <w:r>
        <w:fldChar w:fldCharType="begin"/>
      </w:r>
      <w:r>
        <w:instrText xml:space="preserve"> PAGEREF _Toc4711 \h </w:instrText>
      </w:r>
      <w:r>
        <w:fldChar w:fldCharType="separate"/>
      </w:r>
      <w:r>
        <w:t>195</w:t>
      </w:r>
      <w:r>
        <w:fldChar w:fldCharType="end"/>
      </w:r>
      <w:r>
        <w:fldChar w:fldCharType="end"/>
      </w:r>
    </w:p>
    <w:p>
      <w:pPr>
        <w:pStyle w:val="74"/>
        <w:tabs>
          <w:tab w:val="right" w:leader="dot" w:pos="9071"/>
        </w:tabs>
      </w:pPr>
      <w:r>
        <w:fldChar w:fldCharType="begin"/>
      </w:r>
      <w:r>
        <w:instrText xml:space="preserve"> HYPERLINK \l _Toc7586 </w:instrText>
      </w:r>
      <w:r>
        <w:fldChar w:fldCharType="separate"/>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lang w:val="en-US" w:eastAsia="zh-CN"/>
        </w:rPr>
        <w:t>一</w:t>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rPr>
        <w:t>涝区分布</w:t>
      </w:r>
      <w:r>
        <w:tab/>
      </w:r>
      <w:r>
        <w:fldChar w:fldCharType="begin"/>
      </w:r>
      <w:r>
        <w:instrText xml:space="preserve"> PAGEREF _Toc7586 \h </w:instrText>
      </w:r>
      <w:r>
        <w:fldChar w:fldCharType="separate"/>
      </w:r>
      <w:r>
        <w:t>195</w:t>
      </w:r>
      <w:r>
        <w:fldChar w:fldCharType="end"/>
      </w:r>
      <w:r>
        <w:fldChar w:fldCharType="end"/>
      </w:r>
    </w:p>
    <w:p>
      <w:pPr>
        <w:pStyle w:val="74"/>
        <w:tabs>
          <w:tab w:val="right" w:leader="dot" w:pos="9071"/>
        </w:tabs>
      </w:pPr>
      <w:r>
        <w:fldChar w:fldCharType="begin"/>
      </w:r>
      <w:r>
        <w:instrText xml:space="preserve"> HYPERLINK \l _Toc2608 </w:instrText>
      </w:r>
      <w:r>
        <w:fldChar w:fldCharType="separate"/>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lang w:val="en-US" w:eastAsia="zh-CN"/>
        </w:rPr>
        <w:t>二</w:t>
      </w:r>
      <w:r>
        <w:rPr>
          <w:rFonts w:hint="eastAsia" w:ascii="方正楷体_GBK" w:hAnsi="方正楷体_GBK" w:eastAsia="方正楷体_GBK" w:cs="方正楷体_GBK"/>
          <w:lang w:eastAsia="zh-CN"/>
        </w:rPr>
        <w:t>）治涝原则、标准及目标</w:t>
      </w:r>
      <w:r>
        <w:tab/>
      </w:r>
      <w:r>
        <w:fldChar w:fldCharType="begin"/>
      </w:r>
      <w:r>
        <w:instrText xml:space="preserve"> PAGEREF _Toc2608 \h </w:instrText>
      </w:r>
      <w:r>
        <w:fldChar w:fldCharType="separate"/>
      </w:r>
      <w:r>
        <w:t>195</w:t>
      </w:r>
      <w:r>
        <w:fldChar w:fldCharType="end"/>
      </w:r>
      <w:r>
        <w:fldChar w:fldCharType="end"/>
      </w:r>
    </w:p>
    <w:p>
      <w:pPr>
        <w:pStyle w:val="59"/>
        <w:tabs>
          <w:tab w:val="right" w:leader="dot" w:pos="9071"/>
        </w:tabs>
      </w:pPr>
      <w:r>
        <w:fldChar w:fldCharType="begin"/>
      </w:r>
      <w:r>
        <w:instrText xml:space="preserve"> HYPERLINK \l _Toc18674 </w:instrText>
      </w:r>
      <w:r>
        <w:fldChar w:fldCharType="separate"/>
      </w:r>
      <w:r>
        <w:rPr>
          <w:rFonts w:hint="eastAsia" w:ascii="方正黑体_GBK" w:hAnsi="方正黑体_GBK" w:eastAsia="方正黑体_GBK" w:cs="方正黑体_GBK"/>
          <w:szCs w:val="32"/>
          <w:lang w:val="en-US" w:eastAsia="zh-CN"/>
        </w:rPr>
        <w:t>八、</w:t>
      </w:r>
      <w:r>
        <w:rPr>
          <w:rFonts w:hint="eastAsia" w:ascii="方正黑体_GBK" w:hAnsi="方正黑体_GBK" w:eastAsia="方正黑体_GBK" w:cs="方正黑体_GBK"/>
          <w:szCs w:val="32"/>
        </w:rPr>
        <w:t>防洪非工程措施规划</w:t>
      </w:r>
      <w:r>
        <w:tab/>
      </w:r>
      <w:r>
        <w:fldChar w:fldCharType="begin"/>
      </w:r>
      <w:r>
        <w:instrText xml:space="preserve"> PAGEREF _Toc18674 \h </w:instrText>
      </w:r>
      <w:r>
        <w:fldChar w:fldCharType="separate"/>
      </w:r>
      <w:r>
        <w:t>199</w:t>
      </w:r>
      <w:r>
        <w:fldChar w:fldCharType="end"/>
      </w:r>
      <w:r>
        <w:fldChar w:fldCharType="end"/>
      </w:r>
    </w:p>
    <w:p>
      <w:pPr>
        <w:pStyle w:val="74"/>
        <w:tabs>
          <w:tab w:val="right" w:leader="dot" w:pos="9071"/>
        </w:tabs>
      </w:pPr>
      <w:r>
        <w:fldChar w:fldCharType="begin"/>
      </w:r>
      <w:r>
        <w:instrText xml:space="preserve"> HYPERLINK \l _Toc24856 </w:instrText>
      </w:r>
      <w:r>
        <w:fldChar w:fldCharType="separate"/>
      </w:r>
      <w:r>
        <w:rPr>
          <w:rFonts w:hint="eastAsia" w:ascii="方正楷体_GBK" w:hAnsi="方正楷体_GBK" w:eastAsia="方正楷体_GBK" w:cs="方正楷体_GBK"/>
          <w:bCs/>
          <w:lang w:eastAsia="zh-CN"/>
        </w:rPr>
        <w:t>（</w:t>
      </w:r>
      <w:r>
        <w:rPr>
          <w:rFonts w:hint="eastAsia" w:ascii="方正楷体_GBK" w:hAnsi="方正楷体_GBK" w:eastAsia="方正楷体_GBK" w:cs="方正楷体_GBK"/>
          <w:bCs/>
          <w:lang w:val="en-US" w:eastAsia="zh-CN"/>
        </w:rPr>
        <w:t>一</w:t>
      </w:r>
      <w:r>
        <w:rPr>
          <w:rFonts w:hint="eastAsia" w:ascii="方正楷体_GBK" w:hAnsi="方正楷体_GBK" w:eastAsia="方正楷体_GBK" w:cs="方正楷体_GBK"/>
          <w:bCs/>
          <w:lang w:eastAsia="zh-CN"/>
        </w:rPr>
        <w:t>）</w:t>
      </w:r>
      <w:r>
        <w:rPr>
          <w:rFonts w:hint="eastAsia" w:ascii="方正楷体_GBK" w:hAnsi="方正楷体_GBK" w:eastAsia="方正楷体_GBK" w:cs="方正楷体_GBK"/>
          <w:bCs/>
        </w:rPr>
        <w:t>防汛指挥系统</w:t>
      </w:r>
      <w:r>
        <w:tab/>
      </w:r>
      <w:r>
        <w:fldChar w:fldCharType="begin"/>
      </w:r>
      <w:r>
        <w:instrText xml:space="preserve"> PAGEREF _Toc24856 \h </w:instrText>
      </w:r>
      <w:r>
        <w:fldChar w:fldCharType="separate"/>
      </w:r>
      <w:r>
        <w:t>200</w:t>
      </w:r>
      <w:r>
        <w:fldChar w:fldCharType="end"/>
      </w:r>
      <w:r>
        <w:fldChar w:fldCharType="end"/>
      </w:r>
    </w:p>
    <w:p>
      <w:pPr>
        <w:pStyle w:val="74"/>
        <w:tabs>
          <w:tab w:val="right" w:leader="dot" w:pos="9071"/>
        </w:tabs>
      </w:pPr>
      <w:r>
        <w:fldChar w:fldCharType="begin"/>
      </w:r>
      <w:r>
        <w:instrText xml:space="preserve"> HYPERLINK \l _Toc30673 </w:instrText>
      </w:r>
      <w:r>
        <w:fldChar w:fldCharType="separate"/>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lang w:val="en-US" w:eastAsia="zh-CN"/>
        </w:rPr>
        <w:t>二</w:t>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rPr>
        <w:t>洪水监测预报预警</w:t>
      </w:r>
      <w:r>
        <w:tab/>
      </w:r>
      <w:r>
        <w:fldChar w:fldCharType="begin"/>
      </w:r>
      <w:r>
        <w:instrText xml:space="preserve"> PAGEREF _Toc30673 \h </w:instrText>
      </w:r>
      <w:r>
        <w:fldChar w:fldCharType="separate"/>
      </w:r>
      <w:r>
        <w:t>208</w:t>
      </w:r>
      <w:r>
        <w:fldChar w:fldCharType="end"/>
      </w:r>
      <w:r>
        <w:fldChar w:fldCharType="end"/>
      </w:r>
    </w:p>
    <w:p>
      <w:pPr>
        <w:pStyle w:val="74"/>
        <w:tabs>
          <w:tab w:val="right" w:leader="dot" w:pos="9071"/>
        </w:tabs>
      </w:pPr>
      <w:r>
        <w:fldChar w:fldCharType="begin"/>
      </w:r>
      <w:r>
        <w:instrText xml:space="preserve"> HYPERLINK \l _Toc16598 </w:instrText>
      </w:r>
      <w:r>
        <w:fldChar w:fldCharType="separate"/>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lang w:val="en-US" w:eastAsia="zh-CN"/>
        </w:rPr>
        <w:t>三</w:t>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rPr>
        <w:t>工程体系调度方案研究</w:t>
      </w:r>
      <w:r>
        <w:tab/>
      </w:r>
      <w:r>
        <w:fldChar w:fldCharType="begin"/>
      </w:r>
      <w:r>
        <w:instrText xml:space="preserve"> PAGEREF _Toc16598 \h </w:instrText>
      </w:r>
      <w:r>
        <w:fldChar w:fldCharType="separate"/>
      </w:r>
      <w:r>
        <w:t>214</w:t>
      </w:r>
      <w:r>
        <w:fldChar w:fldCharType="end"/>
      </w:r>
      <w:r>
        <w:fldChar w:fldCharType="end"/>
      </w:r>
    </w:p>
    <w:p>
      <w:pPr>
        <w:pStyle w:val="74"/>
        <w:tabs>
          <w:tab w:val="right" w:leader="dot" w:pos="9071"/>
        </w:tabs>
      </w:pPr>
      <w:r>
        <w:fldChar w:fldCharType="begin"/>
      </w:r>
      <w:r>
        <w:instrText xml:space="preserve"> HYPERLINK \l _Toc32297 </w:instrText>
      </w:r>
      <w:r>
        <w:fldChar w:fldCharType="separate"/>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lang w:val="en-US" w:eastAsia="zh-CN"/>
        </w:rPr>
        <w:t>四</w:t>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rPr>
        <w:t>洪水风险区划与防洪空间管控</w:t>
      </w:r>
      <w:r>
        <w:tab/>
      </w:r>
      <w:r>
        <w:fldChar w:fldCharType="begin"/>
      </w:r>
      <w:r>
        <w:instrText xml:space="preserve"> PAGEREF _Toc32297 \h </w:instrText>
      </w:r>
      <w:r>
        <w:fldChar w:fldCharType="separate"/>
      </w:r>
      <w:r>
        <w:t>215</w:t>
      </w:r>
      <w:r>
        <w:fldChar w:fldCharType="end"/>
      </w:r>
      <w:r>
        <w:fldChar w:fldCharType="end"/>
      </w:r>
    </w:p>
    <w:p>
      <w:pPr>
        <w:pStyle w:val="74"/>
        <w:tabs>
          <w:tab w:val="right" w:leader="dot" w:pos="9071"/>
        </w:tabs>
      </w:pPr>
      <w:r>
        <w:fldChar w:fldCharType="begin"/>
      </w:r>
      <w:r>
        <w:instrText xml:space="preserve"> HYPERLINK \l _Toc32058 </w:instrText>
      </w:r>
      <w:r>
        <w:fldChar w:fldCharType="separate"/>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lang w:val="en-US" w:eastAsia="zh-CN"/>
        </w:rPr>
        <w:t>五</w:t>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rPr>
        <w:t>行业强监管</w:t>
      </w:r>
      <w:r>
        <w:tab/>
      </w:r>
      <w:r>
        <w:fldChar w:fldCharType="begin"/>
      </w:r>
      <w:r>
        <w:instrText xml:space="preserve"> PAGEREF _Toc32058 \h </w:instrText>
      </w:r>
      <w:r>
        <w:fldChar w:fldCharType="separate"/>
      </w:r>
      <w:r>
        <w:t>220</w:t>
      </w:r>
      <w:r>
        <w:fldChar w:fldCharType="end"/>
      </w:r>
      <w:r>
        <w:fldChar w:fldCharType="end"/>
      </w:r>
    </w:p>
    <w:p>
      <w:pPr>
        <w:pStyle w:val="59"/>
        <w:tabs>
          <w:tab w:val="right" w:leader="dot" w:pos="9071"/>
        </w:tabs>
      </w:pPr>
      <w:r>
        <w:fldChar w:fldCharType="begin"/>
      </w:r>
      <w:r>
        <w:instrText xml:space="preserve"> HYPERLINK \l _Toc6747 </w:instrText>
      </w:r>
      <w:r>
        <w:fldChar w:fldCharType="separate"/>
      </w:r>
      <w:r>
        <w:rPr>
          <w:rFonts w:hint="eastAsia" w:ascii="方正黑体_GBK" w:hAnsi="方正黑体_GBK" w:eastAsia="方正黑体_GBK" w:cs="方正黑体_GBK"/>
          <w:bCs/>
          <w:kern w:val="44"/>
          <w:szCs w:val="32"/>
          <w:lang w:val="en-US" w:eastAsia="zh-CN"/>
        </w:rPr>
        <w:t>九、</w:t>
      </w:r>
      <w:r>
        <w:rPr>
          <w:rFonts w:hint="eastAsia" w:ascii="方正黑体_GBK" w:hAnsi="方正黑体_GBK" w:eastAsia="方正黑体_GBK" w:cs="方正黑体_GBK"/>
          <w:bCs/>
          <w:kern w:val="44"/>
          <w:szCs w:val="32"/>
          <w:lang w:val="zh-CN"/>
        </w:rPr>
        <w:t>环境影响评价</w:t>
      </w:r>
      <w:r>
        <w:tab/>
      </w:r>
      <w:r>
        <w:fldChar w:fldCharType="begin"/>
      </w:r>
      <w:r>
        <w:instrText xml:space="preserve"> PAGEREF _Toc6747 \h </w:instrText>
      </w:r>
      <w:r>
        <w:fldChar w:fldCharType="separate"/>
      </w:r>
      <w:r>
        <w:t>227</w:t>
      </w:r>
      <w:r>
        <w:fldChar w:fldCharType="end"/>
      </w:r>
      <w:r>
        <w:fldChar w:fldCharType="end"/>
      </w:r>
    </w:p>
    <w:p>
      <w:pPr>
        <w:pStyle w:val="74"/>
        <w:tabs>
          <w:tab w:val="right" w:leader="dot" w:pos="9071"/>
        </w:tabs>
      </w:pPr>
      <w:r>
        <w:fldChar w:fldCharType="begin"/>
      </w:r>
      <w:r>
        <w:instrText xml:space="preserve"> HYPERLINK \l _Toc30123 </w:instrText>
      </w:r>
      <w:r>
        <w:fldChar w:fldCharType="separate"/>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lang w:val="en-US" w:eastAsia="zh-CN"/>
        </w:rPr>
        <w:t>一</w:t>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rPr>
        <w:t>评价依据及环境保护目标</w:t>
      </w:r>
      <w:r>
        <w:tab/>
      </w:r>
      <w:r>
        <w:fldChar w:fldCharType="begin"/>
      </w:r>
      <w:r>
        <w:instrText xml:space="preserve"> PAGEREF _Toc30123 \h </w:instrText>
      </w:r>
      <w:r>
        <w:fldChar w:fldCharType="separate"/>
      </w:r>
      <w:r>
        <w:t>227</w:t>
      </w:r>
      <w:r>
        <w:fldChar w:fldCharType="end"/>
      </w:r>
      <w:r>
        <w:fldChar w:fldCharType="end"/>
      </w:r>
    </w:p>
    <w:p>
      <w:pPr>
        <w:pStyle w:val="74"/>
        <w:tabs>
          <w:tab w:val="right" w:leader="dot" w:pos="9071"/>
        </w:tabs>
      </w:pPr>
      <w:r>
        <w:fldChar w:fldCharType="begin"/>
      </w:r>
      <w:r>
        <w:instrText xml:space="preserve"> HYPERLINK \l _Toc1685 </w:instrText>
      </w:r>
      <w:r>
        <w:fldChar w:fldCharType="separate"/>
      </w:r>
      <w:r>
        <w:rPr>
          <w:rFonts w:hint="eastAsia" w:ascii="方正楷体_GBK" w:hAnsi="方正楷体_GBK" w:eastAsia="方正楷体_GBK" w:cs="方正楷体_GBK"/>
          <w:bCs/>
          <w:lang w:val="zh-CN"/>
        </w:rPr>
        <w:t>（</w:t>
      </w:r>
      <w:r>
        <w:rPr>
          <w:rFonts w:hint="eastAsia" w:ascii="方正楷体_GBK" w:hAnsi="方正楷体_GBK" w:eastAsia="方正楷体_GBK" w:cs="方正楷体_GBK"/>
          <w:bCs/>
          <w:lang w:val="en-US" w:eastAsia="zh-CN"/>
        </w:rPr>
        <w:t>二</w:t>
      </w:r>
      <w:r>
        <w:rPr>
          <w:rFonts w:hint="eastAsia" w:ascii="方正楷体_GBK" w:hAnsi="方正楷体_GBK" w:eastAsia="方正楷体_GBK" w:cs="方正楷体_GBK"/>
          <w:bCs/>
          <w:lang w:val="zh-CN"/>
        </w:rPr>
        <w:t>）环境现状调查及分析</w:t>
      </w:r>
      <w:r>
        <w:tab/>
      </w:r>
      <w:r>
        <w:fldChar w:fldCharType="begin"/>
      </w:r>
      <w:r>
        <w:instrText xml:space="preserve"> PAGEREF _Toc1685 \h </w:instrText>
      </w:r>
      <w:r>
        <w:fldChar w:fldCharType="separate"/>
      </w:r>
      <w:r>
        <w:t>237</w:t>
      </w:r>
      <w:r>
        <w:fldChar w:fldCharType="end"/>
      </w:r>
      <w:r>
        <w:fldChar w:fldCharType="end"/>
      </w:r>
    </w:p>
    <w:p>
      <w:pPr>
        <w:pStyle w:val="74"/>
        <w:tabs>
          <w:tab w:val="right" w:leader="dot" w:pos="9071"/>
        </w:tabs>
      </w:pPr>
      <w:r>
        <w:fldChar w:fldCharType="begin"/>
      </w:r>
      <w:r>
        <w:instrText xml:space="preserve"> HYPERLINK \l _Toc31352 </w:instrText>
      </w:r>
      <w:r>
        <w:fldChar w:fldCharType="separate"/>
      </w:r>
      <w:r>
        <w:rPr>
          <w:rFonts w:hint="eastAsia" w:ascii="方正楷体_GBK" w:hAnsi="方正楷体_GBK" w:eastAsia="方正楷体_GBK" w:cs="方正楷体_GBK"/>
          <w:bCs/>
          <w:lang w:val="zh-CN"/>
        </w:rPr>
        <w:t>（</w:t>
      </w:r>
      <w:r>
        <w:rPr>
          <w:rFonts w:hint="eastAsia" w:ascii="方正楷体_GBK" w:hAnsi="方正楷体_GBK" w:eastAsia="方正楷体_GBK" w:cs="方正楷体_GBK"/>
          <w:bCs/>
          <w:lang w:val="en-US" w:eastAsia="zh-CN"/>
        </w:rPr>
        <w:t>四</w:t>
      </w:r>
      <w:r>
        <w:rPr>
          <w:rFonts w:hint="eastAsia" w:ascii="方正楷体_GBK" w:hAnsi="方正楷体_GBK" w:eastAsia="方正楷体_GBK" w:cs="方正楷体_GBK"/>
          <w:bCs/>
          <w:lang w:val="zh-CN"/>
        </w:rPr>
        <w:t>）环境影响分析与评价</w:t>
      </w:r>
      <w:r>
        <w:tab/>
      </w:r>
      <w:r>
        <w:fldChar w:fldCharType="begin"/>
      </w:r>
      <w:r>
        <w:instrText xml:space="preserve"> PAGEREF _Toc31352 \h </w:instrText>
      </w:r>
      <w:r>
        <w:fldChar w:fldCharType="separate"/>
      </w:r>
      <w:r>
        <w:t>256</w:t>
      </w:r>
      <w:r>
        <w:fldChar w:fldCharType="end"/>
      </w:r>
      <w:r>
        <w:fldChar w:fldCharType="end"/>
      </w:r>
    </w:p>
    <w:p>
      <w:pPr>
        <w:pStyle w:val="74"/>
        <w:tabs>
          <w:tab w:val="right" w:leader="dot" w:pos="9071"/>
        </w:tabs>
      </w:pPr>
      <w:r>
        <w:fldChar w:fldCharType="begin"/>
      </w:r>
      <w:r>
        <w:instrText xml:space="preserve"> HYPERLINK \l _Toc15705 </w:instrText>
      </w:r>
      <w:r>
        <w:fldChar w:fldCharType="separate"/>
      </w:r>
      <w:r>
        <w:rPr>
          <w:rFonts w:hint="eastAsia" w:ascii="方正楷体_GBK" w:hAnsi="方正楷体_GBK" w:eastAsia="方正楷体_GBK" w:cs="方正楷体_GBK"/>
          <w:bCs/>
          <w:lang w:val="zh-CN"/>
        </w:rPr>
        <w:t>（</w:t>
      </w:r>
      <w:r>
        <w:rPr>
          <w:rFonts w:hint="eastAsia" w:ascii="方正楷体_GBK" w:hAnsi="方正楷体_GBK" w:eastAsia="方正楷体_GBK" w:cs="方正楷体_GBK"/>
          <w:bCs/>
          <w:lang w:val="en-US" w:eastAsia="zh-CN"/>
        </w:rPr>
        <w:t>五</w:t>
      </w:r>
      <w:r>
        <w:rPr>
          <w:rFonts w:hint="eastAsia" w:ascii="方正楷体_GBK" w:hAnsi="方正楷体_GBK" w:eastAsia="方正楷体_GBK" w:cs="方正楷体_GBK"/>
          <w:bCs/>
          <w:lang w:val="zh-CN"/>
        </w:rPr>
        <w:t>）规划方案综合论证</w:t>
      </w:r>
      <w:r>
        <w:tab/>
      </w:r>
      <w:r>
        <w:fldChar w:fldCharType="begin"/>
      </w:r>
      <w:r>
        <w:instrText xml:space="preserve"> PAGEREF _Toc15705 \h </w:instrText>
      </w:r>
      <w:r>
        <w:fldChar w:fldCharType="separate"/>
      </w:r>
      <w:r>
        <w:t>264</w:t>
      </w:r>
      <w:r>
        <w:fldChar w:fldCharType="end"/>
      </w:r>
      <w:r>
        <w:fldChar w:fldCharType="end"/>
      </w:r>
    </w:p>
    <w:p>
      <w:pPr>
        <w:pStyle w:val="74"/>
        <w:tabs>
          <w:tab w:val="right" w:leader="dot" w:pos="9071"/>
        </w:tabs>
      </w:pPr>
      <w:r>
        <w:fldChar w:fldCharType="begin"/>
      </w:r>
      <w:r>
        <w:instrText xml:space="preserve"> HYPERLINK \l _Toc8649 </w:instrText>
      </w:r>
      <w:r>
        <w:fldChar w:fldCharType="separate"/>
      </w:r>
      <w:r>
        <w:rPr>
          <w:rFonts w:hint="eastAsia" w:ascii="方正楷体_GBK" w:hAnsi="方正楷体_GBK" w:eastAsia="方正楷体_GBK" w:cs="方正楷体_GBK"/>
          <w:bCs/>
          <w:lang w:val="zh-CN"/>
        </w:rPr>
        <w:t>（</w:t>
      </w:r>
      <w:r>
        <w:rPr>
          <w:rFonts w:hint="eastAsia" w:ascii="方正楷体_GBK" w:hAnsi="方正楷体_GBK" w:eastAsia="方正楷体_GBK" w:cs="方正楷体_GBK"/>
          <w:bCs/>
          <w:lang w:val="en-US" w:eastAsia="zh-CN"/>
        </w:rPr>
        <w:t>六</w:t>
      </w:r>
      <w:r>
        <w:rPr>
          <w:rFonts w:hint="eastAsia" w:ascii="方正楷体_GBK" w:hAnsi="方正楷体_GBK" w:eastAsia="方正楷体_GBK" w:cs="方正楷体_GBK"/>
          <w:bCs/>
          <w:lang w:val="zh-CN"/>
        </w:rPr>
        <w:t>）环境保护对策措施</w:t>
      </w:r>
      <w:r>
        <w:tab/>
      </w:r>
      <w:r>
        <w:fldChar w:fldCharType="begin"/>
      </w:r>
      <w:r>
        <w:instrText xml:space="preserve"> PAGEREF _Toc8649 \h </w:instrText>
      </w:r>
      <w:r>
        <w:fldChar w:fldCharType="separate"/>
      </w:r>
      <w:r>
        <w:t>269</w:t>
      </w:r>
      <w:r>
        <w:fldChar w:fldCharType="end"/>
      </w:r>
      <w:r>
        <w:fldChar w:fldCharType="end"/>
      </w:r>
    </w:p>
    <w:p>
      <w:pPr>
        <w:pStyle w:val="74"/>
        <w:tabs>
          <w:tab w:val="right" w:leader="dot" w:pos="9071"/>
        </w:tabs>
      </w:pPr>
      <w:r>
        <w:fldChar w:fldCharType="begin"/>
      </w:r>
      <w:r>
        <w:instrText xml:space="preserve"> HYPERLINK \l _Toc4918 </w:instrText>
      </w:r>
      <w:r>
        <w:fldChar w:fldCharType="separate"/>
      </w:r>
      <w:r>
        <w:rPr>
          <w:rFonts w:hint="eastAsia" w:ascii="方正楷体_GBK" w:hAnsi="方正楷体_GBK" w:eastAsia="方正楷体_GBK" w:cs="方正楷体_GBK"/>
          <w:bCs/>
          <w:lang w:val="zh-CN"/>
        </w:rPr>
        <w:t>（</w:t>
      </w:r>
      <w:r>
        <w:rPr>
          <w:rFonts w:hint="eastAsia" w:ascii="方正楷体_GBK" w:hAnsi="方正楷体_GBK" w:eastAsia="方正楷体_GBK" w:cs="方正楷体_GBK"/>
          <w:bCs/>
          <w:lang w:val="en-US" w:eastAsia="zh-CN"/>
        </w:rPr>
        <w:t>七</w:t>
      </w:r>
      <w:r>
        <w:rPr>
          <w:rFonts w:hint="eastAsia" w:ascii="方正楷体_GBK" w:hAnsi="方正楷体_GBK" w:eastAsia="方正楷体_GBK" w:cs="方正楷体_GBK"/>
          <w:bCs/>
          <w:lang w:val="zh-CN"/>
        </w:rPr>
        <w:t>）环境监测与跟踪评价计划</w:t>
      </w:r>
      <w:r>
        <w:tab/>
      </w:r>
      <w:r>
        <w:fldChar w:fldCharType="begin"/>
      </w:r>
      <w:r>
        <w:instrText xml:space="preserve"> PAGEREF _Toc4918 \h </w:instrText>
      </w:r>
      <w:r>
        <w:fldChar w:fldCharType="separate"/>
      </w:r>
      <w:r>
        <w:t>274</w:t>
      </w:r>
      <w:r>
        <w:fldChar w:fldCharType="end"/>
      </w:r>
      <w:r>
        <w:fldChar w:fldCharType="end"/>
      </w:r>
    </w:p>
    <w:p>
      <w:pPr>
        <w:pStyle w:val="74"/>
        <w:tabs>
          <w:tab w:val="right" w:leader="dot" w:pos="9071"/>
        </w:tabs>
      </w:pPr>
      <w:r>
        <w:fldChar w:fldCharType="begin"/>
      </w:r>
      <w:r>
        <w:instrText xml:space="preserve"> HYPERLINK \l _Toc12516 </w:instrText>
      </w:r>
      <w:r>
        <w:fldChar w:fldCharType="separate"/>
      </w:r>
      <w:r>
        <w:rPr>
          <w:rFonts w:hint="eastAsia" w:ascii="方正楷体_GBK" w:hAnsi="方正楷体_GBK" w:eastAsia="方正楷体_GBK" w:cs="方正楷体_GBK"/>
          <w:bCs/>
          <w:lang w:val="zh-CN"/>
        </w:rPr>
        <w:t>（</w:t>
      </w:r>
      <w:r>
        <w:rPr>
          <w:rFonts w:hint="eastAsia" w:ascii="方正楷体_GBK" w:hAnsi="方正楷体_GBK" w:eastAsia="方正楷体_GBK" w:cs="方正楷体_GBK"/>
          <w:bCs/>
          <w:lang w:val="en-US" w:eastAsia="zh-CN"/>
        </w:rPr>
        <w:t>八</w:t>
      </w:r>
      <w:r>
        <w:rPr>
          <w:rFonts w:hint="eastAsia" w:ascii="方正楷体_GBK" w:hAnsi="方正楷体_GBK" w:eastAsia="方正楷体_GBK" w:cs="方正楷体_GBK"/>
          <w:bCs/>
          <w:lang w:val="zh-CN"/>
        </w:rPr>
        <w:t>）评价结论及建议</w:t>
      </w:r>
      <w:r>
        <w:tab/>
      </w:r>
      <w:r>
        <w:fldChar w:fldCharType="begin"/>
      </w:r>
      <w:r>
        <w:instrText xml:space="preserve"> PAGEREF _Toc12516 \h </w:instrText>
      </w:r>
      <w:r>
        <w:fldChar w:fldCharType="separate"/>
      </w:r>
      <w:r>
        <w:t>278</w:t>
      </w:r>
      <w:r>
        <w:fldChar w:fldCharType="end"/>
      </w:r>
      <w:r>
        <w:fldChar w:fldCharType="end"/>
      </w:r>
    </w:p>
    <w:p>
      <w:pPr>
        <w:pStyle w:val="59"/>
        <w:tabs>
          <w:tab w:val="right" w:leader="dot" w:pos="9071"/>
        </w:tabs>
      </w:pPr>
      <w:r>
        <w:fldChar w:fldCharType="begin"/>
      </w:r>
      <w:r>
        <w:instrText xml:space="preserve"> HYPERLINK \l _Toc22374 </w:instrText>
      </w:r>
      <w:r>
        <w:fldChar w:fldCharType="separate"/>
      </w:r>
      <w:r>
        <w:rPr>
          <w:rFonts w:hint="eastAsia" w:ascii="方正黑体_GBK" w:hAnsi="方正黑体_GBK" w:eastAsia="方正黑体_GBK" w:cs="方正黑体_GBK"/>
          <w:szCs w:val="32"/>
          <w:lang w:val="en-US" w:eastAsia="zh-CN"/>
        </w:rPr>
        <w:t>十、</w:t>
      </w:r>
      <w:r>
        <w:rPr>
          <w:rFonts w:hint="eastAsia" w:ascii="方正黑体_GBK" w:hAnsi="方正黑体_GBK" w:eastAsia="方正黑体_GBK" w:cs="方正黑体_GBK"/>
          <w:szCs w:val="32"/>
        </w:rPr>
        <w:t>效益分析</w:t>
      </w:r>
      <w:r>
        <w:tab/>
      </w:r>
      <w:r>
        <w:fldChar w:fldCharType="begin"/>
      </w:r>
      <w:r>
        <w:instrText xml:space="preserve"> PAGEREF _Toc22374 \h </w:instrText>
      </w:r>
      <w:r>
        <w:fldChar w:fldCharType="separate"/>
      </w:r>
      <w:r>
        <w:t>279</w:t>
      </w:r>
      <w:r>
        <w:fldChar w:fldCharType="end"/>
      </w:r>
      <w:r>
        <w:fldChar w:fldCharType="end"/>
      </w:r>
    </w:p>
    <w:p>
      <w:pPr>
        <w:pStyle w:val="74"/>
        <w:tabs>
          <w:tab w:val="right" w:leader="dot" w:pos="9071"/>
        </w:tabs>
      </w:pPr>
      <w:r>
        <w:fldChar w:fldCharType="begin"/>
      </w:r>
      <w:r>
        <w:instrText xml:space="preserve"> HYPERLINK \l _Toc9453 </w:instrText>
      </w:r>
      <w:r>
        <w:fldChar w:fldCharType="separate"/>
      </w:r>
      <w:r>
        <w:rPr>
          <w:rFonts w:hint="eastAsia" w:ascii="方正楷体_GBK" w:hAnsi="方正楷体_GBK" w:eastAsia="方正楷体_GBK" w:cs="方正楷体_GBK"/>
          <w:bCs/>
          <w:lang w:val="zh-CN"/>
        </w:rPr>
        <w:t>（</w:t>
      </w:r>
      <w:r>
        <w:rPr>
          <w:rFonts w:hint="eastAsia" w:ascii="方正楷体_GBK" w:hAnsi="方正楷体_GBK" w:eastAsia="方正楷体_GBK" w:cs="方正楷体_GBK"/>
          <w:bCs/>
          <w:lang w:val="en-US" w:eastAsia="zh-CN"/>
        </w:rPr>
        <w:t>一</w:t>
      </w:r>
      <w:r>
        <w:rPr>
          <w:rFonts w:hint="eastAsia" w:ascii="方正楷体_GBK" w:hAnsi="方正楷体_GBK" w:eastAsia="方正楷体_GBK" w:cs="方正楷体_GBK"/>
          <w:bCs/>
          <w:lang w:val="zh-CN"/>
        </w:rPr>
        <w:t>）防洪减灾经济效益</w:t>
      </w:r>
      <w:r>
        <w:tab/>
      </w:r>
      <w:r>
        <w:fldChar w:fldCharType="begin"/>
      </w:r>
      <w:r>
        <w:instrText xml:space="preserve"> PAGEREF _Toc9453 \h </w:instrText>
      </w:r>
      <w:r>
        <w:fldChar w:fldCharType="separate"/>
      </w:r>
      <w:r>
        <w:t>279</w:t>
      </w:r>
      <w:r>
        <w:fldChar w:fldCharType="end"/>
      </w:r>
      <w:r>
        <w:fldChar w:fldCharType="end"/>
      </w:r>
    </w:p>
    <w:p>
      <w:pPr>
        <w:pStyle w:val="74"/>
        <w:tabs>
          <w:tab w:val="right" w:leader="dot" w:pos="9071"/>
        </w:tabs>
      </w:pPr>
      <w:r>
        <w:fldChar w:fldCharType="begin"/>
      </w:r>
      <w:r>
        <w:instrText xml:space="preserve"> HYPERLINK \l _Toc31269 </w:instrText>
      </w:r>
      <w:r>
        <w:fldChar w:fldCharType="separate"/>
      </w:r>
      <w:r>
        <w:rPr>
          <w:rFonts w:hint="eastAsia" w:ascii="方正楷体_GBK" w:hAnsi="方正楷体_GBK" w:eastAsia="方正楷体_GBK" w:cs="方正楷体_GBK"/>
          <w:bCs/>
          <w:lang w:val="zh-CN"/>
        </w:rPr>
        <w:t>（</w:t>
      </w:r>
      <w:r>
        <w:rPr>
          <w:rFonts w:hint="eastAsia" w:ascii="方正楷体_GBK" w:hAnsi="方正楷体_GBK" w:eastAsia="方正楷体_GBK" w:cs="方正楷体_GBK"/>
          <w:bCs/>
          <w:lang w:val="en-US" w:eastAsia="zh-CN"/>
        </w:rPr>
        <w:t>二</w:t>
      </w:r>
      <w:r>
        <w:rPr>
          <w:rFonts w:hint="eastAsia" w:ascii="方正楷体_GBK" w:hAnsi="方正楷体_GBK" w:eastAsia="方正楷体_GBK" w:cs="方正楷体_GBK"/>
          <w:bCs/>
          <w:lang w:val="zh-CN"/>
        </w:rPr>
        <w:t>）防洪减灾社会效益</w:t>
      </w:r>
      <w:r>
        <w:tab/>
      </w:r>
      <w:r>
        <w:fldChar w:fldCharType="begin"/>
      </w:r>
      <w:r>
        <w:instrText xml:space="preserve"> PAGEREF _Toc31269 \h </w:instrText>
      </w:r>
      <w:r>
        <w:fldChar w:fldCharType="separate"/>
      </w:r>
      <w:r>
        <w:t>280</w:t>
      </w:r>
      <w:r>
        <w:fldChar w:fldCharType="end"/>
      </w:r>
      <w:r>
        <w:fldChar w:fldCharType="end"/>
      </w:r>
    </w:p>
    <w:p>
      <w:pPr>
        <w:pStyle w:val="74"/>
        <w:tabs>
          <w:tab w:val="right" w:leader="dot" w:pos="9071"/>
        </w:tabs>
      </w:pPr>
      <w:r>
        <w:fldChar w:fldCharType="begin"/>
      </w:r>
      <w:r>
        <w:instrText xml:space="preserve"> HYPERLINK \l _Toc32324 </w:instrText>
      </w:r>
      <w:r>
        <w:fldChar w:fldCharType="separate"/>
      </w:r>
      <w:r>
        <w:rPr>
          <w:rFonts w:hint="eastAsia" w:ascii="方正楷体_GBK" w:hAnsi="方正楷体_GBK" w:eastAsia="方正楷体_GBK" w:cs="方正楷体_GBK"/>
          <w:bCs/>
          <w:lang w:val="zh-CN"/>
        </w:rPr>
        <w:t>（</w:t>
      </w:r>
      <w:r>
        <w:rPr>
          <w:rFonts w:hint="eastAsia" w:ascii="方正楷体_GBK" w:hAnsi="方正楷体_GBK" w:eastAsia="方正楷体_GBK" w:cs="方正楷体_GBK"/>
          <w:bCs/>
          <w:lang w:val="en-US" w:eastAsia="zh-CN"/>
        </w:rPr>
        <w:t>三</w:t>
      </w:r>
      <w:r>
        <w:rPr>
          <w:rFonts w:hint="eastAsia" w:ascii="方正楷体_GBK" w:hAnsi="方正楷体_GBK" w:eastAsia="方正楷体_GBK" w:cs="方正楷体_GBK"/>
          <w:bCs/>
          <w:lang w:val="zh-CN"/>
        </w:rPr>
        <w:t>）防洪减灾生态环境效益</w:t>
      </w:r>
      <w:r>
        <w:tab/>
      </w:r>
      <w:r>
        <w:fldChar w:fldCharType="begin"/>
      </w:r>
      <w:r>
        <w:instrText xml:space="preserve"> PAGEREF _Toc32324 \h </w:instrText>
      </w:r>
      <w:r>
        <w:fldChar w:fldCharType="separate"/>
      </w:r>
      <w:r>
        <w:t>280</w:t>
      </w:r>
      <w:r>
        <w:fldChar w:fldCharType="end"/>
      </w:r>
      <w:r>
        <w:fldChar w:fldCharType="end"/>
      </w:r>
    </w:p>
    <w:p>
      <w:pPr>
        <w:pStyle w:val="59"/>
        <w:tabs>
          <w:tab w:val="right" w:leader="dot" w:pos="9071"/>
        </w:tabs>
      </w:pPr>
      <w:r>
        <w:fldChar w:fldCharType="begin"/>
      </w:r>
      <w:r>
        <w:instrText xml:space="preserve"> HYPERLINK \l _Toc28418 </w:instrText>
      </w:r>
      <w:r>
        <w:fldChar w:fldCharType="separate"/>
      </w:r>
      <w:r>
        <w:rPr>
          <w:rFonts w:hint="eastAsia" w:ascii="方正黑体_GBK" w:hAnsi="方正黑体_GBK" w:eastAsia="方正黑体_GBK" w:cs="方正黑体_GBK"/>
          <w:szCs w:val="32"/>
          <w:lang w:val="en-US" w:eastAsia="zh-CN"/>
        </w:rPr>
        <w:t>十一、工程</w:t>
      </w:r>
      <w:r>
        <w:rPr>
          <w:rFonts w:hint="eastAsia" w:ascii="方正黑体_GBK" w:hAnsi="方正黑体_GBK" w:eastAsia="方正黑体_GBK" w:cs="方正黑体_GBK"/>
          <w:szCs w:val="32"/>
        </w:rPr>
        <w:t>实施安排</w:t>
      </w:r>
      <w:r>
        <w:tab/>
      </w:r>
      <w:r>
        <w:fldChar w:fldCharType="begin"/>
      </w:r>
      <w:r>
        <w:instrText xml:space="preserve"> PAGEREF _Toc28418 \h </w:instrText>
      </w:r>
      <w:r>
        <w:fldChar w:fldCharType="separate"/>
      </w:r>
      <w:r>
        <w:t>280</w:t>
      </w:r>
      <w:r>
        <w:fldChar w:fldCharType="end"/>
      </w:r>
      <w:r>
        <w:fldChar w:fldCharType="end"/>
      </w:r>
    </w:p>
    <w:p>
      <w:pPr>
        <w:pStyle w:val="59"/>
        <w:tabs>
          <w:tab w:val="right" w:leader="dot" w:pos="9071"/>
        </w:tabs>
        <w:ind w:firstLine="280" w:firstLineChars="100"/>
      </w:pPr>
      <w:r>
        <w:fldChar w:fldCharType="begin"/>
      </w:r>
      <w:r>
        <w:instrText xml:space="preserve"> HYPERLINK \l _Toc19499 </w:instrText>
      </w:r>
      <w:r>
        <w:fldChar w:fldCharType="separate"/>
      </w:r>
      <w:r>
        <w:rPr>
          <w:rFonts w:hint="eastAsia" w:ascii="方正楷体_GBK" w:hAnsi="方正楷体_GBK" w:eastAsia="方正楷体_GBK" w:cs="方正楷体_GBK"/>
          <w:szCs w:val="32"/>
          <w:lang w:val="en-US" w:eastAsia="zh-CN"/>
        </w:rPr>
        <w:t>（一）工程项目安排</w:t>
      </w:r>
      <w:r>
        <w:tab/>
      </w:r>
      <w:r>
        <w:fldChar w:fldCharType="begin"/>
      </w:r>
      <w:r>
        <w:instrText xml:space="preserve"> PAGEREF _Toc19499 \h </w:instrText>
      </w:r>
      <w:r>
        <w:fldChar w:fldCharType="separate"/>
      </w:r>
      <w:r>
        <w:t>280</w:t>
      </w:r>
      <w:r>
        <w:fldChar w:fldCharType="end"/>
      </w:r>
      <w:r>
        <w:fldChar w:fldCharType="end"/>
      </w:r>
    </w:p>
    <w:p>
      <w:pPr>
        <w:pStyle w:val="59"/>
        <w:tabs>
          <w:tab w:val="right" w:leader="dot" w:pos="9071"/>
        </w:tabs>
        <w:ind w:firstLine="280" w:firstLineChars="100"/>
      </w:pPr>
      <w:r>
        <w:fldChar w:fldCharType="begin"/>
      </w:r>
      <w:r>
        <w:instrText xml:space="preserve"> HYPERLINK \l _Toc29304 </w:instrText>
      </w:r>
      <w:r>
        <w:fldChar w:fldCharType="separate"/>
      </w:r>
      <w:r>
        <w:rPr>
          <w:rFonts w:hint="eastAsia" w:ascii="方正楷体_GBK" w:hAnsi="方正楷体_GBK" w:eastAsia="方正楷体_GBK" w:cs="方正楷体_GBK"/>
          <w:szCs w:val="32"/>
          <w:lang w:val="en-US" w:eastAsia="zh-CN"/>
        </w:rPr>
        <w:t>（二）工程实施意见</w:t>
      </w:r>
      <w:r>
        <w:tab/>
      </w:r>
      <w:r>
        <w:fldChar w:fldCharType="begin"/>
      </w:r>
      <w:r>
        <w:instrText xml:space="preserve"> PAGEREF _Toc29304 \h </w:instrText>
      </w:r>
      <w:r>
        <w:fldChar w:fldCharType="separate"/>
      </w:r>
      <w:r>
        <w:t>281</w:t>
      </w:r>
      <w:r>
        <w:fldChar w:fldCharType="end"/>
      </w:r>
      <w:r>
        <w:fldChar w:fldCharType="end"/>
      </w:r>
    </w:p>
    <w:p>
      <w:pPr>
        <w:pStyle w:val="59"/>
        <w:tabs>
          <w:tab w:val="right" w:leader="dot" w:pos="9071"/>
        </w:tabs>
      </w:pPr>
      <w:r>
        <w:fldChar w:fldCharType="begin"/>
      </w:r>
      <w:r>
        <w:instrText xml:space="preserve"> HYPERLINK \l _Toc8805 </w:instrText>
      </w:r>
      <w:r>
        <w:fldChar w:fldCharType="separate"/>
      </w:r>
      <w:r>
        <w:rPr>
          <w:rFonts w:hint="eastAsia" w:ascii="方正黑体_GBK" w:hAnsi="方正黑体_GBK" w:eastAsia="方正黑体_GBK" w:cs="方正黑体_GBK"/>
          <w:lang w:val="en-US" w:eastAsia="zh-CN"/>
        </w:rPr>
        <w:t>十二、</w:t>
      </w:r>
      <w:r>
        <w:rPr>
          <w:rFonts w:hint="eastAsia" w:ascii="方正黑体_GBK" w:hAnsi="方正黑体_GBK" w:eastAsia="方正黑体_GBK" w:cs="方正黑体_GBK"/>
        </w:rPr>
        <w:t>结论与建议</w:t>
      </w:r>
      <w:r>
        <w:tab/>
      </w:r>
      <w:r>
        <w:fldChar w:fldCharType="begin"/>
      </w:r>
      <w:r>
        <w:instrText xml:space="preserve"> PAGEREF _Toc8805 \h </w:instrText>
      </w:r>
      <w:r>
        <w:fldChar w:fldCharType="separate"/>
      </w:r>
      <w:r>
        <w:t>284</w:t>
      </w:r>
      <w:r>
        <w:fldChar w:fldCharType="end"/>
      </w:r>
      <w:r>
        <w:fldChar w:fldCharType="end"/>
      </w:r>
    </w:p>
    <w:p>
      <w:pPr>
        <w:pStyle w:val="74"/>
        <w:tabs>
          <w:tab w:val="right" w:leader="dot" w:pos="9071"/>
        </w:tabs>
      </w:pPr>
      <w:r>
        <w:fldChar w:fldCharType="begin"/>
      </w:r>
      <w:r>
        <w:instrText xml:space="preserve"> HYPERLINK \l _Toc21906 </w:instrText>
      </w:r>
      <w:r>
        <w:fldChar w:fldCharType="separate"/>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lang w:val="en-US" w:eastAsia="zh-CN"/>
        </w:rPr>
        <w:t>一</w:t>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rPr>
        <w:t>结论</w:t>
      </w:r>
      <w:r>
        <w:tab/>
      </w:r>
      <w:r>
        <w:fldChar w:fldCharType="begin"/>
      </w:r>
      <w:r>
        <w:instrText xml:space="preserve"> PAGEREF _Toc21906 \h </w:instrText>
      </w:r>
      <w:r>
        <w:fldChar w:fldCharType="separate"/>
      </w:r>
      <w:r>
        <w:t>284</w:t>
      </w:r>
      <w:r>
        <w:fldChar w:fldCharType="end"/>
      </w:r>
      <w:r>
        <w:fldChar w:fldCharType="end"/>
      </w:r>
    </w:p>
    <w:p>
      <w:pPr>
        <w:pStyle w:val="74"/>
        <w:tabs>
          <w:tab w:val="right" w:leader="dot" w:pos="9071"/>
        </w:tabs>
      </w:pPr>
      <w:r>
        <w:fldChar w:fldCharType="begin"/>
      </w:r>
      <w:r>
        <w:instrText xml:space="preserve"> HYPERLINK \l _Toc12512 </w:instrText>
      </w:r>
      <w:r>
        <w:fldChar w:fldCharType="separate"/>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lang w:val="en-US" w:eastAsia="zh-CN"/>
        </w:rPr>
        <w:t>二</w:t>
      </w:r>
      <w:r>
        <w:rPr>
          <w:rFonts w:hint="eastAsia" w:ascii="方正楷体_GBK" w:hAnsi="方正楷体_GBK" w:eastAsia="方正楷体_GBK" w:cs="方正楷体_GBK"/>
          <w:lang w:eastAsia="zh-CN"/>
        </w:rPr>
        <w:t>）建议</w:t>
      </w:r>
      <w:r>
        <w:tab/>
      </w:r>
      <w:r>
        <w:fldChar w:fldCharType="begin"/>
      </w:r>
      <w:r>
        <w:instrText xml:space="preserve"> PAGEREF _Toc12512 \h </w:instrText>
      </w:r>
      <w:r>
        <w:fldChar w:fldCharType="separate"/>
      </w:r>
      <w:r>
        <w:t>285</w:t>
      </w:r>
      <w:r>
        <w:fldChar w:fldCharType="end"/>
      </w:r>
      <w:r>
        <w:fldChar w:fldCharType="end"/>
      </w:r>
    </w:p>
    <w:p>
      <w:pPr>
        <w:pStyle w:val="59"/>
        <w:tabs>
          <w:tab w:val="right" w:leader="dot" w:pos="9071"/>
        </w:tabs>
        <w:rPr>
          <w:rFonts w:hint="default" w:eastAsia="黑体"/>
          <w:lang w:val="en-US" w:eastAsia="zh-CN"/>
        </w:rPr>
      </w:pPr>
      <w:r>
        <w:fldChar w:fldCharType="begin"/>
      </w:r>
      <w:r>
        <w:instrText xml:space="preserve"> HYPERLINK \l _Toc18278 </w:instrText>
      </w:r>
      <w:r>
        <w:fldChar w:fldCharType="separate"/>
      </w:r>
      <w:r>
        <w:rPr>
          <w:rFonts w:hint="eastAsia" w:ascii="方正小标宋_GBK" w:eastAsia="方正小标宋_GBK"/>
          <w:w w:val="80"/>
          <w:szCs w:val="100"/>
        </w:rPr>
        <w:t>附   图</w:t>
      </w:r>
      <w:r>
        <w:tab/>
      </w:r>
      <w:r>
        <w:fldChar w:fldCharType="end"/>
      </w:r>
      <w:r>
        <w:rPr>
          <w:rFonts w:hint="eastAsia"/>
          <w:lang w:val="en-US" w:eastAsia="zh-CN"/>
        </w:rPr>
        <w:t>289</w:t>
      </w:r>
    </w:p>
    <w:p>
      <w:pPr>
        <w:pStyle w:val="74"/>
        <w:keepNext w:val="0"/>
        <w:keepLines w:val="0"/>
        <w:pageBreakBefore w:val="0"/>
        <w:widowControl w:val="0"/>
        <w:tabs>
          <w:tab w:val="right" w:leader="dot" w:pos="9071"/>
        </w:tabs>
        <w:kinsoku/>
        <w:wordWrap/>
        <w:overflowPunct/>
        <w:topLinePunct w:val="0"/>
        <w:autoSpaceDE/>
        <w:autoSpaceDN/>
        <w:bidi w:val="0"/>
        <w:adjustRightInd/>
        <w:snapToGrid/>
        <w:ind w:firstLine="560" w:firstLineChars="200"/>
        <w:textAlignment w:val="auto"/>
        <w:rPr>
          <w:rFonts w:hint="default" w:ascii="Times New Roman" w:hAnsi="Times New Roman" w:eastAsia="方正楷体_GBK" w:cs="Times New Roman"/>
        </w:rPr>
      </w:pPr>
      <w:r>
        <w:fldChar w:fldCharType="end"/>
      </w:r>
      <w:r>
        <w:rPr>
          <w:rFonts w:hint="default" w:ascii="Times New Roman" w:hAnsi="Times New Roman" w:eastAsia="方正楷体_GBK" w:cs="Times New Roman"/>
        </w:rPr>
        <w:t>附图1  綦江流域水文站网分布示意图</w:t>
      </w:r>
    </w:p>
    <w:p>
      <w:pPr>
        <w:pStyle w:val="74"/>
        <w:keepNext w:val="0"/>
        <w:keepLines w:val="0"/>
        <w:pageBreakBefore w:val="0"/>
        <w:widowControl w:val="0"/>
        <w:tabs>
          <w:tab w:val="right" w:leader="dot" w:pos="9071"/>
        </w:tabs>
        <w:kinsoku/>
        <w:wordWrap/>
        <w:overflowPunct/>
        <w:topLinePunct w:val="0"/>
        <w:autoSpaceDE/>
        <w:autoSpaceDN/>
        <w:bidi w:val="0"/>
        <w:adjustRightInd/>
        <w:snapToGrid/>
        <w:ind w:firstLine="560" w:firstLineChars="200"/>
        <w:textAlignment w:val="auto"/>
        <w:rPr>
          <w:rFonts w:hint="default" w:ascii="Times New Roman" w:hAnsi="Times New Roman" w:eastAsia="方正楷体_GBK" w:cs="Times New Roman"/>
        </w:rPr>
      </w:pPr>
      <w:r>
        <w:rPr>
          <w:rFonts w:hint="default" w:ascii="Times New Roman" w:hAnsi="Times New Roman" w:eastAsia="方正楷体_GBK" w:cs="Times New Roman"/>
        </w:rPr>
        <w:t>附图2  綦江主城区50年一遇洪水淹没范围及避洪转移路线图</w:t>
      </w:r>
    </w:p>
    <w:p>
      <w:pPr>
        <w:pStyle w:val="74"/>
        <w:keepNext w:val="0"/>
        <w:keepLines w:val="0"/>
        <w:pageBreakBefore w:val="0"/>
        <w:widowControl w:val="0"/>
        <w:tabs>
          <w:tab w:val="right" w:leader="dot" w:pos="9071"/>
        </w:tabs>
        <w:kinsoku/>
        <w:wordWrap/>
        <w:overflowPunct/>
        <w:topLinePunct w:val="0"/>
        <w:autoSpaceDE/>
        <w:autoSpaceDN/>
        <w:bidi w:val="0"/>
        <w:adjustRightInd/>
        <w:snapToGrid/>
        <w:ind w:firstLine="560" w:firstLineChars="200"/>
        <w:textAlignment w:val="auto"/>
        <w:rPr>
          <w:rFonts w:hint="default" w:ascii="Times New Roman" w:hAnsi="Times New Roman" w:eastAsia="方正楷体_GBK" w:cs="Times New Roman"/>
        </w:rPr>
      </w:pPr>
      <w:r>
        <w:rPr>
          <w:rFonts w:hint="default" w:ascii="Times New Roman" w:hAnsi="Times New Roman" w:eastAsia="方正楷体_GBK" w:cs="Times New Roman"/>
        </w:rPr>
        <w:t>附图3  三江街道50年一遇洪水淹没范围及避洪转移路线图</w:t>
      </w:r>
    </w:p>
    <w:p>
      <w:pPr>
        <w:pStyle w:val="74"/>
        <w:keepNext w:val="0"/>
        <w:keepLines w:val="0"/>
        <w:pageBreakBefore w:val="0"/>
        <w:widowControl w:val="0"/>
        <w:tabs>
          <w:tab w:val="right" w:leader="dot" w:pos="9071"/>
        </w:tabs>
        <w:kinsoku/>
        <w:wordWrap/>
        <w:overflowPunct/>
        <w:topLinePunct w:val="0"/>
        <w:autoSpaceDE/>
        <w:autoSpaceDN/>
        <w:bidi w:val="0"/>
        <w:adjustRightInd/>
        <w:snapToGrid/>
        <w:ind w:firstLine="560" w:firstLineChars="200"/>
        <w:textAlignment w:val="auto"/>
        <w:rPr>
          <w:rFonts w:hint="default" w:ascii="Times New Roman" w:hAnsi="Times New Roman" w:eastAsia="方正楷体_GBK" w:cs="Times New Roman"/>
        </w:rPr>
      </w:pPr>
      <w:r>
        <w:rPr>
          <w:rFonts w:hint="default" w:ascii="Times New Roman" w:hAnsi="Times New Roman" w:eastAsia="方正楷体_GBK" w:cs="Times New Roman"/>
        </w:rPr>
        <w:t>附图4  桥河场镇50年一遇洪水淹没范围及避洪转移路线图</w:t>
      </w:r>
    </w:p>
    <w:p>
      <w:pPr>
        <w:pStyle w:val="74"/>
        <w:keepNext w:val="0"/>
        <w:keepLines w:val="0"/>
        <w:pageBreakBefore w:val="0"/>
        <w:widowControl w:val="0"/>
        <w:tabs>
          <w:tab w:val="right" w:leader="dot" w:pos="9071"/>
        </w:tabs>
        <w:kinsoku/>
        <w:wordWrap/>
        <w:overflowPunct/>
        <w:topLinePunct w:val="0"/>
        <w:autoSpaceDE/>
        <w:autoSpaceDN/>
        <w:bidi w:val="0"/>
        <w:adjustRightInd/>
        <w:snapToGrid/>
        <w:ind w:firstLine="560" w:firstLineChars="200"/>
        <w:textAlignment w:val="auto"/>
        <w:rPr>
          <w:rFonts w:hint="default" w:ascii="Times New Roman" w:hAnsi="Times New Roman" w:eastAsia="方正楷体_GBK" w:cs="Times New Roman"/>
        </w:rPr>
      </w:pPr>
      <w:r>
        <w:rPr>
          <w:rFonts w:hint="default" w:ascii="Times New Roman" w:hAnsi="Times New Roman" w:eastAsia="方正楷体_GBK" w:cs="Times New Roman"/>
        </w:rPr>
        <w:t>附图5  登瀛场镇50年一遇洪水淹没范围及避洪转移路线图</w:t>
      </w:r>
    </w:p>
    <w:p>
      <w:pPr>
        <w:pStyle w:val="74"/>
        <w:keepNext w:val="0"/>
        <w:keepLines w:val="0"/>
        <w:pageBreakBefore w:val="0"/>
        <w:widowControl w:val="0"/>
        <w:tabs>
          <w:tab w:val="right" w:leader="dot" w:pos="9071"/>
        </w:tabs>
        <w:kinsoku/>
        <w:wordWrap/>
        <w:overflowPunct/>
        <w:topLinePunct w:val="0"/>
        <w:autoSpaceDE/>
        <w:autoSpaceDN/>
        <w:bidi w:val="0"/>
        <w:adjustRightInd/>
        <w:snapToGrid/>
        <w:ind w:firstLine="560" w:firstLineChars="200"/>
        <w:textAlignment w:val="auto"/>
        <w:rPr>
          <w:rFonts w:hint="default" w:ascii="Times New Roman" w:hAnsi="Times New Roman" w:eastAsia="方正楷体_GBK" w:cs="Times New Roman"/>
        </w:rPr>
      </w:pPr>
      <w:r>
        <w:rPr>
          <w:rFonts w:hint="default" w:ascii="Times New Roman" w:hAnsi="Times New Roman" w:eastAsia="方正楷体_GBK" w:cs="Times New Roman"/>
        </w:rPr>
        <w:t>附图6  綦江主城区左右岸堤防（高地）欠高分布图</w:t>
      </w:r>
    </w:p>
    <w:p>
      <w:pPr>
        <w:pStyle w:val="74"/>
        <w:keepNext w:val="0"/>
        <w:keepLines w:val="0"/>
        <w:pageBreakBefore w:val="0"/>
        <w:widowControl w:val="0"/>
        <w:tabs>
          <w:tab w:val="right" w:leader="dot" w:pos="9071"/>
        </w:tabs>
        <w:kinsoku/>
        <w:wordWrap/>
        <w:overflowPunct/>
        <w:topLinePunct w:val="0"/>
        <w:autoSpaceDE/>
        <w:autoSpaceDN/>
        <w:bidi w:val="0"/>
        <w:adjustRightInd/>
        <w:snapToGrid/>
        <w:ind w:firstLine="560" w:firstLineChars="200"/>
        <w:textAlignment w:val="auto"/>
        <w:rPr>
          <w:rFonts w:hint="default" w:ascii="Times New Roman" w:hAnsi="Times New Roman" w:eastAsia="方正楷体_GBK" w:cs="Times New Roman"/>
        </w:rPr>
      </w:pPr>
      <w:r>
        <w:rPr>
          <w:rFonts w:hint="default" w:ascii="Times New Roman" w:hAnsi="Times New Roman" w:eastAsia="方正楷体_GBK" w:cs="Times New Roman"/>
        </w:rPr>
        <w:t>附图7  河</w:t>
      </w:r>
      <w:r>
        <w:rPr>
          <w:rFonts w:hint="default" w:ascii="Times New Roman" w:hAnsi="Times New Roman" w:eastAsia="方正楷体_GBK" w:cs="Times New Roman"/>
          <w:spacing w:val="-17"/>
          <w:sz w:val="28"/>
        </w:rPr>
        <w:t>道疏浚+大常枢纽改造前后綦江主城区防洪能力分段描述</w:t>
      </w:r>
      <w:r>
        <w:rPr>
          <w:rFonts w:hint="default" w:ascii="Times New Roman" w:hAnsi="Times New Roman" w:eastAsia="方正楷体_GBK" w:cs="Times New Roman"/>
        </w:rPr>
        <w:t>示意图</w:t>
      </w:r>
    </w:p>
    <w:p>
      <w:pPr>
        <w:pStyle w:val="74"/>
        <w:keepNext w:val="0"/>
        <w:keepLines w:val="0"/>
        <w:pageBreakBefore w:val="0"/>
        <w:widowControl w:val="0"/>
        <w:tabs>
          <w:tab w:val="right" w:leader="dot" w:pos="9071"/>
        </w:tabs>
        <w:kinsoku/>
        <w:wordWrap/>
        <w:overflowPunct/>
        <w:topLinePunct w:val="0"/>
        <w:autoSpaceDE/>
        <w:autoSpaceDN/>
        <w:bidi w:val="0"/>
        <w:adjustRightInd/>
        <w:snapToGrid/>
        <w:ind w:firstLine="560" w:firstLineChars="200"/>
        <w:textAlignment w:val="auto"/>
        <w:rPr>
          <w:rFonts w:hint="default" w:ascii="Times New Roman" w:hAnsi="Times New Roman" w:eastAsia="方正楷体_GBK" w:cs="Times New Roman"/>
          <w:spacing w:val="-17"/>
          <w:sz w:val="28"/>
        </w:rPr>
      </w:pPr>
      <w:r>
        <w:rPr>
          <w:rFonts w:hint="default" w:ascii="Times New Roman" w:hAnsi="Times New Roman" w:eastAsia="方正楷体_GBK" w:cs="Times New Roman"/>
        </w:rPr>
        <w:t>附图8  河</w:t>
      </w:r>
      <w:r>
        <w:rPr>
          <w:rFonts w:hint="default" w:ascii="Times New Roman" w:hAnsi="Times New Roman" w:eastAsia="方正楷体_GBK" w:cs="Times New Roman"/>
          <w:spacing w:val="-17"/>
          <w:sz w:val="28"/>
        </w:rPr>
        <w:t>道疏浚+大常枢纽改造后綦江主城区左右岸堤顶欠高分布示意图</w:t>
      </w:r>
    </w:p>
    <w:p>
      <w:pPr>
        <w:pStyle w:val="74"/>
        <w:keepNext w:val="0"/>
        <w:keepLines w:val="0"/>
        <w:pageBreakBefore w:val="0"/>
        <w:widowControl w:val="0"/>
        <w:tabs>
          <w:tab w:val="right" w:leader="dot" w:pos="9071"/>
        </w:tabs>
        <w:kinsoku/>
        <w:wordWrap/>
        <w:overflowPunct/>
        <w:topLinePunct w:val="0"/>
        <w:autoSpaceDE/>
        <w:autoSpaceDN/>
        <w:bidi w:val="0"/>
        <w:adjustRightInd/>
        <w:snapToGrid/>
        <w:ind w:firstLine="560" w:firstLineChars="200"/>
        <w:textAlignment w:val="auto"/>
        <w:rPr>
          <w:rFonts w:hint="default" w:ascii="Times New Roman" w:hAnsi="Times New Roman" w:eastAsia="方正楷体_GBK" w:cs="Times New Roman"/>
        </w:rPr>
      </w:pPr>
      <w:r>
        <w:rPr>
          <w:rFonts w:hint="default" w:ascii="Times New Roman" w:hAnsi="Times New Roman" w:eastAsia="方正楷体_GBK" w:cs="Times New Roman"/>
        </w:rPr>
        <w:t>附图9  綦江主城区堤防工程规划布置示意图</w:t>
      </w:r>
    </w:p>
    <w:p>
      <w:pPr>
        <w:pStyle w:val="2953"/>
        <w:ind w:firstLine="0" w:firstLineChars="0"/>
        <w:rPr>
          <w:rFonts w:hint="eastAsia" w:ascii="黑体" w:hAnsi="黑体" w:eastAsia="黑体"/>
        </w:rPr>
      </w:pPr>
    </w:p>
    <w:p>
      <w:pPr>
        <w:pStyle w:val="2953"/>
        <w:ind w:firstLine="560"/>
        <w:rPr>
          <w:rFonts w:hint="eastAsia"/>
        </w:rPr>
        <w:sectPr>
          <w:headerReference r:id="rId7" w:type="first"/>
          <w:footerReference r:id="rId10" w:type="first"/>
          <w:headerReference r:id="rId5" w:type="default"/>
          <w:footerReference r:id="rId8" w:type="default"/>
          <w:headerReference r:id="rId6" w:type="even"/>
          <w:footerReference r:id="rId9" w:type="even"/>
          <w:pgSz w:w="11907" w:h="16840"/>
          <w:pgMar w:top="1616" w:right="1418" w:bottom="1616" w:left="1418" w:header="851" w:footer="1304" w:gutter="0"/>
          <w:pgBorders>
            <w:top w:val="none" w:sz="0" w:space="0"/>
            <w:left w:val="none" w:sz="0" w:space="0"/>
            <w:bottom w:val="none" w:sz="0" w:space="0"/>
            <w:right w:val="none" w:sz="0" w:space="0"/>
          </w:pgBorders>
          <w:pgNumType w:fmt="decimal" w:start="2"/>
          <w:cols w:space="720" w:num="1"/>
          <w:docGrid w:type="lines" w:linePitch="381" w:charSpace="0"/>
        </w:sectPr>
      </w:pPr>
    </w:p>
    <w:bookmarkEnd w:id="11"/>
    <w:p>
      <w:pPr>
        <w:pStyle w:val="1530"/>
        <w:keepNext w:val="0"/>
        <w:keepLines w:val="0"/>
        <w:pageBreakBefore w:val="0"/>
        <w:widowControl w:val="0"/>
        <w:kinsoku/>
        <w:wordWrap/>
        <w:overflowPunct/>
        <w:topLinePunct w:val="0"/>
        <w:autoSpaceDE/>
        <w:autoSpaceDN/>
        <w:bidi w:val="0"/>
        <w:adjustRightInd/>
        <w:snapToGrid/>
        <w:spacing w:line="576" w:lineRule="exact"/>
        <w:ind w:firstLine="640" w:firstLineChars="200"/>
        <w:textAlignment w:val="auto"/>
        <w:rPr>
          <w:rFonts w:hint="eastAsia" w:ascii="方正黑体_GBK" w:hAnsi="方正黑体_GBK" w:eastAsia="方正黑体_GBK" w:cs="方正黑体_GBK"/>
          <w:sz w:val="32"/>
          <w:szCs w:val="32"/>
        </w:rPr>
      </w:pPr>
      <w:bookmarkStart w:id="12" w:name="_Toc71782060"/>
      <w:bookmarkStart w:id="13" w:name="_Toc10775"/>
      <w:bookmarkStart w:id="14" w:name="_Toc27343"/>
      <w:bookmarkStart w:id="15" w:name="_Toc71665843"/>
      <w:r>
        <w:rPr>
          <w:rFonts w:hint="eastAsia" w:ascii="方正黑体_GBK" w:hAnsi="方正黑体_GBK" w:eastAsia="方正黑体_GBK" w:cs="方正黑体_GBK"/>
          <w:sz w:val="32"/>
          <w:szCs w:val="32"/>
          <w:lang w:val="en-US" w:eastAsia="zh-CN"/>
        </w:rPr>
        <w:t>一、</w:t>
      </w:r>
      <w:r>
        <w:rPr>
          <w:rFonts w:hint="eastAsia" w:ascii="方正黑体_GBK" w:hAnsi="方正黑体_GBK" w:eastAsia="方正黑体_GBK" w:cs="方正黑体_GBK"/>
          <w:sz w:val="32"/>
          <w:szCs w:val="32"/>
        </w:rPr>
        <w:t>基本情况</w:t>
      </w:r>
      <w:bookmarkEnd w:id="12"/>
      <w:bookmarkEnd w:id="13"/>
      <w:bookmarkEnd w:id="14"/>
      <w:bookmarkEnd w:id="15"/>
    </w:p>
    <w:p>
      <w:pPr>
        <w:pStyle w:val="1795"/>
        <w:keepNext w:val="0"/>
        <w:keepLines w:val="0"/>
        <w:pageBreakBefore w:val="0"/>
        <w:widowControl w:val="0"/>
        <w:kinsoku/>
        <w:wordWrap/>
        <w:overflowPunct/>
        <w:topLinePunct w:val="0"/>
        <w:autoSpaceDE/>
        <w:autoSpaceDN/>
        <w:bidi w:val="0"/>
        <w:adjustRightInd/>
        <w:snapToGrid/>
        <w:spacing w:before="0" w:after="0" w:line="576" w:lineRule="exact"/>
        <w:ind w:firstLine="640" w:firstLineChars="200"/>
        <w:textAlignment w:val="auto"/>
        <w:rPr>
          <w:rFonts w:hint="eastAsia" w:ascii="方正楷体_GBK" w:hAnsi="方正楷体_GBK" w:eastAsia="方正楷体_GBK" w:cs="方正楷体_GBK"/>
        </w:rPr>
      </w:pPr>
      <w:bookmarkStart w:id="16" w:name="_Toc24736"/>
      <w:bookmarkStart w:id="17" w:name="_Toc71782061"/>
      <w:bookmarkStart w:id="18" w:name="_Toc17153"/>
      <w:bookmarkStart w:id="19" w:name="_Toc71665844"/>
      <w:r>
        <w:rPr>
          <w:rFonts w:hint="eastAsia" w:ascii="方正楷体_GBK" w:hAnsi="方正楷体_GBK" w:eastAsia="方正楷体_GBK" w:cs="方正楷体_GBK"/>
          <w:lang w:eastAsia="zh-CN"/>
        </w:rPr>
        <w:t>（</w:t>
      </w:r>
      <w:r>
        <w:rPr>
          <w:rFonts w:hint="eastAsia" w:ascii="方正楷体_GBK" w:hAnsi="方正楷体_GBK" w:eastAsia="方正楷体_GBK" w:cs="方正楷体_GBK"/>
          <w:lang w:val="en-US" w:eastAsia="zh-CN"/>
        </w:rPr>
        <w:t>一</w:t>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rPr>
        <w:t>城市概况</w:t>
      </w:r>
      <w:bookmarkEnd w:id="16"/>
      <w:bookmarkEnd w:id="17"/>
      <w:bookmarkEnd w:id="18"/>
      <w:bookmarkEnd w:id="19"/>
    </w:p>
    <w:p>
      <w:pPr>
        <w:pStyle w:val="2953"/>
        <w:keepNext w:val="0"/>
        <w:keepLines w:val="0"/>
        <w:pageBreakBefore w:val="0"/>
        <w:widowControl w:val="0"/>
        <w:kinsoku/>
        <w:wordWrap/>
        <w:overflowPunct/>
        <w:topLinePunct w:val="0"/>
        <w:autoSpaceDE/>
        <w:autoSpaceDN/>
        <w:bidi w:val="0"/>
        <w:adjustRightInd/>
        <w:snapToGrid/>
        <w:spacing w:line="576" w:lineRule="exact"/>
        <w:ind w:firstLine="640" w:firstLineChars="20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重庆市綦江区位于重庆西南部，长江南岸綦江中游，</w:t>
      </w:r>
      <w:r>
        <w:rPr>
          <w:rFonts w:hint="eastAsia" w:ascii="方正仿宋_GBK" w:hAnsi="方正仿宋_GBK" w:eastAsia="方正仿宋_GBK" w:cs="方正仿宋_GBK"/>
          <w:kern w:val="0"/>
          <w:sz w:val="32"/>
          <w:szCs w:val="32"/>
        </w:rPr>
        <w:t>东、北、西面分别与重庆市南川、巴南、江津三区接壤，南面与贵州省习水、桐梓</w:t>
      </w:r>
      <w:r>
        <w:rPr>
          <w:rFonts w:hint="default" w:ascii="Times New Roman" w:hAnsi="Times New Roman" w:eastAsia="方正仿宋_GBK" w:cs="Times New Roman"/>
          <w:kern w:val="0"/>
          <w:sz w:val="32"/>
          <w:szCs w:val="32"/>
        </w:rPr>
        <w:t>两县交界</w:t>
      </w:r>
      <w:r>
        <w:rPr>
          <w:rFonts w:hint="default" w:ascii="Times New Roman" w:hAnsi="Times New Roman" w:eastAsia="方正仿宋_GBK" w:cs="Times New Roman"/>
          <w:sz w:val="32"/>
          <w:szCs w:val="32"/>
        </w:rPr>
        <w:t>，是重庆联系贵州、云南、湖南、广西、广东、上海的陆上重要通道，成渝向南出海的重要物流通道，为渝南及黔北毗邻地区的重要物资集散地和产业密集带，有“重庆南大门”之称，是重庆市的老工业基地及矿产资源聚集区。綦江区属</w:t>
      </w:r>
      <w:r>
        <w:rPr>
          <w:rFonts w:hint="default" w:ascii="Times New Roman" w:hAnsi="Times New Roman" w:eastAsia="方正仿宋_GBK" w:cs="Times New Roman"/>
          <w:kern w:val="0"/>
          <w:sz w:val="32"/>
          <w:szCs w:val="32"/>
        </w:rPr>
        <w:t>重庆市城市发展新区和重庆</w:t>
      </w:r>
      <w:r>
        <w:rPr>
          <w:rFonts w:hint="default" w:ascii="Times New Roman" w:hAnsi="Times New Roman" w:eastAsia="方正仿宋_GBK" w:cs="Times New Roman"/>
          <w:sz w:val="32"/>
          <w:szCs w:val="32"/>
        </w:rPr>
        <w:t>一小时经济圈</w:t>
      </w:r>
      <w:r>
        <w:rPr>
          <w:rFonts w:hint="default" w:ascii="Times New Roman" w:hAnsi="Times New Roman" w:eastAsia="方正仿宋_GBK" w:cs="Times New Roman"/>
          <w:kern w:val="0"/>
          <w:sz w:val="32"/>
          <w:szCs w:val="32"/>
        </w:rPr>
        <w:t>，</w:t>
      </w:r>
      <w:r>
        <w:rPr>
          <w:rFonts w:hint="default" w:ascii="Times New Roman" w:hAnsi="Times New Roman" w:eastAsia="方正仿宋_GBK" w:cs="Times New Roman"/>
          <w:sz w:val="32"/>
          <w:szCs w:val="32"/>
        </w:rPr>
        <w:t>渝黔复线、渝贵铁路、三万南铁路、兰海高速公路、重庆三环高速公路、210国道、303省道形成井字布网，距重庆主城30分钟、九龙港40分钟、江北机场50分钟车程。</w:t>
      </w:r>
      <w:r>
        <w:rPr>
          <w:rFonts w:hint="default" w:ascii="Times New Roman" w:hAnsi="Times New Roman" w:eastAsia="方正仿宋_GBK" w:cs="Times New Roman"/>
          <w:kern w:val="0"/>
          <w:sz w:val="32"/>
          <w:szCs w:val="32"/>
        </w:rPr>
        <w:t>其</w:t>
      </w:r>
      <w:r>
        <w:rPr>
          <w:rFonts w:hint="default" w:ascii="Times New Roman" w:hAnsi="Times New Roman" w:eastAsia="方正仿宋_GBK" w:cs="Times New Roman"/>
          <w:sz w:val="32"/>
          <w:szCs w:val="32"/>
        </w:rPr>
        <w:t>区域位置见图1.1</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1。</w:t>
      </w:r>
    </w:p>
    <w:p>
      <w:pPr>
        <w:spacing w:line="240" w:lineRule="auto"/>
        <w:ind w:firstLine="0" w:firstLineChars="0"/>
        <w:jc w:val="center"/>
      </w:pPr>
      <w:r>
        <w:drawing>
          <wp:inline distT="0" distB="0" distL="114300" distR="114300">
            <wp:extent cx="4191000" cy="3801110"/>
            <wp:effectExtent l="0" t="0" r="0" b="8890"/>
            <wp:docPr id="235" name="图片 216" descr="图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5" name="图片 216" descr="图1"/>
                    <pic:cNvPicPr>
                      <a:picLocks noChangeAspect="true"/>
                    </pic:cNvPicPr>
                  </pic:nvPicPr>
                  <pic:blipFill>
                    <a:blip r:embed="rId65"/>
                    <a:stretch>
                      <a:fillRect/>
                    </a:stretch>
                  </pic:blipFill>
                  <pic:spPr>
                    <a:xfrm>
                      <a:off x="0" y="0"/>
                      <a:ext cx="4191000" cy="3801110"/>
                    </a:xfrm>
                    <a:prstGeom prst="rect">
                      <a:avLst/>
                    </a:prstGeom>
                    <a:noFill/>
                    <a:ln>
                      <a:noFill/>
                    </a:ln>
                  </pic:spPr>
                </pic:pic>
              </a:graphicData>
            </a:graphic>
          </wp:inline>
        </w:drawing>
      </w:r>
    </w:p>
    <w:p>
      <w:pPr>
        <w:pStyle w:val="2886"/>
      </w:pPr>
      <w:r>
        <w:rPr>
          <w:rFonts w:hint="default" w:ascii="Times New Roman" w:hAnsi="Times New Roman" w:cs="Times New Roman"/>
        </w:rPr>
        <w:t>图1.1</w:t>
      </w:r>
      <w:r>
        <w:rPr>
          <w:rFonts w:hint="default" w:ascii="Times New Roman" w:hAnsi="Times New Roman" w:cs="Times New Roman"/>
          <w:lang w:eastAsia="zh-CN"/>
        </w:rPr>
        <w:t>—</w:t>
      </w:r>
      <w:r>
        <w:rPr>
          <w:rFonts w:hint="default" w:ascii="Times New Roman" w:hAnsi="Times New Roman" w:cs="Times New Roman"/>
        </w:rPr>
        <w:t xml:space="preserve">1  </w:t>
      </w:r>
      <w:r>
        <w:rPr>
          <w:rFonts w:hint="eastAsia"/>
        </w:rPr>
        <w:t xml:space="preserve">  綦江区在</w:t>
      </w:r>
      <w:r>
        <w:t>重庆市的</w:t>
      </w:r>
      <w:r>
        <w:rPr>
          <w:rFonts w:hint="eastAsia"/>
        </w:rPr>
        <w:t>区域位置示意图</w:t>
      </w:r>
    </w:p>
    <w:p>
      <w:pPr>
        <w:pStyle w:val="2953"/>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綦江区城区主要包括古南、文龙、三江、通惠、新盛5个街道，其在綦江区的区域位置见图1.1</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2；五个街道面积合计381.2km</w:t>
      </w:r>
      <w:r>
        <w:rPr>
          <w:rFonts w:hint="default" w:ascii="Times New Roman" w:hAnsi="Times New Roman" w:eastAsia="方正仿宋_GBK" w:cs="Times New Roman"/>
          <w:sz w:val="32"/>
          <w:szCs w:val="32"/>
          <w:vertAlign w:val="superscript"/>
        </w:rPr>
        <w:t>2</w:t>
      </w:r>
      <w:r>
        <w:rPr>
          <w:rFonts w:hint="default" w:ascii="Times New Roman" w:hAnsi="Times New Roman" w:eastAsia="方正仿宋_GBK" w:cs="Times New Roman"/>
          <w:sz w:val="32"/>
          <w:szCs w:val="32"/>
        </w:rPr>
        <w:t>，其中城区面积69km</w:t>
      </w:r>
      <w:r>
        <w:rPr>
          <w:rFonts w:hint="default" w:ascii="Times New Roman" w:hAnsi="Times New Roman" w:eastAsia="方正仿宋_GBK" w:cs="Times New Roman"/>
          <w:sz w:val="32"/>
          <w:szCs w:val="32"/>
          <w:vertAlign w:val="superscript"/>
        </w:rPr>
        <w:t>2</w:t>
      </w:r>
      <w:r>
        <w:rPr>
          <w:rFonts w:hint="default" w:ascii="Times New Roman" w:hAnsi="Times New Roman" w:eastAsia="方正仿宋_GBK" w:cs="Times New Roman"/>
          <w:sz w:val="32"/>
          <w:szCs w:val="32"/>
        </w:rPr>
        <w:t>，城市建设用地分布见图1.1</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3。</w:t>
      </w:r>
    </w:p>
    <w:p>
      <w:pPr>
        <w:pStyle w:val="2886"/>
        <w:outlineLvl w:val="9"/>
      </w:pPr>
      <w:r>
        <w:drawing>
          <wp:inline distT="0" distB="0" distL="114300" distR="114300">
            <wp:extent cx="5753100" cy="6400800"/>
            <wp:effectExtent l="0" t="0" r="0" b="0"/>
            <wp:docPr id="26" name="图片 221" descr="图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6" name="图片 221" descr="图1"/>
                    <pic:cNvPicPr>
                      <a:picLocks noChangeAspect="true"/>
                    </pic:cNvPicPr>
                  </pic:nvPicPr>
                  <pic:blipFill>
                    <a:blip r:embed="rId66"/>
                    <a:stretch>
                      <a:fillRect/>
                    </a:stretch>
                  </pic:blipFill>
                  <pic:spPr>
                    <a:xfrm>
                      <a:off x="0" y="0"/>
                      <a:ext cx="5753100" cy="6400800"/>
                    </a:xfrm>
                    <a:prstGeom prst="rect">
                      <a:avLst/>
                    </a:prstGeom>
                    <a:noFill/>
                    <a:ln>
                      <a:noFill/>
                    </a:ln>
                  </pic:spPr>
                </pic:pic>
              </a:graphicData>
            </a:graphic>
          </wp:inline>
        </w:drawing>
      </w:r>
    </w:p>
    <w:p>
      <w:pPr>
        <w:pStyle w:val="2886"/>
      </w:pPr>
      <w:r>
        <w:rPr>
          <w:rFonts w:hint="default" w:ascii="Times New Roman" w:hAnsi="Times New Roman" w:cs="Times New Roman"/>
        </w:rPr>
        <w:t>图1.1</w:t>
      </w:r>
      <w:r>
        <w:rPr>
          <w:rFonts w:hint="default" w:ascii="Times New Roman" w:hAnsi="Times New Roman" w:cs="Times New Roman"/>
          <w:lang w:eastAsia="zh-CN"/>
        </w:rPr>
        <w:t>—</w:t>
      </w:r>
      <w:r>
        <w:rPr>
          <w:rFonts w:hint="default" w:ascii="Times New Roman" w:hAnsi="Times New Roman" w:cs="Times New Roman"/>
        </w:rPr>
        <w:t xml:space="preserve">2 </w:t>
      </w:r>
      <w:r>
        <w:rPr>
          <w:rFonts w:hint="eastAsia"/>
        </w:rPr>
        <w:t xml:space="preserve">   綦江区</w:t>
      </w:r>
      <w:r>
        <w:t>城区</w:t>
      </w:r>
      <w:r>
        <w:rPr>
          <w:rFonts w:hint="eastAsia"/>
        </w:rPr>
        <w:t>在綦江区</w:t>
      </w:r>
      <w:r>
        <w:t>的</w:t>
      </w:r>
      <w:r>
        <w:rPr>
          <w:rFonts w:hint="eastAsia"/>
        </w:rPr>
        <w:t>区域位置示意图</w:t>
      </w:r>
    </w:p>
    <w:p>
      <w:pPr>
        <w:pStyle w:val="853"/>
        <w:spacing w:line="240" w:lineRule="auto"/>
        <w:ind w:firstLine="0" w:firstLineChars="0"/>
        <w:jc w:val="center"/>
        <w:rPr>
          <w:rFonts w:hint="eastAsia"/>
          <w:spacing w:val="-4"/>
        </w:rPr>
      </w:pPr>
      <w:r>
        <w:rPr>
          <w:rFonts w:hint="eastAsia"/>
          <w:spacing w:val="-4"/>
        </w:rPr>
        <w:drawing>
          <wp:inline distT="0" distB="0" distL="114300" distR="114300">
            <wp:extent cx="5396230" cy="6755130"/>
            <wp:effectExtent l="0" t="0" r="13970" b="7620"/>
            <wp:docPr id="27" name="图片 107" descr="綦江区城市建设用地规划图（202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7" name="图片 107" descr="綦江区城市建设用地规划图（2020）"/>
                    <pic:cNvPicPr>
                      <a:picLocks noChangeAspect="true"/>
                    </pic:cNvPicPr>
                  </pic:nvPicPr>
                  <pic:blipFill>
                    <a:blip r:embed="rId67"/>
                    <a:srcRect l="2533" t="12213" r="2977" b="4659"/>
                    <a:stretch>
                      <a:fillRect/>
                    </a:stretch>
                  </pic:blipFill>
                  <pic:spPr>
                    <a:xfrm>
                      <a:off x="0" y="0"/>
                      <a:ext cx="5396230" cy="6755130"/>
                    </a:xfrm>
                    <a:prstGeom prst="rect">
                      <a:avLst/>
                    </a:prstGeom>
                    <a:noFill/>
                    <a:ln>
                      <a:noFill/>
                    </a:ln>
                  </pic:spPr>
                </pic:pic>
              </a:graphicData>
            </a:graphic>
          </wp:inline>
        </w:drawing>
      </w:r>
    </w:p>
    <w:p>
      <w:pPr>
        <w:pStyle w:val="2886"/>
        <w:ind w:firstLine="560"/>
        <w:rPr>
          <w:rFonts w:hint="eastAsia"/>
        </w:rPr>
      </w:pPr>
      <w:r>
        <w:rPr>
          <w:rFonts w:hint="default" w:ascii="Times New Roman" w:hAnsi="Times New Roman" w:cs="Times New Roman"/>
        </w:rPr>
        <w:t>图1.1</w:t>
      </w:r>
      <w:r>
        <w:rPr>
          <w:rFonts w:hint="default" w:ascii="Times New Roman" w:hAnsi="Times New Roman" w:cs="Times New Roman"/>
          <w:lang w:eastAsia="zh-CN"/>
        </w:rPr>
        <w:t>—</w:t>
      </w:r>
      <w:r>
        <w:rPr>
          <w:rFonts w:hint="default" w:ascii="Times New Roman" w:hAnsi="Times New Roman" w:cs="Times New Roman"/>
        </w:rPr>
        <w:t xml:space="preserve">3  </w:t>
      </w:r>
      <w:r>
        <w:rPr>
          <w:rFonts w:hint="eastAsia"/>
        </w:rPr>
        <w:t xml:space="preserve">  綦江区城市建设用地规划图</w:t>
      </w:r>
    </w:p>
    <w:p>
      <w:pPr>
        <w:pStyle w:val="1795"/>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楷体_GBK" w:cs="Times New Roman"/>
          <w:sz w:val="32"/>
          <w:szCs w:val="32"/>
        </w:rPr>
      </w:pPr>
      <w:bookmarkStart w:id="20" w:name="_Toc30740"/>
      <w:bookmarkStart w:id="21" w:name="_Toc71665845"/>
      <w:bookmarkStart w:id="22" w:name="_Toc71782062"/>
      <w:bookmarkStart w:id="23" w:name="_Toc15576"/>
      <w:r>
        <w:rPr>
          <w:rFonts w:hint="default" w:ascii="Times New Roman" w:hAnsi="Times New Roman" w:eastAsia="方正楷体_GBK" w:cs="Times New Roman"/>
          <w:sz w:val="32"/>
          <w:szCs w:val="32"/>
          <w:lang w:eastAsia="zh-CN"/>
        </w:rPr>
        <w:t>（</w:t>
      </w:r>
      <w:r>
        <w:rPr>
          <w:rFonts w:hint="default" w:ascii="Times New Roman" w:hAnsi="Times New Roman" w:eastAsia="方正楷体_GBK" w:cs="Times New Roman"/>
          <w:sz w:val="32"/>
          <w:szCs w:val="32"/>
          <w:lang w:val="en-US" w:eastAsia="zh-CN"/>
        </w:rPr>
        <w:t>二</w:t>
      </w:r>
      <w:r>
        <w:rPr>
          <w:rFonts w:hint="default" w:ascii="Times New Roman" w:hAnsi="Times New Roman" w:eastAsia="方正楷体_GBK" w:cs="Times New Roman"/>
          <w:sz w:val="32"/>
          <w:szCs w:val="32"/>
          <w:lang w:eastAsia="zh-CN"/>
        </w:rPr>
        <w:t>）</w:t>
      </w:r>
      <w:r>
        <w:rPr>
          <w:rFonts w:hint="default" w:ascii="Times New Roman" w:hAnsi="Times New Roman" w:eastAsia="方正楷体_GBK" w:cs="Times New Roman"/>
          <w:sz w:val="32"/>
          <w:szCs w:val="32"/>
        </w:rPr>
        <w:t>自然概况</w:t>
      </w:r>
      <w:bookmarkEnd w:id="20"/>
      <w:bookmarkEnd w:id="21"/>
      <w:bookmarkEnd w:id="22"/>
      <w:bookmarkEnd w:id="23"/>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1</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rPr>
        <w:t>河流水系</w:t>
      </w:r>
    </w:p>
    <w:p>
      <w:pPr>
        <w:pStyle w:val="2948"/>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eastAsia" w:ascii="Times New Roman" w:hAnsi="Times New Roman" w:eastAsia="方正仿宋_GBK" w:cs="Times New Roman"/>
          <w:sz w:val="32"/>
          <w:szCs w:val="32"/>
          <w:lang w:val="en-US" w:eastAsia="zh-CN"/>
        </w:rPr>
        <w:t xml:space="preserve">1.1 </w:t>
      </w:r>
      <w:r>
        <w:rPr>
          <w:rFonts w:hint="default" w:ascii="Times New Roman" w:hAnsi="Times New Roman" w:eastAsia="方正仿宋_GBK" w:cs="Times New Roman"/>
          <w:sz w:val="32"/>
          <w:szCs w:val="32"/>
        </w:rPr>
        <w:t>流域概况</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綦江古称夜郎溪，是长江上游右岸一级支流，发源于贵州省桐梓县华山乡所属的花坝火盆洞，流经綦江区万隆的花坝于小垭口消于地下，暗流经李公坝在长河沟冒出，明流50m后又消入地下，暗流约1.5km，在杉树湾干龙洞出水。南流3km至綦江、桐梓、习水三县交界的流水岩后，沿桐、习县界一直南下至习水县大杉乡的关木山处与来自习水县双龙区仙源乡下河坝之水汇合，东流经桐梓县夜郎乡，是为夜郎溪。至蒙渡与来自凉风垭左侧新场乡铜鼓园之水汇合后为松坎河。转向北流，经松坎至木竹河入綦江区境。折向西北，流经石门坎、岔滩至赶水，左纳羊渡河，右纳藻渡河，又流经东溪太平桥、左岸纳入福林河，经篆塘镇、三江街道，分别纳入扶欢河、郭扶河、蒲河，经桥河至綦江城区，有东来之通惠河水注入。在石佛岗以下折向西流，至北渡转西北，在清溪口纳西来之清溪河水。流入江津区广兴后，沿津綦界经升平，于木瓜溪口再入江津境内。在五岔，有来自东、北面的上、下小河注入。在贾市至河坝之间，有来自南面的箭溪（即紫荆河）注入。流至真武与白溪两乡交界处同南来之笋溪河汇合后，再北流至顺江口注入长江。綦江干支流及主要站点分布情况见图1.2</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1。</w:t>
      </w:r>
    </w:p>
    <w:p>
      <w:pPr>
        <w:pStyle w:val="2953"/>
        <w:keepNext w:val="0"/>
        <w:keepLines w:val="0"/>
        <w:pageBreakBefore w:val="0"/>
        <w:widowControl w:val="0"/>
        <w:kinsoku/>
        <w:wordWrap/>
        <w:overflowPunct/>
        <w:topLinePunct w:val="0"/>
        <w:autoSpaceDE/>
        <w:autoSpaceDN/>
        <w:bidi w:val="0"/>
        <w:adjustRightInd/>
        <w:snapToGrid/>
        <w:spacing w:line="600" w:lineRule="exact"/>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根据渝水〔2018〕188号文《重庆市水利局关于公布重庆市第一批河流河道名录的通知》，綦江干流河长223km，流域面积7089km</w:t>
      </w:r>
      <w:r>
        <w:rPr>
          <w:rFonts w:hint="default" w:ascii="Times New Roman" w:hAnsi="Times New Roman" w:eastAsia="方正仿宋_GBK" w:cs="Times New Roman"/>
          <w:sz w:val="32"/>
          <w:szCs w:val="32"/>
          <w:vertAlign w:val="superscript"/>
        </w:rPr>
        <w:t>2</w:t>
      </w:r>
      <w:r>
        <w:rPr>
          <w:rFonts w:hint="default" w:ascii="Times New Roman" w:hAnsi="Times New Roman" w:eastAsia="方正仿宋_GBK" w:cs="Times New Roman"/>
          <w:sz w:val="32"/>
          <w:szCs w:val="32"/>
        </w:rPr>
        <w:t>，落差1535m。綦江在重庆市境内长157.5km（占干流全长的71%），流域面积4751km</w:t>
      </w:r>
      <w:r>
        <w:rPr>
          <w:rFonts w:hint="default" w:ascii="Times New Roman" w:hAnsi="Times New Roman" w:eastAsia="方正仿宋_GBK" w:cs="Times New Roman"/>
          <w:sz w:val="32"/>
          <w:szCs w:val="32"/>
          <w:vertAlign w:val="superscript"/>
        </w:rPr>
        <w:t>2</w:t>
      </w:r>
      <w:r>
        <w:rPr>
          <w:rFonts w:hint="default" w:ascii="Times New Roman" w:hAnsi="Times New Roman" w:eastAsia="方正仿宋_GBK" w:cs="Times New Roman"/>
          <w:sz w:val="32"/>
          <w:szCs w:val="32"/>
        </w:rPr>
        <w:t>（占全流域面积的67%），流经綦江区、江津区。其中，綦江区境内流域面积2093km</w:t>
      </w:r>
      <w:r>
        <w:rPr>
          <w:rFonts w:hint="default" w:ascii="Times New Roman" w:hAnsi="Times New Roman" w:eastAsia="方正仿宋_GBK" w:cs="Times New Roman"/>
          <w:sz w:val="32"/>
          <w:szCs w:val="32"/>
          <w:vertAlign w:val="superscript"/>
        </w:rPr>
        <w:t>2</w:t>
      </w:r>
      <w:r>
        <w:rPr>
          <w:rFonts w:hint="default" w:ascii="Times New Roman" w:hAnsi="Times New Roman" w:eastAsia="方正仿宋_GBK" w:cs="Times New Roman"/>
          <w:sz w:val="32"/>
          <w:szCs w:val="32"/>
        </w:rPr>
        <w:t>，干流流经区内河段长102km，流经9个镇（街）、71个村（居）。</w:t>
      </w:r>
    </w:p>
    <w:p>
      <w:pPr>
        <w:pStyle w:val="2948"/>
        <w:keepNext w:val="0"/>
        <w:keepLines w:val="0"/>
        <w:pageBreakBefore w:val="0"/>
        <w:widowControl w:val="0"/>
        <w:kinsoku/>
        <w:wordWrap/>
        <w:overflowPunct/>
        <w:topLinePunct w:val="0"/>
        <w:autoSpaceDE/>
        <w:autoSpaceDN/>
        <w:bidi w:val="0"/>
        <w:adjustRightInd/>
        <w:snapToGrid/>
        <w:spacing w:line="600" w:lineRule="exact"/>
        <w:ind w:firstLine="560"/>
        <w:textAlignment w:val="auto"/>
        <w:rPr>
          <w:rFonts w:hint="default" w:ascii="Times New Roman" w:hAnsi="Times New Roman" w:eastAsia="方正仿宋_GBK" w:cs="Times New Roman"/>
          <w:sz w:val="32"/>
          <w:szCs w:val="32"/>
        </w:rPr>
      </w:pPr>
      <w:r>
        <w:rPr>
          <w:rFonts w:hint="eastAsia" w:ascii="Times New Roman" w:hAnsi="Times New Roman" w:eastAsia="方正仿宋_GBK" w:cs="Times New Roman"/>
          <w:sz w:val="32"/>
          <w:szCs w:val="32"/>
          <w:lang w:val="en-US" w:eastAsia="zh-CN"/>
        </w:rPr>
        <w:t xml:space="preserve">1.2 </w:t>
      </w:r>
      <w:r>
        <w:rPr>
          <w:rFonts w:hint="default" w:ascii="Times New Roman" w:hAnsi="Times New Roman" w:eastAsia="方正仿宋_GBK" w:cs="Times New Roman"/>
          <w:sz w:val="32"/>
          <w:szCs w:val="32"/>
        </w:rPr>
        <w:t>綦江上、中、下游</w:t>
      </w:r>
    </w:p>
    <w:p>
      <w:pPr>
        <w:pStyle w:val="1354"/>
        <w:keepNext w:val="0"/>
        <w:keepLines w:val="0"/>
        <w:pageBreakBefore w:val="0"/>
        <w:widowControl w:val="0"/>
        <w:kinsoku/>
        <w:wordWrap/>
        <w:overflowPunct/>
        <w:topLinePunct w:val="0"/>
        <w:autoSpaceDE/>
        <w:autoSpaceDN/>
        <w:bidi w:val="0"/>
        <w:adjustRightInd/>
        <w:snapToGrid/>
        <w:spacing w:line="600" w:lineRule="exact"/>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綦江河源至赶水称松坎河，为綦江的上游。河面宽30</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60m，河长89.4km，落差1425m，河槽平均坡降约15.9‰。集水面积2943.4km</w:t>
      </w:r>
      <w:r>
        <w:rPr>
          <w:rFonts w:hint="default" w:ascii="Times New Roman" w:hAnsi="Times New Roman" w:eastAsia="方正仿宋_GBK" w:cs="Times New Roman"/>
          <w:sz w:val="32"/>
          <w:szCs w:val="32"/>
          <w:vertAlign w:val="superscript"/>
        </w:rPr>
        <w:t>2</w:t>
      </w:r>
      <w:r>
        <w:rPr>
          <w:rFonts w:hint="default" w:ascii="Times New Roman" w:hAnsi="Times New Roman" w:eastAsia="方正仿宋_GBK" w:cs="Times New Roman"/>
          <w:sz w:val="32"/>
          <w:szCs w:val="32"/>
        </w:rPr>
        <w:t>，占全流域面积的41.52%，多年平均流量56m</w:t>
      </w:r>
      <w:r>
        <w:rPr>
          <w:rFonts w:hint="default" w:ascii="Times New Roman" w:hAnsi="Times New Roman" w:eastAsia="方正仿宋_GBK" w:cs="Times New Roman"/>
          <w:sz w:val="32"/>
          <w:szCs w:val="32"/>
          <w:vertAlign w:val="superscript"/>
        </w:rPr>
        <w:t>3</w:t>
      </w:r>
      <w:r>
        <w:rPr>
          <w:rFonts w:hint="default" w:ascii="Times New Roman" w:hAnsi="Times New Roman" w:eastAsia="方正仿宋_GBK" w:cs="Times New Roman"/>
          <w:sz w:val="32"/>
          <w:szCs w:val="32"/>
        </w:rPr>
        <w:t>/s。河道穿行于高山狭谷间，水流湍急，不能通航。</w:t>
      </w:r>
    </w:p>
    <w:p>
      <w:pPr>
        <w:pStyle w:val="1354"/>
        <w:keepNext w:val="0"/>
        <w:keepLines w:val="0"/>
        <w:pageBreakBefore w:val="0"/>
        <w:widowControl w:val="0"/>
        <w:kinsoku/>
        <w:wordWrap/>
        <w:overflowPunct/>
        <w:topLinePunct w:val="0"/>
        <w:autoSpaceDE/>
        <w:autoSpaceDN/>
        <w:bidi w:val="0"/>
        <w:adjustRightInd/>
        <w:snapToGrid/>
        <w:spacing w:line="600" w:lineRule="exact"/>
        <w:ind w:firstLine="544"/>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pacing w:val="-4"/>
          <w:sz w:val="32"/>
          <w:szCs w:val="32"/>
        </w:rPr>
        <w:t>赶水（松坎河、藻渡河及羊渡河三江汇合处）至綦江城区</w:t>
      </w:r>
      <w:r>
        <w:rPr>
          <w:rFonts w:hint="default" w:ascii="Times New Roman" w:hAnsi="Times New Roman" w:eastAsia="方正仿宋_GBK" w:cs="Times New Roman"/>
          <w:spacing w:val="2"/>
          <w:sz w:val="32"/>
          <w:szCs w:val="32"/>
        </w:rPr>
        <w:t>城北大桥</w:t>
      </w:r>
      <w:r>
        <w:rPr>
          <w:rFonts w:hint="default" w:ascii="Times New Roman" w:hAnsi="Times New Roman" w:eastAsia="方正仿宋_GBK" w:cs="Times New Roman"/>
          <w:spacing w:val="-4"/>
          <w:sz w:val="32"/>
          <w:szCs w:val="32"/>
        </w:rPr>
        <w:t>为中游。三江街道处有蒲河汇入綦江，赶水至三江、三江至大常枢纽</w:t>
      </w:r>
      <w:r>
        <w:rPr>
          <w:rFonts w:hint="default" w:ascii="Times New Roman" w:hAnsi="Times New Roman" w:eastAsia="方正仿宋_GBK" w:cs="Times New Roman"/>
          <w:sz w:val="32"/>
          <w:szCs w:val="32"/>
        </w:rPr>
        <w:t>河面宽分别</w:t>
      </w:r>
      <w:r>
        <w:rPr>
          <w:rFonts w:hint="default" w:ascii="Times New Roman" w:hAnsi="Times New Roman" w:eastAsia="方正仿宋_GBK" w:cs="Times New Roman"/>
          <w:spacing w:val="-4"/>
          <w:sz w:val="32"/>
          <w:szCs w:val="32"/>
        </w:rPr>
        <w:t>50</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pacing w:val="-4"/>
          <w:sz w:val="32"/>
          <w:szCs w:val="32"/>
        </w:rPr>
        <w:t>120m和100</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pacing w:val="-4"/>
          <w:sz w:val="32"/>
          <w:szCs w:val="32"/>
        </w:rPr>
        <w:t>200m，深潭与浅滩相间，流速小，水流趋平缓。中游</w:t>
      </w:r>
      <w:r>
        <w:rPr>
          <w:rFonts w:hint="default" w:ascii="Times New Roman" w:hAnsi="Times New Roman" w:eastAsia="方正仿宋_GBK" w:cs="Times New Roman"/>
          <w:sz w:val="32"/>
          <w:szCs w:val="32"/>
        </w:rPr>
        <w:t>河长59.9km，落差71m，河槽平均坡降约1.19‰，区间面积1738km</w:t>
      </w:r>
      <w:r>
        <w:rPr>
          <w:rFonts w:hint="default" w:ascii="Times New Roman" w:hAnsi="Times New Roman" w:eastAsia="方正仿宋_GBK" w:cs="Times New Roman"/>
          <w:sz w:val="32"/>
          <w:szCs w:val="32"/>
          <w:vertAlign w:val="superscript"/>
        </w:rPr>
        <w:t>2</w:t>
      </w:r>
      <w:r>
        <w:rPr>
          <w:rFonts w:hint="default" w:ascii="Times New Roman" w:hAnsi="Times New Roman" w:eastAsia="方正仿宋_GBK" w:cs="Times New Roman"/>
          <w:sz w:val="32"/>
          <w:szCs w:val="32"/>
        </w:rPr>
        <w:t>，占全流域面积的24.51%，多年平均流量83.9m</w:t>
      </w:r>
      <w:r>
        <w:rPr>
          <w:rFonts w:hint="default" w:ascii="Times New Roman" w:hAnsi="Times New Roman" w:eastAsia="方正仿宋_GBK" w:cs="Times New Roman"/>
          <w:sz w:val="32"/>
          <w:szCs w:val="32"/>
          <w:vertAlign w:val="superscript"/>
        </w:rPr>
        <w:t>3</w:t>
      </w:r>
      <w:r>
        <w:rPr>
          <w:rFonts w:hint="default" w:ascii="Times New Roman" w:hAnsi="Times New Roman" w:eastAsia="方正仿宋_GBK" w:cs="Times New Roman"/>
          <w:sz w:val="32"/>
          <w:szCs w:val="32"/>
        </w:rPr>
        <w:t>/s。此段</w:t>
      </w:r>
      <w:r>
        <w:rPr>
          <w:rFonts w:hint="default" w:ascii="Times New Roman" w:hAnsi="Times New Roman" w:eastAsia="方正仿宋_GBK" w:cs="Times New Roman"/>
          <w:spacing w:val="-4"/>
          <w:sz w:val="32"/>
          <w:szCs w:val="32"/>
        </w:rPr>
        <w:t>两岸地形起伏较缓，</w:t>
      </w:r>
      <w:r>
        <w:rPr>
          <w:rFonts w:hint="default" w:ascii="Times New Roman" w:hAnsi="Times New Roman" w:eastAsia="方正仿宋_GBK" w:cs="Times New Roman"/>
          <w:sz w:val="32"/>
          <w:szCs w:val="32"/>
        </w:rPr>
        <w:t>地貌以深丘、低山及浅丘为主，已建闸坝5处，可分段通航。</w:t>
      </w:r>
    </w:p>
    <w:p>
      <w:pPr>
        <w:pStyle w:val="965"/>
        <w:spacing w:line="240" w:lineRule="auto"/>
        <w:rPr>
          <w:kern w:val="0"/>
          <w:szCs w:val="24"/>
        </w:rPr>
      </w:pPr>
      <w:r>
        <w:rPr>
          <w:kern w:val="0"/>
          <w:szCs w:val="24"/>
        </w:rPr>
        <w:drawing>
          <wp:inline distT="0" distB="0" distL="114300" distR="114300">
            <wp:extent cx="5688965" cy="6253480"/>
            <wp:effectExtent l="0" t="0" r="6985" b="13970"/>
            <wp:docPr id="28" name="图片 225" descr="图1.2-1    綦江流域水系及主要站点分布图_副本"/>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8" name="图片 225" descr="图1.2-1    綦江流域水系及主要站点分布图_副本"/>
                    <pic:cNvPicPr>
                      <a:picLocks noChangeAspect="true"/>
                    </pic:cNvPicPr>
                  </pic:nvPicPr>
                  <pic:blipFill>
                    <a:blip r:embed="rId68"/>
                    <a:stretch>
                      <a:fillRect/>
                    </a:stretch>
                  </pic:blipFill>
                  <pic:spPr>
                    <a:xfrm>
                      <a:off x="0" y="0"/>
                      <a:ext cx="5688965" cy="6253480"/>
                    </a:xfrm>
                    <a:prstGeom prst="rect">
                      <a:avLst/>
                    </a:prstGeom>
                    <a:noFill/>
                    <a:ln>
                      <a:noFill/>
                    </a:ln>
                  </pic:spPr>
                </pic:pic>
              </a:graphicData>
            </a:graphic>
          </wp:inline>
        </w:drawing>
      </w:r>
    </w:p>
    <w:p>
      <w:pPr>
        <w:pStyle w:val="2886"/>
        <w:rPr>
          <w:rFonts w:hint="eastAsia"/>
        </w:rPr>
      </w:pPr>
      <w:r>
        <w:rPr>
          <w:rFonts w:hint="default" w:ascii="Times New Roman" w:hAnsi="Times New Roman" w:cs="Times New Roman"/>
        </w:rPr>
        <w:t>图1.2</w:t>
      </w:r>
      <w:r>
        <w:rPr>
          <w:rFonts w:hint="default" w:ascii="Times New Roman" w:hAnsi="Times New Roman" w:cs="Times New Roman"/>
          <w:lang w:eastAsia="zh-CN"/>
        </w:rPr>
        <w:t>—</w:t>
      </w:r>
      <w:r>
        <w:rPr>
          <w:rFonts w:hint="default" w:ascii="Times New Roman" w:hAnsi="Times New Roman" w:cs="Times New Roman"/>
        </w:rPr>
        <w:t xml:space="preserve">1 </w:t>
      </w:r>
      <w:r>
        <w:rPr>
          <w:rFonts w:hint="eastAsia"/>
        </w:rPr>
        <w:t xml:space="preserve">   綦江流域水系及主要站点分布图</w:t>
      </w:r>
    </w:p>
    <w:p>
      <w:pPr>
        <w:pStyle w:val="1354"/>
        <w:keepNext w:val="0"/>
        <w:keepLines w:val="0"/>
        <w:pageBreakBefore w:val="0"/>
        <w:widowControl w:val="0"/>
        <w:kinsoku/>
        <w:wordWrap/>
        <w:overflowPunct/>
        <w:topLinePunct w:val="0"/>
        <w:autoSpaceDE/>
        <w:autoSpaceDN/>
        <w:bidi w:val="0"/>
        <w:adjustRightInd/>
        <w:snapToGrid/>
        <w:spacing w:line="600" w:lineRule="exact"/>
        <w:ind w:firstLine="568"/>
        <w:textAlignment w:val="auto"/>
        <w:rPr>
          <w:rFonts w:hint="default" w:ascii="Times New Roman" w:hAnsi="Times New Roman" w:eastAsia="方正仿宋_GBK" w:cs="Times New Roman"/>
          <w:spacing w:val="2"/>
          <w:sz w:val="32"/>
          <w:szCs w:val="32"/>
        </w:rPr>
      </w:pPr>
      <w:r>
        <w:rPr>
          <w:rFonts w:hint="default" w:ascii="Times New Roman" w:hAnsi="Times New Roman" w:eastAsia="方正仿宋_GBK" w:cs="Times New Roman"/>
          <w:spacing w:val="2"/>
          <w:sz w:val="32"/>
          <w:szCs w:val="32"/>
        </w:rPr>
        <w:t>城北大桥至河口为下游。下游有清溪河汇入，水面宽阔，流速小，河面宽度80</w:t>
      </w:r>
      <w:r>
        <w:rPr>
          <w:rFonts w:hint="eastAsia" w:ascii="Times New Roman" w:eastAsia="方正仿宋_GBK" w:cs="Times New Roman"/>
          <w:spacing w:val="2"/>
          <w:sz w:val="32"/>
          <w:szCs w:val="32"/>
          <w:lang w:eastAsia="zh-CN"/>
        </w:rPr>
        <w:t>—</w:t>
      </w:r>
      <w:r>
        <w:rPr>
          <w:rFonts w:hint="default" w:ascii="Times New Roman" w:hAnsi="Times New Roman" w:eastAsia="方正仿宋_GBK" w:cs="Times New Roman"/>
          <w:spacing w:val="2"/>
          <w:sz w:val="32"/>
          <w:szCs w:val="32"/>
        </w:rPr>
        <w:t>150m，河段长73.7km，落差39m，河槽平均坡降约0.53‰，区间面积2408km</w:t>
      </w:r>
      <w:r>
        <w:rPr>
          <w:rFonts w:hint="default" w:ascii="Times New Roman" w:hAnsi="Times New Roman" w:eastAsia="方正仿宋_GBK" w:cs="Times New Roman"/>
          <w:spacing w:val="2"/>
          <w:sz w:val="32"/>
          <w:szCs w:val="32"/>
          <w:vertAlign w:val="superscript"/>
        </w:rPr>
        <w:t>2</w:t>
      </w:r>
      <w:r>
        <w:rPr>
          <w:rFonts w:hint="default" w:ascii="Times New Roman" w:hAnsi="Times New Roman" w:eastAsia="方正仿宋_GBK" w:cs="Times New Roman"/>
          <w:spacing w:val="2"/>
          <w:sz w:val="32"/>
          <w:szCs w:val="32"/>
        </w:rPr>
        <w:t>，占全流域面积的33.97%，多年平均流量125.8m</w:t>
      </w:r>
      <w:r>
        <w:rPr>
          <w:rFonts w:hint="default" w:ascii="Times New Roman" w:hAnsi="Times New Roman" w:eastAsia="方正仿宋_GBK" w:cs="Times New Roman"/>
          <w:spacing w:val="2"/>
          <w:sz w:val="32"/>
          <w:szCs w:val="32"/>
          <w:vertAlign w:val="superscript"/>
        </w:rPr>
        <w:t>3</w:t>
      </w:r>
      <w:r>
        <w:rPr>
          <w:rFonts w:hint="default" w:ascii="Times New Roman" w:hAnsi="Times New Roman" w:eastAsia="方正仿宋_GBK" w:cs="Times New Roman"/>
          <w:spacing w:val="2"/>
          <w:sz w:val="32"/>
          <w:szCs w:val="32"/>
        </w:rPr>
        <w:t>/s。控制地貌以浅丘为主，河道较平坦，已建闸坝3处，城北大桥至五福终年可行50</w:t>
      </w:r>
      <w:r>
        <w:rPr>
          <w:rFonts w:hint="eastAsia" w:ascii="Times New Roman" w:eastAsia="方正仿宋_GBK" w:cs="Times New Roman"/>
          <w:spacing w:val="2"/>
          <w:sz w:val="32"/>
          <w:szCs w:val="32"/>
          <w:lang w:eastAsia="zh-CN"/>
        </w:rPr>
        <w:t>—</w:t>
      </w:r>
      <w:r>
        <w:rPr>
          <w:rFonts w:hint="default" w:ascii="Times New Roman" w:hAnsi="Times New Roman" w:eastAsia="方正仿宋_GBK" w:cs="Times New Roman"/>
          <w:spacing w:val="2"/>
          <w:sz w:val="32"/>
          <w:szCs w:val="32"/>
        </w:rPr>
        <w:t>100t级的船只，五福至河口常年可通行10t以下的小船。</w:t>
      </w:r>
    </w:p>
    <w:p>
      <w:pPr>
        <w:pStyle w:val="2948"/>
        <w:keepNext w:val="0"/>
        <w:keepLines w:val="0"/>
        <w:pageBreakBefore w:val="0"/>
        <w:widowControl w:val="0"/>
        <w:kinsoku/>
        <w:wordWrap/>
        <w:overflowPunct/>
        <w:topLinePunct w:val="0"/>
        <w:autoSpaceDE/>
        <w:autoSpaceDN/>
        <w:bidi w:val="0"/>
        <w:adjustRightInd/>
        <w:snapToGrid/>
        <w:spacing w:line="600" w:lineRule="exact"/>
        <w:ind w:firstLine="560"/>
        <w:textAlignment w:val="auto"/>
        <w:rPr>
          <w:rFonts w:hint="default" w:ascii="Times New Roman" w:hAnsi="Times New Roman" w:eastAsia="方正仿宋_GBK" w:cs="Times New Roman"/>
          <w:sz w:val="32"/>
          <w:szCs w:val="32"/>
        </w:rPr>
      </w:pPr>
      <w:bookmarkStart w:id="24" w:name="_Toc250624475"/>
      <w:r>
        <w:rPr>
          <w:rFonts w:hint="eastAsia" w:ascii="Times New Roman" w:hAnsi="Times New Roman" w:eastAsia="方正仿宋_GBK" w:cs="Times New Roman"/>
          <w:sz w:val="32"/>
          <w:szCs w:val="32"/>
          <w:lang w:val="en-US" w:eastAsia="zh-CN"/>
        </w:rPr>
        <w:t xml:space="preserve">1.3 </w:t>
      </w:r>
      <w:r>
        <w:rPr>
          <w:rFonts w:hint="default" w:ascii="Times New Roman" w:hAnsi="Times New Roman" w:eastAsia="方正仿宋_GBK" w:cs="Times New Roman"/>
          <w:sz w:val="32"/>
          <w:szCs w:val="32"/>
        </w:rPr>
        <w:t>主要支流</w:t>
      </w:r>
    </w:p>
    <w:p>
      <w:pPr>
        <w:pStyle w:val="1354"/>
        <w:keepNext w:val="0"/>
        <w:keepLines w:val="0"/>
        <w:pageBreakBefore w:val="0"/>
        <w:widowControl w:val="0"/>
        <w:kinsoku/>
        <w:wordWrap/>
        <w:overflowPunct/>
        <w:topLinePunct w:val="0"/>
        <w:autoSpaceDE/>
        <w:autoSpaceDN/>
        <w:bidi w:val="0"/>
        <w:adjustRightInd/>
        <w:snapToGrid/>
        <w:spacing w:line="600" w:lineRule="exact"/>
        <w:ind w:firstLine="560"/>
        <w:textAlignment w:val="auto"/>
      </w:pPr>
      <w:r>
        <w:rPr>
          <w:rFonts w:hint="default" w:ascii="Times New Roman" w:hAnsi="Times New Roman" w:eastAsia="方正仿宋_GBK" w:cs="Times New Roman"/>
          <w:sz w:val="32"/>
          <w:szCs w:val="32"/>
        </w:rPr>
        <w:t>綦江流域形状呈心叶形，水系排列呈树枝状，两岸支流分布大体均匀，东西向平均宽度约90km，南北向平均长度约78km。在綦江的一级支流中，集雨面积大于500km</w:t>
      </w:r>
      <w:r>
        <w:rPr>
          <w:rFonts w:hint="default" w:ascii="Times New Roman" w:hAnsi="Times New Roman" w:eastAsia="方正仿宋_GBK" w:cs="Times New Roman"/>
          <w:sz w:val="32"/>
          <w:szCs w:val="32"/>
          <w:vertAlign w:val="superscript"/>
        </w:rPr>
        <w:t>2</w:t>
      </w:r>
      <w:r>
        <w:rPr>
          <w:rFonts w:hint="default" w:ascii="Times New Roman" w:hAnsi="Times New Roman" w:eastAsia="方正仿宋_GBK" w:cs="Times New Roman"/>
          <w:sz w:val="32"/>
          <w:szCs w:val="32"/>
        </w:rPr>
        <w:t>的河流有藻渡河、蒲河和笋溪河3条，集雨面积大于100km</w:t>
      </w:r>
      <w:r>
        <w:rPr>
          <w:rFonts w:hint="default" w:ascii="Times New Roman" w:hAnsi="Times New Roman" w:eastAsia="方正仿宋_GBK" w:cs="Times New Roman"/>
          <w:sz w:val="32"/>
          <w:szCs w:val="32"/>
          <w:vertAlign w:val="superscript"/>
        </w:rPr>
        <w:t>2</w:t>
      </w:r>
      <w:r>
        <w:rPr>
          <w:rFonts w:hint="default" w:ascii="Times New Roman" w:hAnsi="Times New Roman" w:eastAsia="方正仿宋_GBK" w:cs="Times New Roman"/>
          <w:sz w:val="32"/>
          <w:szCs w:val="32"/>
        </w:rPr>
        <w:t>的河流有11条，其中左岸有夜郎河、观音河、羊渡河、郭扶河、清溪河、笋溪河等6条，右岸有木瓜河、藻渡河、扶欢河、蒲河、通惠河等5条。根据渝水河〔2020〕24号文《重庆市水利局关于印发重庆市第二批河流河道名录登记簿的通知》，主要支流基本情况见表1.2</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1。</w:t>
      </w:r>
    </w:p>
    <w:p>
      <w:pPr>
        <w:pStyle w:val="2312"/>
        <w:ind w:firstLine="240"/>
        <w:rPr>
          <w:rFonts w:hint="eastAsia"/>
        </w:rPr>
      </w:pPr>
      <w:r>
        <w:rPr>
          <w:rFonts w:hint="default" w:ascii="Times New Roman" w:hAnsi="Times New Roman" w:cs="Times New Roman"/>
        </w:rPr>
        <w:t>表1.2</w:t>
      </w:r>
      <w:r>
        <w:rPr>
          <w:rFonts w:hint="default" w:ascii="Times New Roman" w:hAnsi="Times New Roman" w:cs="Times New Roman"/>
          <w:lang w:eastAsia="zh-CN"/>
        </w:rPr>
        <w:t>—</w:t>
      </w:r>
      <w:r>
        <w:rPr>
          <w:rFonts w:hint="default" w:ascii="Times New Roman" w:hAnsi="Times New Roman" w:cs="Times New Roman"/>
        </w:rPr>
        <w:t xml:space="preserve">1 </w:t>
      </w:r>
      <w:r>
        <w:rPr>
          <w:rFonts w:hint="eastAsia"/>
        </w:rPr>
        <w:t xml:space="preserve">                綦江流域主要支流基本情况表</w:t>
      </w:r>
    </w:p>
    <w:tbl>
      <w:tblPr>
        <w:tblStyle w:val="88"/>
        <w:tblW w:w="5000"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108" w:type="dxa"/>
          <w:bottom w:w="0" w:type="dxa"/>
          <w:right w:w="108" w:type="dxa"/>
        </w:tblCellMar>
      </w:tblPr>
      <w:tblGrid>
        <w:gridCol w:w="838"/>
        <w:gridCol w:w="717"/>
        <w:gridCol w:w="1805"/>
        <w:gridCol w:w="1376"/>
        <w:gridCol w:w="1046"/>
        <w:gridCol w:w="1415"/>
        <w:gridCol w:w="2090"/>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4" w:hRule="atLeast"/>
          <w:jc w:val="center"/>
        </w:trPr>
        <w:tc>
          <w:tcPr>
            <w:tcW w:w="1809" w:type="pct"/>
            <w:gridSpan w:val="3"/>
            <w:tcBorders>
              <w:top w:val="single" w:color="auto" w:sz="6" w:space="0"/>
              <w:bottom w:val="single" w:color="auto" w:sz="2" w:space="0"/>
              <w:tl2br w:val="single" w:color="auto" w:sz="4" w:space="0"/>
            </w:tcBorders>
            <w:noWrap w:val="0"/>
            <w:vAlign w:val="center"/>
          </w:tcPr>
          <w:p>
            <w:pPr>
              <w:pStyle w:val="3013"/>
              <w:spacing w:line="240" w:lineRule="exact"/>
              <w:jc w:val="right"/>
              <w:rPr>
                <w:rFonts w:hint="eastAsia"/>
              </w:rPr>
            </w:pPr>
            <w:r>
              <w:rPr>
                <w:rFonts w:hint="eastAsia"/>
              </w:rPr>
              <w:t>项  目</w:t>
            </w:r>
          </w:p>
          <w:p>
            <w:pPr>
              <w:pStyle w:val="3013"/>
              <w:spacing w:line="240" w:lineRule="exact"/>
              <w:jc w:val="left"/>
              <w:rPr>
                <w:rFonts w:hint="eastAsia"/>
              </w:rPr>
            </w:pPr>
            <w:r>
              <w:rPr>
                <w:rFonts w:hint="eastAsia"/>
              </w:rPr>
              <w:t>河  名</w:t>
            </w:r>
          </w:p>
        </w:tc>
        <w:tc>
          <w:tcPr>
            <w:tcW w:w="741" w:type="pct"/>
            <w:noWrap w:val="0"/>
            <w:vAlign w:val="center"/>
          </w:tcPr>
          <w:p>
            <w:pPr>
              <w:pStyle w:val="3013"/>
              <w:spacing w:line="240" w:lineRule="exact"/>
              <w:rPr>
                <w:rFonts w:hint="eastAsia"/>
              </w:rPr>
            </w:pPr>
            <w:r>
              <w:rPr>
                <w:rFonts w:hint="eastAsia"/>
              </w:rPr>
              <w:t>集雨面积</w:t>
            </w:r>
          </w:p>
          <w:p>
            <w:pPr>
              <w:pStyle w:val="3013"/>
              <w:spacing w:line="240" w:lineRule="exact"/>
              <w:rPr>
                <w:rFonts w:hint="eastAsia"/>
              </w:rPr>
            </w:pPr>
            <w:r>
              <w:rPr>
                <w:rFonts w:hint="eastAsia"/>
              </w:rPr>
              <w:t>（km</w:t>
            </w:r>
            <w:r>
              <w:rPr>
                <w:rFonts w:hint="eastAsia"/>
                <w:vertAlign w:val="superscript"/>
              </w:rPr>
              <w:t>2</w:t>
            </w:r>
            <w:r>
              <w:rPr>
                <w:rFonts w:hint="eastAsia"/>
              </w:rPr>
              <w:t>）</w:t>
            </w:r>
          </w:p>
        </w:tc>
        <w:tc>
          <w:tcPr>
            <w:tcW w:w="563" w:type="pct"/>
            <w:noWrap w:val="0"/>
            <w:vAlign w:val="center"/>
          </w:tcPr>
          <w:p>
            <w:pPr>
              <w:pStyle w:val="3013"/>
              <w:spacing w:line="240" w:lineRule="exact"/>
              <w:rPr>
                <w:rFonts w:hint="eastAsia"/>
              </w:rPr>
            </w:pPr>
            <w:r>
              <w:rPr>
                <w:rFonts w:hint="eastAsia"/>
              </w:rPr>
              <w:t>河长</w:t>
            </w:r>
          </w:p>
          <w:p>
            <w:pPr>
              <w:pStyle w:val="3013"/>
              <w:spacing w:line="240" w:lineRule="exact"/>
              <w:rPr>
                <w:rFonts w:hint="eastAsia"/>
              </w:rPr>
            </w:pPr>
            <w:r>
              <w:rPr>
                <w:rFonts w:hint="eastAsia"/>
              </w:rPr>
              <w:t>（km）</w:t>
            </w:r>
          </w:p>
        </w:tc>
        <w:tc>
          <w:tcPr>
            <w:tcW w:w="762" w:type="pct"/>
            <w:noWrap w:val="0"/>
            <w:vAlign w:val="center"/>
          </w:tcPr>
          <w:p>
            <w:pPr>
              <w:pStyle w:val="3013"/>
              <w:spacing w:line="240" w:lineRule="exact"/>
              <w:rPr>
                <w:rFonts w:hint="eastAsia"/>
              </w:rPr>
            </w:pPr>
            <w:r>
              <w:rPr>
                <w:rFonts w:hint="eastAsia"/>
              </w:rPr>
              <w:t>河流平均比降（‰）</w:t>
            </w:r>
          </w:p>
        </w:tc>
        <w:tc>
          <w:tcPr>
            <w:tcW w:w="1125" w:type="pct"/>
            <w:noWrap w:val="0"/>
            <w:vAlign w:val="center"/>
          </w:tcPr>
          <w:p>
            <w:pPr>
              <w:pStyle w:val="3013"/>
              <w:spacing w:line="240" w:lineRule="exact"/>
              <w:rPr>
                <w:rFonts w:hint="eastAsia"/>
              </w:rPr>
            </w:pPr>
            <w:r>
              <w:rPr>
                <w:rFonts w:hint="eastAsia"/>
              </w:rPr>
              <w:t>集雨面积占全流域（%）</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4" w:hRule="atLeast"/>
          <w:jc w:val="center"/>
        </w:trPr>
        <w:tc>
          <w:tcPr>
            <w:tcW w:w="451" w:type="pct"/>
            <w:vMerge w:val="restart"/>
            <w:tcBorders>
              <w:top w:val="single" w:color="auto" w:sz="2" w:space="0"/>
            </w:tcBorders>
            <w:noWrap w:val="0"/>
            <w:vAlign w:val="center"/>
          </w:tcPr>
          <w:p>
            <w:pPr>
              <w:pStyle w:val="3013"/>
              <w:spacing w:line="240" w:lineRule="exact"/>
              <w:rPr>
                <w:rFonts w:hint="eastAsia"/>
              </w:rPr>
            </w:pPr>
            <w:r>
              <w:rPr>
                <w:rFonts w:hint="eastAsia"/>
              </w:rPr>
              <w:t>左</w:t>
            </w:r>
          </w:p>
          <w:p>
            <w:pPr>
              <w:pStyle w:val="3013"/>
              <w:spacing w:line="240" w:lineRule="exact"/>
              <w:rPr>
                <w:rFonts w:hint="eastAsia"/>
              </w:rPr>
            </w:pPr>
            <w:r>
              <w:rPr>
                <w:rFonts w:hint="eastAsia"/>
              </w:rPr>
              <w:t>岸</w:t>
            </w:r>
          </w:p>
        </w:tc>
        <w:tc>
          <w:tcPr>
            <w:tcW w:w="386" w:type="pct"/>
            <w:vMerge w:val="restart"/>
            <w:tcBorders>
              <w:top w:val="single" w:color="auto" w:sz="2" w:space="0"/>
            </w:tcBorders>
            <w:noWrap w:val="0"/>
            <w:vAlign w:val="center"/>
          </w:tcPr>
          <w:p>
            <w:pPr>
              <w:pStyle w:val="3013"/>
              <w:spacing w:line="240" w:lineRule="exact"/>
              <w:rPr>
                <w:rFonts w:hint="eastAsia"/>
              </w:rPr>
            </w:pPr>
            <w:r>
              <w:rPr>
                <w:rFonts w:hint="eastAsia"/>
              </w:rPr>
              <w:t>上游</w:t>
            </w:r>
          </w:p>
        </w:tc>
        <w:tc>
          <w:tcPr>
            <w:tcW w:w="972" w:type="pct"/>
            <w:tcBorders>
              <w:top w:val="single" w:color="auto" w:sz="2" w:space="0"/>
            </w:tcBorders>
            <w:noWrap w:val="0"/>
            <w:vAlign w:val="center"/>
          </w:tcPr>
          <w:p>
            <w:pPr>
              <w:pStyle w:val="3013"/>
              <w:spacing w:line="240" w:lineRule="exact"/>
              <w:rPr>
                <w:rFonts w:hint="eastAsia"/>
              </w:rPr>
            </w:pPr>
            <w:r>
              <w:rPr>
                <w:rFonts w:hint="eastAsia"/>
              </w:rPr>
              <w:t>夜郎河</w:t>
            </w:r>
          </w:p>
        </w:tc>
        <w:tc>
          <w:tcPr>
            <w:tcW w:w="741" w:type="pct"/>
            <w:noWrap w:val="0"/>
            <w:vAlign w:val="center"/>
          </w:tcPr>
          <w:p>
            <w:pPr>
              <w:pStyle w:val="3013"/>
              <w:spacing w:line="240" w:lineRule="exact"/>
              <w:rPr>
                <w:rFonts w:hint="eastAsia"/>
              </w:rPr>
            </w:pPr>
            <w:r>
              <w:rPr>
                <w:rFonts w:hint="eastAsia"/>
              </w:rPr>
              <w:t>295.6</w:t>
            </w:r>
          </w:p>
        </w:tc>
        <w:tc>
          <w:tcPr>
            <w:tcW w:w="563" w:type="pct"/>
            <w:noWrap w:val="0"/>
            <w:vAlign w:val="center"/>
          </w:tcPr>
          <w:p>
            <w:pPr>
              <w:pStyle w:val="3013"/>
              <w:spacing w:line="240" w:lineRule="exact"/>
              <w:rPr>
                <w:rFonts w:hint="eastAsia"/>
              </w:rPr>
            </w:pPr>
            <w:r>
              <w:rPr>
                <w:rFonts w:hint="eastAsia"/>
              </w:rPr>
              <w:t>28.2</w:t>
            </w:r>
          </w:p>
        </w:tc>
        <w:tc>
          <w:tcPr>
            <w:tcW w:w="762" w:type="pct"/>
            <w:noWrap w:val="0"/>
            <w:vAlign w:val="center"/>
          </w:tcPr>
          <w:p>
            <w:pPr>
              <w:pStyle w:val="3013"/>
              <w:spacing w:line="240" w:lineRule="exact"/>
              <w:rPr>
                <w:rFonts w:hint="eastAsia"/>
              </w:rPr>
            </w:pPr>
            <w:r>
              <w:rPr>
                <w:rFonts w:hint="eastAsia"/>
              </w:rPr>
              <w:t>31.3</w:t>
            </w:r>
          </w:p>
        </w:tc>
        <w:tc>
          <w:tcPr>
            <w:tcW w:w="1125" w:type="pct"/>
            <w:noWrap w:val="0"/>
            <w:vAlign w:val="center"/>
          </w:tcPr>
          <w:p>
            <w:pPr>
              <w:pStyle w:val="3013"/>
              <w:spacing w:line="240" w:lineRule="exact"/>
              <w:rPr>
                <w:rFonts w:hint="eastAsia"/>
              </w:rPr>
            </w:pPr>
            <w:r>
              <w:rPr>
                <w:rFonts w:hint="eastAsia"/>
              </w:rPr>
              <w:t>4.17</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4" w:hRule="atLeast"/>
          <w:jc w:val="center"/>
        </w:trPr>
        <w:tc>
          <w:tcPr>
            <w:tcW w:w="451" w:type="pct"/>
            <w:vMerge w:val="continue"/>
            <w:noWrap w:val="0"/>
            <w:vAlign w:val="center"/>
          </w:tcPr>
          <w:p>
            <w:pPr>
              <w:pStyle w:val="3013"/>
              <w:spacing w:line="240" w:lineRule="exact"/>
              <w:rPr>
                <w:rFonts w:hint="eastAsia"/>
              </w:rPr>
            </w:pPr>
          </w:p>
        </w:tc>
        <w:tc>
          <w:tcPr>
            <w:tcW w:w="386" w:type="pct"/>
            <w:vMerge w:val="continue"/>
            <w:noWrap w:val="0"/>
            <w:vAlign w:val="center"/>
          </w:tcPr>
          <w:p>
            <w:pPr>
              <w:pStyle w:val="3013"/>
              <w:spacing w:line="240" w:lineRule="exact"/>
              <w:rPr>
                <w:rFonts w:hint="eastAsia"/>
              </w:rPr>
            </w:pPr>
          </w:p>
        </w:tc>
        <w:tc>
          <w:tcPr>
            <w:tcW w:w="972" w:type="pct"/>
            <w:noWrap w:val="0"/>
            <w:vAlign w:val="center"/>
          </w:tcPr>
          <w:p>
            <w:pPr>
              <w:pStyle w:val="3013"/>
              <w:spacing w:line="240" w:lineRule="exact"/>
              <w:rPr>
                <w:rFonts w:hint="eastAsia"/>
              </w:rPr>
            </w:pPr>
            <w:r>
              <w:rPr>
                <w:rFonts w:hint="eastAsia"/>
              </w:rPr>
              <w:t>观音河（崇溪河）</w:t>
            </w:r>
          </w:p>
        </w:tc>
        <w:tc>
          <w:tcPr>
            <w:tcW w:w="741" w:type="pct"/>
            <w:noWrap w:val="0"/>
            <w:vAlign w:val="center"/>
          </w:tcPr>
          <w:p>
            <w:pPr>
              <w:pStyle w:val="3013"/>
              <w:spacing w:line="240" w:lineRule="exact"/>
              <w:rPr>
                <w:rFonts w:hint="eastAsia"/>
              </w:rPr>
            </w:pPr>
            <w:r>
              <w:rPr>
                <w:rFonts w:hint="eastAsia"/>
              </w:rPr>
              <w:t>112</w:t>
            </w:r>
          </w:p>
        </w:tc>
        <w:tc>
          <w:tcPr>
            <w:tcW w:w="563" w:type="pct"/>
            <w:noWrap w:val="0"/>
            <w:vAlign w:val="center"/>
          </w:tcPr>
          <w:p>
            <w:pPr>
              <w:pStyle w:val="3013"/>
              <w:spacing w:line="240" w:lineRule="exact"/>
              <w:rPr>
                <w:rFonts w:hint="eastAsia"/>
              </w:rPr>
            </w:pPr>
            <w:r>
              <w:rPr>
                <w:rFonts w:hint="eastAsia"/>
              </w:rPr>
              <w:t>18</w:t>
            </w:r>
          </w:p>
        </w:tc>
        <w:tc>
          <w:tcPr>
            <w:tcW w:w="762" w:type="pct"/>
            <w:noWrap w:val="0"/>
            <w:vAlign w:val="center"/>
          </w:tcPr>
          <w:p>
            <w:pPr>
              <w:pStyle w:val="3013"/>
              <w:spacing w:line="240" w:lineRule="exact"/>
              <w:rPr>
                <w:rFonts w:hint="eastAsia"/>
              </w:rPr>
            </w:pPr>
            <w:r>
              <w:rPr>
                <w:rFonts w:hint="eastAsia"/>
              </w:rPr>
              <w:t>23.5</w:t>
            </w:r>
          </w:p>
        </w:tc>
        <w:tc>
          <w:tcPr>
            <w:tcW w:w="1125" w:type="pct"/>
            <w:noWrap w:val="0"/>
            <w:vAlign w:val="center"/>
          </w:tcPr>
          <w:p>
            <w:pPr>
              <w:pStyle w:val="3013"/>
              <w:spacing w:line="240" w:lineRule="exact"/>
              <w:rPr>
                <w:rFonts w:hint="eastAsia"/>
              </w:rPr>
            </w:pPr>
            <w:r>
              <w:rPr>
                <w:rFonts w:hint="eastAsia"/>
              </w:rPr>
              <w:t>1.58</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4" w:hRule="atLeast"/>
          <w:jc w:val="center"/>
        </w:trPr>
        <w:tc>
          <w:tcPr>
            <w:tcW w:w="451" w:type="pct"/>
            <w:vMerge w:val="continue"/>
            <w:noWrap w:val="0"/>
            <w:vAlign w:val="center"/>
          </w:tcPr>
          <w:p>
            <w:pPr>
              <w:pStyle w:val="3013"/>
              <w:spacing w:line="240" w:lineRule="exact"/>
              <w:rPr>
                <w:rFonts w:hint="eastAsia"/>
              </w:rPr>
            </w:pPr>
          </w:p>
        </w:tc>
        <w:tc>
          <w:tcPr>
            <w:tcW w:w="386" w:type="pct"/>
            <w:vMerge w:val="continue"/>
            <w:noWrap w:val="0"/>
            <w:vAlign w:val="center"/>
          </w:tcPr>
          <w:p>
            <w:pPr>
              <w:pStyle w:val="3013"/>
              <w:spacing w:line="240" w:lineRule="exact"/>
              <w:rPr>
                <w:rFonts w:hint="eastAsia"/>
              </w:rPr>
            </w:pPr>
          </w:p>
        </w:tc>
        <w:tc>
          <w:tcPr>
            <w:tcW w:w="972" w:type="pct"/>
            <w:noWrap w:val="0"/>
            <w:vAlign w:val="center"/>
          </w:tcPr>
          <w:p>
            <w:pPr>
              <w:pStyle w:val="3013"/>
              <w:spacing w:line="240" w:lineRule="exact"/>
              <w:rPr>
                <w:rFonts w:hint="eastAsia"/>
              </w:rPr>
            </w:pPr>
            <w:r>
              <w:rPr>
                <w:rFonts w:hint="eastAsia"/>
              </w:rPr>
              <w:t>羊渡河（羊叉河）</w:t>
            </w:r>
          </w:p>
        </w:tc>
        <w:tc>
          <w:tcPr>
            <w:tcW w:w="741" w:type="pct"/>
            <w:noWrap w:val="0"/>
            <w:vAlign w:val="center"/>
          </w:tcPr>
          <w:p>
            <w:pPr>
              <w:pStyle w:val="3013"/>
              <w:spacing w:line="240" w:lineRule="exact"/>
              <w:rPr>
                <w:rFonts w:hint="eastAsia"/>
              </w:rPr>
            </w:pPr>
            <w:r>
              <w:rPr>
                <w:rFonts w:hint="eastAsia"/>
              </w:rPr>
              <w:t>411</w:t>
            </w:r>
          </w:p>
        </w:tc>
        <w:tc>
          <w:tcPr>
            <w:tcW w:w="563" w:type="pct"/>
            <w:noWrap w:val="0"/>
            <w:vAlign w:val="center"/>
          </w:tcPr>
          <w:p>
            <w:pPr>
              <w:pStyle w:val="3013"/>
              <w:spacing w:line="240" w:lineRule="exact"/>
              <w:rPr>
                <w:rFonts w:hint="eastAsia"/>
              </w:rPr>
            </w:pPr>
            <w:r>
              <w:rPr>
                <w:rFonts w:hint="eastAsia"/>
              </w:rPr>
              <w:t>58</w:t>
            </w:r>
          </w:p>
        </w:tc>
        <w:tc>
          <w:tcPr>
            <w:tcW w:w="762" w:type="pct"/>
            <w:noWrap w:val="0"/>
            <w:vAlign w:val="center"/>
          </w:tcPr>
          <w:p>
            <w:pPr>
              <w:pStyle w:val="3013"/>
              <w:spacing w:line="240" w:lineRule="exact"/>
              <w:rPr>
                <w:rFonts w:hint="eastAsia"/>
              </w:rPr>
            </w:pPr>
            <w:r>
              <w:rPr>
                <w:rFonts w:hint="eastAsia"/>
              </w:rPr>
              <w:t>12.8</w:t>
            </w:r>
          </w:p>
        </w:tc>
        <w:tc>
          <w:tcPr>
            <w:tcW w:w="1125" w:type="pct"/>
            <w:noWrap w:val="0"/>
            <w:vAlign w:val="center"/>
          </w:tcPr>
          <w:p>
            <w:pPr>
              <w:pStyle w:val="3013"/>
              <w:spacing w:line="240" w:lineRule="exact"/>
              <w:rPr>
                <w:rFonts w:hint="eastAsia"/>
              </w:rPr>
            </w:pPr>
            <w:r>
              <w:rPr>
                <w:rFonts w:hint="eastAsia"/>
              </w:rPr>
              <w:t>5.80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4" w:hRule="atLeast"/>
          <w:jc w:val="center"/>
        </w:trPr>
        <w:tc>
          <w:tcPr>
            <w:tcW w:w="451" w:type="pct"/>
            <w:vMerge w:val="continue"/>
            <w:noWrap w:val="0"/>
            <w:vAlign w:val="center"/>
          </w:tcPr>
          <w:p>
            <w:pPr>
              <w:pStyle w:val="3013"/>
              <w:spacing w:line="240" w:lineRule="exact"/>
              <w:rPr>
                <w:rFonts w:hint="eastAsia"/>
              </w:rPr>
            </w:pPr>
          </w:p>
        </w:tc>
        <w:tc>
          <w:tcPr>
            <w:tcW w:w="386" w:type="pct"/>
            <w:vMerge w:val="restart"/>
            <w:noWrap w:val="0"/>
            <w:vAlign w:val="center"/>
          </w:tcPr>
          <w:p>
            <w:pPr>
              <w:pStyle w:val="3013"/>
              <w:spacing w:line="240" w:lineRule="exact"/>
              <w:rPr>
                <w:rFonts w:hint="eastAsia"/>
              </w:rPr>
            </w:pPr>
            <w:r>
              <w:rPr>
                <w:rFonts w:hint="eastAsia"/>
              </w:rPr>
              <w:t>中游</w:t>
            </w:r>
          </w:p>
        </w:tc>
        <w:tc>
          <w:tcPr>
            <w:tcW w:w="972" w:type="pct"/>
            <w:noWrap w:val="0"/>
            <w:vAlign w:val="center"/>
          </w:tcPr>
          <w:p>
            <w:pPr>
              <w:pStyle w:val="3013"/>
              <w:spacing w:line="240" w:lineRule="exact"/>
              <w:rPr>
                <w:rFonts w:hint="eastAsia"/>
              </w:rPr>
            </w:pPr>
            <w:r>
              <w:rPr>
                <w:rFonts w:hint="eastAsia"/>
              </w:rPr>
              <w:t>丁山河</w:t>
            </w:r>
          </w:p>
        </w:tc>
        <w:tc>
          <w:tcPr>
            <w:tcW w:w="741" w:type="pct"/>
            <w:noWrap w:val="0"/>
            <w:vAlign w:val="center"/>
          </w:tcPr>
          <w:p>
            <w:pPr>
              <w:pStyle w:val="3013"/>
              <w:spacing w:line="240" w:lineRule="exact"/>
              <w:rPr>
                <w:rFonts w:hint="eastAsia"/>
              </w:rPr>
            </w:pPr>
            <w:r>
              <w:rPr>
                <w:rFonts w:hint="eastAsia"/>
              </w:rPr>
              <w:t>144</w:t>
            </w:r>
          </w:p>
        </w:tc>
        <w:tc>
          <w:tcPr>
            <w:tcW w:w="563" w:type="pct"/>
            <w:noWrap w:val="0"/>
            <w:vAlign w:val="center"/>
          </w:tcPr>
          <w:p>
            <w:pPr>
              <w:pStyle w:val="3013"/>
              <w:spacing w:line="240" w:lineRule="exact"/>
              <w:rPr>
                <w:rFonts w:hint="eastAsia"/>
              </w:rPr>
            </w:pPr>
            <w:r>
              <w:rPr>
                <w:rFonts w:hint="eastAsia"/>
              </w:rPr>
              <w:t>22</w:t>
            </w:r>
          </w:p>
        </w:tc>
        <w:tc>
          <w:tcPr>
            <w:tcW w:w="762" w:type="pct"/>
            <w:noWrap w:val="0"/>
            <w:vAlign w:val="center"/>
          </w:tcPr>
          <w:p>
            <w:pPr>
              <w:pStyle w:val="3013"/>
              <w:spacing w:line="240" w:lineRule="exact"/>
              <w:rPr>
                <w:rFonts w:hint="eastAsia"/>
              </w:rPr>
            </w:pPr>
            <w:r>
              <w:rPr>
                <w:rFonts w:hint="eastAsia"/>
              </w:rPr>
              <w:t>38.7</w:t>
            </w:r>
          </w:p>
        </w:tc>
        <w:tc>
          <w:tcPr>
            <w:tcW w:w="1125" w:type="pct"/>
            <w:noWrap w:val="0"/>
            <w:vAlign w:val="center"/>
          </w:tcPr>
          <w:p>
            <w:pPr>
              <w:pStyle w:val="3013"/>
              <w:spacing w:line="240" w:lineRule="exact"/>
              <w:rPr>
                <w:rFonts w:hint="eastAsia"/>
              </w:rPr>
            </w:pPr>
            <w:r>
              <w:rPr>
                <w:rFonts w:hint="eastAsia"/>
              </w:rPr>
              <w:t>2.03</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4" w:hRule="atLeast"/>
          <w:jc w:val="center"/>
        </w:trPr>
        <w:tc>
          <w:tcPr>
            <w:tcW w:w="451" w:type="pct"/>
            <w:vMerge w:val="continue"/>
            <w:noWrap w:val="0"/>
            <w:vAlign w:val="center"/>
          </w:tcPr>
          <w:p>
            <w:pPr>
              <w:pStyle w:val="3013"/>
              <w:spacing w:line="240" w:lineRule="exact"/>
              <w:rPr>
                <w:rFonts w:hint="eastAsia"/>
              </w:rPr>
            </w:pPr>
          </w:p>
        </w:tc>
        <w:tc>
          <w:tcPr>
            <w:tcW w:w="386" w:type="pct"/>
            <w:vMerge w:val="continue"/>
            <w:noWrap w:val="0"/>
            <w:vAlign w:val="center"/>
          </w:tcPr>
          <w:p>
            <w:pPr>
              <w:pStyle w:val="3013"/>
              <w:spacing w:line="240" w:lineRule="exact"/>
              <w:rPr>
                <w:rFonts w:hint="eastAsia"/>
              </w:rPr>
            </w:pPr>
          </w:p>
        </w:tc>
        <w:tc>
          <w:tcPr>
            <w:tcW w:w="972" w:type="pct"/>
            <w:noWrap w:val="0"/>
            <w:vAlign w:val="center"/>
          </w:tcPr>
          <w:p>
            <w:pPr>
              <w:pStyle w:val="3013"/>
              <w:spacing w:line="240" w:lineRule="exact"/>
              <w:rPr>
                <w:rFonts w:hint="eastAsia"/>
              </w:rPr>
            </w:pPr>
            <w:r>
              <w:rPr>
                <w:rFonts w:hint="eastAsia"/>
              </w:rPr>
              <w:t>镇紫河</w:t>
            </w:r>
          </w:p>
        </w:tc>
        <w:tc>
          <w:tcPr>
            <w:tcW w:w="741" w:type="pct"/>
            <w:noWrap w:val="0"/>
            <w:vAlign w:val="center"/>
          </w:tcPr>
          <w:p>
            <w:pPr>
              <w:pStyle w:val="3013"/>
              <w:spacing w:line="240" w:lineRule="exact"/>
              <w:rPr>
                <w:rFonts w:hint="eastAsia"/>
              </w:rPr>
            </w:pPr>
            <w:r>
              <w:rPr>
                <w:rFonts w:hint="eastAsia"/>
              </w:rPr>
              <w:t>60.9</w:t>
            </w:r>
          </w:p>
        </w:tc>
        <w:tc>
          <w:tcPr>
            <w:tcW w:w="563" w:type="pct"/>
            <w:noWrap w:val="0"/>
            <w:vAlign w:val="center"/>
          </w:tcPr>
          <w:p>
            <w:pPr>
              <w:pStyle w:val="3013"/>
              <w:spacing w:line="240" w:lineRule="exact"/>
              <w:rPr>
                <w:rFonts w:hint="eastAsia"/>
              </w:rPr>
            </w:pPr>
            <w:r>
              <w:rPr>
                <w:rFonts w:hint="eastAsia"/>
              </w:rPr>
              <w:t>14</w:t>
            </w:r>
          </w:p>
        </w:tc>
        <w:tc>
          <w:tcPr>
            <w:tcW w:w="762" w:type="pct"/>
            <w:noWrap w:val="0"/>
            <w:vAlign w:val="center"/>
          </w:tcPr>
          <w:p>
            <w:pPr>
              <w:pStyle w:val="3013"/>
              <w:spacing w:line="240" w:lineRule="exact"/>
              <w:rPr>
                <w:rFonts w:hint="eastAsia"/>
              </w:rPr>
            </w:pPr>
          </w:p>
        </w:tc>
        <w:tc>
          <w:tcPr>
            <w:tcW w:w="1125" w:type="pct"/>
            <w:noWrap w:val="0"/>
            <w:vAlign w:val="center"/>
          </w:tcPr>
          <w:p>
            <w:pPr>
              <w:pStyle w:val="3013"/>
              <w:spacing w:line="240" w:lineRule="exact"/>
              <w:rPr>
                <w:rFonts w:hint="eastAsia"/>
              </w:rPr>
            </w:pPr>
            <w:r>
              <w:rPr>
                <w:rFonts w:hint="eastAsia"/>
              </w:rPr>
              <w:t>0.86</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4" w:hRule="atLeast"/>
          <w:jc w:val="center"/>
        </w:trPr>
        <w:tc>
          <w:tcPr>
            <w:tcW w:w="451" w:type="pct"/>
            <w:vMerge w:val="continue"/>
            <w:noWrap w:val="0"/>
            <w:vAlign w:val="center"/>
          </w:tcPr>
          <w:p>
            <w:pPr>
              <w:pStyle w:val="3013"/>
              <w:spacing w:line="240" w:lineRule="exact"/>
              <w:rPr>
                <w:rFonts w:hint="eastAsia"/>
              </w:rPr>
            </w:pPr>
          </w:p>
        </w:tc>
        <w:tc>
          <w:tcPr>
            <w:tcW w:w="386" w:type="pct"/>
            <w:vMerge w:val="continue"/>
            <w:noWrap w:val="0"/>
            <w:vAlign w:val="center"/>
          </w:tcPr>
          <w:p>
            <w:pPr>
              <w:pStyle w:val="3013"/>
              <w:spacing w:line="240" w:lineRule="exact"/>
              <w:rPr>
                <w:rFonts w:hint="eastAsia"/>
              </w:rPr>
            </w:pPr>
          </w:p>
        </w:tc>
        <w:tc>
          <w:tcPr>
            <w:tcW w:w="972" w:type="pct"/>
            <w:noWrap w:val="0"/>
            <w:vAlign w:val="center"/>
          </w:tcPr>
          <w:p>
            <w:pPr>
              <w:pStyle w:val="3013"/>
              <w:spacing w:line="240" w:lineRule="exact"/>
              <w:rPr>
                <w:rFonts w:hint="eastAsia"/>
              </w:rPr>
            </w:pPr>
            <w:r>
              <w:rPr>
                <w:rFonts w:hint="eastAsia"/>
              </w:rPr>
              <w:t>郭扶河</w:t>
            </w:r>
          </w:p>
        </w:tc>
        <w:tc>
          <w:tcPr>
            <w:tcW w:w="741" w:type="pct"/>
            <w:noWrap w:val="0"/>
            <w:vAlign w:val="center"/>
          </w:tcPr>
          <w:p>
            <w:pPr>
              <w:pStyle w:val="3013"/>
              <w:spacing w:line="240" w:lineRule="exact"/>
              <w:rPr>
                <w:rFonts w:hint="eastAsia"/>
              </w:rPr>
            </w:pPr>
            <w:r>
              <w:rPr>
                <w:rFonts w:hint="eastAsia"/>
              </w:rPr>
              <w:t>114</w:t>
            </w:r>
          </w:p>
        </w:tc>
        <w:tc>
          <w:tcPr>
            <w:tcW w:w="563" w:type="pct"/>
            <w:noWrap w:val="0"/>
            <w:vAlign w:val="center"/>
          </w:tcPr>
          <w:p>
            <w:pPr>
              <w:pStyle w:val="3013"/>
              <w:spacing w:line="240" w:lineRule="exact"/>
              <w:rPr>
                <w:rFonts w:hint="eastAsia"/>
              </w:rPr>
            </w:pPr>
            <w:r>
              <w:rPr>
                <w:rFonts w:hint="eastAsia"/>
              </w:rPr>
              <w:t>25</w:t>
            </w:r>
          </w:p>
        </w:tc>
        <w:tc>
          <w:tcPr>
            <w:tcW w:w="762" w:type="pct"/>
            <w:noWrap w:val="0"/>
            <w:vAlign w:val="center"/>
          </w:tcPr>
          <w:p>
            <w:pPr>
              <w:pStyle w:val="3013"/>
              <w:spacing w:line="240" w:lineRule="exact"/>
              <w:rPr>
                <w:rFonts w:hint="eastAsia"/>
              </w:rPr>
            </w:pPr>
            <w:r>
              <w:rPr>
                <w:rFonts w:hint="eastAsia"/>
              </w:rPr>
              <w:t>17.5</w:t>
            </w:r>
          </w:p>
        </w:tc>
        <w:tc>
          <w:tcPr>
            <w:tcW w:w="1125" w:type="pct"/>
            <w:noWrap w:val="0"/>
            <w:vAlign w:val="center"/>
          </w:tcPr>
          <w:p>
            <w:pPr>
              <w:pStyle w:val="3013"/>
              <w:spacing w:line="240" w:lineRule="exact"/>
              <w:rPr>
                <w:rFonts w:hint="eastAsia"/>
              </w:rPr>
            </w:pPr>
            <w:r>
              <w:rPr>
                <w:rFonts w:hint="eastAsia"/>
              </w:rPr>
              <w:t>1.61</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4" w:hRule="atLeast"/>
          <w:jc w:val="center"/>
        </w:trPr>
        <w:tc>
          <w:tcPr>
            <w:tcW w:w="451" w:type="pct"/>
            <w:vMerge w:val="continue"/>
            <w:noWrap w:val="0"/>
            <w:vAlign w:val="center"/>
          </w:tcPr>
          <w:p>
            <w:pPr>
              <w:pStyle w:val="3013"/>
              <w:spacing w:line="240" w:lineRule="exact"/>
              <w:rPr>
                <w:rFonts w:hint="eastAsia"/>
              </w:rPr>
            </w:pPr>
          </w:p>
        </w:tc>
        <w:tc>
          <w:tcPr>
            <w:tcW w:w="386" w:type="pct"/>
            <w:vMerge w:val="restart"/>
            <w:noWrap w:val="0"/>
            <w:vAlign w:val="center"/>
          </w:tcPr>
          <w:p>
            <w:pPr>
              <w:pStyle w:val="3013"/>
              <w:spacing w:line="240" w:lineRule="exact"/>
              <w:rPr>
                <w:rFonts w:hint="eastAsia"/>
              </w:rPr>
            </w:pPr>
            <w:r>
              <w:rPr>
                <w:rFonts w:hint="eastAsia"/>
              </w:rPr>
              <w:t>下游</w:t>
            </w:r>
          </w:p>
        </w:tc>
        <w:tc>
          <w:tcPr>
            <w:tcW w:w="972" w:type="pct"/>
            <w:noWrap w:val="0"/>
            <w:vAlign w:val="center"/>
          </w:tcPr>
          <w:p>
            <w:pPr>
              <w:pStyle w:val="3013"/>
              <w:spacing w:line="240" w:lineRule="exact"/>
              <w:rPr>
                <w:rFonts w:hint="eastAsia"/>
              </w:rPr>
            </w:pPr>
            <w:r>
              <w:rPr>
                <w:rFonts w:hint="eastAsia"/>
              </w:rPr>
              <w:t>清溪河</w:t>
            </w:r>
          </w:p>
        </w:tc>
        <w:tc>
          <w:tcPr>
            <w:tcW w:w="741" w:type="pct"/>
            <w:noWrap w:val="0"/>
            <w:vAlign w:val="center"/>
          </w:tcPr>
          <w:p>
            <w:pPr>
              <w:pStyle w:val="3013"/>
              <w:spacing w:line="240" w:lineRule="exact"/>
              <w:rPr>
                <w:rFonts w:hint="eastAsia"/>
              </w:rPr>
            </w:pPr>
            <w:r>
              <w:rPr>
                <w:rFonts w:hint="eastAsia"/>
              </w:rPr>
              <w:t>497</w:t>
            </w:r>
          </w:p>
        </w:tc>
        <w:tc>
          <w:tcPr>
            <w:tcW w:w="563" w:type="pct"/>
            <w:noWrap w:val="0"/>
            <w:vAlign w:val="center"/>
          </w:tcPr>
          <w:p>
            <w:pPr>
              <w:pStyle w:val="3013"/>
              <w:spacing w:line="240" w:lineRule="exact"/>
              <w:rPr>
                <w:rFonts w:hint="eastAsia"/>
              </w:rPr>
            </w:pPr>
            <w:r>
              <w:rPr>
                <w:rFonts w:hint="eastAsia"/>
              </w:rPr>
              <w:t>73</w:t>
            </w:r>
          </w:p>
        </w:tc>
        <w:tc>
          <w:tcPr>
            <w:tcW w:w="762" w:type="pct"/>
            <w:noWrap w:val="0"/>
            <w:vAlign w:val="center"/>
          </w:tcPr>
          <w:p>
            <w:pPr>
              <w:pStyle w:val="3013"/>
              <w:spacing w:line="240" w:lineRule="exact"/>
              <w:rPr>
                <w:rFonts w:hint="eastAsia"/>
              </w:rPr>
            </w:pPr>
            <w:r>
              <w:rPr>
                <w:rFonts w:hint="eastAsia"/>
              </w:rPr>
              <w:t>7.54</w:t>
            </w:r>
          </w:p>
        </w:tc>
        <w:tc>
          <w:tcPr>
            <w:tcW w:w="1125" w:type="pct"/>
            <w:noWrap w:val="0"/>
            <w:vAlign w:val="center"/>
          </w:tcPr>
          <w:p>
            <w:pPr>
              <w:pStyle w:val="3013"/>
              <w:spacing w:line="240" w:lineRule="exact"/>
              <w:rPr>
                <w:rFonts w:hint="eastAsia"/>
              </w:rPr>
            </w:pPr>
            <w:r>
              <w:rPr>
                <w:rFonts w:hint="eastAsia"/>
              </w:rPr>
              <w:t>7.01</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4" w:hRule="atLeast"/>
          <w:jc w:val="center"/>
        </w:trPr>
        <w:tc>
          <w:tcPr>
            <w:tcW w:w="451" w:type="pct"/>
            <w:vMerge w:val="continue"/>
            <w:noWrap w:val="0"/>
            <w:vAlign w:val="center"/>
          </w:tcPr>
          <w:p>
            <w:pPr>
              <w:pStyle w:val="3013"/>
              <w:spacing w:line="240" w:lineRule="exact"/>
              <w:rPr>
                <w:rFonts w:hint="eastAsia"/>
              </w:rPr>
            </w:pPr>
          </w:p>
        </w:tc>
        <w:tc>
          <w:tcPr>
            <w:tcW w:w="386" w:type="pct"/>
            <w:vMerge w:val="continue"/>
            <w:noWrap w:val="0"/>
            <w:vAlign w:val="center"/>
          </w:tcPr>
          <w:p>
            <w:pPr>
              <w:pStyle w:val="3013"/>
              <w:spacing w:line="240" w:lineRule="exact"/>
              <w:rPr>
                <w:rFonts w:hint="eastAsia"/>
              </w:rPr>
            </w:pPr>
          </w:p>
        </w:tc>
        <w:tc>
          <w:tcPr>
            <w:tcW w:w="972" w:type="pct"/>
            <w:noWrap w:val="0"/>
            <w:vAlign w:val="center"/>
          </w:tcPr>
          <w:p>
            <w:pPr>
              <w:pStyle w:val="3013"/>
              <w:spacing w:line="240" w:lineRule="exact"/>
              <w:rPr>
                <w:rFonts w:hint="eastAsia"/>
              </w:rPr>
            </w:pPr>
            <w:r>
              <w:rPr>
                <w:rFonts w:hint="eastAsia"/>
              </w:rPr>
              <w:t>笋溪河</w:t>
            </w:r>
          </w:p>
        </w:tc>
        <w:tc>
          <w:tcPr>
            <w:tcW w:w="741" w:type="pct"/>
            <w:noWrap w:val="0"/>
            <w:vAlign w:val="center"/>
          </w:tcPr>
          <w:p>
            <w:pPr>
              <w:pStyle w:val="3013"/>
              <w:spacing w:line="240" w:lineRule="exact"/>
              <w:rPr>
                <w:rFonts w:hint="eastAsia"/>
              </w:rPr>
            </w:pPr>
            <w:r>
              <w:rPr>
                <w:rFonts w:hint="eastAsia"/>
              </w:rPr>
              <w:t>1172</w:t>
            </w:r>
          </w:p>
        </w:tc>
        <w:tc>
          <w:tcPr>
            <w:tcW w:w="563" w:type="pct"/>
            <w:noWrap w:val="0"/>
            <w:vAlign w:val="center"/>
          </w:tcPr>
          <w:p>
            <w:pPr>
              <w:pStyle w:val="3013"/>
              <w:spacing w:line="240" w:lineRule="exact"/>
              <w:rPr>
                <w:rFonts w:hint="eastAsia"/>
              </w:rPr>
            </w:pPr>
            <w:r>
              <w:rPr>
                <w:rFonts w:hint="eastAsia"/>
              </w:rPr>
              <w:t>136</w:t>
            </w:r>
          </w:p>
        </w:tc>
        <w:tc>
          <w:tcPr>
            <w:tcW w:w="762" w:type="pct"/>
            <w:noWrap w:val="0"/>
            <w:vAlign w:val="center"/>
          </w:tcPr>
          <w:p>
            <w:pPr>
              <w:pStyle w:val="3013"/>
              <w:spacing w:line="240" w:lineRule="exact"/>
              <w:rPr>
                <w:rFonts w:hint="eastAsia"/>
              </w:rPr>
            </w:pPr>
            <w:r>
              <w:rPr>
                <w:rFonts w:hint="eastAsia"/>
              </w:rPr>
              <w:t>7.9</w:t>
            </w:r>
          </w:p>
        </w:tc>
        <w:tc>
          <w:tcPr>
            <w:tcW w:w="1125" w:type="pct"/>
            <w:noWrap w:val="0"/>
            <w:vAlign w:val="center"/>
          </w:tcPr>
          <w:p>
            <w:pPr>
              <w:pStyle w:val="3013"/>
              <w:spacing w:line="240" w:lineRule="exact"/>
              <w:rPr>
                <w:rFonts w:hint="eastAsia"/>
              </w:rPr>
            </w:pPr>
            <w:r>
              <w:rPr>
                <w:rFonts w:hint="eastAsia"/>
              </w:rPr>
              <w:t>16.53</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4" w:hRule="atLeast"/>
          <w:jc w:val="center"/>
        </w:trPr>
        <w:tc>
          <w:tcPr>
            <w:tcW w:w="451" w:type="pct"/>
            <w:vMerge w:val="continue"/>
            <w:noWrap w:val="0"/>
            <w:vAlign w:val="center"/>
          </w:tcPr>
          <w:p>
            <w:pPr>
              <w:pStyle w:val="3013"/>
              <w:spacing w:line="240" w:lineRule="exact"/>
              <w:rPr>
                <w:rFonts w:hint="eastAsia"/>
              </w:rPr>
            </w:pPr>
          </w:p>
        </w:tc>
        <w:tc>
          <w:tcPr>
            <w:tcW w:w="386" w:type="pct"/>
            <w:vMerge w:val="continue"/>
            <w:noWrap w:val="0"/>
            <w:vAlign w:val="center"/>
          </w:tcPr>
          <w:p>
            <w:pPr>
              <w:pStyle w:val="3013"/>
              <w:spacing w:line="240" w:lineRule="exact"/>
              <w:rPr>
                <w:rFonts w:hint="eastAsia"/>
              </w:rPr>
            </w:pPr>
          </w:p>
        </w:tc>
        <w:tc>
          <w:tcPr>
            <w:tcW w:w="972" w:type="pct"/>
            <w:noWrap w:val="0"/>
            <w:vAlign w:val="center"/>
          </w:tcPr>
          <w:p>
            <w:pPr>
              <w:pStyle w:val="3013"/>
              <w:spacing w:line="240" w:lineRule="exact"/>
              <w:rPr>
                <w:rFonts w:hint="eastAsia"/>
              </w:rPr>
            </w:pPr>
            <w:r>
              <w:rPr>
                <w:rFonts w:hint="eastAsia"/>
              </w:rPr>
              <w:t>箭溪</w:t>
            </w:r>
          </w:p>
        </w:tc>
        <w:tc>
          <w:tcPr>
            <w:tcW w:w="741" w:type="pct"/>
            <w:noWrap w:val="0"/>
            <w:vAlign w:val="center"/>
          </w:tcPr>
          <w:p>
            <w:pPr>
              <w:pStyle w:val="3013"/>
              <w:spacing w:line="240" w:lineRule="exact"/>
              <w:rPr>
                <w:rFonts w:hint="eastAsia"/>
              </w:rPr>
            </w:pPr>
            <w:r>
              <w:rPr>
                <w:rFonts w:hint="eastAsia"/>
              </w:rPr>
              <w:t>82.4</w:t>
            </w:r>
          </w:p>
        </w:tc>
        <w:tc>
          <w:tcPr>
            <w:tcW w:w="563" w:type="pct"/>
            <w:noWrap w:val="0"/>
            <w:vAlign w:val="center"/>
          </w:tcPr>
          <w:p>
            <w:pPr>
              <w:pStyle w:val="3013"/>
              <w:spacing w:line="240" w:lineRule="exact"/>
              <w:rPr>
                <w:rFonts w:hint="eastAsia"/>
              </w:rPr>
            </w:pPr>
            <w:r>
              <w:rPr>
                <w:rFonts w:hint="eastAsia"/>
              </w:rPr>
              <w:t>22</w:t>
            </w:r>
          </w:p>
        </w:tc>
        <w:tc>
          <w:tcPr>
            <w:tcW w:w="762" w:type="pct"/>
            <w:noWrap w:val="0"/>
            <w:vAlign w:val="center"/>
          </w:tcPr>
          <w:p>
            <w:pPr>
              <w:pStyle w:val="3013"/>
              <w:spacing w:line="240" w:lineRule="exact"/>
              <w:rPr>
                <w:rFonts w:hint="eastAsia"/>
              </w:rPr>
            </w:pPr>
          </w:p>
        </w:tc>
        <w:tc>
          <w:tcPr>
            <w:tcW w:w="1125" w:type="pct"/>
            <w:noWrap w:val="0"/>
            <w:vAlign w:val="center"/>
          </w:tcPr>
          <w:p>
            <w:pPr>
              <w:pStyle w:val="3013"/>
              <w:spacing w:line="240" w:lineRule="exact"/>
              <w:rPr>
                <w:rFonts w:hint="eastAsia"/>
              </w:rPr>
            </w:pPr>
            <w:r>
              <w:rPr>
                <w:rFonts w:hint="eastAsia"/>
              </w:rPr>
              <w:t>1.16</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4" w:hRule="atLeast"/>
          <w:jc w:val="center"/>
        </w:trPr>
        <w:tc>
          <w:tcPr>
            <w:tcW w:w="451" w:type="pct"/>
            <w:vMerge w:val="restart"/>
            <w:noWrap w:val="0"/>
            <w:vAlign w:val="center"/>
          </w:tcPr>
          <w:p>
            <w:pPr>
              <w:pStyle w:val="3013"/>
              <w:spacing w:line="240" w:lineRule="exact"/>
              <w:rPr>
                <w:rFonts w:hint="eastAsia"/>
              </w:rPr>
            </w:pPr>
            <w:r>
              <w:rPr>
                <w:rFonts w:hint="eastAsia"/>
              </w:rPr>
              <w:t>右</w:t>
            </w:r>
          </w:p>
          <w:p>
            <w:pPr>
              <w:pStyle w:val="3013"/>
              <w:spacing w:line="240" w:lineRule="exact"/>
              <w:rPr>
                <w:rFonts w:hint="eastAsia"/>
              </w:rPr>
            </w:pPr>
            <w:r>
              <w:rPr>
                <w:rFonts w:hint="eastAsia"/>
              </w:rPr>
              <w:t>岸</w:t>
            </w:r>
          </w:p>
        </w:tc>
        <w:tc>
          <w:tcPr>
            <w:tcW w:w="386" w:type="pct"/>
            <w:vMerge w:val="restart"/>
            <w:noWrap w:val="0"/>
            <w:vAlign w:val="center"/>
          </w:tcPr>
          <w:p>
            <w:pPr>
              <w:pStyle w:val="3013"/>
              <w:spacing w:line="240" w:lineRule="exact"/>
              <w:rPr>
                <w:rFonts w:hint="eastAsia"/>
              </w:rPr>
            </w:pPr>
            <w:r>
              <w:rPr>
                <w:rFonts w:hint="eastAsia"/>
              </w:rPr>
              <w:t>上游</w:t>
            </w:r>
          </w:p>
        </w:tc>
        <w:tc>
          <w:tcPr>
            <w:tcW w:w="972" w:type="pct"/>
            <w:noWrap w:val="0"/>
            <w:vAlign w:val="center"/>
          </w:tcPr>
          <w:p>
            <w:pPr>
              <w:pStyle w:val="3013"/>
              <w:spacing w:line="240" w:lineRule="exact"/>
              <w:rPr>
                <w:rFonts w:hint="eastAsia"/>
              </w:rPr>
            </w:pPr>
            <w:r>
              <w:rPr>
                <w:rFonts w:hint="eastAsia"/>
              </w:rPr>
              <w:t>木瓜河</w:t>
            </w:r>
          </w:p>
        </w:tc>
        <w:tc>
          <w:tcPr>
            <w:tcW w:w="741" w:type="pct"/>
            <w:noWrap w:val="0"/>
            <w:vAlign w:val="center"/>
          </w:tcPr>
          <w:p>
            <w:pPr>
              <w:pStyle w:val="3013"/>
              <w:spacing w:line="240" w:lineRule="exact"/>
              <w:rPr>
                <w:rFonts w:hint="eastAsia"/>
              </w:rPr>
            </w:pPr>
            <w:r>
              <w:rPr>
                <w:rFonts w:hint="eastAsia"/>
              </w:rPr>
              <w:t>384.8</w:t>
            </w:r>
          </w:p>
        </w:tc>
        <w:tc>
          <w:tcPr>
            <w:tcW w:w="563" w:type="pct"/>
            <w:noWrap w:val="0"/>
            <w:vAlign w:val="center"/>
          </w:tcPr>
          <w:p>
            <w:pPr>
              <w:pStyle w:val="3013"/>
              <w:spacing w:line="240" w:lineRule="exact"/>
              <w:rPr>
                <w:rFonts w:hint="eastAsia"/>
              </w:rPr>
            </w:pPr>
            <w:r>
              <w:rPr>
                <w:rFonts w:hint="eastAsia"/>
              </w:rPr>
              <w:t>39.3</w:t>
            </w:r>
          </w:p>
        </w:tc>
        <w:tc>
          <w:tcPr>
            <w:tcW w:w="762" w:type="pct"/>
            <w:noWrap w:val="0"/>
            <w:vAlign w:val="center"/>
          </w:tcPr>
          <w:p>
            <w:pPr>
              <w:pStyle w:val="3013"/>
              <w:spacing w:line="240" w:lineRule="exact"/>
              <w:rPr>
                <w:rFonts w:hint="eastAsia"/>
              </w:rPr>
            </w:pPr>
            <w:r>
              <w:rPr>
                <w:rFonts w:hint="eastAsia"/>
              </w:rPr>
              <w:t>29.4</w:t>
            </w:r>
          </w:p>
        </w:tc>
        <w:tc>
          <w:tcPr>
            <w:tcW w:w="1125" w:type="pct"/>
            <w:noWrap w:val="0"/>
            <w:vAlign w:val="center"/>
          </w:tcPr>
          <w:p>
            <w:pPr>
              <w:pStyle w:val="3013"/>
              <w:spacing w:line="240" w:lineRule="exact"/>
              <w:rPr>
                <w:rFonts w:hint="eastAsia"/>
              </w:rPr>
            </w:pPr>
            <w:r>
              <w:rPr>
                <w:rFonts w:hint="eastAsia"/>
              </w:rPr>
              <w:t>5.43</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4" w:hRule="atLeast"/>
          <w:jc w:val="center"/>
        </w:trPr>
        <w:tc>
          <w:tcPr>
            <w:tcW w:w="451" w:type="pct"/>
            <w:vMerge w:val="continue"/>
            <w:noWrap w:val="0"/>
            <w:vAlign w:val="center"/>
          </w:tcPr>
          <w:p>
            <w:pPr>
              <w:pStyle w:val="3013"/>
              <w:spacing w:line="240" w:lineRule="exact"/>
              <w:rPr>
                <w:rFonts w:hint="eastAsia"/>
              </w:rPr>
            </w:pPr>
          </w:p>
        </w:tc>
        <w:tc>
          <w:tcPr>
            <w:tcW w:w="386" w:type="pct"/>
            <w:vMerge w:val="continue"/>
            <w:noWrap w:val="0"/>
            <w:vAlign w:val="center"/>
          </w:tcPr>
          <w:p>
            <w:pPr>
              <w:pStyle w:val="3013"/>
              <w:spacing w:line="240" w:lineRule="exact"/>
              <w:rPr>
                <w:rFonts w:hint="eastAsia"/>
              </w:rPr>
            </w:pPr>
          </w:p>
        </w:tc>
        <w:tc>
          <w:tcPr>
            <w:tcW w:w="972" w:type="pct"/>
            <w:noWrap w:val="0"/>
            <w:vAlign w:val="center"/>
          </w:tcPr>
          <w:p>
            <w:pPr>
              <w:pStyle w:val="3013"/>
              <w:spacing w:line="240" w:lineRule="exact"/>
              <w:rPr>
                <w:rFonts w:hint="eastAsia"/>
              </w:rPr>
            </w:pPr>
            <w:r>
              <w:rPr>
                <w:rFonts w:hint="eastAsia"/>
              </w:rPr>
              <w:t>藻渡河</w:t>
            </w:r>
          </w:p>
        </w:tc>
        <w:tc>
          <w:tcPr>
            <w:tcW w:w="741" w:type="pct"/>
            <w:noWrap w:val="0"/>
            <w:vAlign w:val="center"/>
          </w:tcPr>
          <w:p>
            <w:pPr>
              <w:pStyle w:val="3013"/>
              <w:spacing w:line="240" w:lineRule="exact"/>
              <w:rPr>
                <w:rFonts w:hint="eastAsia"/>
              </w:rPr>
            </w:pPr>
            <w:r>
              <w:rPr>
                <w:rFonts w:hint="eastAsia"/>
              </w:rPr>
              <w:t>1189</w:t>
            </w:r>
          </w:p>
        </w:tc>
        <w:tc>
          <w:tcPr>
            <w:tcW w:w="563" w:type="pct"/>
            <w:noWrap w:val="0"/>
            <w:vAlign w:val="center"/>
          </w:tcPr>
          <w:p>
            <w:pPr>
              <w:pStyle w:val="3013"/>
              <w:spacing w:line="240" w:lineRule="exact"/>
              <w:rPr>
                <w:rFonts w:hint="eastAsia"/>
              </w:rPr>
            </w:pPr>
            <w:r>
              <w:rPr>
                <w:rFonts w:hint="eastAsia"/>
              </w:rPr>
              <w:t>102</w:t>
            </w:r>
          </w:p>
        </w:tc>
        <w:tc>
          <w:tcPr>
            <w:tcW w:w="762" w:type="pct"/>
            <w:noWrap w:val="0"/>
            <w:vAlign w:val="center"/>
          </w:tcPr>
          <w:p>
            <w:pPr>
              <w:pStyle w:val="3013"/>
              <w:spacing w:line="240" w:lineRule="exact"/>
              <w:rPr>
                <w:rFonts w:hint="eastAsia"/>
              </w:rPr>
            </w:pPr>
            <w:r>
              <w:rPr>
                <w:rFonts w:hint="eastAsia"/>
              </w:rPr>
              <w:t>15.2</w:t>
            </w:r>
          </w:p>
        </w:tc>
        <w:tc>
          <w:tcPr>
            <w:tcW w:w="1125" w:type="pct"/>
            <w:noWrap w:val="0"/>
            <w:vAlign w:val="center"/>
          </w:tcPr>
          <w:p>
            <w:pPr>
              <w:pStyle w:val="3013"/>
              <w:spacing w:line="240" w:lineRule="exact"/>
              <w:rPr>
                <w:rFonts w:hint="eastAsia"/>
              </w:rPr>
            </w:pPr>
            <w:r>
              <w:rPr>
                <w:rFonts w:hint="eastAsia"/>
              </w:rPr>
              <w:t>16.77</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4" w:hRule="atLeast"/>
          <w:jc w:val="center"/>
        </w:trPr>
        <w:tc>
          <w:tcPr>
            <w:tcW w:w="451" w:type="pct"/>
            <w:vMerge w:val="continue"/>
            <w:noWrap w:val="0"/>
            <w:vAlign w:val="center"/>
          </w:tcPr>
          <w:p>
            <w:pPr>
              <w:pStyle w:val="3013"/>
              <w:spacing w:line="240" w:lineRule="exact"/>
              <w:rPr>
                <w:rFonts w:hint="eastAsia"/>
              </w:rPr>
            </w:pPr>
          </w:p>
        </w:tc>
        <w:tc>
          <w:tcPr>
            <w:tcW w:w="386" w:type="pct"/>
            <w:vMerge w:val="restart"/>
            <w:noWrap w:val="0"/>
            <w:vAlign w:val="center"/>
          </w:tcPr>
          <w:p>
            <w:pPr>
              <w:pStyle w:val="3013"/>
              <w:spacing w:line="240" w:lineRule="exact"/>
              <w:rPr>
                <w:rFonts w:hint="eastAsia"/>
              </w:rPr>
            </w:pPr>
            <w:r>
              <w:rPr>
                <w:rFonts w:hint="eastAsia"/>
              </w:rPr>
              <w:t>中游</w:t>
            </w:r>
          </w:p>
        </w:tc>
        <w:tc>
          <w:tcPr>
            <w:tcW w:w="972" w:type="pct"/>
            <w:noWrap w:val="0"/>
            <w:vAlign w:val="center"/>
          </w:tcPr>
          <w:p>
            <w:pPr>
              <w:pStyle w:val="3013"/>
              <w:spacing w:line="240" w:lineRule="exact"/>
              <w:rPr>
                <w:rFonts w:hint="eastAsia"/>
              </w:rPr>
            </w:pPr>
            <w:r>
              <w:rPr>
                <w:rFonts w:hint="eastAsia"/>
              </w:rPr>
              <w:t>扶欢河（溱溪河）</w:t>
            </w:r>
          </w:p>
        </w:tc>
        <w:tc>
          <w:tcPr>
            <w:tcW w:w="741" w:type="pct"/>
            <w:noWrap w:val="0"/>
            <w:vAlign w:val="center"/>
          </w:tcPr>
          <w:p>
            <w:pPr>
              <w:pStyle w:val="3013"/>
              <w:spacing w:line="240" w:lineRule="exact"/>
              <w:rPr>
                <w:rFonts w:hint="eastAsia"/>
              </w:rPr>
            </w:pPr>
            <w:r>
              <w:rPr>
                <w:rFonts w:hint="eastAsia"/>
              </w:rPr>
              <w:t>133</w:t>
            </w:r>
          </w:p>
        </w:tc>
        <w:tc>
          <w:tcPr>
            <w:tcW w:w="563" w:type="pct"/>
            <w:noWrap w:val="0"/>
            <w:vAlign w:val="center"/>
          </w:tcPr>
          <w:p>
            <w:pPr>
              <w:pStyle w:val="3013"/>
              <w:spacing w:line="240" w:lineRule="exact"/>
              <w:rPr>
                <w:rFonts w:hint="eastAsia"/>
              </w:rPr>
            </w:pPr>
            <w:r>
              <w:rPr>
                <w:rFonts w:hint="eastAsia"/>
              </w:rPr>
              <w:t>25</w:t>
            </w:r>
          </w:p>
        </w:tc>
        <w:tc>
          <w:tcPr>
            <w:tcW w:w="762" w:type="pct"/>
            <w:noWrap w:val="0"/>
            <w:vAlign w:val="center"/>
          </w:tcPr>
          <w:p>
            <w:pPr>
              <w:pStyle w:val="3013"/>
              <w:spacing w:line="240" w:lineRule="exact"/>
              <w:rPr>
                <w:rFonts w:hint="eastAsia"/>
              </w:rPr>
            </w:pPr>
            <w:r>
              <w:rPr>
                <w:rFonts w:hint="eastAsia"/>
              </w:rPr>
              <w:t>21.1</w:t>
            </w:r>
          </w:p>
        </w:tc>
        <w:tc>
          <w:tcPr>
            <w:tcW w:w="1125" w:type="pct"/>
            <w:noWrap w:val="0"/>
            <w:vAlign w:val="center"/>
          </w:tcPr>
          <w:p>
            <w:pPr>
              <w:pStyle w:val="3013"/>
              <w:spacing w:line="240" w:lineRule="exact"/>
              <w:rPr>
                <w:rFonts w:hint="eastAsia"/>
              </w:rPr>
            </w:pPr>
            <w:r>
              <w:rPr>
                <w:rFonts w:hint="eastAsia"/>
              </w:rPr>
              <w:t>1.88</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4" w:hRule="atLeast"/>
          <w:jc w:val="center"/>
        </w:trPr>
        <w:tc>
          <w:tcPr>
            <w:tcW w:w="451" w:type="pct"/>
            <w:vMerge w:val="continue"/>
            <w:noWrap w:val="0"/>
            <w:vAlign w:val="center"/>
          </w:tcPr>
          <w:p>
            <w:pPr>
              <w:pStyle w:val="3013"/>
              <w:spacing w:line="240" w:lineRule="exact"/>
              <w:rPr>
                <w:rFonts w:hint="eastAsia"/>
              </w:rPr>
            </w:pPr>
          </w:p>
        </w:tc>
        <w:tc>
          <w:tcPr>
            <w:tcW w:w="386" w:type="pct"/>
            <w:vMerge w:val="continue"/>
            <w:noWrap w:val="0"/>
            <w:vAlign w:val="center"/>
          </w:tcPr>
          <w:p>
            <w:pPr>
              <w:pStyle w:val="3013"/>
              <w:spacing w:line="240" w:lineRule="exact"/>
              <w:rPr>
                <w:rFonts w:hint="eastAsia"/>
              </w:rPr>
            </w:pPr>
          </w:p>
        </w:tc>
        <w:tc>
          <w:tcPr>
            <w:tcW w:w="972" w:type="pct"/>
            <w:noWrap w:val="0"/>
            <w:vAlign w:val="center"/>
          </w:tcPr>
          <w:p>
            <w:pPr>
              <w:pStyle w:val="3013"/>
              <w:spacing w:line="240" w:lineRule="exact"/>
              <w:rPr>
                <w:rFonts w:hint="eastAsia"/>
              </w:rPr>
            </w:pPr>
            <w:r>
              <w:rPr>
                <w:rFonts w:hint="eastAsia"/>
              </w:rPr>
              <w:t>蒲  河（孝子河）</w:t>
            </w:r>
          </w:p>
        </w:tc>
        <w:tc>
          <w:tcPr>
            <w:tcW w:w="741" w:type="pct"/>
            <w:noWrap w:val="0"/>
            <w:vAlign w:val="center"/>
          </w:tcPr>
          <w:p>
            <w:pPr>
              <w:pStyle w:val="3013"/>
              <w:spacing w:line="240" w:lineRule="exact"/>
              <w:rPr>
                <w:rFonts w:hint="eastAsia"/>
              </w:rPr>
            </w:pPr>
            <w:r>
              <w:rPr>
                <w:rFonts w:hint="eastAsia"/>
              </w:rPr>
              <w:t>833.4</w:t>
            </w:r>
          </w:p>
        </w:tc>
        <w:tc>
          <w:tcPr>
            <w:tcW w:w="563" w:type="pct"/>
            <w:noWrap w:val="0"/>
            <w:vAlign w:val="center"/>
          </w:tcPr>
          <w:p>
            <w:pPr>
              <w:pStyle w:val="3013"/>
              <w:spacing w:line="240" w:lineRule="exact"/>
              <w:rPr>
                <w:rFonts w:hint="eastAsia"/>
              </w:rPr>
            </w:pPr>
            <w:r>
              <w:rPr>
                <w:rFonts w:hint="eastAsia"/>
              </w:rPr>
              <w:t>91</w:t>
            </w:r>
          </w:p>
        </w:tc>
        <w:tc>
          <w:tcPr>
            <w:tcW w:w="762" w:type="pct"/>
            <w:noWrap w:val="0"/>
            <w:vAlign w:val="center"/>
          </w:tcPr>
          <w:p>
            <w:pPr>
              <w:pStyle w:val="3013"/>
              <w:spacing w:line="240" w:lineRule="exact"/>
              <w:rPr>
                <w:rFonts w:hint="eastAsia"/>
              </w:rPr>
            </w:pPr>
            <w:r>
              <w:rPr>
                <w:rFonts w:hint="eastAsia"/>
              </w:rPr>
              <w:t>4.34</w:t>
            </w:r>
          </w:p>
        </w:tc>
        <w:tc>
          <w:tcPr>
            <w:tcW w:w="1125" w:type="pct"/>
            <w:noWrap w:val="0"/>
            <w:vAlign w:val="center"/>
          </w:tcPr>
          <w:p>
            <w:pPr>
              <w:pStyle w:val="3013"/>
              <w:spacing w:line="240" w:lineRule="exact"/>
              <w:rPr>
                <w:rFonts w:hint="eastAsia"/>
              </w:rPr>
            </w:pPr>
            <w:r>
              <w:rPr>
                <w:rFonts w:hint="eastAsia"/>
              </w:rPr>
              <w:t>11.76</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4" w:hRule="atLeast"/>
          <w:jc w:val="center"/>
        </w:trPr>
        <w:tc>
          <w:tcPr>
            <w:tcW w:w="451" w:type="pct"/>
            <w:vMerge w:val="continue"/>
            <w:noWrap w:val="0"/>
            <w:vAlign w:val="center"/>
          </w:tcPr>
          <w:p>
            <w:pPr>
              <w:pStyle w:val="3013"/>
              <w:spacing w:line="240" w:lineRule="exact"/>
              <w:rPr>
                <w:rFonts w:hint="eastAsia"/>
              </w:rPr>
            </w:pPr>
          </w:p>
        </w:tc>
        <w:tc>
          <w:tcPr>
            <w:tcW w:w="386" w:type="pct"/>
            <w:vMerge w:val="continue"/>
            <w:noWrap w:val="0"/>
            <w:vAlign w:val="center"/>
          </w:tcPr>
          <w:p>
            <w:pPr>
              <w:pStyle w:val="3013"/>
              <w:spacing w:line="240" w:lineRule="exact"/>
              <w:rPr>
                <w:rFonts w:hint="eastAsia"/>
              </w:rPr>
            </w:pPr>
          </w:p>
        </w:tc>
        <w:tc>
          <w:tcPr>
            <w:tcW w:w="972" w:type="pct"/>
            <w:noWrap w:val="0"/>
            <w:vAlign w:val="center"/>
          </w:tcPr>
          <w:p>
            <w:pPr>
              <w:pStyle w:val="3013"/>
              <w:spacing w:line="240" w:lineRule="exact"/>
              <w:rPr>
                <w:rFonts w:hint="eastAsia"/>
              </w:rPr>
            </w:pPr>
            <w:r>
              <w:rPr>
                <w:rFonts w:hint="eastAsia"/>
              </w:rPr>
              <w:t>通惠河</w:t>
            </w:r>
          </w:p>
        </w:tc>
        <w:tc>
          <w:tcPr>
            <w:tcW w:w="741" w:type="pct"/>
            <w:noWrap w:val="0"/>
            <w:vAlign w:val="center"/>
          </w:tcPr>
          <w:p>
            <w:pPr>
              <w:pStyle w:val="3013"/>
              <w:spacing w:line="240" w:lineRule="exact"/>
              <w:rPr>
                <w:rFonts w:hint="eastAsia"/>
              </w:rPr>
            </w:pPr>
            <w:r>
              <w:rPr>
                <w:rFonts w:hint="eastAsia"/>
              </w:rPr>
              <w:t>193</w:t>
            </w:r>
          </w:p>
        </w:tc>
        <w:tc>
          <w:tcPr>
            <w:tcW w:w="563" w:type="pct"/>
            <w:noWrap w:val="0"/>
            <w:vAlign w:val="center"/>
          </w:tcPr>
          <w:p>
            <w:pPr>
              <w:pStyle w:val="3013"/>
              <w:spacing w:line="240" w:lineRule="exact"/>
              <w:rPr>
                <w:rFonts w:hint="eastAsia"/>
              </w:rPr>
            </w:pPr>
            <w:r>
              <w:rPr>
                <w:rFonts w:hint="eastAsia"/>
              </w:rPr>
              <w:t>37</w:t>
            </w:r>
          </w:p>
        </w:tc>
        <w:tc>
          <w:tcPr>
            <w:tcW w:w="762" w:type="pct"/>
            <w:noWrap w:val="0"/>
            <w:vAlign w:val="center"/>
          </w:tcPr>
          <w:p>
            <w:pPr>
              <w:pStyle w:val="3013"/>
              <w:spacing w:line="240" w:lineRule="exact"/>
              <w:rPr>
                <w:rFonts w:hint="eastAsia"/>
              </w:rPr>
            </w:pPr>
            <w:r>
              <w:rPr>
                <w:rFonts w:hint="eastAsia"/>
              </w:rPr>
              <w:t>9.54</w:t>
            </w:r>
          </w:p>
        </w:tc>
        <w:tc>
          <w:tcPr>
            <w:tcW w:w="1125" w:type="pct"/>
            <w:noWrap w:val="0"/>
            <w:vAlign w:val="center"/>
          </w:tcPr>
          <w:p>
            <w:pPr>
              <w:pStyle w:val="3013"/>
              <w:spacing w:line="240" w:lineRule="exact"/>
              <w:rPr>
                <w:rFonts w:hint="eastAsia"/>
              </w:rPr>
            </w:pPr>
            <w:r>
              <w:rPr>
                <w:rFonts w:hint="eastAsia"/>
              </w:rPr>
              <w:t>2.72</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4" w:hRule="atLeast"/>
          <w:jc w:val="center"/>
        </w:trPr>
        <w:tc>
          <w:tcPr>
            <w:tcW w:w="451" w:type="pct"/>
            <w:vMerge w:val="continue"/>
            <w:noWrap w:val="0"/>
            <w:vAlign w:val="center"/>
          </w:tcPr>
          <w:p>
            <w:pPr>
              <w:pStyle w:val="3013"/>
              <w:spacing w:line="240" w:lineRule="exact"/>
              <w:rPr>
                <w:rFonts w:hint="eastAsia"/>
              </w:rPr>
            </w:pPr>
          </w:p>
        </w:tc>
        <w:tc>
          <w:tcPr>
            <w:tcW w:w="386" w:type="pct"/>
            <w:vMerge w:val="continue"/>
            <w:noWrap w:val="0"/>
            <w:vAlign w:val="center"/>
          </w:tcPr>
          <w:p>
            <w:pPr>
              <w:pStyle w:val="3013"/>
              <w:spacing w:line="240" w:lineRule="exact"/>
              <w:rPr>
                <w:rFonts w:hint="eastAsia"/>
              </w:rPr>
            </w:pPr>
          </w:p>
        </w:tc>
        <w:tc>
          <w:tcPr>
            <w:tcW w:w="972" w:type="pct"/>
            <w:noWrap w:val="0"/>
            <w:vAlign w:val="center"/>
          </w:tcPr>
          <w:p>
            <w:pPr>
              <w:pStyle w:val="3013"/>
              <w:spacing w:line="240" w:lineRule="exact"/>
              <w:rPr>
                <w:rFonts w:hint="eastAsia"/>
              </w:rPr>
            </w:pPr>
            <w:r>
              <w:rPr>
                <w:rFonts w:hint="eastAsia"/>
              </w:rPr>
              <w:t>新盛河（沙溪河）</w:t>
            </w:r>
          </w:p>
        </w:tc>
        <w:tc>
          <w:tcPr>
            <w:tcW w:w="741" w:type="pct"/>
            <w:noWrap w:val="0"/>
            <w:vAlign w:val="center"/>
          </w:tcPr>
          <w:p>
            <w:pPr>
              <w:pStyle w:val="3013"/>
              <w:spacing w:line="240" w:lineRule="exact"/>
              <w:rPr>
                <w:rFonts w:hint="eastAsia"/>
              </w:rPr>
            </w:pPr>
            <w:r>
              <w:rPr>
                <w:rFonts w:hint="eastAsia"/>
              </w:rPr>
              <w:t>72.7</w:t>
            </w:r>
          </w:p>
        </w:tc>
        <w:tc>
          <w:tcPr>
            <w:tcW w:w="563" w:type="pct"/>
            <w:noWrap w:val="0"/>
            <w:vAlign w:val="center"/>
          </w:tcPr>
          <w:p>
            <w:pPr>
              <w:pStyle w:val="3013"/>
              <w:spacing w:line="240" w:lineRule="exact"/>
              <w:rPr>
                <w:rFonts w:hint="eastAsia"/>
              </w:rPr>
            </w:pPr>
            <w:r>
              <w:rPr>
                <w:rFonts w:hint="eastAsia"/>
              </w:rPr>
              <w:t>22</w:t>
            </w:r>
          </w:p>
        </w:tc>
        <w:tc>
          <w:tcPr>
            <w:tcW w:w="762" w:type="pct"/>
            <w:noWrap w:val="0"/>
            <w:vAlign w:val="center"/>
          </w:tcPr>
          <w:p>
            <w:pPr>
              <w:pStyle w:val="3013"/>
              <w:spacing w:line="240" w:lineRule="exact"/>
              <w:rPr>
                <w:rFonts w:hint="eastAsia"/>
              </w:rPr>
            </w:pPr>
            <w:r>
              <w:rPr>
                <w:rFonts w:hint="eastAsia"/>
              </w:rPr>
              <w:t>9.4</w:t>
            </w:r>
          </w:p>
        </w:tc>
        <w:tc>
          <w:tcPr>
            <w:tcW w:w="1125" w:type="pct"/>
            <w:noWrap w:val="0"/>
            <w:vAlign w:val="center"/>
          </w:tcPr>
          <w:p>
            <w:pPr>
              <w:pStyle w:val="3013"/>
              <w:spacing w:line="240" w:lineRule="exact"/>
              <w:rPr>
                <w:rFonts w:hint="eastAsia"/>
              </w:rPr>
            </w:pPr>
            <w:r>
              <w:rPr>
                <w:rFonts w:hint="eastAsia"/>
              </w:rPr>
              <w:t>1.03</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4" w:hRule="atLeast"/>
          <w:jc w:val="center"/>
        </w:trPr>
        <w:tc>
          <w:tcPr>
            <w:tcW w:w="451" w:type="pct"/>
            <w:vMerge w:val="continue"/>
            <w:noWrap w:val="0"/>
            <w:vAlign w:val="center"/>
          </w:tcPr>
          <w:p>
            <w:pPr>
              <w:pStyle w:val="3013"/>
              <w:spacing w:line="240" w:lineRule="exact"/>
              <w:rPr>
                <w:rFonts w:hint="eastAsia"/>
              </w:rPr>
            </w:pPr>
          </w:p>
        </w:tc>
        <w:tc>
          <w:tcPr>
            <w:tcW w:w="386" w:type="pct"/>
            <w:vMerge w:val="restart"/>
            <w:noWrap w:val="0"/>
            <w:vAlign w:val="center"/>
          </w:tcPr>
          <w:p>
            <w:pPr>
              <w:pStyle w:val="3013"/>
              <w:spacing w:line="240" w:lineRule="exact"/>
              <w:rPr>
                <w:rFonts w:hint="eastAsia"/>
              </w:rPr>
            </w:pPr>
            <w:r>
              <w:rPr>
                <w:rFonts w:hint="eastAsia"/>
              </w:rPr>
              <w:t>下游</w:t>
            </w:r>
          </w:p>
        </w:tc>
        <w:tc>
          <w:tcPr>
            <w:tcW w:w="972" w:type="pct"/>
            <w:noWrap w:val="0"/>
            <w:vAlign w:val="center"/>
          </w:tcPr>
          <w:p>
            <w:pPr>
              <w:pStyle w:val="3013"/>
              <w:spacing w:line="240" w:lineRule="exact"/>
              <w:rPr>
                <w:rFonts w:hint="eastAsia"/>
              </w:rPr>
            </w:pPr>
            <w:r>
              <w:rPr>
                <w:rFonts w:hint="eastAsia"/>
              </w:rPr>
              <w:t>杜市河</w:t>
            </w:r>
          </w:p>
        </w:tc>
        <w:tc>
          <w:tcPr>
            <w:tcW w:w="741" w:type="pct"/>
            <w:noWrap w:val="0"/>
            <w:vAlign w:val="center"/>
          </w:tcPr>
          <w:p>
            <w:pPr>
              <w:pStyle w:val="3013"/>
              <w:spacing w:line="240" w:lineRule="exact"/>
              <w:rPr>
                <w:rFonts w:hint="eastAsia"/>
              </w:rPr>
            </w:pPr>
            <w:r>
              <w:rPr>
                <w:rFonts w:hint="eastAsia"/>
              </w:rPr>
              <w:t>71.4</w:t>
            </w:r>
          </w:p>
        </w:tc>
        <w:tc>
          <w:tcPr>
            <w:tcW w:w="563" w:type="pct"/>
            <w:noWrap w:val="0"/>
            <w:vAlign w:val="center"/>
          </w:tcPr>
          <w:p>
            <w:pPr>
              <w:pStyle w:val="3013"/>
              <w:spacing w:line="240" w:lineRule="exact"/>
              <w:rPr>
                <w:rFonts w:hint="eastAsia"/>
              </w:rPr>
            </w:pPr>
            <w:r>
              <w:rPr>
                <w:rFonts w:hint="eastAsia"/>
              </w:rPr>
              <w:t>27</w:t>
            </w:r>
          </w:p>
        </w:tc>
        <w:tc>
          <w:tcPr>
            <w:tcW w:w="762" w:type="pct"/>
            <w:noWrap w:val="0"/>
            <w:vAlign w:val="center"/>
          </w:tcPr>
          <w:p>
            <w:pPr>
              <w:pStyle w:val="3013"/>
              <w:spacing w:line="240" w:lineRule="exact"/>
              <w:rPr>
                <w:rFonts w:hint="eastAsia"/>
              </w:rPr>
            </w:pPr>
          </w:p>
        </w:tc>
        <w:tc>
          <w:tcPr>
            <w:tcW w:w="1125" w:type="pct"/>
            <w:noWrap w:val="0"/>
            <w:vAlign w:val="center"/>
          </w:tcPr>
          <w:p>
            <w:pPr>
              <w:pStyle w:val="3013"/>
              <w:spacing w:line="240" w:lineRule="exact"/>
              <w:rPr>
                <w:rFonts w:hint="eastAsia"/>
              </w:rPr>
            </w:pPr>
            <w:r>
              <w:rPr>
                <w:rFonts w:hint="eastAsia"/>
              </w:rPr>
              <w:t>1.01</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4" w:hRule="atLeast"/>
          <w:jc w:val="center"/>
        </w:trPr>
        <w:tc>
          <w:tcPr>
            <w:tcW w:w="451" w:type="pct"/>
            <w:vMerge w:val="continue"/>
            <w:noWrap w:val="0"/>
            <w:vAlign w:val="center"/>
          </w:tcPr>
          <w:p>
            <w:pPr>
              <w:pStyle w:val="3013"/>
              <w:spacing w:line="240" w:lineRule="exact"/>
              <w:rPr>
                <w:rFonts w:hint="eastAsia"/>
              </w:rPr>
            </w:pPr>
          </w:p>
        </w:tc>
        <w:tc>
          <w:tcPr>
            <w:tcW w:w="386" w:type="pct"/>
            <w:vMerge w:val="continue"/>
            <w:noWrap w:val="0"/>
            <w:vAlign w:val="center"/>
          </w:tcPr>
          <w:p>
            <w:pPr>
              <w:pStyle w:val="3013"/>
              <w:spacing w:line="240" w:lineRule="exact"/>
              <w:rPr>
                <w:rFonts w:hint="eastAsia"/>
              </w:rPr>
            </w:pPr>
          </w:p>
        </w:tc>
        <w:tc>
          <w:tcPr>
            <w:tcW w:w="972" w:type="pct"/>
            <w:noWrap w:val="0"/>
            <w:vAlign w:val="center"/>
          </w:tcPr>
          <w:p>
            <w:pPr>
              <w:pStyle w:val="3013"/>
              <w:spacing w:line="240" w:lineRule="exact"/>
              <w:rPr>
                <w:rFonts w:hint="eastAsia"/>
              </w:rPr>
            </w:pPr>
            <w:r>
              <w:rPr>
                <w:rFonts w:hint="eastAsia"/>
              </w:rPr>
              <w:t>民福溪</w:t>
            </w:r>
          </w:p>
        </w:tc>
        <w:tc>
          <w:tcPr>
            <w:tcW w:w="741" w:type="pct"/>
            <w:noWrap w:val="0"/>
            <w:vAlign w:val="center"/>
          </w:tcPr>
          <w:p>
            <w:pPr>
              <w:pStyle w:val="3013"/>
              <w:spacing w:line="240" w:lineRule="exact"/>
              <w:rPr>
                <w:rFonts w:hint="eastAsia"/>
              </w:rPr>
            </w:pPr>
            <w:r>
              <w:rPr>
                <w:rFonts w:hint="eastAsia"/>
              </w:rPr>
              <w:t>92</w:t>
            </w:r>
          </w:p>
        </w:tc>
        <w:tc>
          <w:tcPr>
            <w:tcW w:w="563" w:type="pct"/>
            <w:noWrap w:val="0"/>
            <w:vAlign w:val="center"/>
          </w:tcPr>
          <w:p>
            <w:pPr>
              <w:pStyle w:val="3013"/>
              <w:spacing w:line="240" w:lineRule="exact"/>
              <w:rPr>
                <w:rFonts w:hint="eastAsia"/>
              </w:rPr>
            </w:pPr>
            <w:r>
              <w:rPr>
                <w:rFonts w:hint="eastAsia"/>
              </w:rPr>
              <w:t>34</w:t>
            </w:r>
          </w:p>
        </w:tc>
        <w:tc>
          <w:tcPr>
            <w:tcW w:w="762" w:type="pct"/>
            <w:noWrap w:val="0"/>
            <w:vAlign w:val="center"/>
          </w:tcPr>
          <w:p>
            <w:pPr>
              <w:pStyle w:val="3013"/>
              <w:spacing w:line="240" w:lineRule="exact"/>
              <w:rPr>
                <w:rFonts w:hint="eastAsia"/>
              </w:rPr>
            </w:pPr>
          </w:p>
        </w:tc>
        <w:tc>
          <w:tcPr>
            <w:tcW w:w="1125" w:type="pct"/>
            <w:noWrap w:val="0"/>
            <w:vAlign w:val="center"/>
          </w:tcPr>
          <w:p>
            <w:pPr>
              <w:pStyle w:val="3013"/>
              <w:spacing w:line="240" w:lineRule="exact"/>
              <w:rPr>
                <w:rFonts w:hint="eastAsia"/>
              </w:rPr>
            </w:pPr>
            <w:r>
              <w:rPr>
                <w:rFonts w:hint="eastAsia"/>
              </w:rPr>
              <w:t>1.30</w:t>
            </w:r>
          </w:p>
        </w:tc>
      </w:tr>
    </w:tbl>
    <w:p>
      <w:pPr>
        <w:pStyle w:val="2953"/>
        <w:keepNext w:val="0"/>
        <w:keepLines w:val="0"/>
        <w:pageBreakBefore w:val="0"/>
        <w:widowControl w:val="0"/>
        <w:kinsoku/>
        <w:wordWrap/>
        <w:overflowPunct/>
        <w:topLinePunct w:val="0"/>
        <w:autoSpaceDE/>
        <w:autoSpaceDN/>
        <w:bidi w:val="0"/>
        <w:adjustRightInd/>
        <w:snapToGrid/>
        <w:spacing w:line="600" w:lineRule="exact"/>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綦江城区的几条支流情况如下：</w:t>
      </w:r>
    </w:p>
    <w:p>
      <w:pPr>
        <w:pStyle w:val="2953"/>
        <w:keepNext w:val="0"/>
        <w:keepLines w:val="0"/>
        <w:pageBreakBefore w:val="0"/>
        <w:widowControl w:val="0"/>
        <w:kinsoku/>
        <w:wordWrap/>
        <w:overflowPunct/>
        <w:topLinePunct w:val="0"/>
        <w:autoSpaceDE/>
        <w:autoSpaceDN/>
        <w:bidi w:val="0"/>
        <w:adjustRightInd/>
        <w:snapToGrid/>
        <w:spacing w:line="600" w:lineRule="exact"/>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①通惠河：綦江右岸一级支流，古名龙角溪，全长37km，流域面积193km</w:t>
      </w:r>
      <w:r>
        <w:rPr>
          <w:rFonts w:hint="default" w:ascii="Times New Roman" w:hAnsi="Times New Roman" w:eastAsia="方正仿宋_GBK" w:cs="Times New Roman"/>
          <w:sz w:val="32"/>
          <w:szCs w:val="32"/>
          <w:vertAlign w:val="superscript"/>
        </w:rPr>
        <w:t>2</w:t>
      </w:r>
      <w:r>
        <w:rPr>
          <w:rFonts w:hint="default" w:ascii="Times New Roman" w:hAnsi="Times New Roman" w:eastAsia="方正仿宋_GBK" w:cs="Times New Roman"/>
          <w:sz w:val="32"/>
          <w:szCs w:val="32"/>
        </w:rPr>
        <w:t>，綦江区境内河道长度32.3km，流域面积180km</w:t>
      </w:r>
      <w:r>
        <w:rPr>
          <w:rFonts w:hint="default" w:ascii="Times New Roman" w:hAnsi="Times New Roman" w:eastAsia="方正仿宋_GBK" w:cs="Times New Roman"/>
          <w:sz w:val="32"/>
          <w:szCs w:val="32"/>
          <w:vertAlign w:val="superscript"/>
        </w:rPr>
        <w:t>2</w:t>
      </w:r>
      <w:r>
        <w:rPr>
          <w:rFonts w:hint="default" w:ascii="Times New Roman" w:hAnsi="Times New Roman" w:eastAsia="方正仿宋_GBK" w:cs="Times New Roman"/>
          <w:sz w:val="32"/>
          <w:szCs w:val="32"/>
        </w:rPr>
        <w:t>，平均比降9.54‰。</w:t>
      </w:r>
    </w:p>
    <w:p>
      <w:pPr>
        <w:pStyle w:val="2953"/>
        <w:keepNext w:val="0"/>
        <w:keepLines w:val="0"/>
        <w:pageBreakBefore w:val="0"/>
        <w:widowControl w:val="0"/>
        <w:kinsoku/>
        <w:wordWrap/>
        <w:overflowPunct/>
        <w:topLinePunct w:val="0"/>
        <w:autoSpaceDE/>
        <w:autoSpaceDN/>
        <w:bidi w:val="0"/>
        <w:adjustRightInd/>
        <w:snapToGrid/>
        <w:spacing w:line="600" w:lineRule="exact"/>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②沙溪河（又名新盛河，下同）：綦江右岸一级支流，河流总长度22km，流域面积72.7km</w:t>
      </w:r>
      <w:r>
        <w:rPr>
          <w:rFonts w:hint="default" w:ascii="Times New Roman" w:hAnsi="Times New Roman" w:eastAsia="方正仿宋_GBK" w:cs="Times New Roman"/>
          <w:sz w:val="32"/>
          <w:szCs w:val="32"/>
          <w:vertAlign w:val="superscript"/>
        </w:rPr>
        <w:t>2</w:t>
      </w:r>
      <w:r>
        <w:rPr>
          <w:rFonts w:hint="default" w:ascii="Times New Roman" w:hAnsi="Times New Roman" w:eastAsia="方正仿宋_GBK" w:cs="Times New Roman"/>
          <w:sz w:val="32"/>
          <w:szCs w:val="32"/>
        </w:rPr>
        <w:t>。</w:t>
      </w:r>
    </w:p>
    <w:p>
      <w:pPr>
        <w:pStyle w:val="2953"/>
        <w:keepNext w:val="0"/>
        <w:keepLines w:val="0"/>
        <w:pageBreakBefore w:val="0"/>
        <w:widowControl w:val="0"/>
        <w:kinsoku/>
        <w:wordWrap/>
        <w:overflowPunct/>
        <w:topLinePunct w:val="0"/>
        <w:autoSpaceDE/>
        <w:autoSpaceDN/>
        <w:bidi w:val="0"/>
        <w:adjustRightInd/>
        <w:snapToGrid/>
        <w:spacing w:line="600" w:lineRule="exact"/>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③蒲河：綦江河右岸一</w:t>
      </w:r>
      <w:r>
        <w:rPr>
          <w:rFonts w:hint="eastAsia" w:ascii="Times New Roman" w:eastAsia="方正仿宋_GBK" w:cs="Times New Roman"/>
          <w:sz w:val="32"/>
          <w:szCs w:val="32"/>
          <w:lang w:val="en-US" w:eastAsia="zh-CN"/>
        </w:rPr>
        <w:t>级</w:t>
      </w:r>
      <w:r>
        <w:rPr>
          <w:rFonts w:hint="default" w:ascii="Times New Roman" w:hAnsi="Times New Roman" w:eastAsia="方正仿宋_GBK" w:cs="Times New Roman"/>
          <w:sz w:val="32"/>
          <w:szCs w:val="32"/>
        </w:rPr>
        <w:t>支流，全长91km，流域面积833.4km</w:t>
      </w:r>
      <w:r>
        <w:rPr>
          <w:rFonts w:hint="default" w:ascii="Times New Roman" w:hAnsi="Times New Roman" w:eastAsia="方正仿宋_GBK" w:cs="Times New Roman"/>
          <w:sz w:val="32"/>
          <w:szCs w:val="32"/>
          <w:vertAlign w:val="superscript"/>
        </w:rPr>
        <w:t>2</w:t>
      </w:r>
      <w:r>
        <w:rPr>
          <w:rFonts w:hint="default" w:ascii="Times New Roman" w:hAnsi="Times New Roman" w:eastAsia="方正仿宋_GBK" w:cs="Times New Roman"/>
          <w:sz w:val="32"/>
          <w:szCs w:val="32"/>
        </w:rPr>
        <w:t>。其中綦江区境内长约22.1km，流域面积334km</w:t>
      </w:r>
      <w:r>
        <w:rPr>
          <w:rFonts w:hint="default" w:ascii="Times New Roman" w:hAnsi="Times New Roman" w:eastAsia="方正仿宋_GBK" w:cs="Times New Roman"/>
          <w:sz w:val="32"/>
          <w:szCs w:val="32"/>
          <w:vertAlign w:val="superscript"/>
        </w:rPr>
        <w:t>2</w:t>
      </w:r>
      <w:r>
        <w:rPr>
          <w:rFonts w:hint="default" w:ascii="Times New Roman" w:hAnsi="Times New Roman" w:eastAsia="方正仿宋_GBK" w:cs="Times New Roman"/>
          <w:sz w:val="32"/>
          <w:szCs w:val="32"/>
        </w:rPr>
        <w:t>。</w:t>
      </w:r>
    </w:p>
    <w:p>
      <w:pPr>
        <w:pStyle w:val="2953"/>
        <w:keepNext w:val="0"/>
        <w:keepLines w:val="0"/>
        <w:pageBreakBefore w:val="0"/>
        <w:widowControl w:val="0"/>
        <w:kinsoku/>
        <w:wordWrap/>
        <w:overflowPunct/>
        <w:topLinePunct w:val="0"/>
        <w:autoSpaceDE/>
        <w:autoSpaceDN/>
        <w:bidi w:val="0"/>
        <w:adjustRightInd/>
        <w:snapToGrid/>
        <w:spacing w:line="600" w:lineRule="exact"/>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④登瀛河：綦江河右岸一</w:t>
      </w:r>
      <w:r>
        <w:rPr>
          <w:rFonts w:hint="eastAsia" w:ascii="Times New Roman" w:eastAsia="方正仿宋_GBK" w:cs="Times New Roman"/>
          <w:sz w:val="32"/>
          <w:szCs w:val="32"/>
          <w:lang w:val="en-US" w:eastAsia="zh-CN"/>
        </w:rPr>
        <w:t>级</w:t>
      </w:r>
      <w:r>
        <w:rPr>
          <w:rFonts w:hint="default" w:ascii="Times New Roman" w:hAnsi="Times New Roman" w:eastAsia="方正仿宋_GBK" w:cs="Times New Roman"/>
          <w:sz w:val="32"/>
          <w:szCs w:val="32"/>
        </w:rPr>
        <w:t>支流，全长12.67km，流域面积26.2km</w:t>
      </w:r>
      <w:r>
        <w:rPr>
          <w:rFonts w:hint="default" w:ascii="Times New Roman" w:hAnsi="Times New Roman" w:eastAsia="方正仿宋_GBK" w:cs="Times New Roman"/>
          <w:sz w:val="32"/>
          <w:szCs w:val="32"/>
          <w:vertAlign w:val="superscript"/>
        </w:rPr>
        <w:t>2</w:t>
      </w:r>
      <w:r>
        <w:rPr>
          <w:rFonts w:hint="default" w:ascii="Times New Roman" w:hAnsi="Times New Roman" w:eastAsia="方正仿宋_GBK" w:cs="Times New Roman"/>
          <w:sz w:val="32"/>
          <w:szCs w:val="32"/>
        </w:rPr>
        <w:t>，平均比降38.3‰。</w:t>
      </w:r>
    </w:p>
    <w:p>
      <w:pPr>
        <w:pStyle w:val="2953"/>
        <w:keepNext w:val="0"/>
        <w:keepLines w:val="0"/>
        <w:pageBreakBefore w:val="0"/>
        <w:widowControl w:val="0"/>
        <w:kinsoku/>
        <w:wordWrap/>
        <w:overflowPunct/>
        <w:topLinePunct w:val="0"/>
        <w:autoSpaceDE/>
        <w:autoSpaceDN/>
        <w:bidi w:val="0"/>
        <w:adjustRightInd/>
        <w:snapToGrid/>
        <w:spacing w:line="600" w:lineRule="exact"/>
        <w:ind w:firstLine="560"/>
        <w:textAlignment w:val="auto"/>
        <w:rPr>
          <w:rFonts w:hint="eastAsia"/>
        </w:rPr>
      </w:pPr>
      <w:r>
        <w:rPr>
          <w:rFonts w:hint="default" w:ascii="Times New Roman" w:hAnsi="Times New Roman" w:eastAsia="方正仿宋_GBK" w:cs="Times New Roman"/>
          <w:sz w:val="32"/>
          <w:szCs w:val="32"/>
        </w:rPr>
        <w:t>綦江城区水系分布见图1.2</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2。</w:t>
      </w:r>
    </w:p>
    <w:p>
      <w:pPr>
        <w:pStyle w:val="965"/>
        <w:spacing w:line="240" w:lineRule="auto"/>
        <w:rPr>
          <w:rFonts w:hint="eastAsia"/>
          <w:kern w:val="0"/>
          <w:szCs w:val="24"/>
        </w:rPr>
      </w:pPr>
      <w:r>
        <w:rPr>
          <w:rFonts w:hint="eastAsia"/>
          <w:kern w:val="0"/>
          <w:szCs w:val="24"/>
        </w:rPr>
        <w:drawing>
          <wp:inline distT="0" distB="0" distL="114300" distR="114300">
            <wp:extent cx="3094355" cy="4802505"/>
            <wp:effectExtent l="9525" t="9525" r="20320" b="26670"/>
            <wp:docPr id="29" name="图片 227" descr="图1.2-2    綦江城区水系分布图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 name="图片 227" descr="图1.2-2    綦江城区水系分布图1"/>
                    <pic:cNvPicPr>
                      <a:picLocks noChangeAspect="true"/>
                    </pic:cNvPicPr>
                  </pic:nvPicPr>
                  <pic:blipFill>
                    <a:blip r:embed="rId69"/>
                    <a:stretch>
                      <a:fillRect/>
                    </a:stretch>
                  </pic:blipFill>
                  <pic:spPr>
                    <a:xfrm>
                      <a:off x="0" y="0"/>
                      <a:ext cx="3094355" cy="4802505"/>
                    </a:xfrm>
                    <a:prstGeom prst="rect">
                      <a:avLst/>
                    </a:prstGeom>
                    <a:noFill/>
                    <a:ln w="9525" cap="flat" cmpd="sng">
                      <a:solidFill>
                        <a:srgbClr val="000000"/>
                      </a:solidFill>
                      <a:prstDash val="solid"/>
                      <a:miter/>
                      <a:headEnd type="none" w="med" len="med"/>
                      <a:tailEnd type="none" w="med" len="med"/>
                    </a:ln>
                  </pic:spPr>
                </pic:pic>
              </a:graphicData>
            </a:graphic>
          </wp:inline>
        </w:drawing>
      </w:r>
    </w:p>
    <w:p>
      <w:pPr>
        <w:pStyle w:val="2886"/>
        <w:rPr>
          <w:rFonts w:hint="eastAsia"/>
        </w:rPr>
      </w:pPr>
      <w:r>
        <w:rPr>
          <w:rFonts w:hint="eastAsia"/>
        </w:rPr>
        <w:t>图1.</w:t>
      </w:r>
      <w:r>
        <w:t>2</w:t>
      </w:r>
      <w:r>
        <w:rPr>
          <w:rFonts w:hint="eastAsia"/>
          <w:lang w:eastAsia="zh-CN"/>
        </w:rPr>
        <w:t>—</w:t>
      </w:r>
      <w:r>
        <w:rPr>
          <w:rFonts w:hint="eastAsia"/>
        </w:rPr>
        <w:t>2    綦江城区水系分布图</w:t>
      </w:r>
    </w:p>
    <w:p>
      <w:pPr>
        <w:pStyle w:val="2260"/>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2</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rPr>
        <w:t>水文</w:t>
      </w:r>
    </w:p>
    <w:p>
      <w:pPr>
        <w:pStyle w:val="2948"/>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Times New Roman"/>
          <w:sz w:val="32"/>
          <w:szCs w:val="32"/>
        </w:rPr>
      </w:pPr>
      <w:r>
        <w:rPr>
          <w:rFonts w:hint="eastAsia" w:ascii="Times New Roman" w:hAnsi="Times New Roman" w:eastAsia="方正仿宋_GBK" w:cs="Times New Roman"/>
          <w:sz w:val="32"/>
          <w:szCs w:val="32"/>
          <w:lang w:val="en-US" w:eastAsia="zh-CN"/>
        </w:rPr>
        <w:t xml:space="preserve">2.1 </w:t>
      </w:r>
      <w:r>
        <w:rPr>
          <w:rFonts w:hint="default" w:ascii="Times New Roman" w:hAnsi="Times New Roman" w:eastAsia="方正仿宋_GBK" w:cs="Times New Roman"/>
          <w:sz w:val="32"/>
          <w:szCs w:val="32"/>
        </w:rPr>
        <w:t>水文气象</w:t>
      </w:r>
    </w:p>
    <w:p>
      <w:pPr>
        <w:pStyle w:val="2953"/>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綦江流域属亚热带湿润气候区，具有副热带东亚季风特点。具体气候表现为：冬暖、春旱、夏热、秋阴，云多日照少，雨量充沛，灾害性天气较多，光、温、水有明显的地域差异。</w:t>
      </w:r>
    </w:p>
    <w:p>
      <w:pPr>
        <w:pStyle w:val="2953"/>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綦江气象站位于綦江城区古南街道沱湾18号，为国家基本气象站，建于1956年7月13日，1957年1月1日投入使用。根据綦江气象站1970</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2019年相关资料统计，綦江区气象要素特征值见表1.2</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2。境内多年平均气温13℃</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19℃，年内以1月平均气温7.2℃为最低，8月平均气温28.0℃为最高，极端最高气温达44.5℃，极端最低气温为</w:t>
      </w:r>
      <w:r>
        <w:rPr>
          <w:rFonts w:hint="eastAsia" w:ascii="方正仿宋_GBK" w:hAnsi="方正仿宋_GBK" w:eastAsia="方正仿宋_GBK" w:cs="方正仿宋_GBK"/>
          <w:sz w:val="32"/>
          <w:szCs w:val="32"/>
          <w:lang w:val="en-US" w:eastAsia="zh-CN"/>
        </w:rPr>
        <w:t>-</w:t>
      </w:r>
      <w:r>
        <w:rPr>
          <w:rFonts w:hint="default" w:ascii="Times New Roman" w:hAnsi="Times New Roman" w:eastAsia="方正仿宋_GBK" w:cs="Times New Roman"/>
          <w:sz w:val="32"/>
          <w:szCs w:val="32"/>
        </w:rPr>
        <w:t>1.7℃。多年平均降水量1040.1mm，降水时空分布不均匀，最大年降水量1428.4mm（2016年），最小年降水量590.3mm（2011年），沿干流河谷一带雨量较少，向左右两岸分水岭逐步增大，并在藻渡河上游金佛山附近形成一个多雨中心。降水多集中于5</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10月，约占全年的76%</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80%。多年平均蒸发量1495.5mm，多年平均径流深499mm。年平均总积温4780</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6960℃，年平均总日照1206.2h，年平均相对湿度80%左右，全年无霜期250</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350天。多年平均风速1.5m/s，多年平均最大风速10.8m/s，极端最大风速26m/s，最多风向为NW。</w:t>
      </w:r>
    </w:p>
    <w:p>
      <w:pPr>
        <w:pStyle w:val="2953"/>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Times New Roman"/>
          <w:sz w:val="32"/>
          <w:szCs w:val="32"/>
        </w:rPr>
      </w:pPr>
    </w:p>
    <w:p>
      <w:pPr>
        <w:pStyle w:val="2953"/>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Times New Roman"/>
          <w:sz w:val="32"/>
          <w:szCs w:val="32"/>
        </w:rPr>
      </w:pPr>
    </w:p>
    <w:p>
      <w:pPr>
        <w:pStyle w:val="2953"/>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Times New Roman"/>
          <w:sz w:val="32"/>
          <w:szCs w:val="32"/>
        </w:rPr>
      </w:pPr>
    </w:p>
    <w:p>
      <w:pPr>
        <w:pStyle w:val="2312"/>
        <w:ind w:firstLine="240"/>
        <w:rPr>
          <w:rFonts w:hint="eastAsia"/>
        </w:rPr>
      </w:pPr>
      <w:r>
        <w:rPr>
          <w:rFonts w:hint="default" w:ascii="Times New Roman" w:hAnsi="Times New Roman" w:cs="Times New Roman"/>
        </w:rPr>
        <w:t>表1.2</w:t>
      </w:r>
      <w:r>
        <w:rPr>
          <w:rFonts w:hint="default" w:ascii="Times New Roman" w:hAnsi="Times New Roman" w:cs="Times New Roman"/>
          <w:lang w:eastAsia="zh-CN"/>
        </w:rPr>
        <w:t>—</w:t>
      </w:r>
      <w:r>
        <w:rPr>
          <w:rFonts w:hint="default" w:ascii="Times New Roman" w:hAnsi="Times New Roman" w:cs="Times New Roman"/>
        </w:rPr>
        <w:t xml:space="preserve">2  </w:t>
      </w:r>
      <w:r>
        <w:rPr>
          <w:rFonts w:hint="eastAsia"/>
        </w:rPr>
        <w:t xml:space="preserve">             綦江区1970</w:t>
      </w:r>
      <w:r>
        <w:rPr>
          <w:rFonts w:hint="eastAsia"/>
          <w:lang w:eastAsia="zh-CN"/>
        </w:rPr>
        <w:t>—</w:t>
      </w:r>
      <w:r>
        <w:rPr>
          <w:rFonts w:hint="eastAsia"/>
        </w:rPr>
        <w:t>2019年气象要素特征值表</w:t>
      </w:r>
    </w:p>
    <w:tbl>
      <w:tblPr>
        <w:tblStyle w:val="88"/>
        <w:tblW w:w="5000"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fixed"/>
        <w:tblCellMar>
          <w:top w:w="0" w:type="dxa"/>
          <w:left w:w="108" w:type="dxa"/>
          <w:bottom w:w="0" w:type="dxa"/>
          <w:right w:w="108" w:type="dxa"/>
        </w:tblCellMar>
      </w:tblPr>
      <w:tblGrid>
        <w:gridCol w:w="2317"/>
        <w:gridCol w:w="2869"/>
        <w:gridCol w:w="2652"/>
        <w:gridCol w:w="1449"/>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4" w:hRule="atLeast"/>
          <w:jc w:val="center"/>
        </w:trPr>
        <w:tc>
          <w:tcPr>
            <w:tcW w:w="2792" w:type="pct"/>
            <w:gridSpan w:val="2"/>
            <w:noWrap/>
            <w:vAlign w:val="center"/>
          </w:tcPr>
          <w:p>
            <w:pPr>
              <w:pStyle w:val="3013"/>
              <w:rPr>
                <w:rFonts w:hint="eastAsia"/>
              </w:rPr>
            </w:pPr>
            <w:r>
              <w:rPr>
                <w:rFonts w:hint="eastAsia"/>
              </w:rPr>
              <w:t>气象要素</w:t>
            </w:r>
          </w:p>
        </w:tc>
        <w:tc>
          <w:tcPr>
            <w:tcW w:w="1427" w:type="pct"/>
            <w:noWrap/>
            <w:vAlign w:val="center"/>
          </w:tcPr>
          <w:p>
            <w:pPr>
              <w:pStyle w:val="3013"/>
              <w:rPr>
                <w:rFonts w:hint="eastAsia"/>
              </w:rPr>
            </w:pPr>
            <w:r>
              <w:rPr>
                <w:rFonts w:hint="eastAsia"/>
              </w:rPr>
              <w:t>统计值</w:t>
            </w:r>
          </w:p>
        </w:tc>
        <w:tc>
          <w:tcPr>
            <w:tcW w:w="780" w:type="pct"/>
            <w:noWrap/>
            <w:vAlign w:val="center"/>
          </w:tcPr>
          <w:p>
            <w:pPr>
              <w:pStyle w:val="3013"/>
              <w:rPr>
                <w:rFonts w:hint="eastAsia"/>
              </w:rPr>
            </w:pPr>
            <w:r>
              <w:rPr>
                <w:rFonts w:hint="eastAsia"/>
              </w:rPr>
              <w:t>单位</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4" w:hRule="atLeast"/>
          <w:jc w:val="center"/>
        </w:trPr>
        <w:tc>
          <w:tcPr>
            <w:tcW w:w="1247" w:type="pct"/>
            <w:vMerge w:val="restart"/>
            <w:noWrap/>
            <w:vAlign w:val="center"/>
          </w:tcPr>
          <w:p>
            <w:pPr>
              <w:pStyle w:val="3013"/>
              <w:rPr>
                <w:rFonts w:hint="eastAsia"/>
              </w:rPr>
            </w:pPr>
            <w:r>
              <w:rPr>
                <w:rFonts w:hint="eastAsia"/>
              </w:rPr>
              <w:t>气温</w:t>
            </w:r>
          </w:p>
        </w:tc>
        <w:tc>
          <w:tcPr>
            <w:tcW w:w="1544" w:type="pct"/>
            <w:noWrap/>
            <w:vAlign w:val="center"/>
          </w:tcPr>
          <w:p>
            <w:pPr>
              <w:pStyle w:val="3013"/>
              <w:rPr>
                <w:rFonts w:hint="eastAsia"/>
              </w:rPr>
            </w:pPr>
            <w:r>
              <w:rPr>
                <w:rFonts w:hint="eastAsia"/>
              </w:rPr>
              <w:t>多年平均</w:t>
            </w:r>
          </w:p>
        </w:tc>
        <w:tc>
          <w:tcPr>
            <w:tcW w:w="1427" w:type="pct"/>
            <w:noWrap/>
            <w:vAlign w:val="center"/>
          </w:tcPr>
          <w:p>
            <w:pPr>
              <w:pStyle w:val="3013"/>
              <w:rPr>
                <w:rFonts w:hint="eastAsia"/>
              </w:rPr>
            </w:pPr>
            <w:r>
              <w:rPr>
                <w:rFonts w:hint="eastAsia"/>
              </w:rPr>
              <w:t>13</w:t>
            </w:r>
            <w:r>
              <w:rPr>
                <w:rFonts w:hint="eastAsia"/>
                <w:lang w:eastAsia="zh-CN"/>
              </w:rPr>
              <w:t>—</w:t>
            </w:r>
            <w:r>
              <w:rPr>
                <w:rFonts w:hint="eastAsia"/>
              </w:rPr>
              <w:t>19</w:t>
            </w:r>
          </w:p>
        </w:tc>
        <w:tc>
          <w:tcPr>
            <w:tcW w:w="780" w:type="pct"/>
            <w:vMerge w:val="restart"/>
            <w:noWrap/>
            <w:vAlign w:val="center"/>
          </w:tcPr>
          <w:p>
            <w:pPr>
              <w:pStyle w:val="3013"/>
              <w:rPr>
                <w:rFonts w:hint="eastAsia"/>
              </w:rPr>
            </w:pPr>
            <w:r>
              <w:rPr>
                <w:rFonts w:hint="eastAsia"/>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4" w:hRule="atLeast"/>
          <w:jc w:val="center"/>
        </w:trPr>
        <w:tc>
          <w:tcPr>
            <w:tcW w:w="1247" w:type="pct"/>
            <w:vMerge w:val="continue"/>
            <w:noWrap w:val="0"/>
            <w:vAlign w:val="center"/>
          </w:tcPr>
          <w:p>
            <w:pPr>
              <w:pStyle w:val="3013"/>
              <w:rPr>
                <w:rFonts w:hint="eastAsia"/>
              </w:rPr>
            </w:pPr>
          </w:p>
        </w:tc>
        <w:tc>
          <w:tcPr>
            <w:tcW w:w="1544" w:type="pct"/>
            <w:noWrap/>
            <w:vAlign w:val="center"/>
          </w:tcPr>
          <w:p>
            <w:pPr>
              <w:pStyle w:val="3013"/>
              <w:rPr>
                <w:rFonts w:hint="eastAsia"/>
              </w:rPr>
            </w:pPr>
            <w:r>
              <w:rPr>
                <w:rFonts w:hint="eastAsia"/>
              </w:rPr>
              <w:t>极端最高</w:t>
            </w:r>
          </w:p>
        </w:tc>
        <w:tc>
          <w:tcPr>
            <w:tcW w:w="1427" w:type="pct"/>
            <w:noWrap/>
            <w:vAlign w:val="center"/>
          </w:tcPr>
          <w:p>
            <w:pPr>
              <w:pStyle w:val="3013"/>
              <w:rPr>
                <w:rFonts w:hint="eastAsia"/>
              </w:rPr>
            </w:pPr>
            <w:r>
              <w:rPr>
                <w:rFonts w:hint="eastAsia"/>
              </w:rPr>
              <w:t>44.5</w:t>
            </w:r>
          </w:p>
        </w:tc>
        <w:tc>
          <w:tcPr>
            <w:tcW w:w="780" w:type="pct"/>
            <w:vMerge w:val="continue"/>
            <w:noWrap w:val="0"/>
            <w:vAlign w:val="center"/>
          </w:tcPr>
          <w:p>
            <w:pPr>
              <w:pStyle w:val="3013"/>
              <w:rPr>
                <w:rFonts w:hint="eastAsia"/>
              </w:rPr>
            </w:pP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4" w:hRule="atLeast"/>
          <w:jc w:val="center"/>
        </w:trPr>
        <w:tc>
          <w:tcPr>
            <w:tcW w:w="1247" w:type="pct"/>
            <w:vMerge w:val="continue"/>
            <w:noWrap w:val="0"/>
            <w:vAlign w:val="center"/>
          </w:tcPr>
          <w:p>
            <w:pPr>
              <w:pStyle w:val="3013"/>
              <w:rPr>
                <w:rFonts w:hint="eastAsia"/>
              </w:rPr>
            </w:pPr>
          </w:p>
        </w:tc>
        <w:tc>
          <w:tcPr>
            <w:tcW w:w="1544" w:type="pct"/>
            <w:noWrap/>
            <w:vAlign w:val="center"/>
          </w:tcPr>
          <w:p>
            <w:pPr>
              <w:pStyle w:val="3013"/>
              <w:rPr>
                <w:rFonts w:hint="eastAsia"/>
              </w:rPr>
            </w:pPr>
            <w:r>
              <w:rPr>
                <w:rFonts w:hint="eastAsia"/>
              </w:rPr>
              <w:t>极端最低</w:t>
            </w:r>
          </w:p>
        </w:tc>
        <w:tc>
          <w:tcPr>
            <w:tcW w:w="1427" w:type="pct"/>
            <w:noWrap/>
            <w:vAlign w:val="center"/>
          </w:tcPr>
          <w:p>
            <w:pPr>
              <w:pStyle w:val="3013"/>
              <w:rPr>
                <w:rFonts w:hint="eastAsia"/>
              </w:rPr>
            </w:pPr>
            <w:r>
              <w:rPr>
                <w:rFonts w:hint="eastAsia"/>
                <w:lang w:eastAsia="zh-CN"/>
              </w:rPr>
              <w:t>—</w:t>
            </w:r>
            <w:r>
              <w:rPr>
                <w:rFonts w:hint="eastAsia"/>
              </w:rPr>
              <w:t>1.7</w:t>
            </w:r>
          </w:p>
        </w:tc>
        <w:tc>
          <w:tcPr>
            <w:tcW w:w="780" w:type="pct"/>
            <w:vMerge w:val="continue"/>
            <w:noWrap w:val="0"/>
            <w:vAlign w:val="center"/>
          </w:tcPr>
          <w:p>
            <w:pPr>
              <w:pStyle w:val="3013"/>
              <w:rPr>
                <w:rFonts w:hint="eastAsia"/>
              </w:rPr>
            </w:pP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4" w:hRule="atLeast"/>
          <w:jc w:val="center"/>
        </w:trPr>
        <w:tc>
          <w:tcPr>
            <w:tcW w:w="1247" w:type="pct"/>
            <w:vMerge w:val="restart"/>
            <w:noWrap/>
            <w:vAlign w:val="center"/>
          </w:tcPr>
          <w:p>
            <w:pPr>
              <w:pStyle w:val="3013"/>
              <w:rPr>
                <w:rFonts w:hint="eastAsia"/>
              </w:rPr>
            </w:pPr>
            <w:r>
              <w:rPr>
                <w:rFonts w:hint="eastAsia"/>
              </w:rPr>
              <w:t>降水</w:t>
            </w:r>
          </w:p>
        </w:tc>
        <w:tc>
          <w:tcPr>
            <w:tcW w:w="1544" w:type="pct"/>
            <w:noWrap/>
            <w:vAlign w:val="center"/>
          </w:tcPr>
          <w:p>
            <w:pPr>
              <w:pStyle w:val="3013"/>
              <w:rPr>
                <w:rFonts w:hint="eastAsia"/>
              </w:rPr>
            </w:pPr>
            <w:r>
              <w:rPr>
                <w:rFonts w:hint="eastAsia"/>
              </w:rPr>
              <w:t>多年平均</w:t>
            </w:r>
          </w:p>
        </w:tc>
        <w:tc>
          <w:tcPr>
            <w:tcW w:w="1427" w:type="pct"/>
            <w:noWrap/>
            <w:vAlign w:val="center"/>
          </w:tcPr>
          <w:p>
            <w:pPr>
              <w:pStyle w:val="3013"/>
              <w:rPr>
                <w:rFonts w:hint="eastAsia"/>
              </w:rPr>
            </w:pPr>
            <w:r>
              <w:rPr>
                <w:rFonts w:hint="eastAsia"/>
              </w:rPr>
              <w:t>1040.1</w:t>
            </w:r>
          </w:p>
        </w:tc>
        <w:tc>
          <w:tcPr>
            <w:tcW w:w="780" w:type="pct"/>
            <w:vMerge w:val="restart"/>
            <w:noWrap/>
            <w:vAlign w:val="center"/>
          </w:tcPr>
          <w:p>
            <w:pPr>
              <w:pStyle w:val="3013"/>
              <w:rPr>
                <w:rFonts w:hint="eastAsia"/>
              </w:rPr>
            </w:pPr>
            <w:r>
              <w:rPr>
                <w:rFonts w:hint="eastAsia"/>
              </w:rPr>
              <w:t>mm</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4" w:hRule="atLeast"/>
          <w:jc w:val="center"/>
        </w:trPr>
        <w:tc>
          <w:tcPr>
            <w:tcW w:w="1247" w:type="pct"/>
            <w:vMerge w:val="continue"/>
            <w:noWrap w:val="0"/>
            <w:vAlign w:val="center"/>
          </w:tcPr>
          <w:p>
            <w:pPr>
              <w:pStyle w:val="3013"/>
              <w:rPr>
                <w:rFonts w:hint="eastAsia"/>
              </w:rPr>
            </w:pPr>
          </w:p>
        </w:tc>
        <w:tc>
          <w:tcPr>
            <w:tcW w:w="1544" w:type="pct"/>
            <w:noWrap/>
            <w:vAlign w:val="center"/>
          </w:tcPr>
          <w:p>
            <w:pPr>
              <w:pStyle w:val="3013"/>
              <w:rPr>
                <w:rFonts w:hint="eastAsia"/>
              </w:rPr>
            </w:pPr>
            <w:r>
              <w:rPr>
                <w:rFonts w:hint="eastAsia"/>
              </w:rPr>
              <w:t>历年最大</w:t>
            </w:r>
          </w:p>
        </w:tc>
        <w:tc>
          <w:tcPr>
            <w:tcW w:w="1427" w:type="pct"/>
            <w:noWrap/>
            <w:vAlign w:val="center"/>
          </w:tcPr>
          <w:p>
            <w:pPr>
              <w:pStyle w:val="3013"/>
              <w:rPr>
                <w:rFonts w:hint="eastAsia"/>
              </w:rPr>
            </w:pPr>
            <w:r>
              <w:rPr>
                <w:rFonts w:hint="eastAsia"/>
              </w:rPr>
              <w:t>1428.4</w:t>
            </w:r>
          </w:p>
        </w:tc>
        <w:tc>
          <w:tcPr>
            <w:tcW w:w="780" w:type="pct"/>
            <w:vMerge w:val="continue"/>
            <w:noWrap w:val="0"/>
            <w:vAlign w:val="center"/>
          </w:tcPr>
          <w:p>
            <w:pPr>
              <w:pStyle w:val="3013"/>
              <w:rPr>
                <w:rFonts w:hint="eastAsia"/>
              </w:rPr>
            </w:pP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4" w:hRule="atLeast"/>
          <w:jc w:val="center"/>
        </w:trPr>
        <w:tc>
          <w:tcPr>
            <w:tcW w:w="1247" w:type="pct"/>
            <w:vMerge w:val="continue"/>
            <w:noWrap w:val="0"/>
            <w:vAlign w:val="center"/>
          </w:tcPr>
          <w:p>
            <w:pPr>
              <w:pStyle w:val="3013"/>
              <w:rPr>
                <w:rFonts w:hint="eastAsia"/>
              </w:rPr>
            </w:pPr>
          </w:p>
        </w:tc>
        <w:tc>
          <w:tcPr>
            <w:tcW w:w="1544" w:type="pct"/>
            <w:noWrap/>
            <w:vAlign w:val="center"/>
          </w:tcPr>
          <w:p>
            <w:pPr>
              <w:pStyle w:val="3013"/>
              <w:rPr>
                <w:rFonts w:hint="eastAsia"/>
              </w:rPr>
            </w:pPr>
            <w:r>
              <w:rPr>
                <w:rFonts w:hint="eastAsia"/>
              </w:rPr>
              <w:t>历年最小</w:t>
            </w:r>
          </w:p>
        </w:tc>
        <w:tc>
          <w:tcPr>
            <w:tcW w:w="1427" w:type="pct"/>
            <w:noWrap/>
            <w:vAlign w:val="center"/>
          </w:tcPr>
          <w:p>
            <w:pPr>
              <w:pStyle w:val="3013"/>
              <w:rPr>
                <w:rFonts w:hint="eastAsia"/>
              </w:rPr>
            </w:pPr>
            <w:r>
              <w:rPr>
                <w:rFonts w:hint="eastAsia"/>
              </w:rPr>
              <w:t>590.3</w:t>
            </w:r>
          </w:p>
        </w:tc>
        <w:tc>
          <w:tcPr>
            <w:tcW w:w="780" w:type="pct"/>
            <w:vMerge w:val="continue"/>
            <w:noWrap w:val="0"/>
            <w:vAlign w:val="center"/>
          </w:tcPr>
          <w:p>
            <w:pPr>
              <w:pStyle w:val="3013"/>
              <w:rPr>
                <w:rFonts w:hint="eastAsia"/>
              </w:rPr>
            </w:pP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4" w:hRule="atLeast"/>
          <w:jc w:val="center"/>
        </w:trPr>
        <w:tc>
          <w:tcPr>
            <w:tcW w:w="1247" w:type="pct"/>
            <w:noWrap/>
            <w:vAlign w:val="center"/>
          </w:tcPr>
          <w:p>
            <w:pPr>
              <w:pStyle w:val="3013"/>
              <w:rPr>
                <w:rFonts w:hint="eastAsia"/>
              </w:rPr>
            </w:pPr>
            <w:r>
              <w:rPr>
                <w:rFonts w:hint="eastAsia"/>
              </w:rPr>
              <w:t>相对湿度</w:t>
            </w:r>
          </w:p>
        </w:tc>
        <w:tc>
          <w:tcPr>
            <w:tcW w:w="1544" w:type="pct"/>
            <w:noWrap/>
            <w:vAlign w:val="center"/>
          </w:tcPr>
          <w:p>
            <w:pPr>
              <w:pStyle w:val="3013"/>
              <w:rPr>
                <w:rFonts w:hint="eastAsia"/>
              </w:rPr>
            </w:pPr>
            <w:r>
              <w:rPr>
                <w:rFonts w:hint="eastAsia"/>
              </w:rPr>
              <w:t>多年平均</w:t>
            </w:r>
          </w:p>
        </w:tc>
        <w:tc>
          <w:tcPr>
            <w:tcW w:w="1427" w:type="pct"/>
            <w:noWrap/>
            <w:vAlign w:val="center"/>
          </w:tcPr>
          <w:p>
            <w:pPr>
              <w:pStyle w:val="3013"/>
              <w:rPr>
                <w:rFonts w:hint="eastAsia"/>
              </w:rPr>
            </w:pPr>
            <w:r>
              <w:rPr>
                <w:rFonts w:hint="eastAsia"/>
              </w:rPr>
              <w:t xml:space="preserve">80 </w:t>
            </w:r>
          </w:p>
        </w:tc>
        <w:tc>
          <w:tcPr>
            <w:tcW w:w="780" w:type="pct"/>
            <w:noWrap/>
            <w:vAlign w:val="center"/>
          </w:tcPr>
          <w:p>
            <w:pPr>
              <w:pStyle w:val="3013"/>
              <w:rPr>
                <w:rFonts w:hint="eastAsia"/>
              </w:rPr>
            </w:pPr>
            <w:r>
              <w:rPr>
                <w:rFonts w:hint="eastAsia"/>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1247" w:type="pct"/>
            <w:noWrap/>
            <w:vAlign w:val="center"/>
          </w:tcPr>
          <w:p>
            <w:pPr>
              <w:pStyle w:val="3013"/>
              <w:rPr>
                <w:rFonts w:hint="eastAsia"/>
              </w:rPr>
            </w:pPr>
            <w:r>
              <w:rPr>
                <w:rFonts w:hint="eastAsia"/>
              </w:rPr>
              <w:t>蒸发</w:t>
            </w:r>
          </w:p>
        </w:tc>
        <w:tc>
          <w:tcPr>
            <w:tcW w:w="1544" w:type="pct"/>
            <w:noWrap/>
            <w:vAlign w:val="center"/>
          </w:tcPr>
          <w:p>
            <w:pPr>
              <w:pStyle w:val="3013"/>
              <w:rPr>
                <w:rFonts w:hint="eastAsia"/>
              </w:rPr>
            </w:pPr>
            <w:r>
              <w:rPr>
                <w:rFonts w:hint="eastAsia"/>
              </w:rPr>
              <w:t>多年平均</w:t>
            </w:r>
          </w:p>
        </w:tc>
        <w:tc>
          <w:tcPr>
            <w:tcW w:w="1427" w:type="pct"/>
            <w:noWrap/>
            <w:vAlign w:val="center"/>
          </w:tcPr>
          <w:p>
            <w:pPr>
              <w:pStyle w:val="3013"/>
              <w:rPr>
                <w:rFonts w:hint="eastAsia"/>
              </w:rPr>
            </w:pPr>
            <w:r>
              <w:rPr>
                <w:rFonts w:hint="eastAsia"/>
              </w:rPr>
              <w:t>1495.5</w:t>
            </w:r>
          </w:p>
        </w:tc>
        <w:tc>
          <w:tcPr>
            <w:tcW w:w="780" w:type="pct"/>
            <w:noWrap/>
            <w:vAlign w:val="center"/>
          </w:tcPr>
          <w:p>
            <w:pPr>
              <w:pStyle w:val="3013"/>
              <w:rPr>
                <w:rFonts w:hint="eastAsia"/>
              </w:rPr>
            </w:pPr>
            <w:r>
              <w:rPr>
                <w:rFonts w:hint="eastAsia"/>
              </w:rPr>
              <w:t>mm</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1247" w:type="pct"/>
            <w:vMerge w:val="restart"/>
            <w:noWrap/>
            <w:vAlign w:val="center"/>
          </w:tcPr>
          <w:p>
            <w:pPr>
              <w:pStyle w:val="3013"/>
              <w:rPr>
                <w:rFonts w:hint="eastAsia"/>
              </w:rPr>
            </w:pPr>
            <w:r>
              <w:rPr>
                <w:rFonts w:hint="eastAsia"/>
              </w:rPr>
              <w:t>风</w:t>
            </w:r>
          </w:p>
        </w:tc>
        <w:tc>
          <w:tcPr>
            <w:tcW w:w="1544" w:type="pct"/>
            <w:noWrap/>
            <w:vAlign w:val="center"/>
          </w:tcPr>
          <w:p>
            <w:pPr>
              <w:pStyle w:val="3013"/>
              <w:rPr>
                <w:rFonts w:hint="eastAsia"/>
              </w:rPr>
            </w:pPr>
            <w:r>
              <w:rPr>
                <w:rFonts w:hint="eastAsia"/>
              </w:rPr>
              <w:t>多年平均</w:t>
            </w:r>
          </w:p>
        </w:tc>
        <w:tc>
          <w:tcPr>
            <w:tcW w:w="1427" w:type="pct"/>
            <w:noWrap/>
            <w:vAlign w:val="center"/>
          </w:tcPr>
          <w:p>
            <w:pPr>
              <w:pStyle w:val="3013"/>
              <w:rPr>
                <w:rFonts w:hint="eastAsia"/>
              </w:rPr>
            </w:pPr>
            <w:r>
              <w:rPr>
                <w:rFonts w:hint="eastAsia"/>
              </w:rPr>
              <w:t>1.5</w:t>
            </w:r>
          </w:p>
        </w:tc>
        <w:tc>
          <w:tcPr>
            <w:tcW w:w="780" w:type="pct"/>
            <w:noWrap/>
            <w:vAlign w:val="center"/>
          </w:tcPr>
          <w:p>
            <w:pPr>
              <w:pStyle w:val="3013"/>
              <w:rPr>
                <w:rFonts w:hint="eastAsia"/>
              </w:rPr>
            </w:pPr>
            <w:r>
              <w:rPr>
                <w:rFonts w:hint="eastAsia"/>
              </w:rPr>
              <w:t>m/s</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1247" w:type="pct"/>
            <w:vMerge w:val="continue"/>
            <w:noWrap w:val="0"/>
            <w:vAlign w:val="center"/>
          </w:tcPr>
          <w:p>
            <w:pPr>
              <w:pStyle w:val="3013"/>
              <w:rPr>
                <w:rFonts w:hint="eastAsia"/>
              </w:rPr>
            </w:pPr>
          </w:p>
        </w:tc>
        <w:tc>
          <w:tcPr>
            <w:tcW w:w="1544" w:type="pct"/>
            <w:noWrap/>
            <w:vAlign w:val="center"/>
          </w:tcPr>
          <w:p>
            <w:pPr>
              <w:pStyle w:val="3013"/>
              <w:rPr>
                <w:rFonts w:hint="eastAsia"/>
              </w:rPr>
            </w:pPr>
            <w:r>
              <w:rPr>
                <w:rFonts w:hint="eastAsia"/>
              </w:rPr>
              <w:t>最大风速</w:t>
            </w:r>
          </w:p>
        </w:tc>
        <w:tc>
          <w:tcPr>
            <w:tcW w:w="1427" w:type="pct"/>
            <w:noWrap/>
            <w:vAlign w:val="center"/>
          </w:tcPr>
          <w:p>
            <w:pPr>
              <w:pStyle w:val="3013"/>
              <w:rPr>
                <w:rFonts w:hint="eastAsia"/>
              </w:rPr>
            </w:pPr>
            <w:r>
              <w:rPr>
                <w:rFonts w:hint="eastAsia"/>
              </w:rPr>
              <w:t>10.8</w:t>
            </w:r>
          </w:p>
        </w:tc>
        <w:tc>
          <w:tcPr>
            <w:tcW w:w="780" w:type="pct"/>
            <w:noWrap/>
            <w:vAlign w:val="center"/>
          </w:tcPr>
          <w:p>
            <w:pPr>
              <w:pStyle w:val="3013"/>
              <w:rPr>
                <w:rFonts w:hint="eastAsia"/>
              </w:rPr>
            </w:pPr>
            <w:r>
              <w:rPr>
                <w:rFonts w:hint="eastAsia"/>
              </w:rPr>
              <w:t>m/s</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1247" w:type="pct"/>
            <w:vMerge w:val="continue"/>
            <w:noWrap w:val="0"/>
            <w:vAlign w:val="center"/>
          </w:tcPr>
          <w:p>
            <w:pPr>
              <w:pStyle w:val="3013"/>
              <w:rPr>
                <w:rFonts w:hint="eastAsia"/>
              </w:rPr>
            </w:pPr>
          </w:p>
        </w:tc>
        <w:tc>
          <w:tcPr>
            <w:tcW w:w="1544" w:type="pct"/>
            <w:noWrap/>
            <w:vAlign w:val="center"/>
          </w:tcPr>
          <w:p>
            <w:pPr>
              <w:pStyle w:val="3013"/>
              <w:rPr>
                <w:rFonts w:hint="eastAsia"/>
              </w:rPr>
            </w:pPr>
            <w:r>
              <w:rPr>
                <w:rFonts w:hint="eastAsia"/>
              </w:rPr>
              <w:t>极端最大</w:t>
            </w:r>
          </w:p>
        </w:tc>
        <w:tc>
          <w:tcPr>
            <w:tcW w:w="1427" w:type="pct"/>
            <w:noWrap/>
            <w:vAlign w:val="center"/>
          </w:tcPr>
          <w:p>
            <w:pPr>
              <w:pStyle w:val="3013"/>
              <w:rPr>
                <w:rFonts w:hint="eastAsia"/>
              </w:rPr>
            </w:pPr>
            <w:r>
              <w:rPr>
                <w:rFonts w:hint="eastAsia"/>
              </w:rPr>
              <w:t>26</w:t>
            </w:r>
          </w:p>
        </w:tc>
        <w:tc>
          <w:tcPr>
            <w:tcW w:w="780" w:type="pct"/>
            <w:noWrap/>
            <w:vAlign w:val="center"/>
          </w:tcPr>
          <w:p>
            <w:pPr>
              <w:pStyle w:val="3013"/>
              <w:rPr>
                <w:rFonts w:hint="eastAsia"/>
              </w:rPr>
            </w:pPr>
            <w:r>
              <w:rPr>
                <w:rFonts w:hint="eastAsia"/>
              </w:rPr>
              <w:t>m/s</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1247" w:type="pct"/>
            <w:vMerge w:val="continue"/>
            <w:noWrap w:val="0"/>
            <w:vAlign w:val="center"/>
          </w:tcPr>
          <w:p>
            <w:pPr>
              <w:pStyle w:val="3013"/>
              <w:rPr>
                <w:rFonts w:hint="eastAsia"/>
              </w:rPr>
            </w:pPr>
          </w:p>
        </w:tc>
        <w:tc>
          <w:tcPr>
            <w:tcW w:w="1544" w:type="pct"/>
            <w:noWrap/>
            <w:vAlign w:val="center"/>
          </w:tcPr>
          <w:p>
            <w:pPr>
              <w:pStyle w:val="3013"/>
              <w:rPr>
                <w:rFonts w:hint="eastAsia"/>
              </w:rPr>
            </w:pPr>
            <w:r>
              <w:rPr>
                <w:rFonts w:hint="eastAsia"/>
              </w:rPr>
              <w:t>最多风向</w:t>
            </w:r>
          </w:p>
        </w:tc>
        <w:tc>
          <w:tcPr>
            <w:tcW w:w="1427" w:type="pct"/>
            <w:noWrap/>
            <w:vAlign w:val="center"/>
          </w:tcPr>
          <w:p>
            <w:pPr>
              <w:pStyle w:val="3013"/>
              <w:rPr>
                <w:rFonts w:hint="eastAsia"/>
              </w:rPr>
            </w:pPr>
            <w:r>
              <w:rPr>
                <w:rFonts w:hint="eastAsia"/>
              </w:rPr>
              <w:t>NW</w:t>
            </w:r>
          </w:p>
        </w:tc>
        <w:tc>
          <w:tcPr>
            <w:tcW w:w="780" w:type="pct"/>
            <w:noWrap/>
            <w:vAlign w:val="center"/>
          </w:tcPr>
          <w:p>
            <w:pPr>
              <w:pStyle w:val="3013"/>
              <w:rPr>
                <w:rFonts w:hint="eastAsia"/>
              </w:rPr>
            </w:pPr>
            <w:r>
              <w:rPr>
                <w:rFonts w:hint="eastAsia"/>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1247" w:type="pct"/>
            <w:noWrap/>
            <w:vAlign w:val="center"/>
          </w:tcPr>
          <w:p>
            <w:pPr>
              <w:pStyle w:val="3013"/>
              <w:rPr>
                <w:rFonts w:hint="eastAsia"/>
              </w:rPr>
            </w:pPr>
            <w:r>
              <w:rPr>
                <w:rFonts w:hint="eastAsia"/>
              </w:rPr>
              <w:t>日照时数</w:t>
            </w:r>
          </w:p>
        </w:tc>
        <w:tc>
          <w:tcPr>
            <w:tcW w:w="1544" w:type="pct"/>
            <w:noWrap/>
            <w:vAlign w:val="center"/>
          </w:tcPr>
          <w:p>
            <w:pPr>
              <w:pStyle w:val="3013"/>
              <w:rPr>
                <w:rFonts w:hint="eastAsia"/>
              </w:rPr>
            </w:pPr>
            <w:r>
              <w:rPr>
                <w:rFonts w:hint="eastAsia"/>
              </w:rPr>
              <w:t>多年平均</w:t>
            </w:r>
          </w:p>
        </w:tc>
        <w:tc>
          <w:tcPr>
            <w:tcW w:w="1427" w:type="pct"/>
            <w:noWrap/>
            <w:vAlign w:val="center"/>
          </w:tcPr>
          <w:p>
            <w:pPr>
              <w:pStyle w:val="3013"/>
              <w:rPr>
                <w:rFonts w:hint="eastAsia"/>
              </w:rPr>
            </w:pPr>
            <w:r>
              <w:rPr>
                <w:rFonts w:hint="eastAsia"/>
              </w:rPr>
              <w:t>1206.2</w:t>
            </w:r>
          </w:p>
        </w:tc>
        <w:tc>
          <w:tcPr>
            <w:tcW w:w="780" w:type="pct"/>
            <w:noWrap/>
            <w:vAlign w:val="center"/>
          </w:tcPr>
          <w:p>
            <w:pPr>
              <w:pStyle w:val="3013"/>
              <w:rPr>
                <w:rFonts w:hint="eastAsia"/>
              </w:rPr>
            </w:pPr>
            <w:r>
              <w:rPr>
                <w:rFonts w:hint="eastAsia"/>
              </w:rPr>
              <w:t>h</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1247" w:type="pct"/>
            <w:noWrap/>
            <w:vAlign w:val="center"/>
          </w:tcPr>
          <w:p>
            <w:pPr>
              <w:pStyle w:val="3013"/>
              <w:rPr>
                <w:rFonts w:hint="eastAsia"/>
              </w:rPr>
            </w:pPr>
            <w:r>
              <w:rPr>
                <w:rFonts w:hint="eastAsia"/>
              </w:rPr>
              <w:t>无霜期</w:t>
            </w:r>
          </w:p>
        </w:tc>
        <w:tc>
          <w:tcPr>
            <w:tcW w:w="1544" w:type="pct"/>
            <w:noWrap/>
            <w:vAlign w:val="center"/>
          </w:tcPr>
          <w:p>
            <w:pPr>
              <w:pStyle w:val="3013"/>
              <w:rPr>
                <w:rFonts w:hint="eastAsia"/>
              </w:rPr>
            </w:pPr>
            <w:r>
              <w:rPr>
                <w:rFonts w:hint="eastAsia"/>
              </w:rPr>
              <w:t>全年无霜期</w:t>
            </w:r>
          </w:p>
        </w:tc>
        <w:tc>
          <w:tcPr>
            <w:tcW w:w="1427" w:type="pct"/>
            <w:noWrap/>
            <w:vAlign w:val="center"/>
          </w:tcPr>
          <w:p>
            <w:pPr>
              <w:pStyle w:val="3013"/>
              <w:rPr>
                <w:rFonts w:hint="eastAsia"/>
              </w:rPr>
            </w:pPr>
            <w:r>
              <w:rPr>
                <w:rFonts w:hint="eastAsia"/>
              </w:rPr>
              <w:t>250</w:t>
            </w:r>
            <w:r>
              <w:rPr>
                <w:rFonts w:hint="eastAsia"/>
                <w:lang w:eastAsia="zh-CN"/>
              </w:rPr>
              <w:t>—</w:t>
            </w:r>
            <w:r>
              <w:rPr>
                <w:rFonts w:hint="eastAsia"/>
              </w:rPr>
              <w:t>350</w:t>
            </w:r>
          </w:p>
        </w:tc>
        <w:tc>
          <w:tcPr>
            <w:tcW w:w="780" w:type="pct"/>
            <w:noWrap/>
            <w:vAlign w:val="center"/>
          </w:tcPr>
          <w:p>
            <w:pPr>
              <w:pStyle w:val="3013"/>
              <w:rPr>
                <w:rFonts w:hint="eastAsia"/>
              </w:rPr>
            </w:pPr>
            <w:r>
              <w:rPr>
                <w:rFonts w:hint="eastAsia"/>
              </w:rPr>
              <w:t>d</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1247" w:type="pct"/>
            <w:noWrap/>
            <w:vAlign w:val="center"/>
          </w:tcPr>
          <w:p>
            <w:pPr>
              <w:pStyle w:val="3013"/>
              <w:rPr>
                <w:rFonts w:hint="eastAsia"/>
              </w:rPr>
            </w:pPr>
            <w:r>
              <w:rPr>
                <w:rFonts w:hint="eastAsia"/>
              </w:rPr>
              <w:t>总积温</w:t>
            </w:r>
          </w:p>
        </w:tc>
        <w:tc>
          <w:tcPr>
            <w:tcW w:w="1544" w:type="pct"/>
            <w:noWrap/>
            <w:vAlign w:val="center"/>
          </w:tcPr>
          <w:p>
            <w:pPr>
              <w:pStyle w:val="3013"/>
              <w:rPr>
                <w:rFonts w:hint="eastAsia"/>
              </w:rPr>
            </w:pPr>
            <w:r>
              <w:rPr>
                <w:rFonts w:hint="eastAsia"/>
              </w:rPr>
              <w:t>多年平均</w:t>
            </w:r>
          </w:p>
        </w:tc>
        <w:tc>
          <w:tcPr>
            <w:tcW w:w="1427" w:type="pct"/>
            <w:noWrap/>
            <w:vAlign w:val="center"/>
          </w:tcPr>
          <w:p>
            <w:pPr>
              <w:pStyle w:val="3013"/>
              <w:rPr>
                <w:rFonts w:hint="eastAsia"/>
              </w:rPr>
            </w:pPr>
            <w:r>
              <w:rPr>
                <w:rFonts w:hint="eastAsia"/>
              </w:rPr>
              <w:t>4780</w:t>
            </w:r>
            <w:r>
              <w:rPr>
                <w:rFonts w:hint="eastAsia"/>
                <w:lang w:eastAsia="zh-CN"/>
              </w:rPr>
              <w:t>—</w:t>
            </w:r>
            <w:r>
              <w:rPr>
                <w:rFonts w:hint="eastAsia"/>
              </w:rPr>
              <w:t>6960</w:t>
            </w:r>
          </w:p>
        </w:tc>
        <w:tc>
          <w:tcPr>
            <w:tcW w:w="780" w:type="pct"/>
            <w:noWrap/>
            <w:vAlign w:val="center"/>
          </w:tcPr>
          <w:p>
            <w:pPr>
              <w:pStyle w:val="3013"/>
              <w:rPr>
                <w:rFonts w:hint="eastAsia"/>
              </w:rPr>
            </w:pPr>
            <w:r>
              <w:rPr>
                <w:rFonts w:hint="eastAsia"/>
              </w:rPr>
              <w:t>℃</w:t>
            </w:r>
          </w:p>
        </w:tc>
      </w:tr>
    </w:tbl>
    <w:p>
      <w:pPr>
        <w:pStyle w:val="2948"/>
        <w:keepNext w:val="0"/>
        <w:keepLines w:val="0"/>
        <w:pageBreakBefore w:val="0"/>
        <w:widowControl w:val="0"/>
        <w:kinsoku/>
        <w:wordWrap/>
        <w:overflowPunct/>
        <w:topLinePunct w:val="0"/>
        <w:autoSpaceDE/>
        <w:autoSpaceDN/>
        <w:bidi w:val="0"/>
        <w:snapToGrid/>
        <w:spacing w:line="600" w:lineRule="exact"/>
        <w:ind w:firstLine="560"/>
        <w:rPr>
          <w:rFonts w:hint="default" w:ascii="Times New Roman" w:hAnsi="Times New Roman" w:eastAsia="方正仿宋_GBK" w:cs="Times New Roman"/>
          <w:sz w:val="32"/>
          <w:szCs w:val="32"/>
        </w:rPr>
      </w:pPr>
      <w:r>
        <w:rPr>
          <w:rFonts w:hint="eastAsia" w:ascii="Times New Roman" w:hAnsi="Times New Roman" w:eastAsia="方正仿宋_GBK" w:cs="Times New Roman"/>
          <w:sz w:val="32"/>
          <w:szCs w:val="32"/>
          <w:lang w:val="en-US" w:eastAsia="zh-CN"/>
        </w:rPr>
        <w:t xml:space="preserve">2.2 </w:t>
      </w:r>
      <w:r>
        <w:rPr>
          <w:rFonts w:hint="default" w:ascii="Times New Roman" w:hAnsi="Times New Roman" w:eastAsia="方正仿宋_GBK" w:cs="Times New Roman"/>
          <w:sz w:val="32"/>
          <w:szCs w:val="32"/>
        </w:rPr>
        <w:t>泥沙</w:t>
      </w:r>
    </w:p>
    <w:p>
      <w:pPr>
        <w:keepNext w:val="0"/>
        <w:keepLines w:val="0"/>
        <w:pageBreakBefore w:val="0"/>
        <w:widowControl w:val="0"/>
        <w:kinsoku/>
        <w:wordWrap/>
        <w:overflowPunct/>
        <w:topLinePunct w:val="0"/>
        <w:autoSpaceDE/>
        <w:autoSpaceDN/>
        <w:bidi w:val="0"/>
        <w:adjustRightInd w:val="0"/>
        <w:snapToGrid/>
        <w:spacing w:line="600" w:lineRule="exact"/>
        <w:ind w:firstLine="560"/>
        <w:textAlignment w:val="baseline"/>
        <w:rPr>
          <w:rFonts w:hint="default" w:ascii="Times New Roman" w:hAnsi="Times New Roman" w:eastAsia="方正仿宋_GBK" w:cs="Times New Roman"/>
          <w:kern w:val="0"/>
          <w:sz w:val="32"/>
          <w:szCs w:val="32"/>
        </w:rPr>
      </w:pPr>
      <w:r>
        <w:rPr>
          <w:rFonts w:hint="default" w:ascii="Times New Roman" w:hAnsi="Times New Roman" w:eastAsia="方正仿宋_GBK" w:cs="Times New Roman"/>
          <w:kern w:val="0"/>
          <w:sz w:val="32"/>
          <w:szCs w:val="32"/>
        </w:rPr>
        <w:t>据统计，东溪站1972年</w:t>
      </w:r>
      <w:r>
        <w:rPr>
          <w:rFonts w:hint="eastAsia" w:ascii="Times New Roman" w:eastAsia="方正仿宋_GBK" w:cs="Times New Roman"/>
          <w:kern w:val="0"/>
          <w:sz w:val="32"/>
          <w:szCs w:val="32"/>
          <w:lang w:eastAsia="zh-CN"/>
        </w:rPr>
        <w:t>—</w:t>
      </w:r>
      <w:r>
        <w:rPr>
          <w:rFonts w:hint="default" w:ascii="Times New Roman" w:hAnsi="Times New Roman" w:eastAsia="方正仿宋_GBK" w:cs="Times New Roman"/>
          <w:kern w:val="0"/>
          <w:sz w:val="32"/>
          <w:szCs w:val="32"/>
        </w:rPr>
        <w:t>2017年（其中缺2002</w:t>
      </w:r>
      <w:r>
        <w:rPr>
          <w:rFonts w:hint="eastAsia" w:ascii="Times New Roman" w:eastAsia="方正仿宋_GBK" w:cs="Times New Roman"/>
          <w:kern w:val="0"/>
          <w:sz w:val="32"/>
          <w:szCs w:val="32"/>
          <w:lang w:eastAsia="zh-CN"/>
        </w:rPr>
        <w:t>—</w:t>
      </w:r>
      <w:r>
        <w:rPr>
          <w:rFonts w:hint="default" w:ascii="Times New Roman" w:hAnsi="Times New Roman" w:eastAsia="方正仿宋_GBK" w:cs="Times New Roman"/>
          <w:kern w:val="0"/>
          <w:sz w:val="32"/>
          <w:szCs w:val="32"/>
        </w:rPr>
        <w:t>2004年）多年平均悬移质输沙模数为617t/km</w:t>
      </w:r>
      <w:r>
        <w:rPr>
          <w:rFonts w:hint="default" w:ascii="Times New Roman" w:hAnsi="Times New Roman" w:eastAsia="方正仿宋_GBK" w:cs="Times New Roman"/>
          <w:kern w:val="0"/>
          <w:sz w:val="32"/>
          <w:szCs w:val="32"/>
          <w:vertAlign w:val="superscript"/>
        </w:rPr>
        <w:t>2</w:t>
      </w:r>
      <w:r>
        <w:rPr>
          <w:rFonts w:hint="default" w:ascii="Times New Roman" w:hAnsi="Times New Roman" w:eastAsia="方正仿宋_GBK" w:cs="Times New Roman"/>
          <w:kern w:val="0"/>
          <w:sz w:val="32"/>
          <w:szCs w:val="32"/>
        </w:rPr>
        <w:t>，多年平均悬移质输沙量192万t。五岔站多年平均悬移质输沙模数为490t/km</w:t>
      </w:r>
      <w:r>
        <w:rPr>
          <w:rFonts w:hint="default" w:ascii="Times New Roman" w:hAnsi="Times New Roman" w:eastAsia="方正仿宋_GBK" w:cs="Times New Roman"/>
          <w:kern w:val="0"/>
          <w:sz w:val="32"/>
          <w:szCs w:val="32"/>
          <w:vertAlign w:val="superscript"/>
        </w:rPr>
        <w:t>2</w:t>
      </w:r>
      <w:r>
        <w:rPr>
          <w:rFonts w:hint="default" w:ascii="Times New Roman" w:hAnsi="Times New Roman" w:eastAsia="方正仿宋_GBK" w:cs="Times New Roman"/>
          <w:kern w:val="0"/>
          <w:sz w:val="32"/>
          <w:szCs w:val="32"/>
        </w:rPr>
        <w:t>。</w:t>
      </w:r>
    </w:p>
    <w:p>
      <w:pPr>
        <w:keepNext w:val="0"/>
        <w:keepLines w:val="0"/>
        <w:pageBreakBefore w:val="0"/>
        <w:widowControl w:val="0"/>
        <w:kinsoku/>
        <w:wordWrap/>
        <w:overflowPunct/>
        <w:topLinePunct w:val="0"/>
        <w:autoSpaceDE/>
        <w:autoSpaceDN/>
        <w:bidi w:val="0"/>
        <w:adjustRightInd w:val="0"/>
        <w:snapToGrid/>
        <w:spacing w:line="600" w:lineRule="exact"/>
        <w:ind w:firstLine="560"/>
        <w:textAlignment w:val="baseline"/>
        <w:rPr>
          <w:rFonts w:hint="default" w:ascii="Times New Roman" w:hAnsi="Times New Roman" w:eastAsia="方正仿宋_GBK" w:cs="Times New Roman"/>
          <w:kern w:val="0"/>
          <w:sz w:val="32"/>
          <w:szCs w:val="32"/>
        </w:rPr>
      </w:pPr>
      <w:r>
        <w:rPr>
          <w:rFonts w:hint="default" w:ascii="Times New Roman" w:hAnsi="Times New Roman" w:eastAsia="方正仿宋_GBK" w:cs="Times New Roman"/>
          <w:kern w:val="0"/>
          <w:sz w:val="32"/>
          <w:szCs w:val="32"/>
        </w:rPr>
        <w:t>据东溪站实测资料统计分析，输沙量年际变化较大，最大年值为最小年值的12倍，年内分配较为集中，多年平均5</w:t>
      </w:r>
      <w:r>
        <w:rPr>
          <w:rFonts w:hint="eastAsia" w:ascii="Times New Roman" w:eastAsia="方正仿宋_GBK" w:cs="Times New Roman"/>
          <w:kern w:val="0"/>
          <w:sz w:val="32"/>
          <w:szCs w:val="32"/>
          <w:lang w:eastAsia="zh-CN"/>
        </w:rPr>
        <w:t>—</w:t>
      </w:r>
      <w:r>
        <w:rPr>
          <w:rFonts w:hint="default" w:ascii="Times New Roman" w:hAnsi="Times New Roman" w:eastAsia="方正仿宋_GBK" w:cs="Times New Roman"/>
          <w:kern w:val="0"/>
          <w:sz w:val="32"/>
          <w:szCs w:val="32"/>
        </w:rPr>
        <w:t>9月输沙量占年</w:t>
      </w:r>
      <w:r>
        <w:rPr>
          <w:rFonts w:hint="eastAsia" w:ascii="Times New Roman" w:eastAsia="方正仿宋_GBK" w:cs="Times New Roman"/>
          <w:kern w:val="0"/>
          <w:sz w:val="32"/>
          <w:szCs w:val="32"/>
          <w:lang w:val="en-US" w:eastAsia="zh-CN"/>
        </w:rPr>
        <w:t>输</w:t>
      </w:r>
      <w:r>
        <w:rPr>
          <w:rFonts w:hint="default" w:ascii="Times New Roman" w:hAnsi="Times New Roman" w:eastAsia="方正仿宋_GBK" w:cs="Times New Roman"/>
          <w:kern w:val="0"/>
          <w:sz w:val="32"/>
          <w:szCs w:val="32"/>
        </w:rPr>
        <w:t>沙量的95.4</w:t>
      </w:r>
      <w:r>
        <w:rPr>
          <w:rFonts w:hint="eastAsia" w:ascii="Times New Roman" w:eastAsia="方正仿宋_GBK" w:cs="Times New Roman"/>
          <w:kern w:val="0"/>
          <w:sz w:val="32"/>
          <w:szCs w:val="32"/>
          <w:lang w:eastAsia="zh-CN"/>
        </w:rPr>
        <w:t>%</w:t>
      </w:r>
      <w:r>
        <w:rPr>
          <w:rFonts w:hint="default" w:ascii="Times New Roman" w:hAnsi="Times New Roman" w:eastAsia="方正仿宋_GBK" w:cs="Times New Roman"/>
          <w:kern w:val="0"/>
          <w:sz w:val="32"/>
          <w:szCs w:val="32"/>
        </w:rPr>
        <w:t>，6</w:t>
      </w:r>
      <w:r>
        <w:rPr>
          <w:rFonts w:hint="eastAsia" w:ascii="Times New Roman" w:eastAsia="方正仿宋_GBK" w:cs="Times New Roman"/>
          <w:kern w:val="0"/>
          <w:sz w:val="32"/>
          <w:szCs w:val="32"/>
          <w:lang w:eastAsia="zh-CN"/>
        </w:rPr>
        <w:t>—</w:t>
      </w:r>
      <w:r>
        <w:rPr>
          <w:rFonts w:hint="default" w:ascii="Times New Roman" w:hAnsi="Times New Roman" w:eastAsia="方正仿宋_GBK" w:cs="Times New Roman"/>
          <w:kern w:val="0"/>
          <w:sz w:val="32"/>
          <w:szCs w:val="32"/>
        </w:rPr>
        <w:t>7月</w:t>
      </w:r>
      <w:r>
        <w:rPr>
          <w:rFonts w:hint="eastAsia" w:ascii="Times New Roman" w:eastAsia="方正仿宋_GBK" w:cs="Times New Roman"/>
          <w:kern w:val="0"/>
          <w:sz w:val="32"/>
          <w:szCs w:val="32"/>
          <w:lang w:val="en-US" w:eastAsia="zh-CN"/>
        </w:rPr>
        <w:t>输</w:t>
      </w:r>
      <w:r>
        <w:rPr>
          <w:rFonts w:hint="default" w:ascii="Times New Roman" w:hAnsi="Times New Roman" w:eastAsia="方正仿宋_GBK" w:cs="Times New Roman"/>
          <w:kern w:val="0"/>
          <w:sz w:val="32"/>
          <w:szCs w:val="32"/>
        </w:rPr>
        <w:t>沙量占全年</w:t>
      </w:r>
      <w:r>
        <w:rPr>
          <w:rFonts w:hint="eastAsia" w:ascii="Times New Roman" w:eastAsia="方正仿宋_GBK" w:cs="Times New Roman"/>
          <w:kern w:val="0"/>
          <w:sz w:val="32"/>
          <w:szCs w:val="32"/>
          <w:lang w:val="en-US" w:eastAsia="zh-CN"/>
        </w:rPr>
        <w:t>输</w:t>
      </w:r>
      <w:r>
        <w:rPr>
          <w:rFonts w:hint="default" w:ascii="Times New Roman" w:hAnsi="Times New Roman" w:eastAsia="方正仿宋_GBK" w:cs="Times New Roman"/>
          <w:kern w:val="0"/>
          <w:sz w:val="32"/>
          <w:szCs w:val="32"/>
        </w:rPr>
        <w:t>沙量的55</w:t>
      </w:r>
      <w:r>
        <w:rPr>
          <w:rFonts w:hint="eastAsia" w:ascii="Times New Roman" w:eastAsia="方正仿宋_GBK" w:cs="Times New Roman"/>
          <w:kern w:val="0"/>
          <w:sz w:val="32"/>
          <w:szCs w:val="32"/>
          <w:lang w:eastAsia="zh-CN"/>
        </w:rPr>
        <w:t>%</w:t>
      </w:r>
      <w:r>
        <w:rPr>
          <w:rFonts w:hint="default" w:ascii="Times New Roman" w:hAnsi="Times New Roman" w:eastAsia="方正仿宋_GBK" w:cs="Times New Roman"/>
          <w:kern w:val="0"/>
          <w:sz w:val="32"/>
          <w:szCs w:val="32"/>
        </w:rPr>
        <w:t>。</w:t>
      </w:r>
    </w:p>
    <w:p>
      <w:pPr>
        <w:pStyle w:val="2312"/>
        <w:ind w:firstLine="240"/>
      </w:pPr>
      <w:r>
        <w:rPr>
          <w:rFonts w:hint="default" w:ascii="Times New Roman" w:hAnsi="Times New Roman" w:cs="Times New Roman"/>
        </w:rPr>
        <w:t>表1.2</w:t>
      </w:r>
      <w:r>
        <w:rPr>
          <w:rFonts w:hint="default" w:ascii="Times New Roman" w:hAnsi="Times New Roman" w:cs="Times New Roman"/>
          <w:lang w:eastAsia="zh-CN"/>
        </w:rPr>
        <w:t>—</w:t>
      </w:r>
      <w:r>
        <w:rPr>
          <w:rFonts w:hint="default" w:ascii="Times New Roman" w:hAnsi="Times New Roman" w:cs="Times New Roman"/>
        </w:rPr>
        <w:t>3　</w:t>
      </w:r>
      <w:r>
        <w:rPr>
          <w:rFonts w:hint="eastAsia"/>
        </w:rPr>
        <w:t>　　　　 东溪水文站多年平均输沙量年内分配表　　　　　　单位：万t</w:t>
      </w:r>
    </w:p>
    <w:tbl>
      <w:tblPr>
        <w:tblStyle w:val="88"/>
        <w:tblW w:w="5000"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108" w:type="dxa"/>
          <w:bottom w:w="0" w:type="dxa"/>
          <w:right w:w="108" w:type="dxa"/>
        </w:tblCellMar>
      </w:tblPr>
      <w:tblGrid>
        <w:gridCol w:w="1499"/>
        <w:gridCol w:w="1161"/>
        <w:gridCol w:w="821"/>
        <w:gridCol w:w="821"/>
        <w:gridCol w:w="821"/>
        <w:gridCol w:w="821"/>
        <w:gridCol w:w="821"/>
        <w:gridCol w:w="1432"/>
        <w:gridCol w:w="1090"/>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807" w:type="pct"/>
            <w:noWrap/>
            <w:vAlign w:val="center"/>
          </w:tcPr>
          <w:p>
            <w:pPr>
              <w:spacing w:line="0" w:lineRule="atLeas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月份</w:t>
            </w:r>
          </w:p>
        </w:tc>
        <w:tc>
          <w:tcPr>
            <w:tcW w:w="625" w:type="pct"/>
            <w:noWrap/>
            <w:vAlign w:val="center"/>
          </w:tcPr>
          <w:p>
            <w:pPr>
              <w:spacing w:line="0" w:lineRule="atLeas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1</w:t>
            </w:r>
            <w:r>
              <w:rPr>
                <w:rFonts w:hint="eastAsia" w:ascii="楷体_GB2312" w:eastAsia="楷体_GB2312"/>
                <w:snapToGrid w:val="0"/>
                <w:kern w:val="0"/>
                <w:sz w:val="21"/>
                <w:szCs w:val="21"/>
                <w:lang w:eastAsia="zh-CN"/>
              </w:rPr>
              <w:t>—</w:t>
            </w:r>
            <w:r>
              <w:rPr>
                <w:rFonts w:hint="eastAsia" w:ascii="楷体_GB2312" w:eastAsia="楷体_GB2312"/>
                <w:snapToGrid w:val="0"/>
                <w:kern w:val="0"/>
                <w:sz w:val="21"/>
                <w:szCs w:val="21"/>
              </w:rPr>
              <w:t>4月</w:t>
            </w:r>
          </w:p>
        </w:tc>
        <w:tc>
          <w:tcPr>
            <w:tcW w:w="442" w:type="pct"/>
            <w:noWrap/>
            <w:vAlign w:val="center"/>
          </w:tcPr>
          <w:p>
            <w:pPr>
              <w:spacing w:line="0" w:lineRule="atLeas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5月</w:t>
            </w:r>
          </w:p>
        </w:tc>
        <w:tc>
          <w:tcPr>
            <w:tcW w:w="442" w:type="pct"/>
            <w:noWrap/>
            <w:vAlign w:val="center"/>
          </w:tcPr>
          <w:p>
            <w:pPr>
              <w:spacing w:line="0" w:lineRule="atLeas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6月</w:t>
            </w:r>
          </w:p>
        </w:tc>
        <w:tc>
          <w:tcPr>
            <w:tcW w:w="442" w:type="pct"/>
            <w:noWrap/>
            <w:vAlign w:val="center"/>
          </w:tcPr>
          <w:p>
            <w:pPr>
              <w:spacing w:line="0" w:lineRule="atLeas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7月</w:t>
            </w:r>
          </w:p>
        </w:tc>
        <w:tc>
          <w:tcPr>
            <w:tcW w:w="442" w:type="pct"/>
            <w:noWrap/>
            <w:vAlign w:val="center"/>
          </w:tcPr>
          <w:p>
            <w:pPr>
              <w:spacing w:line="0" w:lineRule="atLeas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8月</w:t>
            </w:r>
          </w:p>
        </w:tc>
        <w:tc>
          <w:tcPr>
            <w:tcW w:w="442" w:type="pct"/>
            <w:noWrap/>
            <w:vAlign w:val="center"/>
          </w:tcPr>
          <w:p>
            <w:pPr>
              <w:spacing w:line="0" w:lineRule="atLeas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9月</w:t>
            </w:r>
          </w:p>
        </w:tc>
        <w:tc>
          <w:tcPr>
            <w:tcW w:w="771" w:type="pct"/>
            <w:noWrap/>
            <w:vAlign w:val="center"/>
          </w:tcPr>
          <w:p>
            <w:pPr>
              <w:spacing w:line="0" w:lineRule="atLeas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10</w:t>
            </w:r>
            <w:r>
              <w:rPr>
                <w:rFonts w:hint="eastAsia" w:ascii="楷体_GB2312" w:eastAsia="楷体_GB2312"/>
                <w:snapToGrid w:val="0"/>
                <w:kern w:val="0"/>
                <w:sz w:val="21"/>
                <w:szCs w:val="21"/>
                <w:lang w:eastAsia="zh-CN"/>
              </w:rPr>
              <w:t>—</w:t>
            </w:r>
            <w:r>
              <w:rPr>
                <w:rFonts w:hint="eastAsia" w:ascii="楷体_GB2312" w:eastAsia="楷体_GB2312"/>
                <w:snapToGrid w:val="0"/>
                <w:kern w:val="0"/>
                <w:sz w:val="21"/>
                <w:szCs w:val="21"/>
              </w:rPr>
              <w:t>12月</w:t>
            </w:r>
          </w:p>
        </w:tc>
        <w:tc>
          <w:tcPr>
            <w:tcW w:w="587" w:type="pct"/>
            <w:noWrap/>
            <w:vAlign w:val="center"/>
          </w:tcPr>
          <w:p>
            <w:pPr>
              <w:spacing w:line="0" w:lineRule="atLeas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年统计</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807" w:type="pct"/>
            <w:noWrap/>
            <w:vAlign w:val="center"/>
          </w:tcPr>
          <w:p>
            <w:pPr>
              <w:spacing w:line="0" w:lineRule="atLeas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输沙量</w:t>
            </w:r>
          </w:p>
        </w:tc>
        <w:tc>
          <w:tcPr>
            <w:tcW w:w="625" w:type="pct"/>
            <w:noWrap/>
            <w:vAlign w:val="center"/>
          </w:tcPr>
          <w:p>
            <w:pPr>
              <w:spacing w:line="0" w:lineRule="atLeast"/>
              <w:ind w:firstLine="0" w:firstLineChars="0"/>
              <w:jc w:val="center"/>
              <w:rPr>
                <w:rFonts w:hint="eastAsia" w:ascii="楷体_GB2312" w:hAnsi="宋体" w:eastAsia="楷体_GB2312" w:cs="宋体"/>
                <w:snapToGrid w:val="0"/>
                <w:kern w:val="0"/>
                <w:sz w:val="21"/>
                <w:szCs w:val="21"/>
              </w:rPr>
            </w:pPr>
            <w:r>
              <w:rPr>
                <w:rFonts w:hint="eastAsia" w:ascii="楷体_GB2312" w:eastAsia="楷体_GB2312"/>
                <w:snapToGrid w:val="0"/>
                <w:kern w:val="0"/>
                <w:sz w:val="21"/>
                <w:szCs w:val="21"/>
              </w:rPr>
              <w:t>6.01</w:t>
            </w:r>
          </w:p>
        </w:tc>
        <w:tc>
          <w:tcPr>
            <w:tcW w:w="442" w:type="pct"/>
            <w:noWrap/>
            <w:vAlign w:val="center"/>
          </w:tcPr>
          <w:p>
            <w:pPr>
              <w:spacing w:line="0" w:lineRule="atLeast"/>
              <w:ind w:firstLine="0" w:firstLineChars="0"/>
              <w:jc w:val="center"/>
              <w:rPr>
                <w:rFonts w:hint="eastAsia" w:ascii="楷体_GB2312" w:hAnsi="宋体" w:eastAsia="楷体_GB2312" w:cs="宋体"/>
                <w:snapToGrid w:val="0"/>
                <w:kern w:val="0"/>
                <w:sz w:val="21"/>
                <w:szCs w:val="21"/>
              </w:rPr>
            </w:pPr>
            <w:r>
              <w:rPr>
                <w:rFonts w:hint="eastAsia" w:ascii="楷体_GB2312" w:eastAsia="楷体_GB2312"/>
                <w:snapToGrid w:val="0"/>
                <w:kern w:val="0"/>
                <w:sz w:val="21"/>
                <w:szCs w:val="21"/>
              </w:rPr>
              <w:t>35.53</w:t>
            </w:r>
          </w:p>
        </w:tc>
        <w:tc>
          <w:tcPr>
            <w:tcW w:w="442" w:type="pct"/>
            <w:noWrap/>
            <w:vAlign w:val="center"/>
          </w:tcPr>
          <w:p>
            <w:pPr>
              <w:spacing w:line="0" w:lineRule="atLeast"/>
              <w:ind w:firstLine="0" w:firstLineChars="0"/>
              <w:jc w:val="center"/>
              <w:rPr>
                <w:rFonts w:hint="eastAsia" w:ascii="楷体_GB2312" w:hAnsi="宋体" w:eastAsia="楷体_GB2312" w:cs="宋体"/>
                <w:snapToGrid w:val="0"/>
                <w:kern w:val="0"/>
                <w:sz w:val="21"/>
                <w:szCs w:val="21"/>
              </w:rPr>
            </w:pPr>
            <w:r>
              <w:rPr>
                <w:rFonts w:hint="eastAsia" w:ascii="楷体_GB2312" w:eastAsia="楷体_GB2312"/>
                <w:snapToGrid w:val="0"/>
                <w:kern w:val="0"/>
                <w:sz w:val="21"/>
                <w:szCs w:val="21"/>
              </w:rPr>
              <w:t>53.15</w:t>
            </w:r>
          </w:p>
        </w:tc>
        <w:tc>
          <w:tcPr>
            <w:tcW w:w="442" w:type="pct"/>
            <w:noWrap/>
            <w:vAlign w:val="center"/>
          </w:tcPr>
          <w:p>
            <w:pPr>
              <w:spacing w:line="0" w:lineRule="atLeast"/>
              <w:ind w:firstLine="0" w:firstLineChars="0"/>
              <w:jc w:val="center"/>
              <w:rPr>
                <w:rFonts w:hint="eastAsia" w:ascii="楷体_GB2312" w:hAnsi="宋体" w:eastAsia="楷体_GB2312" w:cs="宋体"/>
                <w:snapToGrid w:val="0"/>
                <w:kern w:val="0"/>
                <w:sz w:val="21"/>
                <w:szCs w:val="21"/>
              </w:rPr>
            </w:pPr>
            <w:r>
              <w:rPr>
                <w:rFonts w:hint="eastAsia" w:ascii="楷体_GB2312" w:eastAsia="楷体_GB2312"/>
                <w:snapToGrid w:val="0"/>
                <w:kern w:val="0"/>
                <w:sz w:val="21"/>
                <w:szCs w:val="21"/>
              </w:rPr>
              <w:t>52.45</w:t>
            </w:r>
          </w:p>
        </w:tc>
        <w:tc>
          <w:tcPr>
            <w:tcW w:w="442" w:type="pct"/>
            <w:noWrap/>
            <w:vAlign w:val="center"/>
          </w:tcPr>
          <w:p>
            <w:pPr>
              <w:spacing w:line="0" w:lineRule="atLeast"/>
              <w:ind w:firstLine="0" w:firstLineChars="0"/>
              <w:jc w:val="center"/>
              <w:rPr>
                <w:rFonts w:hint="eastAsia" w:ascii="楷体_GB2312" w:hAnsi="宋体" w:eastAsia="楷体_GB2312" w:cs="宋体"/>
                <w:snapToGrid w:val="0"/>
                <w:kern w:val="0"/>
                <w:sz w:val="21"/>
                <w:szCs w:val="21"/>
              </w:rPr>
            </w:pPr>
            <w:r>
              <w:rPr>
                <w:rFonts w:hint="eastAsia" w:ascii="楷体_GB2312" w:eastAsia="楷体_GB2312"/>
                <w:snapToGrid w:val="0"/>
                <w:kern w:val="0"/>
                <w:sz w:val="21"/>
                <w:szCs w:val="21"/>
              </w:rPr>
              <w:t>28.31</w:t>
            </w:r>
          </w:p>
        </w:tc>
        <w:tc>
          <w:tcPr>
            <w:tcW w:w="442" w:type="pct"/>
            <w:noWrap/>
            <w:vAlign w:val="center"/>
          </w:tcPr>
          <w:p>
            <w:pPr>
              <w:spacing w:line="0" w:lineRule="atLeast"/>
              <w:ind w:firstLine="0" w:firstLineChars="0"/>
              <w:jc w:val="center"/>
              <w:rPr>
                <w:rFonts w:hint="eastAsia" w:ascii="楷体_GB2312" w:hAnsi="宋体" w:eastAsia="楷体_GB2312" w:cs="宋体"/>
                <w:snapToGrid w:val="0"/>
                <w:kern w:val="0"/>
                <w:sz w:val="21"/>
                <w:szCs w:val="21"/>
              </w:rPr>
            </w:pPr>
            <w:r>
              <w:rPr>
                <w:rFonts w:hint="eastAsia" w:ascii="楷体_GB2312" w:eastAsia="楷体_GB2312"/>
                <w:snapToGrid w:val="0"/>
                <w:kern w:val="0"/>
                <w:sz w:val="21"/>
                <w:szCs w:val="21"/>
              </w:rPr>
              <w:t>11.68</w:t>
            </w:r>
          </w:p>
        </w:tc>
        <w:tc>
          <w:tcPr>
            <w:tcW w:w="771" w:type="pct"/>
            <w:noWrap/>
            <w:vAlign w:val="center"/>
          </w:tcPr>
          <w:p>
            <w:pPr>
              <w:spacing w:line="0" w:lineRule="atLeast"/>
              <w:ind w:firstLine="0" w:firstLineChars="0"/>
              <w:jc w:val="center"/>
              <w:rPr>
                <w:rFonts w:hint="eastAsia" w:ascii="楷体_GB2312" w:hAnsi="宋体" w:eastAsia="楷体_GB2312" w:cs="宋体"/>
                <w:snapToGrid w:val="0"/>
                <w:kern w:val="0"/>
                <w:sz w:val="21"/>
                <w:szCs w:val="21"/>
              </w:rPr>
            </w:pPr>
            <w:r>
              <w:rPr>
                <w:rFonts w:hint="eastAsia" w:ascii="楷体_GB2312" w:eastAsia="楷体_GB2312"/>
                <w:snapToGrid w:val="0"/>
                <w:kern w:val="0"/>
                <w:sz w:val="21"/>
                <w:szCs w:val="21"/>
              </w:rPr>
              <w:t>2.59</w:t>
            </w:r>
          </w:p>
        </w:tc>
        <w:tc>
          <w:tcPr>
            <w:tcW w:w="587" w:type="pct"/>
            <w:noWrap/>
            <w:vAlign w:val="center"/>
          </w:tcPr>
          <w:p>
            <w:pPr>
              <w:spacing w:line="0" w:lineRule="atLeas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192</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807" w:type="pct"/>
            <w:noWrap/>
            <w:vAlign w:val="center"/>
          </w:tcPr>
          <w:p>
            <w:pPr>
              <w:spacing w:line="0" w:lineRule="atLeas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月占比例%</w:t>
            </w:r>
          </w:p>
        </w:tc>
        <w:tc>
          <w:tcPr>
            <w:tcW w:w="625" w:type="pct"/>
            <w:noWrap/>
            <w:vAlign w:val="center"/>
          </w:tcPr>
          <w:p>
            <w:pPr>
              <w:spacing w:line="0" w:lineRule="atLeas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3.13</w:t>
            </w:r>
          </w:p>
        </w:tc>
        <w:tc>
          <w:tcPr>
            <w:tcW w:w="442" w:type="pct"/>
            <w:noWrap/>
            <w:vAlign w:val="center"/>
          </w:tcPr>
          <w:p>
            <w:pPr>
              <w:spacing w:line="0" w:lineRule="atLeas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18.5</w:t>
            </w:r>
          </w:p>
        </w:tc>
        <w:tc>
          <w:tcPr>
            <w:tcW w:w="442" w:type="pct"/>
            <w:noWrap/>
            <w:vAlign w:val="center"/>
          </w:tcPr>
          <w:p>
            <w:pPr>
              <w:spacing w:line="0" w:lineRule="atLeas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27.6</w:t>
            </w:r>
          </w:p>
        </w:tc>
        <w:tc>
          <w:tcPr>
            <w:tcW w:w="442" w:type="pct"/>
            <w:noWrap/>
            <w:vAlign w:val="center"/>
          </w:tcPr>
          <w:p>
            <w:pPr>
              <w:spacing w:line="0" w:lineRule="atLeas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27.3</w:t>
            </w:r>
          </w:p>
        </w:tc>
        <w:tc>
          <w:tcPr>
            <w:tcW w:w="442" w:type="pct"/>
            <w:noWrap/>
            <w:vAlign w:val="center"/>
          </w:tcPr>
          <w:p>
            <w:pPr>
              <w:spacing w:line="0" w:lineRule="atLeas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14.7</w:t>
            </w:r>
          </w:p>
        </w:tc>
        <w:tc>
          <w:tcPr>
            <w:tcW w:w="442" w:type="pct"/>
            <w:noWrap/>
            <w:vAlign w:val="center"/>
          </w:tcPr>
          <w:p>
            <w:pPr>
              <w:spacing w:line="0" w:lineRule="atLeas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6.06</w:t>
            </w:r>
          </w:p>
        </w:tc>
        <w:tc>
          <w:tcPr>
            <w:tcW w:w="771" w:type="pct"/>
            <w:noWrap/>
            <w:vAlign w:val="center"/>
          </w:tcPr>
          <w:p>
            <w:pPr>
              <w:spacing w:line="0" w:lineRule="atLeas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1.35</w:t>
            </w:r>
          </w:p>
        </w:tc>
        <w:tc>
          <w:tcPr>
            <w:tcW w:w="587" w:type="pct"/>
            <w:noWrap/>
            <w:vAlign w:val="center"/>
          </w:tcPr>
          <w:p>
            <w:pPr>
              <w:spacing w:line="0" w:lineRule="atLeas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100</w:t>
            </w:r>
          </w:p>
        </w:tc>
      </w:tr>
      <w:bookmarkEnd w:id="24"/>
    </w:tbl>
    <w:p>
      <w:pPr>
        <w:pStyle w:val="2260"/>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3</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rPr>
        <w:t>地形地质</w:t>
      </w:r>
    </w:p>
    <w:p>
      <w:pPr>
        <w:pStyle w:val="2948"/>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Times New Roman"/>
          <w:sz w:val="32"/>
          <w:szCs w:val="32"/>
        </w:rPr>
      </w:pPr>
      <w:bookmarkStart w:id="25" w:name="_Toc250624479"/>
      <w:r>
        <w:rPr>
          <w:rFonts w:hint="eastAsia" w:ascii="Times New Roman" w:hAnsi="Times New Roman" w:eastAsia="方正仿宋_GBK" w:cs="Times New Roman"/>
          <w:sz w:val="32"/>
          <w:szCs w:val="32"/>
          <w:lang w:val="en-US" w:eastAsia="zh-CN"/>
        </w:rPr>
        <w:t xml:space="preserve">3.1 </w:t>
      </w:r>
      <w:r>
        <w:rPr>
          <w:rFonts w:hint="default" w:ascii="Times New Roman" w:hAnsi="Times New Roman" w:eastAsia="方正仿宋_GBK" w:cs="Times New Roman"/>
          <w:sz w:val="32"/>
          <w:szCs w:val="32"/>
        </w:rPr>
        <w:t>地形地貌</w:t>
      </w:r>
    </w:p>
    <w:p>
      <w:pPr>
        <w:pStyle w:val="2953"/>
        <w:keepNext w:val="0"/>
        <w:keepLines w:val="0"/>
        <w:pageBreakBefore w:val="0"/>
        <w:widowControl w:val="0"/>
        <w:kinsoku/>
        <w:wordWrap/>
        <w:overflowPunct/>
        <w:topLinePunct w:val="0"/>
        <w:autoSpaceDE/>
        <w:autoSpaceDN/>
        <w:bidi w:val="0"/>
        <w:adjustRightInd/>
        <w:snapToGrid/>
        <w:spacing w:line="600" w:lineRule="exact"/>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綦江流域地势由南向北倾斜，自东西两侧向中部倾斜，南西高北东低。南部及东西两侧分水岭在700</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1000m之间，干流中、下游在200</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300m左右。流域上游位于四川盆地外围中低山丘陵区，山高、深谷众多，南面是大娄山山脉，东南端以金佛山最高，海拔2251m；中游地形以中低山为主，间有深丘，以万隆山最高，海拔1814m，西侧为支流清溪河、笋溪河的上部山区，与赤水河支流习水河分界；下游以深丘和浅丘为主，狭长带状深丘和串珠状丘陵到处可见，重庆江津区内多数丘陵分散于广大的沿江平坝上，丘顶海拔一般在500m以下。纵观全流域，地势高峻，沟壑纵横，地形起伏大，溪流密集，坡陡流急，切割较深，相对高差大，见图1.2</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3。</w:t>
      </w:r>
    </w:p>
    <w:p>
      <w:pPr>
        <w:adjustRightInd w:val="0"/>
        <w:spacing w:line="240" w:lineRule="auto"/>
        <w:ind w:firstLine="0" w:firstLineChars="0"/>
        <w:jc w:val="center"/>
        <w:textAlignment w:val="baseline"/>
        <w:rPr>
          <w:rFonts w:hint="eastAsia"/>
          <w:kern w:val="0"/>
          <w:szCs w:val="24"/>
        </w:rPr>
      </w:pPr>
      <w:r>
        <w:rPr>
          <w:rFonts w:hint="eastAsia"/>
          <w:kern w:val="0"/>
          <w:szCs w:val="24"/>
        </w:rPr>
        <w:drawing>
          <wp:inline distT="0" distB="0" distL="114300" distR="114300">
            <wp:extent cx="5450205" cy="6033770"/>
            <wp:effectExtent l="0" t="0" r="17145" b="5080"/>
            <wp:docPr id="30" name="图片 82" descr="图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0" name="图片 82" descr="图1"/>
                    <pic:cNvPicPr>
                      <a:picLocks noChangeAspect="true"/>
                    </pic:cNvPicPr>
                  </pic:nvPicPr>
                  <pic:blipFill>
                    <a:blip r:embed="rId70"/>
                    <a:stretch>
                      <a:fillRect/>
                    </a:stretch>
                  </pic:blipFill>
                  <pic:spPr>
                    <a:xfrm>
                      <a:off x="0" y="0"/>
                      <a:ext cx="5450205" cy="6033770"/>
                    </a:xfrm>
                    <a:prstGeom prst="rect">
                      <a:avLst/>
                    </a:prstGeom>
                    <a:noFill/>
                    <a:ln>
                      <a:noFill/>
                    </a:ln>
                  </pic:spPr>
                </pic:pic>
              </a:graphicData>
            </a:graphic>
          </wp:inline>
        </w:drawing>
      </w:r>
    </w:p>
    <w:p>
      <w:pPr>
        <w:pStyle w:val="2886"/>
        <w:rPr>
          <w:rFonts w:hint="eastAsia"/>
        </w:rPr>
      </w:pPr>
      <w:r>
        <w:rPr>
          <w:rFonts w:hint="default" w:ascii="Times New Roman" w:hAnsi="Times New Roman" w:cs="Times New Roman"/>
        </w:rPr>
        <w:t>图1.2</w:t>
      </w:r>
      <w:r>
        <w:rPr>
          <w:rFonts w:hint="default" w:ascii="Times New Roman" w:hAnsi="Times New Roman" w:cs="Times New Roman"/>
          <w:lang w:eastAsia="zh-CN"/>
        </w:rPr>
        <w:t>—</w:t>
      </w:r>
      <w:r>
        <w:rPr>
          <w:rFonts w:hint="default" w:ascii="Times New Roman" w:hAnsi="Times New Roman" w:cs="Times New Roman"/>
        </w:rPr>
        <w:t xml:space="preserve">3 </w:t>
      </w:r>
      <w:r>
        <w:rPr>
          <w:rFonts w:hint="eastAsia"/>
        </w:rPr>
        <w:t xml:space="preserve">   綦江流域地形图</w:t>
      </w:r>
    </w:p>
    <w:p>
      <w:pPr>
        <w:pStyle w:val="2953"/>
        <w:keepNext w:val="0"/>
        <w:keepLines w:val="0"/>
        <w:pageBreakBefore w:val="0"/>
        <w:widowControl w:val="0"/>
        <w:kinsoku/>
        <w:wordWrap/>
        <w:overflowPunct/>
        <w:topLinePunct w:val="0"/>
        <w:autoSpaceDE/>
        <w:autoSpaceDN/>
        <w:bidi w:val="0"/>
        <w:adjustRightInd/>
        <w:snapToGrid/>
        <w:spacing w:line="600" w:lineRule="exact"/>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綦江区城区属平坝区，基本沿綦江干流两岸布置，两岸房屋较为密集，局部地区地势低洼。綦江河蜿蜒曲折，呈多段“S”型，将綦江区城区分为左右岸两块，城区分布高程为221.91</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260m，见图1.2</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4。</w:t>
      </w:r>
    </w:p>
    <w:p>
      <w:pPr>
        <w:adjustRightInd w:val="0"/>
        <w:spacing w:line="240" w:lineRule="auto"/>
        <w:ind w:firstLine="0" w:firstLineChars="0"/>
        <w:jc w:val="center"/>
        <w:textAlignment w:val="baseline"/>
        <w:rPr>
          <w:rFonts w:hint="eastAsia"/>
          <w:kern w:val="0"/>
          <w:szCs w:val="24"/>
        </w:rPr>
      </w:pPr>
      <w:r>
        <w:rPr>
          <w:kern w:val="0"/>
          <w:szCs w:val="24"/>
        </w:rPr>
        <w:drawing>
          <wp:inline distT="0" distB="0" distL="114300" distR="114300">
            <wp:extent cx="4568825" cy="5037455"/>
            <wp:effectExtent l="0" t="0" r="3175" b="10795"/>
            <wp:docPr id="31" name="图片 83" descr="说-CS05城市规划区土地利用建设适应性评价图_副本"/>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1" name="图片 83" descr="说-CS05城市规划区土地利用建设适应性评价图_副本"/>
                    <pic:cNvPicPr>
                      <a:picLocks noChangeAspect="true"/>
                    </pic:cNvPicPr>
                  </pic:nvPicPr>
                  <pic:blipFill>
                    <a:blip r:embed="rId71"/>
                    <a:stretch>
                      <a:fillRect/>
                    </a:stretch>
                  </pic:blipFill>
                  <pic:spPr>
                    <a:xfrm>
                      <a:off x="0" y="0"/>
                      <a:ext cx="4568825" cy="5037455"/>
                    </a:xfrm>
                    <a:prstGeom prst="rect">
                      <a:avLst/>
                    </a:prstGeom>
                    <a:noFill/>
                    <a:ln>
                      <a:noFill/>
                    </a:ln>
                  </pic:spPr>
                </pic:pic>
              </a:graphicData>
            </a:graphic>
          </wp:inline>
        </w:drawing>
      </w:r>
    </w:p>
    <w:p>
      <w:pPr>
        <w:pStyle w:val="2886"/>
        <w:rPr>
          <w:rFonts w:hint="eastAsia"/>
        </w:rPr>
      </w:pPr>
      <w:r>
        <w:rPr>
          <w:rFonts w:hint="default" w:ascii="Times New Roman" w:hAnsi="Times New Roman" w:cs="Times New Roman"/>
        </w:rPr>
        <w:t>图1.2</w:t>
      </w:r>
      <w:r>
        <w:rPr>
          <w:rFonts w:hint="default" w:ascii="Times New Roman" w:hAnsi="Times New Roman" w:cs="Times New Roman"/>
          <w:lang w:eastAsia="zh-CN"/>
        </w:rPr>
        <w:t>—</w:t>
      </w:r>
      <w:r>
        <w:rPr>
          <w:rFonts w:hint="default" w:ascii="Times New Roman" w:hAnsi="Times New Roman" w:cs="Times New Roman"/>
        </w:rPr>
        <w:t xml:space="preserve">4 </w:t>
      </w:r>
      <w:r>
        <w:rPr>
          <w:rFonts w:hint="eastAsia"/>
        </w:rPr>
        <w:t xml:space="preserve">   綦江城区</w:t>
      </w:r>
      <w:r>
        <w:t>高程分布</w:t>
      </w:r>
      <w:r>
        <w:rPr>
          <w:rFonts w:hint="eastAsia"/>
        </w:rPr>
        <w:t>图</w:t>
      </w:r>
    </w:p>
    <w:p>
      <w:pPr>
        <w:pStyle w:val="2948"/>
        <w:ind w:firstLine="560"/>
        <w:rPr>
          <w:rFonts w:hint="default" w:ascii="Times New Roman" w:hAnsi="Times New Roman" w:eastAsia="方正仿宋_GBK" w:cs="Times New Roman"/>
          <w:sz w:val="32"/>
          <w:szCs w:val="32"/>
        </w:rPr>
      </w:pPr>
      <w:r>
        <w:rPr>
          <w:rFonts w:hint="eastAsia" w:ascii="Times New Roman" w:hAnsi="Times New Roman" w:eastAsia="方正仿宋_GBK" w:cs="Times New Roman"/>
          <w:sz w:val="32"/>
          <w:szCs w:val="32"/>
          <w:lang w:val="en-US" w:eastAsia="zh-CN"/>
        </w:rPr>
        <w:t xml:space="preserve">3.2 </w:t>
      </w:r>
      <w:r>
        <w:rPr>
          <w:rFonts w:hint="default" w:ascii="Times New Roman" w:hAnsi="Times New Roman" w:eastAsia="方正仿宋_GBK" w:cs="Times New Roman"/>
          <w:sz w:val="32"/>
          <w:szCs w:val="32"/>
        </w:rPr>
        <w:t>区域地质</w:t>
      </w:r>
    </w:p>
    <w:p>
      <w:pPr>
        <w:pStyle w:val="2953"/>
        <w:keepNext w:val="0"/>
        <w:keepLines w:val="0"/>
        <w:pageBreakBefore w:val="0"/>
        <w:widowControl w:val="0"/>
        <w:kinsoku/>
        <w:wordWrap/>
        <w:overflowPunct/>
        <w:topLinePunct w:val="0"/>
        <w:autoSpaceDE/>
        <w:autoSpaceDN/>
        <w:bidi w:val="0"/>
        <w:adjustRightInd/>
        <w:snapToGrid/>
        <w:spacing w:line="600" w:lineRule="exact"/>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根据《重庆市1∶50万地质图》，綦江区域地层出露较全，从震旦系</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白垩系各时代地层均有分布。由《重庆构造纲要图》可看出，綦江流经地段出露地层主要为侏罗系中统沙溪庙组及上统飞天山组、蓬莱镇组或莲花口组地层。根据本次地质测绘与调查，工程勘察段内出露地层为侏罗纪中统沙溪庙组地层（J</w:t>
      </w:r>
      <w:r>
        <w:rPr>
          <w:rFonts w:hint="default" w:ascii="Times New Roman" w:hAnsi="Times New Roman" w:eastAsia="方正仿宋_GBK" w:cs="Times New Roman"/>
          <w:sz w:val="32"/>
          <w:szCs w:val="32"/>
          <w:vertAlign w:val="subscript"/>
        </w:rPr>
        <w:t>2S</w:t>
      </w:r>
      <w:r>
        <w:rPr>
          <w:rFonts w:hint="default" w:ascii="Times New Roman" w:hAnsi="Times New Roman" w:eastAsia="方正仿宋_GBK" w:cs="Times New Roman"/>
          <w:sz w:val="32"/>
          <w:szCs w:val="32"/>
        </w:rPr>
        <w:t>），第四系全新统残坡积层（Q</w:t>
      </w:r>
      <w:r>
        <w:rPr>
          <w:rFonts w:hint="default" w:ascii="Times New Roman" w:hAnsi="Times New Roman" w:eastAsia="方正仿宋_GBK" w:cs="Times New Roman"/>
          <w:sz w:val="32"/>
          <w:szCs w:val="32"/>
          <w:vertAlign w:val="subscript"/>
        </w:rPr>
        <w:t>4</w:t>
      </w:r>
      <w:r>
        <w:rPr>
          <w:rFonts w:hint="default" w:ascii="Times New Roman" w:hAnsi="Times New Roman" w:eastAsia="方正仿宋_GBK" w:cs="Times New Roman"/>
          <w:sz w:val="32"/>
          <w:szCs w:val="32"/>
          <w:vertAlign w:val="superscript"/>
        </w:rPr>
        <w:t>el+dl</w:t>
      </w:r>
      <w:r>
        <w:rPr>
          <w:rFonts w:hint="default" w:ascii="Times New Roman" w:hAnsi="Times New Roman" w:eastAsia="方正仿宋_GBK" w:cs="Times New Roman"/>
          <w:sz w:val="32"/>
          <w:szCs w:val="32"/>
        </w:rPr>
        <w:t>）、冲洪积层（Q</w:t>
      </w:r>
      <w:r>
        <w:rPr>
          <w:rFonts w:hint="default" w:ascii="Times New Roman" w:hAnsi="Times New Roman" w:eastAsia="方正仿宋_GBK" w:cs="Times New Roman"/>
          <w:sz w:val="32"/>
          <w:szCs w:val="32"/>
          <w:vertAlign w:val="subscript"/>
        </w:rPr>
        <w:t>4</w:t>
      </w:r>
      <w:r>
        <w:rPr>
          <w:rFonts w:hint="default" w:ascii="Times New Roman" w:hAnsi="Times New Roman" w:eastAsia="方正仿宋_GBK" w:cs="Times New Roman"/>
          <w:sz w:val="32"/>
          <w:szCs w:val="32"/>
          <w:vertAlign w:val="superscript"/>
        </w:rPr>
        <w:t>al+pl</w:t>
      </w:r>
      <w:r>
        <w:rPr>
          <w:rFonts w:hint="default" w:ascii="Times New Roman" w:hAnsi="Times New Roman" w:eastAsia="方正仿宋_GBK" w:cs="Times New Roman"/>
          <w:sz w:val="32"/>
          <w:szCs w:val="32"/>
        </w:rPr>
        <w:t>）、崩坡积（Q</w:t>
      </w:r>
      <w:r>
        <w:rPr>
          <w:rFonts w:hint="default" w:ascii="Times New Roman" w:hAnsi="Times New Roman" w:eastAsia="方正仿宋_GBK" w:cs="Times New Roman"/>
          <w:sz w:val="32"/>
          <w:szCs w:val="32"/>
          <w:vertAlign w:val="subscript"/>
        </w:rPr>
        <w:t>4</w:t>
      </w:r>
      <w:r>
        <w:rPr>
          <w:rFonts w:hint="default" w:ascii="Times New Roman" w:hAnsi="Times New Roman" w:eastAsia="方正仿宋_GBK" w:cs="Times New Roman"/>
          <w:sz w:val="32"/>
          <w:szCs w:val="32"/>
          <w:vertAlign w:val="superscript"/>
        </w:rPr>
        <w:t>del</w:t>
      </w:r>
      <w:r>
        <w:rPr>
          <w:rFonts w:hint="default" w:ascii="Times New Roman" w:hAnsi="Times New Roman" w:eastAsia="方正仿宋_GBK" w:cs="Times New Roman"/>
          <w:sz w:val="32"/>
          <w:szCs w:val="32"/>
        </w:rPr>
        <w:t>）和人工填土层（Q</w:t>
      </w:r>
      <w:r>
        <w:rPr>
          <w:rFonts w:hint="default" w:ascii="Times New Roman" w:hAnsi="Times New Roman" w:eastAsia="方正仿宋_GBK" w:cs="Times New Roman"/>
          <w:sz w:val="32"/>
          <w:szCs w:val="32"/>
          <w:vertAlign w:val="subscript"/>
        </w:rPr>
        <w:t>4</w:t>
      </w:r>
      <w:r>
        <w:rPr>
          <w:rFonts w:hint="default" w:ascii="Times New Roman" w:hAnsi="Times New Roman" w:eastAsia="方正仿宋_GBK" w:cs="Times New Roman"/>
          <w:sz w:val="32"/>
          <w:szCs w:val="32"/>
          <w:vertAlign w:val="superscript"/>
        </w:rPr>
        <w:t>m</w:t>
      </w:r>
      <w:r>
        <w:rPr>
          <w:rFonts w:hint="default" w:ascii="Times New Roman" w:hAnsi="Times New Roman" w:eastAsia="方正仿宋_GBK" w:cs="Times New Roman"/>
          <w:sz w:val="32"/>
          <w:szCs w:val="32"/>
        </w:rPr>
        <w:t>）。</w:t>
      </w:r>
    </w:p>
    <w:p>
      <w:pPr>
        <w:pStyle w:val="2953"/>
        <w:keepNext w:val="0"/>
        <w:keepLines w:val="0"/>
        <w:pageBreakBefore w:val="0"/>
        <w:widowControl w:val="0"/>
        <w:kinsoku/>
        <w:wordWrap/>
        <w:overflowPunct/>
        <w:topLinePunct w:val="0"/>
        <w:autoSpaceDE/>
        <w:autoSpaceDN/>
        <w:bidi w:val="0"/>
        <w:adjustRightInd/>
        <w:snapToGrid/>
        <w:spacing w:line="600" w:lineRule="exact"/>
        <w:ind w:firstLine="560"/>
        <w:textAlignment w:val="auto"/>
        <w:rPr>
          <w:rFonts w:hint="eastAsia"/>
        </w:rPr>
      </w:pPr>
      <w:r>
        <w:rPr>
          <w:rFonts w:hint="default" w:ascii="Times New Roman" w:hAnsi="Times New Roman" w:eastAsia="方正仿宋_GBK" w:cs="Times New Roman"/>
          <w:sz w:val="32"/>
          <w:szCs w:val="32"/>
        </w:rPr>
        <w:t>綦江区位于长寿—遵义基底断裂西侧，其大地构造部位属扬子准地台（Ⅰ</w:t>
      </w:r>
      <w:r>
        <w:rPr>
          <w:rFonts w:hint="default" w:ascii="Times New Roman" w:hAnsi="Times New Roman" w:eastAsia="方正仿宋_GBK" w:cs="Times New Roman"/>
          <w:sz w:val="32"/>
          <w:szCs w:val="32"/>
          <w:vertAlign w:val="subscript"/>
        </w:rPr>
        <w:t>1</w:t>
      </w:r>
      <w:r>
        <w:rPr>
          <w:rFonts w:hint="default" w:ascii="Times New Roman" w:hAnsi="Times New Roman" w:eastAsia="方正仿宋_GBK" w:cs="Times New Roman"/>
          <w:sz w:val="32"/>
          <w:szCs w:val="32"/>
        </w:rPr>
        <w:t>级）、重庆台拗（Ⅱ</w:t>
      </w:r>
      <w:r>
        <w:rPr>
          <w:rFonts w:hint="default" w:ascii="Times New Roman" w:hAnsi="Times New Roman" w:eastAsia="方正仿宋_GBK" w:cs="Times New Roman"/>
          <w:sz w:val="32"/>
          <w:szCs w:val="32"/>
          <w:vertAlign w:val="subscript"/>
        </w:rPr>
        <w:t>1</w:t>
      </w:r>
      <w:r>
        <w:rPr>
          <w:rFonts w:hint="default" w:ascii="Times New Roman" w:hAnsi="Times New Roman" w:eastAsia="方正仿宋_GBK" w:cs="Times New Roman"/>
          <w:sz w:val="32"/>
          <w:szCs w:val="32"/>
        </w:rPr>
        <w:t>级）、重庆褶皱束（Ⅲ</w:t>
      </w:r>
      <w:r>
        <w:rPr>
          <w:rFonts w:hint="default" w:ascii="Times New Roman" w:hAnsi="Times New Roman" w:eastAsia="方正仿宋_GBK" w:cs="Times New Roman"/>
          <w:sz w:val="32"/>
          <w:szCs w:val="32"/>
          <w:vertAlign w:val="subscript"/>
        </w:rPr>
        <w:t>1</w:t>
      </w:r>
      <w:r>
        <w:rPr>
          <w:rFonts w:hint="default" w:ascii="Times New Roman" w:hAnsi="Times New Roman" w:eastAsia="方正仿宋_GBK" w:cs="Times New Roman"/>
          <w:sz w:val="32"/>
          <w:szCs w:val="32"/>
        </w:rPr>
        <w:t>级）、华蓥山穹褶束（Ⅳ</w:t>
      </w:r>
      <w:r>
        <w:rPr>
          <w:rFonts w:hint="default" w:ascii="Times New Roman" w:hAnsi="Times New Roman" w:eastAsia="方正仿宋_GBK" w:cs="Times New Roman"/>
          <w:sz w:val="32"/>
          <w:szCs w:val="32"/>
          <w:vertAlign w:val="subscript"/>
        </w:rPr>
        <w:t>2</w:t>
      </w:r>
      <w:r>
        <w:rPr>
          <w:rFonts w:hint="default" w:ascii="Times New Roman" w:hAnsi="Times New Roman" w:eastAsia="方正仿宋_GBK" w:cs="Times New Roman"/>
          <w:sz w:val="32"/>
          <w:szCs w:val="32"/>
        </w:rPr>
        <w:t>级）。构造形迹多成生于燕山运动末期的北东—南西向褶皱，构造作用力分布不均，为一系列呈NNE向展布的不对称的紧密褶皱，向斜宽，背斜窄，成为典型的隔档式构造，断裂以压性、压扭性为主，一般沿背斜轴部分布，局部有小规模纵向断层发育，但规模较小。綦江区主要涉及构造自西向东为中锋寺向斜、观音峡冲断背斜、金鳌寺向斜、南温泉背斜、大盛场向斜、明月峡背斜、洛渍向斜、桃子荡背斜和长寿</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遵义基底断裂，见图1.2</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5。</w:t>
      </w:r>
    </w:p>
    <w:p>
      <w:pPr>
        <w:pStyle w:val="853"/>
        <w:spacing w:line="240" w:lineRule="auto"/>
        <w:ind w:firstLine="0" w:firstLineChars="0"/>
        <w:jc w:val="center"/>
        <w:rPr>
          <w:rFonts w:hint="eastAsia"/>
        </w:rPr>
      </w:pPr>
      <w:r>
        <w:rPr>
          <w:rFonts w:hint="eastAsia"/>
        </w:rPr>
        <w:drawing>
          <wp:inline distT="0" distB="0" distL="114300" distR="114300">
            <wp:extent cx="5274310" cy="4462780"/>
            <wp:effectExtent l="0" t="0" r="2540" b="13970"/>
            <wp:docPr id="32" name="Picture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2" name="Picture 1"/>
                    <pic:cNvPicPr>
                      <a:picLocks noChangeAspect="true"/>
                    </pic:cNvPicPr>
                  </pic:nvPicPr>
                  <pic:blipFill>
                    <a:blip r:embed="rId72"/>
                    <a:srcRect l="20866" t="37386" r="51469" b="25317"/>
                    <a:stretch>
                      <a:fillRect/>
                    </a:stretch>
                  </pic:blipFill>
                  <pic:spPr>
                    <a:xfrm>
                      <a:off x="0" y="0"/>
                      <a:ext cx="5274310" cy="4462780"/>
                    </a:xfrm>
                    <a:prstGeom prst="rect">
                      <a:avLst/>
                    </a:prstGeom>
                    <a:noFill/>
                    <a:ln>
                      <a:noFill/>
                    </a:ln>
                  </pic:spPr>
                </pic:pic>
              </a:graphicData>
            </a:graphic>
          </wp:inline>
        </w:drawing>
      </w:r>
    </w:p>
    <w:p>
      <w:pPr>
        <w:pStyle w:val="2886"/>
        <w:rPr>
          <w:rFonts w:hint="eastAsia"/>
        </w:rPr>
      </w:pPr>
      <w:r>
        <w:rPr>
          <w:rFonts w:hint="default" w:ascii="Times New Roman" w:hAnsi="Times New Roman" w:cs="Times New Roman"/>
        </w:rPr>
        <w:t>图1.2</w:t>
      </w:r>
      <w:r>
        <w:rPr>
          <w:rFonts w:hint="default" w:ascii="Times New Roman" w:hAnsi="Times New Roman" w:cs="Times New Roman"/>
          <w:lang w:eastAsia="zh-CN"/>
        </w:rPr>
        <w:t>—</w:t>
      </w:r>
      <w:r>
        <w:rPr>
          <w:rFonts w:hint="default" w:ascii="Times New Roman" w:hAnsi="Times New Roman" w:cs="Times New Roman"/>
        </w:rPr>
        <w:t>5</w:t>
      </w:r>
      <w:r>
        <w:rPr>
          <w:rFonts w:hint="eastAsia"/>
        </w:rPr>
        <w:t xml:space="preserve">    地质构造纲要图</w:t>
      </w:r>
    </w:p>
    <w:p>
      <w:pPr>
        <w:pStyle w:val="2953"/>
        <w:keepNext w:val="0"/>
        <w:keepLines w:val="0"/>
        <w:pageBreakBefore w:val="0"/>
        <w:widowControl w:val="0"/>
        <w:kinsoku/>
        <w:wordWrap/>
        <w:overflowPunct/>
        <w:topLinePunct w:val="0"/>
        <w:autoSpaceDE/>
        <w:autoSpaceDN/>
        <w:bidi w:val="0"/>
        <w:adjustRightInd/>
        <w:snapToGrid/>
        <w:spacing w:line="600" w:lineRule="exact"/>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綦江区主要断裂近期活动迹象不明显，地震活动水平较低。地震一般发生于莫氏面附近，震源深度一般为10</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15km，多属浅源地震。綦江区150km内有史记载的震级大于4的地震有5次，见表1.2</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4。</w:t>
      </w:r>
    </w:p>
    <w:p>
      <w:pPr>
        <w:pStyle w:val="2312"/>
        <w:ind w:firstLine="240"/>
        <w:rPr>
          <w:rFonts w:hint="eastAsia"/>
        </w:rPr>
      </w:pPr>
      <w:r>
        <w:rPr>
          <w:rFonts w:hint="default" w:ascii="Times New Roman" w:hAnsi="Times New Roman" w:cs="Times New Roman"/>
        </w:rPr>
        <w:t>表1.2</w:t>
      </w:r>
      <w:r>
        <w:rPr>
          <w:rFonts w:hint="default" w:ascii="Times New Roman" w:hAnsi="Times New Roman" w:cs="Times New Roman"/>
          <w:lang w:eastAsia="zh-CN"/>
        </w:rPr>
        <w:t>—</w:t>
      </w:r>
      <w:r>
        <w:rPr>
          <w:rFonts w:hint="default" w:ascii="Times New Roman" w:hAnsi="Times New Roman" w:cs="Times New Roman"/>
        </w:rPr>
        <w:t xml:space="preserve">4 </w:t>
      </w:r>
      <w:r>
        <w:rPr>
          <w:rFonts w:hint="eastAsia"/>
        </w:rPr>
        <w:t xml:space="preserve">              区域范围内历史地震目录（MS≥4</w:t>
      </w:r>
      <w:r>
        <w:rPr>
          <w:rFonts w:hint="eastAsia"/>
        </w:rPr>
        <w:drawing>
          <wp:inline distT="0" distB="0" distL="114300" distR="114300">
            <wp:extent cx="133350" cy="323850"/>
            <wp:effectExtent l="0" t="0" r="0" b="0"/>
            <wp:docPr id="33" name="Picture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3" name="Picture 3"/>
                    <pic:cNvPicPr>
                      <a:picLocks noChangeAspect="true"/>
                    </pic:cNvPicPr>
                  </pic:nvPicPr>
                  <pic:blipFill>
                    <a:blip r:embed="rId73"/>
                    <a:stretch>
                      <a:fillRect/>
                    </a:stretch>
                  </pic:blipFill>
                  <pic:spPr>
                    <a:xfrm>
                      <a:off x="0" y="0"/>
                      <a:ext cx="133350" cy="323850"/>
                    </a:xfrm>
                    <a:prstGeom prst="rect">
                      <a:avLst/>
                    </a:prstGeom>
                    <a:noFill/>
                    <a:ln>
                      <a:noFill/>
                    </a:ln>
                  </pic:spPr>
                </pic:pic>
              </a:graphicData>
            </a:graphic>
          </wp:inline>
        </w:drawing>
      </w:r>
      <w:r>
        <w:rPr>
          <w:rFonts w:hint="eastAsia"/>
        </w:rPr>
        <w:t>）</w:t>
      </w:r>
    </w:p>
    <w:tbl>
      <w:tblPr>
        <w:tblStyle w:val="88"/>
        <w:tblW w:w="5000"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108" w:type="dxa"/>
          <w:bottom w:w="0" w:type="dxa"/>
          <w:right w:w="108" w:type="dxa"/>
        </w:tblCellMar>
      </w:tblPr>
      <w:tblGrid>
        <w:gridCol w:w="739"/>
        <w:gridCol w:w="1365"/>
        <w:gridCol w:w="1932"/>
        <w:gridCol w:w="996"/>
        <w:gridCol w:w="1181"/>
        <w:gridCol w:w="929"/>
        <w:gridCol w:w="886"/>
        <w:gridCol w:w="1259"/>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8" w:type="pct"/>
            <w:vMerge w:val="restart"/>
            <w:shd w:val="clear" w:color="auto" w:fill="FFFFFF"/>
            <w:noWrap w:val="0"/>
            <w:vAlign w:val="center"/>
          </w:tcPr>
          <w:p>
            <w:pPr>
              <w:pStyle w:val="3013"/>
              <w:rPr>
                <w:rFonts w:hint="eastAsia"/>
              </w:rPr>
            </w:pPr>
            <w:r>
              <w:rPr>
                <w:rFonts w:hint="eastAsia"/>
              </w:rPr>
              <w:t>序号</w:t>
            </w:r>
          </w:p>
        </w:tc>
        <w:tc>
          <w:tcPr>
            <w:tcW w:w="735" w:type="pct"/>
            <w:vMerge w:val="restart"/>
            <w:shd w:val="clear" w:color="auto" w:fill="FFFFFF"/>
            <w:noWrap w:val="0"/>
            <w:vAlign w:val="center"/>
          </w:tcPr>
          <w:p>
            <w:pPr>
              <w:pStyle w:val="3013"/>
              <w:rPr>
                <w:rFonts w:hint="eastAsia"/>
              </w:rPr>
            </w:pPr>
            <w:r>
              <w:rPr>
                <w:rFonts w:hint="eastAsia"/>
              </w:rPr>
              <w:t>发震时间</w:t>
            </w:r>
          </w:p>
        </w:tc>
        <w:tc>
          <w:tcPr>
            <w:tcW w:w="2212" w:type="pct"/>
            <w:gridSpan w:val="3"/>
            <w:shd w:val="clear" w:color="auto" w:fill="FFFFFF"/>
            <w:noWrap w:val="0"/>
            <w:vAlign w:val="center"/>
          </w:tcPr>
          <w:p>
            <w:pPr>
              <w:pStyle w:val="3013"/>
              <w:rPr>
                <w:rFonts w:hint="eastAsia"/>
              </w:rPr>
            </w:pPr>
            <w:r>
              <w:rPr>
                <w:rFonts w:hint="eastAsia"/>
              </w:rPr>
              <w:t>震中位置</w:t>
            </w:r>
          </w:p>
        </w:tc>
        <w:tc>
          <w:tcPr>
            <w:tcW w:w="500" w:type="pct"/>
            <w:vMerge w:val="restart"/>
            <w:shd w:val="clear" w:color="auto" w:fill="FFFFFF"/>
            <w:noWrap w:val="0"/>
            <w:vAlign w:val="center"/>
          </w:tcPr>
          <w:p>
            <w:pPr>
              <w:pStyle w:val="3013"/>
              <w:rPr>
                <w:rFonts w:hint="eastAsia"/>
              </w:rPr>
            </w:pPr>
            <w:r>
              <w:rPr>
                <w:rFonts w:hint="eastAsia"/>
              </w:rPr>
              <w:t>震级</w:t>
            </w:r>
          </w:p>
        </w:tc>
        <w:tc>
          <w:tcPr>
            <w:tcW w:w="477" w:type="pct"/>
            <w:vMerge w:val="restart"/>
            <w:shd w:val="clear" w:color="auto" w:fill="FFFFFF"/>
            <w:noWrap w:val="0"/>
            <w:vAlign w:val="center"/>
          </w:tcPr>
          <w:p>
            <w:pPr>
              <w:pStyle w:val="3013"/>
              <w:rPr>
                <w:rFonts w:hint="eastAsia"/>
              </w:rPr>
            </w:pPr>
            <w:r>
              <w:rPr>
                <w:rFonts w:hint="eastAsia"/>
              </w:rPr>
              <w:t>震中</w:t>
            </w:r>
          </w:p>
          <w:p>
            <w:pPr>
              <w:pStyle w:val="3013"/>
              <w:rPr>
                <w:rFonts w:hint="eastAsia"/>
              </w:rPr>
            </w:pPr>
            <w:r>
              <w:rPr>
                <w:rFonts w:hint="eastAsia"/>
              </w:rPr>
              <w:t>烈度</w:t>
            </w:r>
          </w:p>
        </w:tc>
        <w:tc>
          <w:tcPr>
            <w:tcW w:w="678" w:type="pct"/>
            <w:vMerge w:val="restart"/>
            <w:shd w:val="clear" w:color="auto" w:fill="FFFFFF"/>
            <w:noWrap w:val="0"/>
            <w:vAlign w:val="center"/>
          </w:tcPr>
          <w:p>
            <w:pPr>
              <w:pStyle w:val="3013"/>
              <w:rPr>
                <w:rFonts w:hint="eastAsia"/>
              </w:rPr>
            </w:pPr>
            <w:r>
              <w:rPr>
                <w:rFonts w:hint="eastAsia"/>
              </w:rPr>
              <w:t>震中与工程区距离</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8" w:type="pct"/>
            <w:vMerge w:val="continue"/>
            <w:shd w:val="clear" w:color="auto" w:fill="auto"/>
            <w:noWrap w:val="0"/>
            <w:vAlign w:val="center"/>
          </w:tcPr>
          <w:p>
            <w:pPr>
              <w:pStyle w:val="3013"/>
              <w:rPr>
                <w:rFonts w:hint="eastAsia"/>
              </w:rPr>
            </w:pPr>
          </w:p>
        </w:tc>
        <w:tc>
          <w:tcPr>
            <w:tcW w:w="735" w:type="pct"/>
            <w:vMerge w:val="continue"/>
            <w:shd w:val="clear" w:color="auto" w:fill="auto"/>
            <w:noWrap w:val="0"/>
            <w:vAlign w:val="center"/>
          </w:tcPr>
          <w:p>
            <w:pPr>
              <w:pStyle w:val="3013"/>
              <w:rPr>
                <w:rFonts w:hint="eastAsia"/>
              </w:rPr>
            </w:pPr>
          </w:p>
        </w:tc>
        <w:tc>
          <w:tcPr>
            <w:tcW w:w="1040" w:type="pct"/>
            <w:shd w:val="clear" w:color="auto" w:fill="FFFFFF"/>
            <w:noWrap w:val="0"/>
            <w:vAlign w:val="center"/>
          </w:tcPr>
          <w:p>
            <w:pPr>
              <w:pStyle w:val="3013"/>
              <w:rPr>
                <w:rFonts w:hint="eastAsia"/>
              </w:rPr>
            </w:pPr>
            <w:r>
              <w:rPr>
                <w:rFonts w:hint="eastAsia"/>
              </w:rPr>
              <w:t>地点</w:t>
            </w:r>
          </w:p>
        </w:tc>
        <w:tc>
          <w:tcPr>
            <w:tcW w:w="536" w:type="pct"/>
            <w:shd w:val="clear" w:color="auto" w:fill="FFFFFF"/>
            <w:noWrap w:val="0"/>
            <w:vAlign w:val="center"/>
          </w:tcPr>
          <w:p>
            <w:pPr>
              <w:pStyle w:val="3013"/>
              <w:rPr>
                <w:rFonts w:hint="eastAsia"/>
              </w:rPr>
            </w:pPr>
            <w:r>
              <w:rPr>
                <w:rFonts w:hint="eastAsia"/>
              </w:rPr>
              <w:t>北纬</w:t>
            </w:r>
          </w:p>
        </w:tc>
        <w:tc>
          <w:tcPr>
            <w:tcW w:w="636" w:type="pct"/>
            <w:shd w:val="clear" w:color="auto" w:fill="FFFFFF"/>
            <w:noWrap w:val="0"/>
            <w:vAlign w:val="center"/>
          </w:tcPr>
          <w:p>
            <w:pPr>
              <w:pStyle w:val="3013"/>
              <w:rPr>
                <w:rFonts w:hint="eastAsia"/>
              </w:rPr>
            </w:pPr>
            <w:r>
              <w:rPr>
                <w:rFonts w:hint="eastAsia"/>
              </w:rPr>
              <w:t>东经</w:t>
            </w:r>
          </w:p>
        </w:tc>
        <w:tc>
          <w:tcPr>
            <w:tcW w:w="500" w:type="pct"/>
            <w:vMerge w:val="continue"/>
            <w:noWrap w:val="0"/>
            <w:vAlign w:val="center"/>
          </w:tcPr>
          <w:p>
            <w:pPr>
              <w:pStyle w:val="3013"/>
              <w:rPr>
                <w:rFonts w:hint="eastAsia"/>
              </w:rPr>
            </w:pPr>
          </w:p>
        </w:tc>
        <w:tc>
          <w:tcPr>
            <w:tcW w:w="477" w:type="pct"/>
            <w:vMerge w:val="continue"/>
            <w:noWrap w:val="0"/>
            <w:vAlign w:val="center"/>
          </w:tcPr>
          <w:p>
            <w:pPr>
              <w:pStyle w:val="3013"/>
              <w:rPr>
                <w:rFonts w:hint="eastAsia"/>
              </w:rPr>
            </w:pPr>
          </w:p>
        </w:tc>
        <w:tc>
          <w:tcPr>
            <w:tcW w:w="678" w:type="pct"/>
            <w:vMerge w:val="continue"/>
            <w:noWrap w:val="0"/>
            <w:vAlign w:val="center"/>
          </w:tcPr>
          <w:p>
            <w:pPr>
              <w:pStyle w:val="3013"/>
              <w:rPr>
                <w:rFonts w:hint="eastAsia"/>
              </w:rPr>
            </w:pP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8" w:type="pct"/>
            <w:shd w:val="clear" w:color="auto" w:fill="FFFFFF"/>
            <w:noWrap w:val="0"/>
            <w:vAlign w:val="center"/>
          </w:tcPr>
          <w:p>
            <w:pPr>
              <w:pStyle w:val="3013"/>
              <w:rPr>
                <w:rFonts w:hint="eastAsia"/>
              </w:rPr>
            </w:pPr>
            <w:r>
              <w:rPr>
                <w:rFonts w:hint="eastAsia"/>
              </w:rPr>
              <w:t>1</w:t>
            </w:r>
          </w:p>
        </w:tc>
        <w:tc>
          <w:tcPr>
            <w:tcW w:w="735" w:type="pct"/>
            <w:shd w:val="clear" w:color="auto" w:fill="FFFFFF"/>
            <w:noWrap w:val="0"/>
            <w:vAlign w:val="center"/>
          </w:tcPr>
          <w:p>
            <w:pPr>
              <w:pStyle w:val="3013"/>
              <w:rPr>
                <w:rFonts w:hint="eastAsia"/>
              </w:rPr>
            </w:pPr>
            <w:r>
              <w:rPr>
                <w:rFonts w:hint="eastAsia"/>
              </w:rPr>
              <w:t>1854.12.24</w:t>
            </w:r>
          </w:p>
        </w:tc>
        <w:tc>
          <w:tcPr>
            <w:tcW w:w="1040" w:type="pct"/>
            <w:shd w:val="clear" w:color="auto" w:fill="FFFFFF"/>
            <w:noWrap w:val="0"/>
            <w:vAlign w:val="center"/>
          </w:tcPr>
          <w:p>
            <w:pPr>
              <w:pStyle w:val="3013"/>
              <w:rPr>
                <w:rFonts w:hint="eastAsia"/>
              </w:rPr>
            </w:pPr>
            <w:r>
              <w:rPr>
                <w:rFonts w:hint="eastAsia"/>
              </w:rPr>
              <w:t>南川陈家场</w:t>
            </w:r>
          </w:p>
        </w:tc>
        <w:tc>
          <w:tcPr>
            <w:tcW w:w="536" w:type="pct"/>
            <w:shd w:val="clear" w:color="auto" w:fill="FFFFFF"/>
            <w:noWrap w:val="0"/>
            <w:tcMar>
              <w:left w:w="0" w:type="dxa"/>
              <w:right w:w="0" w:type="dxa"/>
            </w:tcMar>
            <w:vAlign w:val="center"/>
          </w:tcPr>
          <w:p>
            <w:pPr>
              <w:pStyle w:val="3013"/>
              <w:rPr>
                <w:rFonts w:hint="eastAsia"/>
              </w:rPr>
            </w:pPr>
            <w:r>
              <w:rPr>
                <w:rFonts w:hint="eastAsia"/>
              </w:rPr>
              <w:t>29°1′</w:t>
            </w:r>
          </w:p>
        </w:tc>
        <w:tc>
          <w:tcPr>
            <w:tcW w:w="636" w:type="pct"/>
            <w:shd w:val="clear" w:color="auto" w:fill="FFFFFF"/>
            <w:noWrap w:val="0"/>
            <w:tcMar>
              <w:left w:w="0" w:type="dxa"/>
              <w:right w:w="0" w:type="dxa"/>
            </w:tcMar>
            <w:vAlign w:val="center"/>
          </w:tcPr>
          <w:p>
            <w:pPr>
              <w:pStyle w:val="3013"/>
              <w:rPr>
                <w:rFonts w:hint="eastAsia"/>
              </w:rPr>
            </w:pPr>
            <w:r>
              <w:rPr>
                <w:rFonts w:hint="eastAsia"/>
              </w:rPr>
              <w:t>107°1′</w:t>
            </w:r>
          </w:p>
        </w:tc>
        <w:tc>
          <w:tcPr>
            <w:tcW w:w="500" w:type="pct"/>
            <w:shd w:val="clear" w:color="auto" w:fill="FFFFFF"/>
            <w:noWrap w:val="0"/>
            <w:vAlign w:val="center"/>
          </w:tcPr>
          <w:p>
            <w:pPr>
              <w:pStyle w:val="3013"/>
              <w:rPr>
                <w:rFonts w:hint="eastAsia"/>
              </w:rPr>
            </w:pPr>
            <w:r>
              <w:rPr>
                <w:rFonts w:hint="eastAsia"/>
              </w:rPr>
              <w:t>5</w:t>
            </w:r>
            <w:r>
              <w:rPr>
                <w:rFonts w:hint="eastAsia"/>
              </w:rPr>
              <w:drawing>
                <wp:inline distT="0" distB="0" distL="114300" distR="114300">
                  <wp:extent cx="133350" cy="323850"/>
                  <wp:effectExtent l="0" t="0" r="0" b="0"/>
                  <wp:docPr id="34" name="Picture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4" name="Picture 4"/>
                          <pic:cNvPicPr>
                            <a:picLocks noChangeAspect="true"/>
                          </pic:cNvPicPr>
                        </pic:nvPicPr>
                        <pic:blipFill>
                          <a:blip r:embed="rId74"/>
                          <a:stretch>
                            <a:fillRect/>
                          </a:stretch>
                        </pic:blipFill>
                        <pic:spPr>
                          <a:xfrm>
                            <a:off x="0" y="0"/>
                            <a:ext cx="133350" cy="323850"/>
                          </a:xfrm>
                          <a:prstGeom prst="rect">
                            <a:avLst/>
                          </a:prstGeom>
                          <a:noFill/>
                          <a:ln>
                            <a:noFill/>
                          </a:ln>
                        </pic:spPr>
                      </pic:pic>
                    </a:graphicData>
                  </a:graphic>
                </wp:inline>
              </w:drawing>
            </w:r>
          </w:p>
        </w:tc>
        <w:tc>
          <w:tcPr>
            <w:tcW w:w="477" w:type="pct"/>
            <w:shd w:val="clear" w:color="auto" w:fill="FFFFFF"/>
            <w:noWrap w:val="0"/>
            <w:vAlign w:val="center"/>
          </w:tcPr>
          <w:p>
            <w:pPr>
              <w:pStyle w:val="3013"/>
              <w:rPr>
                <w:rFonts w:hint="eastAsia"/>
              </w:rPr>
            </w:pPr>
            <w:r>
              <w:rPr>
                <w:rFonts w:hint="eastAsia"/>
              </w:rPr>
              <w:t>Ⅶ</w:t>
            </w:r>
          </w:p>
        </w:tc>
        <w:tc>
          <w:tcPr>
            <w:tcW w:w="678" w:type="pct"/>
            <w:shd w:val="clear" w:color="auto" w:fill="FFFFFF"/>
            <w:noWrap w:val="0"/>
            <w:vAlign w:val="center"/>
          </w:tcPr>
          <w:p>
            <w:pPr>
              <w:pStyle w:val="3013"/>
              <w:rPr>
                <w:rFonts w:hint="eastAsia"/>
              </w:rPr>
            </w:pPr>
            <w:r>
              <w:rPr>
                <w:rFonts w:hint="eastAsia"/>
              </w:rPr>
              <w:t>40km</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8" w:type="pct"/>
            <w:shd w:val="clear" w:color="auto" w:fill="FFFFFF"/>
            <w:noWrap w:val="0"/>
            <w:vAlign w:val="center"/>
          </w:tcPr>
          <w:p>
            <w:pPr>
              <w:pStyle w:val="3013"/>
              <w:rPr>
                <w:rFonts w:hint="eastAsia"/>
              </w:rPr>
            </w:pPr>
            <w:r>
              <w:rPr>
                <w:rFonts w:hint="eastAsia"/>
              </w:rPr>
              <w:t>2</w:t>
            </w:r>
          </w:p>
        </w:tc>
        <w:tc>
          <w:tcPr>
            <w:tcW w:w="735" w:type="pct"/>
            <w:shd w:val="clear" w:color="auto" w:fill="FFFFFF"/>
            <w:noWrap w:val="0"/>
            <w:vAlign w:val="center"/>
          </w:tcPr>
          <w:p>
            <w:pPr>
              <w:pStyle w:val="3013"/>
              <w:rPr>
                <w:rFonts w:hint="eastAsia"/>
              </w:rPr>
            </w:pPr>
            <w:r>
              <w:rPr>
                <w:rFonts w:hint="eastAsia"/>
              </w:rPr>
              <w:t>1855.8.*</w:t>
            </w:r>
          </w:p>
        </w:tc>
        <w:tc>
          <w:tcPr>
            <w:tcW w:w="1040" w:type="pct"/>
            <w:shd w:val="clear" w:color="auto" w:fill="FFFFFF"/>
            <w:noWrap w:val="0"/>
            <w:vAlign w:val="center"/>
          </w:tcPr>
          <w:p>
            <w:pPr>
              <w:pStyle w:val="3013"/>
              <w:rPr>
                <w:rFonts w:hint="eastAsia"/>
              </w:rPr>
            </w:pPr>
            <w:r>
              <w:rPr>
                <w:rFonts w:hint="eastAsia"/>
              </w:rPr>
              <w:t>重庆彭水</w:t>
            </w:r>
          </w:p>
        </w:tc>
        <w:tc>
          <w:tcPr>
            <w:tcW w:w="536" w:type="pct"/>
            <w:shd w:val="clear" w:color="auto" w:fill="FFFFFF"/>
            <w:noWrap w:val="0"/>
            <w:tcMar>
              <w:left w:w="0" w:type="dxa"/>
              <w:right w:w="0" w:type="dxa"/>
            </w:tcMar>
            <w:vAlign w:val="center"/>
          </w:tcPr>
          <w:p>
            <w:pPr>
              <w:pStyle w:val="3013"/>
              <w:rPr>
                <w:rFonts w:hint="eastAsia"/>
              </w:rPr>
            </w:pPr>
            <w:r>
              <w:rPr>
                <w:rFonts w:hint="eastAsia"/>
              </w:rPr>
              <w:t>29°3′</w:t>
            </w:r>
          </w:p>
        </w:tc>
        <w:tc>
          <w:tcPr>
            <w:tcW w:w="636" w:type="pct"/>
            <w:shd w:val="clear" w:color="auto" w:fill="FFFFFF"/>
            <w:noWrap w:val="0"/>
            <w:tcMar>
              <w:left w:w="0" w:type="dxa"/>
              <w:right w:w="0" w:type="dxa"/>
            </w:tcMar>
            <w:vAlign w:val="center"/>
          </w:tcPr>
          <w:p>
            <w:pPr>
              <w:pStyle w:val="3013"/>
              <w:rPr>
                <w:rFonts w:hint="eastAsia"/>
              </w:rPr>
            </w:pPr>
            <w:r>
              <w:rPr>
                <w:rFonts w:hint="eastAsia"/>
              </w:rPr>
              <w:t>108°1′</w:t>
            </w:r>
          </w:p>
        </w:tc>
        <w:tc>
          <w:tcPr>
            <w:tcW w:w="500" w:type="pct"/>
            <w:shd w:val="clear" w:color="auto" w:fill="FFFFFF"/>
            <w:noWrap w:val="0"/>
            <w:vAlign w:val="center"/>
          </w:tcPr>
          <w:p>
            <w:pPr>
              <w:pStyle w:val="3013"/>
              <w:rPr>
                <w:rFonts w:hint="eastAsia"/>
              </w:rPr>
            </w:pPr>
            <w:r>
              <w:rPr>
                <w:rFonts w:hint="eastAsia"/>
              </w:rPr>
              <w:t>4</w:t>
            </w:r>
            <w:r>
              <w:rPr>
                <w:rFonts w:hint="eastAsia"/>
              </w:rPr>
              <w:drawing>
                <wp:inline distT="0" distB="0" distL="114300" distR="114300">
                  <wp:extent cx="133350" cy="323850"/>
                  <wp:effectExtent l="0" t="0" r="0" b="0"/>
                  <wp:docPr id="35" name="Picture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5" name="Picture 5"/>
                          <pic:cNvPicPr>
                            <a:picLocks noChangeAspect="true"/>
                          </pic:cNvPicPr>
                        </pic:nvPicPr>
                        <pic:blipFill>
                          <a:blip r:embed="rId75"/>
                          <a:stretch>
                            <a:fillRect/>
                          </a:stretch>
                        </pic:blipFill>
                        <pic:spPr>
                          <a:xfrm>
                            <a:off x="0" y="0"/>
                            <a:ext cx="133350" cy="323850"/>
                          </a:xfrm>
                          <a:prstGeom prst="rect">
                            <a:avLst/>
                          </a:prstGeom>
                          <a:noFill/>
                          <a:ln>
                            <a:noFill/>
                          </a:ln>
                        </pic:spPr>
                      </pic:pic>
                    </a:graphicData>
                  </a:graphic>
                </wp:inline>
              </w:drawing>
            </w:r>
          </w:p>
        </w:tc>
        <w:tc>
          <w:tcPr>
            <w:tcW w:w="477" w:type="pct"/>
            <w:shd w:val="clear" w:color="auto" w:fill="FFFFFF"/>
            <w:noWrap w:val="0"/>
            <w:vAlign w:val="center"/>
          </w:tcPr>
          <w:p>
            <w:pPr>
              <w:pStyle w:val="3013"/>
              <w:rPr>
                <w:rFonts w:hint="eastAsia"/>
              </w:rPr>
            </w:pPr>
            <w:r>
              <w:rPr>
                <w:rFonts w:hint="eastAsia"/>
              </w:rPr>
              <w:t>Ⅵ</w:t>
            </w:r>
          </w:p>
        </w:tc>
        <w:tc>
          <w:tcPr>
            <w:tcW w:w="678" w:type="pct"/>
            <w:shd w:val="clear" w:color="auto" w:fill="FFFFFF"/>
            <w:noWrap w:val="0"/>
            <w:vAlign w:val="center"/>
          </w:tcPr>
          <w:p>
            <w:pPr>
              <w:pStyle w:val="3013"/>
              <w:rPr>
                <w:rFonts w:hint="eastAsia"/>
              </w:rPr>
            </w:pPr>
            <w:r>
              <w:rPr>
                <w:rFonts w:hint="eastAsia"/>
              </w:rPr>
              <w:t>141km</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8" w:type="pct"/>
            <w:shd w:val="clear" w:color="auto" w:fill="FFFFFF"/>
            <w:noWrap w:val="0"/>
            <w:vAlign w:val="center"/>
          </w:tcPr>
          <w:p>
            <w:pPr>
              <w:pStyle w:val="3013"/>
              <w:rPr>
                <w:rFonts w:hint="eastAsia"/>
              </w:rPr>
            </w:pPr>
            <w:r>
              <w:rPr>
                <w:rFonts w:hint="eastAsia"/>
              </w:rPr>
              <w:t>3</w:t>
            </w:r>
          </w:p>
        </w:tc>
        <w:tc>
          <w:tcPr>
            <w:tcW w:w="735" w:type="pct"/>
            <w:shd w:val="clear" w:color="auto" w:fill="FFFFFF"/>
            <w:noWrap w:val="0"/>
            <w:vAlign w:val="center"/>
          </w:tcPr>
          <w:p>
            <w:pPr>
              <w:pStyle w:val="3013"/>
              <w:rPr>
                <w:rFonts w:hint="eastAsia"/>
              </w:rPr>
            </w:pPr>
            <w:r>
              <w:rPr>
                <w:rFonts w:hint="eastAsia"/>
              </w:rPr>
              <w:t>1989.11.20</w:t>
            </w:r>
          </w:p>
        </w:tc>
        <w:tc>
          <w:tcPr>
            <w:tcW w:w="1040" w:type="pct"/>
            <w:shd w:val="clear" w:color="auto" w:fill="FFFFFF"/>
            <w:noWrap w:val="0"/>
            <w:vAlign w:val="center"/>
          </w:tcPr>
          <w:p>
            <w:pPr>
              <w:pStyle w:val="3013"/>
              <w:rPr>
                <w:rFonts w:hint="eastAsia"/>
              </w:rPr>
            </w:pPr>
            <w:r>
              <w:rPr>
                <w:rFonts w:hint="eastAsia"/>
              </w:rPr>
              <w:t>渝北区统景镇</w:t>
            </w:r>
          </w:p>
        </w:tc>
        <w:tc>
          <w:tcPr>
            <w:tcW w:w="536" w:type="pct"/>
            <w:shd w:val="clear" w:color="auto" w:fill="FFFFFF"/>
            <w:noWrap w:val="0"/>
            <w:tcMar>
              <w:left w:w="0" w:type="dxa"/>
              <w:right w:w="0" w:type="dxa"/>
            </w:tcMar>
            <w:vAlign w:val="center"/>
          </w:tcPr>
          <w:p>
            <w:pPr>
              <w:pStyle w:val="3013"/>
              <w:rPr>
                <w:rFonts w:hint="eastAsia"/>
              </w:rPr>
            </w:pPr>
            <w:r>
              <w:rPr>
                <w:rFonts w:hint="eastAsia"/>
              </w:rPr>
              <w:t>29°55′</w:t>
            </w:r>
          </w:p>
        </w:tc>
        <w:tc>
          <w:tcPr>
            <w:tcW w:w="636" w:type="pct"/>
            <w:shd w:val="clear" w:color="auto" w:fill="FFFFFF"/>
            <w:noWrap w:val="0"/>
            <w:tcMar>
              <w:left w:w="0" w:type="dxa"/>
              <w:right w:w="0" w:type="dxa"/>
            </w:tcMar>
            <w:vAlign w:val="center"/>
          </w:tcPr>
          <w:p>
            <w:pPr>
              <w:pStyle w:val="3013"/>
              <w:rPr>
                <w:rFonts w:hint="eastAsia"/>
              </w:rPr>
            </w:pPr>
            <w:r>
              <w:rPr>
                <w:rFonts w:hint="eastAsia"/>
              </w:rPr>
              <w:t>106°53′</w:t>
            </w:r>
          </w:p>
        </w:tc>
        <w:tc>
          <w:tcPr>
            <w:tcW w:w="500" w:type="pct"/>
            <w:shd w:val="clear" w:color="auto" w:fill="FFFFFF"/>
            <w:noWrap w:val="0"/>
            <w:vAlign w:val="center"/>
          </w:tcPr>
          <w:p>
            <w:pPr>
              <w:pStyle w:val="3013"/>
              <w:rPr>
                <w:rFonts w:hint="eastAsia"/>
              </w:rPr>
            </w:pPr>
            <w:r>
              <w:rPr>
                <w:rFonts w:hint="eastAsia"/>
              </w:rPr>
              <w:t>5.4</w:t>
            </w:r>
          </w:p>
        </w:tc>
        <w:tc>
          <w:tcPr>
            <w:tcW w:w="477" w:type="pct"/>
            <w:shd w:val="clear" w:color="auto" w:fill="FFFFFF"/>
            <w:noWrap w:val="0"/>
            <w:vAlign w:val="center"/>
          </w:tcPr>
          <w:p>
            <w:pPr>
              <w:pStyle w:val="3013"/>
              <w:rPr>
                <w:rFonts w:hint="eastAsia"/>
              </w:rPr>
            </w:pPr>
            <w:r>
              <w:rPr>
                <w:rFonts w:hint="eastAsia"/>
              </w:rPr>
              <w:t>Ⅶ</w:t>
            </w:r>
          </w:p>
        </w:tc>
        <w:tc>
          <w:tcPr>
            <w:tcW w:w="678" w:type="pct"/>
            <w:shd w:val="clear" w:color="auto" w:fill="FFFFFF"/>
            <w:noWrap w:val="0"/>
            <w:vAlign w:val="center"/>
          </w:tcPr>
          <w:p>
            <w:pPr>
              <w:pStyle w:val="3013"/>
              <w:rPr>
                <w:rFonts w:hint="eastAsia"/>
              </w:rPr>
            </w:pPr>
            <w:r>
              <w:rPr>
                <w:rFonts w:hint="eastAsia"/>
              </w:rPr>
              <w:t>105km</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8" w:type="pct"/>
            <w:shd w:val="clear" w:color="auto" w:fill="FFFFFF"/>
            <w:noWrap w:val="0"/>
            <w:vAlign w:val="center"/>
          </w:tcPr>
          <w:p>
            <w:pPr>
              <w:pStyle w:val="3013"/>
              <w:rPr>
                <w:rFonts w:hint="eastAsia"/>
              </w:rPr>
            </w:pPr>
            <w:r>
              <w:rPr>
                <w:rFonts w:hint="eastAsia"/>
              </w:rPr>
              <w:t>4</w:t>
            </w:r>
          </w:p>
        </w:tc>
        <w:tc>
          <w:tcPr>
            <w:tcW w:w="735" w:type="pct"/>
            <w:shd w:val="clear" w:color="auto" w:fill="FFFFFF"/>
            <w:noWrap w:val="0"/>
            <w:vAlign w:val="center"/>
          </w:tcPr>
          <w:p>
            <w:pPr>
              <w:pStyle w:val="3013"/>
              <w:rPr>
                <w:rFonts w:hint="eastAsia"/>
              </w:rPr>
            </w:pPr>
            <w:r>
              <w:rPr>
                <w:rFonts w:hint="eastAsia"/>
              </w:rPr>
              <w:t>1997.8.13</w:t>
            </w:r>
          </w:p>
        </w:tc>
        <w:tc>
          <w:tcPr>
            <w:tcW w:w="1040" w:type="pct"/>
            <w:shd w:val="clear" w:color="auto" w:fill="FFFFFF"/>
            <w:noWrap w:val="0"/>
            <w:vAlign w:val="center"/>
          </w:tcPr>
          <w:p>
            <w:pPr>
              <w:pStyle w:val="3013"/>
              <w:rPr>
                <w:rFonts w:hint="eastAsia"/>
              </w:rPr>
            </w:pPr>
            <w:r>
              <w:rPr>
                <w:rFonts w:hint="eastAsia"/>
              </w:rPr>
              <w:t>荣昌县许溪乡、</w:t>
            </w:r>
          </w:p>
          <w:p>
            <w:pPr>
              <w:pStyle w:val="3013"/>
              <w:rPr>
                <w:rFonts w:hint="eastAsia"/>
              </w:rPr>
            </w:pPr>
            <w:r>
              <w:rPr>
                <w:rFonts w:hint="eastAsia"/>
              </w:rPr>
              <w:t>广顺镇</w:t>
            </w:r>
          </w:p>
        </w:tc>
        <w:tc>
          <w:tcPr>
            <w:tcW w:w="536" w:type="pct"/>
            <w:shd w:val="clear" w:color="auto" w:fill="FFFFFF"/>
            <w:noWrap w:val="0"/>
            <w:tcMar>
              <w:left w:w="0" w:type="dxa"/>
              <w:right w:w="0" w:type="dxa"/>
            </w:tcMar>
            <w:vAlign w:val="center"/>
          </w:tcPr>
          <w:p>
            <w:pPr>
              <w:pStyle w:val="3013"/>
              <w:rPr>
                <w:rFonts w:hint="eastAsia"/>
              </w:rPr>
            </w:pPr>
            <w:r>
              <w:rPr>
                <w:rFonts w:hint="eastAsia"/>
              </w:rPr>
              <w:t>29°27′</w:t>
            </w:r>
          </w:p>
        </w:tc>
        <w:tc>
          <w:tcPr>
            <w:tcW w:w="636" w:type="pct"/>
            <w:shd w:val="clear" w:color="auto" w:fill="FFFFFF"/>
            <w:noWrap w:val="0"/>
            <w:tcMar>
              <w:left w:w="0" w:type="dxa"/>
              <w:right w:w="0" w:type="dxa"/>
            </w:tcMar>
            <w:vAlign w:val="center"/>
          </w:tcPr>
          <w:p>
            <w:pPr>
              <w:pStyle w:val="3013"/>
              <w:rPr>
                <w:rFonts w:hint="eastAsia"/>
              </w:rPr>
            </w:pPr>
            <w:r>
              <w:rPr>
                <w:rFonts w:hint="eastAsia"/>
              </w:rPr>
              <w:t>105°33′</w:t>
            </w:r>
          </w:p>
        </w:tc>
        <w:tc>
          <w:tcPr>
            <w:tcW w:w="500" w:type="pct"/>
            <w:shd w:val="clear" w:color="auto" w:fill="FFFFFF"/>
            <w:noWrap w:val="0"/>
            <w:vAlign w:val="center"/>
          </w:tcPr>
          <w:p>
            <w:pPr>
              <w:pStyle w:val="3013"/>
              <w:rPr>
                <w:rFonts w:hint="eastAsia"/>
              </w:rPr>
            </w:pPr>
            <w:r>
              <w:rPr>
                <w:rFonts w:hint="eastAsia"/>
              </w:rPr>
              <w:t>5</w:t>
            </w:r>
            <w:r>
              <w:rPr>
                <w:rFonts w:hint="eastAsia"/>
              </w:rPr>
              <w:drawing>
                <wp:inline distT="0" distB="0" distL="114300" distR="114300">
                  <wp:extent cx="142875" cy="323850"/>
                  <wp:effectExtent l="0" t="0" r="0" b="0"/>
                  <wp:docPr id="36" name="Picture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6" name="Picture 6"/>
                          <pic:cNvPicPr>
                            <a:picLocks noChangeAspect="true"/>
                          </pic:cNvPicPr>
                        </pic:nvPicPr>
                        <pic:blipFill>
                          <a:blip r:embed="rId74"/>
                          <a:stretch>
                            <a:fillRect/>
                          </a:stretch>
                        </pic:blipFill>
                        <pic:spPr>
                          <a:xfrm>
                            <a:off x="0" y="0"/>
                            <a:ext cx="142875" cy="323850"/>
                          </a:xfrm>
                          <a:prstGeom prst="rect">
                            <a:avLst/>
                          </a:prstGeom>
                          <a:noFill/>
                          <a:ln>
                            <a:noFill/>
                          </a:ln>
                        </pic:spPr>
                      </pic:pic>
                    </a:graphicData>
                  </a:graphic>
                </wp:inline>
              </w:drawing>
            </w:r>
          </w:p>
        </w:tc>
        <w:tc>
          <w:tcPr>
            <w:tcW w:w="477" w:type="pct"/>
            <w:shd w:val="clear" w:color="auto" w:fill="FFFFFF"/>
            <w:noWrap w:val="0"/>
            <w:vAlign w:val="center"/>
          </w:tcPr>
          <w:p>
            <w:pPr>
              <w:pStyle w:val="3013"/>
              <w:rPr>
                <w:rFonts w:hint="eastAsia"/>
              </w:rPr>
            </w:pPr>
            <w:r>
              <w:rPr>
                <w:rFonts w:hint="eastAsia"/>
              </w:rPr>
              <w:t>Ⅶ</w:t>
            </w:r>
          </w:p>
        </w:tc>
        <w:tc>
          <w:tcPr>
            <w:tcW w:w="678" w:type="pct"/>
            <w:shd w:val="clear" w:color="auto" w:fill="FFFFFF"/>
            <w:noWrap w:val="0"/>
            <w:vAlign w:val="center"/>
          </w:tcPr>
          <w:p>
            <w:pPr>
              <w:pStyle w:val="3013"/>
              <w:rPr>
                <w:rFonts w:hint="eastAsia"/>
              </w:rPr>
            </w:pPr>
            <w:r>
              <w:rPr>
                <w:rFonts w:hint="eastAsia"/>
              </w:rPr>
              <w:t>120km</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8" w:type="pct"/>
            <w:shd w:val="clear" w:color="auto" w:fill="FFFFFF"/>
            <w:noWrap w:val="0"/>
            <w:vAlign w:val="center"/>
          </w:tcPr>
          <w:p>
            <w:pPr>
              <w:pStyle w:val="3013"/>
              <w:rPr>
                <w:rFonts w:hint="eastAsia"/>
              </w:rPr>
            </w:pPr>
            <w:r>
              <w:rPr>
                <w:rFonts w:hint="eastAsia"/>
              </w:rPr>
              <w:t>5</w:t>
            </w:r>
          </w:p>
        </w:tc>
        <w:tc>
          <w:tcPr>
            <w:tcW w:w="735" w:type="pct"/>
            <w:shd w:val="clear" w:color="auto" w:fill="FFFFFF"/>
            <w:noWrap w:val="0"/>
            <w:vAlign w:val="center"/>
          </w:tcPr>
          <w:p>
            <w:pPr>
              <w:pStyle w:val="3013"/>
              <w:rPr>
                <w:rFonts w:hint="eastAsia"/>
              </w:rPr>
            </w:pPr>
            <w:r>
              <w:rPr>
                <w:rFonts w:hint="eastAsia"/>
              </w:rPr>
              <w:t>1999.8.17</w:t>
            </w:r>
          </w:p>
        </w:tc>
        <w:tc>
          <w:tcPr>
            <w:tcW w:w="1040" w:type="pct"/>
            <w:shd w:val="clear" w:color="auto" w:fill="FFFFFF"/>
            <w:noWrap w:val="0"/>
            <w:vAlign w:val="center"/>
          </w:tcPr>
          <w:p>
            <w:pPr>
              <w:pStyle w:val="3013"/>
              <w:rPr>
                <w:rFonts w:hint="eastAsia"/>
              </w:rPr>
            </w:pPr>
            <w:r>
              <w:rPr>
                <w:rFonts w:hint="eastAsia"/>
              </w:rPr>
              <w:t>荣昌县昌元镇</w:t>
            </w:r>
          </w:p>
        </w:tc>
        <w:tc>
          <w:tcPr>
            <w:tcW w:w="536" w:type="pct"/>
            <w:shd w:val="clear" w:color="auto" w:fill="FFFFFF"/>
            <w:noWrap w:val="0"/>
            <w:tcMar>
              <w:left w:w="0" w:type="dxa"/>
              <w:right w:w="0" w:type="dxa"/>
            </w:tcMar>
            <w:vAlign w:val="center"/>
          </w:tcPr>
          <w:p>
            <w:pPr>
              <w:pStyle w:val="3013"/>
              <w:rPr>
                <w:rFonts w:hint="eastAsia"/>
              </w:rPr>
            </w:pPr>
            <w:r>
              <w:rPr>
                <w:rFonts w:hint="eastAsia"/>
              </w:rPr>
              <w:t>29°21′</w:t>
            </w:r>
          </w:p>
        </w:tc>
        <w:tc>
          <w:tcPr>
            <w:tcW w:w="636" w:type="pct"/>
            <w:shd w:val="clear" w:color="auto" w:fill="FFFFFF"/>
            <w:noWrap w:val="0"/>
            <w:tcMar>
              <w:left w:w="0" w:type="dxa"/>
              <w:right w:w="0" w:type="dxa"/>
            </w:tcMar>
            <w:vAlign w:val="center"/>
          </w:tcPr>
          <w:p>
            <w:pPr>
              <w:pStyle w:val="3013"/>
              <w:rPr>
                <w:rFonts w:hint="eastAsia"/>
              </w:rPr>
            </w:pPr>
            <w:r>
              <w:rPr>
                <w:rFonts w:hint="eastAsia"/>
              </w:rPr>
              <w:t>105°35′</w:t>
            </w:r>
          </w:p>
        </w:tc>
        <w:tc>
          <w:tcPr>
            <w:tcW w:w="500" w:type="pct"/>
            <w:shd w:val="clear" w:color="auto" w:fill="FFFFFF"/>
            <w:noWrap w:val="0"/>
            <w:vAlign w:val="center"/>
          </w:tcPr>
          <w:p>
            <w:pPr>
              <w:pStyle w:val="3013"/>
              <w:rPr>
                <w:rFonts w:hint="eastAsia"/>
              </w:rPr>
            </w:pPr>
            <w:r>
              <w:rPr>
                <w:rFonts w:hint="eastAsia"/>
              </w:rPr>
              <w:t>5</w:t>
            </w:r>
          </w:p>
        </w:tc>
        <w:tc>
          <w:tcPr>
            <w:tcW w:w="477" w:type="pct"/>
            <w:shd w:val="clear" w:color="auto" w:fill="FFFFFF"/>
            <w:noWrap w:val="0"/>
            <w:vAlign w:val="center"/>
          </w:tcPr>
          <w:p>
            <w:pPr>
              <w:pStyle w:val="3013"/>
              <w:rPr>
                <w:rFonts w:hint="eastAsia"/>
              </w:rPr>
            </w:pPr>
            <w:r>
              <w:rPr>
                <w:rFonts w:hint="eastAsia"/>
              </w:rPr>
              <w:t>Ⅶ</w:t>
            </w:r>
          </w:p>
        </w:tc>
        <w:tc>
          <w:tcPr>
            <w:tcW w:w="678" w:type="pct"/>
            <w:shd w:val="clear" w:color="auto" w:fill="FFFFFF"/>
            <w:noWrap w:val="0"/>
            <w:vAlign w:val="center"/>
          </w:tcPr>
          <w:p>
            <w:pPr>
              <w:pStyle w:val="3013"/>
              <w:rPr>
                <w:rFonts w:hint="eastAsia"/>
              </w:rPr>
            </w:pPr>
            <w:r>
              <w:rPr>
                <w:rFonts w:hint="eastAsia"/>
              </w:rPr>
              <w:t>111km</w:t>
            </w:r>
          </w:p>
        </w:tc>
      </w:tr>
    </w:tbl>
    <w:p>
      <w:pPr>
        <w:pStyle w:val="2953"/>
        <w:keepNext w:val="0"/>
        <w:keepLines w:val="0"/>
        <w:pageBreakBefore w:val="0"/>
        <w:widowControl w:val="0"/>
        <w:kinsoku/>
        <w:wordWrap/>
        <w:overflowPunct/>
        <w:topLinePunct w:val="0"/>
        <w:autoSpaceDE/>
        <w:autoSpaceDN/>
        <w:bidi w:val="0"/>
        <w:adjustRightInd/>
        <w:snapToGrid/>
        <w:spacing w:line="600" w:lineRule="exact"/>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上述各次地震对工程区的影响烈度小于Ⅵ度，2008年汶川8.0级地震对綦江区的影响烈度亦小于Ⅵ度。綦江区地震动峰值加速度分区图见图1.2</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6。根据《中国地震烈度区划图》（GB18306－2015），綦江区地震动峰值加速度为0.05g或＜0.05g，相应地震基本烈度为Ⅵ度或＜Ⅵ度。</w:t>
      </w:r>
    </w:p>
    <w:p>
      <w:pPr>
        <w:pStyle w:val="853"/>
        <w:spacing w:line="240" w:lineRule="auto"/>
        <w:ind w:firstLine="0" w:firstLineChars="0"/>
        <w:jc w:val="center"/>
        <w:rPr>
          <w:rFonts w:hint="eastAsia"/>
          <w:spacing w:val="-4"/>
        </w:rPr>
      </w:pPr>
      <w:r>
        <w:rPr>
          <w:rFonts w:hint="eastAsia"/>
        </w:rPr>
        <w:drawing>
          <wp:inline distT="0" distB="0" distL="114300" distR="114300">
            <wp:extent cx="4834890" cy="3775710"/>
            <wp:effectExtent l="9525" t="9525" r="13335" b="24765"/>
            <wp:docPr id="37" name="Object 8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7" name="Object 89"/>
                    <pic:cNvPicPr>
                      <a:picLocks noChangeAspect="true"/>
                    </pic:cNvPicPr>
                  </pic:nvPicPr>
                  <pic:blipFill>
                    <a:blip r:embed="rId76"/>
                    <a:srcRect l="21536" t="22757" r="19203" b="9720"/>
                    <a:stretch>
                      <a:fillRect/>
                    </a:stretch>
                  </pic:blipFill>
                  <pic:spPr>
                    <a:xfrm>
                      <a:off x="0" y="0"/>
                      <a:ext cx="4834890" cy="3775710"/>
                    </a:xfrm>
                    <a:prstGeom prst="rect">
                      <a:avLst/>
                    </a:prstGeom>
                    <a:noFill/>
                    <a:ln w="9525" cap="flat" cmpd="sng">
                      <a:solidFill>
                        <a:srgbClr val="000000"/>
                      </a:solidFill>
                      <a:prstDash val="solid"/>
                      <a:miter/>
                      <a:headEnd type="none" w="med" len="med"/>
                      <a:tailEnd type="none" w="med" len="med"/>
                    </a:ln>
                  </pic:spPr>
                </pic:pic>
              </a:graphicData>
            </a:graphic>
          </wp:inline>
        </w:drawing>
      </w:r>
    </w:p>
    <w:p>
      <w:pPr>
        <w:pStyle w:val="2886"/>
        <w:rPr>
          <w:rFonts w:hint="eastAsia"/>
        </w:rPr>
      </w:pPr>
      <w:r>
        <w:rPr>
          <w:rFonts w:hint="default" w:ascii="Times New Roman" w:hAnsi="Times New Roman" w:cs="Times New Roman"/>
        </w:rPr>
        <w:t>图1.2</w:t>
      </w:r>
      <w:r>
        <w:rPr>
          <w:rFonts w:hint="default" w:ascii="Times New Roman" w:hAnsi="Times New Roman" w:cs="Times New Roman"/>
          <w:lang w:eastAsia="zh-CN"/>
        </w:rPr>
        <w:t>—</w:t>
      </w:r>
      <w:r>
        <w:rPr>
          <w:rFonts w:hint="default" w:ascii="Times New Roman" w:hAnsi="Times New Roman" w:cs="Times New Roman"/>
        </w:rPr>
        <w:t>6 　</w:t>
      </w:r>
      <w:r>
        <w:rPr>
          <w:rFonts w:hint="eastAsia"/>
        </w:rPr>
        <w:t xml:space="preserve"> 地震动峰值加速度区划图</w:t>
      </w:r>
    </w:p>
    <w:p>
      <w:pPr>
        <w:pStyle w:val="2260"/>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4</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rPr>
        <w:t>洪水洪灾</w:t>
      </w:r>
    </w:p>
    <w:p>
      <w:pPr>
        <w:pStyle w:val="2953"/>
        <w:keepNext w:val="0"/>
        <w:keepLines w:val="0"/>
        <w:pageBreakBefore w:val="0"/>
        <w:widowControl w:val="0"/>
        <w:kinsoku/>
        <w:wordWrap/>
        <w:overflowPunct/>
        <w:topLinePunct w:val="0"/>
        <w:autoSpaceDE/>
        <w:autoSpaceDN/>
        <w:bidi w:val="0"/>
        <w:adjustRightInd/>
        <w:snapToGrid/>
        <w:spacing w:line="600" w:lineRule="exact"/>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据四川省气象局《四川省近五百年旱涝史料》、《綦江县志》和《綦江县续志》等史料记载及《綦江区古南镇</w:t>
      </w:r>
      <w:r>
        <w:rPr>
          <w:rFonts w:hint="eastAsia" w:ascii="方正仿宋_GBK" w:hAnsi="方正仿宋_GBK" w:eastAsia="方正仿宋_GBK" w:cs="方正仿宋_GBK"/>
          <w:sz w:val="32"/>
          <w:szCs w:val="32"/>
        </w:rPr>
        <w:t>河段“三线”划定</w:t>
      </w:r>
      <w:r>
        <w:rPr>
          <w:rFonts w:hint="default" w:ascii="Times New Roman" w:hAnsi="Times New Roman" w:eastAsia="方正仿宋_GBK" w:cs="Times New Roman"/>
          <w:sz w:val="32"/>
          <w:szCs w:val="32"/>
        </w:rPr>
        <w:t>报告》（1999年），1550</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1913年的364年间共发生特大洪水</w:t>
      </w:r>
      <w:r>
        <w:rPr>
          <w:rFonts w:hint="eastAsia" w:ascii="Times New Roman" w:eastAsia="方正仿宋_GBK" w:cs="Times New Roman"/>
          <w:sz w:val="32"/>
          <w:szCs w:val="32"/>
          <w:lang w:val="en-US" w:eastAsia="zh-CN"/>
        </w:rPr>
        <w:t>9</w:t>
      </w:r>
      <w:r>
        <w:rPr>
          <w:rFonts w:hint="default" w:ascii="Times New Roman" w:hAnsi="Times New Roman" w:eastAsia="方正仿宋_GBK" w:cs="Times New Roman"/>
          <w:sz w:val="32"/>
          <w:szCs w:val="32"/>
        </w:rPr>
        <w:t>次，分别为1602、1678、1734、1786、1830、1831、1848、1859和1913年，约</w:t>
      </w:r>
      <w:r>
        <w:rPr>
          <w:rFonts w:hint="eastAsia" w:ascii="Times New Roman" w:eastAsia="方正仿宋_GBK" w:cs="Times New Roman"/>
          <w:sz w:val="32"/>
          <w:szCs w:val="32"/>
          <w:lang w:val="en-US" w:eastAsia="zh-CN"/>
        </w:rPr>
        <w:t>40</w:t>
      </w:r>
      <w:r>
        <w:rPr>
          <w:rFonts w:hint="default" w:ascii="Times New Roman" w:hAnsi="Times New Roman" w:eastAsia="方正仿宋_GBK" w:cs="Times New Roman"/>
          <w:sz w:val="32"/>
          <w:szCs w:val="32"/>
        </w:rPr>
        <w:t>年出现1次，且多与松坎河发生特大洪水有关；1913</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2020年的108年间共发生特大洪水8次，分别为1933、1937、1963、1968、1976、1998、2016和2020年，约13年出现1次，发生频次大幅提高。各次洪水中，对綦江沿岸形成灾害性的有15次，新中国成立前5次，分别为1678、1786、1831、1913和1937年，新中国成立后10次，分别为1955、1963、1976、1977、1983、1998、2002、2005、2016和2020年。其中1998、2016和2020年洪灾损失最重。据记载，1998</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2020年的23年间，綦江城区河段共发生16次超警洪水、10次超保洪水，而2020年更为频繁，綦江共出现了5次超警、其中2次超保，尤其是6月22日出现了超1998年的特大洪水，导致城区289栋房屋受淹。</w:t>
      </w:r>
    </w:p>
    <w:p>
      <w:pPr>
        <w:pStyle w:val="2953"/>
        <w:keepNext w:val="0"/>
        <w:keepLines w:val="0"/>
        <w:pageBreakBefore w:val="0"/>
        <w:widowControl w:val="0"/>
        <w:kinsoku/>
        <w:wordWrap/>
        <w:overflowPunct/>
        <w:topLinePunct w:val="0"/>
        <w:autoSpaceDE/>
        <w:autoSpaceDN/>
        <w:bidi w:val="0"/>
        <w:adjustRightInd/>
        <w:snapToGrid/>
        <w:spacing w:line="600" w:lineRule="exact"/>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1998年綦江</w:t>
      </w:r>
      <w:r>
        <w:rPr>
          <w:rFonts w:hint="default" w:ascii="Times New Roman" w:hAnsi="Times New Roman" w:eastAsia="方正仿宋_GBK" w:cs="Times New Roman"/>
          <w:spacing w:val="-4"/>
          <w:sz w:val="32"/>
          <w:szCs w:val="32"/>
        </w:rPr>
        <w:t>发生了全流域型</w:t>
      </w:r>
      <w:r>
        <w:rPr>
          <w:rFonts w:hint="default" w:ascii="Times New Roman" w:hAnsi="Times New Roman" w:eastAsia="方正仿宋_GBK" w:cs="Times New Roman"/>
          <w:sz w:val="32"/>
          <w:szCs w:val="32"/>
        </w:rPr>
        <w:t>特</w:t>
      </w:r>
      <w:r>
        <w:rPr>
          <w:rFonts w:hint="default" w:ascii="Times New Roman" w:hAnsi="Times New Roman" w:eastAsia="方正仿宋_GBK" w:cs="Times New Roman"/>
          <w:spacing w:val="-4"/>
          <w:sz w:val="32"/>
          <w:szCs w:val="32"/>
        </w:rPr>
        <w:t>大洪水</w:t>
      </w:r>
      <w:r>
        <w:rPr>
          <w:rFonts w:hint="default" w:ascii="Times New Roman" w:hAnsi="Times New Roman" w:eastAsia="方正仿宋_GBK" w:cs="Times New Roman"/>
          <w:sz w:val="32"/>
          <w:szCs w:val="32"/>
        </w:rPr>
        <w:t>。8月6日晚，黔北及重庆万盛区、綦江普降暴雨，綦江上中游河水暴涨。7日晨4时，洪水达到綦江城区；6时许，洪水淹进滨河小区；9时许，綦江大桥禁止车辆通行；10时，洪水即将淹封桥洞，大桥禁止行人通过。古南城区彩虹桥最高洪水位达到227.53m，超保证水位5.03m。此后水位持续一段时间后开始回落。下午4时，綦江城区河水退入河道。由于洪水来势迅猛，给綦江区人民生命财产造成重大损失。此次洪水造成全区22个乡镇330个村、2990个合作社、24个居委会、5.2万户人受灾，17人死亡，8人失踪，洪水致使全区公路、铁路、电讯、航道等基础设施遭受严重破坏，綦江上3座铁索桥、11座乡镇公路桥梁被毁，渝黔铁路线中断，受灾农田47万亩、成灾农田25.1万亩，冲毁房屋6625间、倒塌农房5500间，造成直接经济损失约8.6亿元。</w:t>
      </w:r>
    </w:p>
    <w:p>
      <w:pPr>
        <w:pStyle w:val="2953"/>
        <w:keepNext w:val="0"/>
        <w:keepLines w:val="0"/>
        <w:pageBreakBefore w:val="0"/>
        <w:widowControl w:val="0"/>
        <w:kinsoku/>
        <w:wordWrap/>
        <w:overflowPunct/>
        <w:topLinePunct w:val="0"/>
        <w:autoSpaceDE/>
        <w:autoSpaceDN/>
        <w:bidi w:val="0"/>
        <w:adjustRightInd/>
        <w:snapToGrid/>
        <w:spacing w:line="600" w:lineRule="exact"/>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2016</w:t>
      </w:r>
      <w:r>
        <w:rPr>
          <w:rFonts w:hint="eastAsia" w:ascii="方正仿宋_GBK" w:hAnsi="方正仿宋_GBK" w:eastAsia="方正仿宋_GBK" w:cs="方正仿宋_GBK"/>
          <w:sz w:val="32"/>
          <w:szCs w:val="32"/>
        </w:rPr>
        <w:t>年，受</w:t>
      </w:r>
      <w:r>
        <w:rPr>
          <w:rFonts w:hint="eastAsia" w:ascii="Times New Roman" w:hAnsi="Times New Roman" w:eastAsia="方正仿宋_GBK" w:cs="Times New Roman"/>
          <w:sz w:val="32"/>
          <w:szCs w:val="32"/>
        </w:rPr>
        <w:t>极强厄尔尼诺现象的影响，暴雨天气频发，防汛</w:t>
      </w:r>
      <w:r>
        <w:rPr>
          <w:rFonts w:hint="eastAsia" w:ascii="Times New Roman" w:hAnsi="Times New Roman" w:eastAsia="方正仿宋_GBK" w:cs="Times New Roman"/>
          <w:spacing w:val="6"/>
          <w:sz w:val="32"/>
          <w:szCs w:val="32"/>
        </w:rPr>
        <w:t>形势非常严峻。汛期以来，綦江区发生“5</w:t>
      </w:r>
      <w:r>
        <w:rPr>
          <w:rFonts w:hint="eastAsia" w:ascii="Times New Roman" w:eastAsia="方正仿宋_GBK" w:cs="Times New Roman"/>
          <w:spacing w:val="6"/>
          <w:sz w:val="32"/>
          <w:szCs w:val="32"/>
          <w:lang w:val="en-US" w:eastAsia="zh-CN"/>
        </w:rPr>
        <w:t>·</w:t>
      </w:r>
      <w:r>
        <w:rPr>
          <w:rFonts w:hint="eastAsia" w:ascii="Times New Roman" w:hAnsi="Times New Roman" w:eastAsia="方正仿宋_GBK" w:cs="Times New Roman"/>
          <w:spacing w:val="6"/>
          <w:sz w:val="32"/>
          <w:szCs w:val="32"/>
        </w:rPr>
        <w:t>7”、“6</w:t>
      </w:r>
      <w:r>
        <w:rPr>
          <w:rFonts w:hint="eastAsia" w:ascii="Times New Roman" w:eastAsia="方正仿宋_GBK" w:cs="Times New Roman"/>
          <w:spacing w:val="6"/>
          <w:sz w:val="32"/>
          <w:szCs w:val="32"/>
          <w:lang w:val="en-US" w:eastAsia="zh-CN"/>
        </w:rPr>
        <w:t>·</w:t>
      </w:r>
      <w:r>
        <w:rPr>
          <w:rFonts w:hint="eastAsia" w:ascii="Times New Roman" w:hAnsi="Times New Roman" w:eastAsia="方正仿宋_GBK" w:cs="Times New Roman"/>
          <w:spacing w:val="6"/>
          <w:sz w:val="32"/>
          <w:szCs w:val="32"/>
        </w:rPr>
        <w:t>2”</w:t>
      </w:r>
      <w:r>
        <w:rPr>
          <w:rFonts w:hint="eastAsia" w:ascii="Times New Roman" w:eastAsia="方正仿宋_GBK" w:cs="Times New Roman"/>
          <w:spacing w:val="6"/>
          <w:sz w:val="32"/>
          <w:szCs w:val="32"/>
          <w:lang w:eastAsia="zh-CN"/>
        </w:rPr>
        <w:t>、</w:t>
      </w:r>
      <w:r>
        <w:rPr>
          <w:rFonts w:hint="eastAsia" w:ascii="Times New Roman" w:hAnsi="Times New Roman" w:eastAsia="方正仿宋_GBK" w:cs="Times New Roman"/>
          <w:spacing w:val="6"/>
          <w:sz w:val="32"/>
          <w:szCs w:val="32"/>
        </w:rPr>
        <w:t>“6</w:t>
      </w:r>
      <w:r>
        <w:rPr>
          <w:rFonts w:hint="eastAsia" w:ascii="Times New Roman" w:eastAsia="方正仿宋_GBK" w:cs="Times New Roman"/>
          <w:spacing w:val="6"/>
          <w:sz w:val="32"/>
          <w:szCs w:val="32"/>
          <w:lang w:val="en-US" w:eastAsia="zh-CN"/>
        </w:rPr>
        <w:t>·</w:t>
      </w:r>
      <w:r>
        <w:rPr>
          <w:rFonts w:hint="eastAsia" w:ascii="Times New Roman" w:hAnsi="Times New Roman" w:eastAsia="方正仿宋_GBK" w:cs="Times New Roman"/>
          <w:spacing w:val="6"/>
          <w:sz w:val="32"/>
          <w:szCs w:val="32"/>
        </w:rPr>
        <w:t>15”、</w:t>
      </w:r>
      <w:r>
        <w:rPr>
          <w:rFonts w:hint="eastAsia" w:ascii="Times New Roman" w:hAnsi="Times New Roman" w:eastAsia="方正仿宋_GBK" w:cs="Times New Roman"/>
          <w:sz w:val="32"/>
          <w:szCs w:val="32"/>
        </w:rPr>
        <w:t>“6</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rPr>
        <w:t>19”、“6</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rPr>
        <w:t>28”五次较大暴雨洪水过程，发生</w:t>
      </w:r>
      <w:r>
        <w:rPr>
          <w:rFonts w:hint="eastAsia" w:ascii="Times New Roman" w:hAnsi="Times New Roman" w:eastAsia="方正仿宋_GBK" w:cs="Times New Roman"/>
          <w:spacing w:val="6"/>
          <w:sz w:val="32"/>
          <w:szCs w:val="32"/>
        </w:rPr>
        <w:t>频率很高，</w:t>
      </w:r>
      <w:r>
        <w:rPr>
          <w:rFonts w:hint="eastAsia" w:ascii="Times New Roman" w:hAnsi="Times New Roman" w:eastAsia="方正仿宋_GBK" w:cs="Times New Roman"/>
          <w:snapToGrid w:val="0"/>
          <w:spacing w:val="6"/>
          <w:kern w:val="21"/>
          <w:sz w:val="32"/>
          <w:szCs w:val="32"/>
        </w:rPr>
        <w:t>仅6月份就发生了四次，达到或超过保证水位就有两次，其中</w:t>
      </w:r>
      <w:r>
        <w:rPr>
          <w:rFonts w:hint="eastAsia" w:ascii="方正仿宋_GBK" w:hAnsi="方正仿宋_GBK" w:eastAsia="方正仿宋_GBK" w:cs="方正仿宋_GBK"/>
          <w:snapToGrid w:val="0"/>
          <w:spacing w:val="6"/>
          <w:kern w:val="21"/>
          <w:sz w:val="32"/>
          <w:szCs w:val="32"/>
        </w:rPr>
        <w:t>“</w:t>
      </w:r>
      <w:r>
        <w:rPr>
          <w:rFonts w:hint="eastAsia" w:ascii="Times New Roman" w:hAnsi="Times New Roman" w:eastAsia="方正仿宋_GBK" w:cs="Times New Roman"/>
          <w:snapToGrid w:val="0"/>
          <w:spacing w:val="6"/>
          <w:kern w:val="21"/>
          <w:sz w:val="32"/>
          <w:szCs w:val="32"/>
        </w:rPr>
        <w:t>5</w:t>
      </w:r>
      <w:r>
        <w:rPr>
          <w:rFonts w:hint="eastAsia" w:ascii="Times New Roman" w:eastAsia="方正仿宋_GBK" w:cs="Times New Roman"/>
          <w:snapToGrid w:val="0"/>
          <w:spacing w:val="6"/>
          <w:kern w:val="21"/>
          <w:sz w:val="32"/>
          <w:szCs w:val="32"/>
          <w:lang w:val="en-US" w:eastAsia="zh-CN"/>
        </w:rPr>
        <w:t>·</w:t>
      </w:r>
      <w:r>
        <w:rPr>
          <w:rFonts w:hint="eastAsia" w:ascii="Times New Roman" w:hAnsi="Times New Roman" w:eastAsia="方正仿宋_GBK" w:cs="Times New Roman"/>
          <w:snapToGrid w:val="0"/>
          <w:spacing w:val="6"/>
          <w:kern w:val="21"/>
          <w:sz w:val="32"/>
          <w:szCs w:val="32"/>
        </w:rPr>
        <w:t>7</w:t>
      </w:r>
      <w:r>
        <w:rPr>
          <w:rFonts w:hint="eastAsia" w:ascii="方正仿宋_GBK" w:hAnsi="方正仿宋_GBK" w:eastAsia="方正仿宋_GBK" w:cs="方正仿宋_GBK"/>
          <w:snapToGrid w:val="0"/>
          <w:spacing w:val="6"/>
          <w:kern w:val="21"/>
          <w:sz w:val="32"/>
          <w:szCs w:val="32"/>
        </w:rPr>
        <w:t>”</w:t>
      </w:r>
      <w:r>
        <w:rPr>
          <w:rFonts w:hint="eastAsia" w:ascii="Times New Roman" w:hAnsi="Times New Roman" w:eastAsia="方正仿宋_GBK" w:cs="Times New Roman"/>
          <w:snapToGrid w:val="0"/>
          <w:spacing w:val="6"/>
          <w:kern w:val="21"/>
          <w:sz w:val="32"/>
          <w:szCs w:val="32"/>
        </w:rPr>
        <w:t>、</w:t>
      </w:r>
      <w:r>
        <w:rPr>
          <w:rFonts w:hint="eastAsia" w:ascii="Times New Roman" w:hAnsi="Times New Roman" w:eastAsia="方正仿宋_GBK" w:cs="Times New Roman"/>
          <w:sz w:val="32"/>
          <w:szCs w:val="32"/>
        </w:rPr>
        <w:t>“6</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rPr>
        <w:t>2”、“6</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rPr>
        <w:t>19”、“6</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rPr>
        <w:t>28”四次洪水主要是因为藻渡河上游桐梓</w:t>
      </w:r>
      <w:r>
        <w:rPr>
          <w:rFonts w:hint="eastAsia" w:ascii="方正仿宋_GBK" w:hAnsi="方正仿宋_GBK" w:eastAsia="方正仿宋_GBK" w:cs="方正仿宋_GBK"/>
          <w:sz w:val="32"/>
          <w:szCs w:val="32"/>
        </w:rPr>
        <w:t>县境内芭蕉、狮溪、水坝塘、羊蹬、坡渡等镇突降暴雨，形成洪水汇入藻渡河，造成桐梓县坡渡、羊蹬等镇及綦江区沿河场镇、城区不同程度被淹，尤</w:t>
      </w:r>
      <w:r>
        <w:rPr>
          <w:rFonts w:hint="default" w:ascii="Times New Roman" w:hAnsi="Times New Roman" w:eastAsia="方正仿宋_GBK" w:cs="Times New Roman"/>
          <w:sz w:val="32"/>
          <w:szCs w:val="32"/>
        </w:rPr>
        <w:t>其是6月28日綦江城区被淹严重，彩虹桥最高水位224.7m，超保证水位2.20m，洪水造成綦江区古南、文龙、三江等街镇沿河住户、商户进水，最大进水高度达4.2m。五次洪灾共造成全区87925人受灾，紧急转移安置6630人，房屋倒塌251间，南州、蒲河、篆塘等3所小学被淹，直接经济损失3.51亿元。</w:t>
      </w:r>
    </w:p>
    <w:p>
      <w:pPr>
        <w:pStyle w:val="853"/>
        <w:spacing w:line="240" w:lineRule="auto"/>
        <w:ind w:firstLine="0" w:firstLineChars="0"/>
        <w:jc w:val="center"/>
        <w:rPr>
          <w:rFonts w:hint="eastAsia"/>
          <w:spacing w:val="-4"/>
        </w:rPr>
      </w:pPr>
      <w:r>
        <w:rPr>
          <w:rFonts w:ascii="Times New Roman" w:eastAsia="宋体"/>
          <w:kern w:val="32"/>
          <w:sz w:val="20"/>
          <w:szCs w:val="21"/>
        </w:rPr>
        <w:drawing>
          <wp:inline distT="0" distB="0" distL="114300" distR="114300">
            <wp:extent cx="4129405" cy="2155190"/>
            <wp:effectExtent l="0" t="0" r="4445" b="16510"/>
            <wp:docPr id="38" name="image29.jpe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8" name="image29.jpeg"/>
                    <pic:cNvPicPr>
                      <a:picLocks noChangeAspect="true"/>
                    </pic:cNvPicPr>
                  </pic:nvPicPr>
                  <pic:blipFill>
                    <a:blip r:embed="rId77"/>
                    <a:srcRect t="8456"/>
                    <a:stretch>
                      <a:fillRect/>
                    </a:stretch>
                  </pic:blipFill>
                  <pic:spPr>
                    <a:xfrm>
                      <a:off x="0" y="0"/>
                      <a:ext cx="4129405" cy="2155190"/>
                    </a:xfrm>
                    <a:prstGeom prst="rect">
                      <a:avLst/>
                    </a:prstGeom>
                    <a:noFill/>
                    <a:ln>
                      <a:noFill/>
                    </a:ln>
                  </pic:spPr>
                </pic:pic>
              </a:graphicData>
            </a:graphic>
          </wp:inline>
        </w:drawing>
      </w:r>
    </w:p>
    <w:p>
      <w:pPr>
        <w:pStyle w:val="2886"/>
        <w:rPr>
          <w:rFonts w:hint="eastAsia"/>
        </w:rPr>
      </w:pPr>
      <w:r>
        <w:rPr>
          <w:rFonts w:hint="eastAsia"/>
        </w:rPr>
        <w:t>图1.</w:t>
      </w:r>
      <w:r>
        <w:t>2</w:t>
      </w:r>
      <w:r>
        <w:rPr>
          <w:rFonts w:hint="eastAsia"/>
          <w:lang w:eastAsia="zh-CN"/>
        </w:rPr>
        <w:t>—</w:t>
      </w:r>
      <w:r>
        <w:rPr>
          <w:rFonts w:hint="eastAsia"/>
        </w:rPr>
        <w:t>7 　 綦江城区2</w:t>
      </w:r>
      <w:r>
        <w:t>0</w:t>
      </w:r>
      <w:r>
        <w:rPr>
          <w:rFonts w:hint="eastAsia"/>
        </w:rPr>
        <w:t>16年洪灾现场照片</w:t>
      </w:r>
    </w:p>
    <w:p>
      <w:pPr>
        <w:pStyle w:val="2953"/>
        <w:keepNext w:val="0"/>
        <w:keepLines w:val="0"/>
        <w:pageBreakBefore w:val="0"/>
        <w:widowControl w:val="0"/>
        <w:kinsoku/>
        <w:wordWrap/>
        <w:overflowPunct/>
        <w:topLinePunct w:val="0"/>
        <w:autoSpaceDE/>
        <w:autoSpaceDN/>
        <w:bidi w:val="0"/>
        <w:adjustRightInd/>
        <w:snapToGrid/>
        <w:spacing w:line="600" w:lineRule="exact"/>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2020年汛</w:t>
      </w:r>
      <w:r>
        <w:rPr>
          <w:rFonts w:hint="eastAsia" w:ascii="方正仿宋_GBK" w:hAnsi="方正仿宋_GBK" w:eastAsia="方正仿宋_GBK" w:cs="方正仿宋_GBK"/>
          <w:sz w:val="32"/>
          <w:szCs w:val="32"/>
        </w:rPr>
        <w:t>期</w:t>
      </w:r>
      <w:r>
        <w:rPr>
          <w:rFonts w:hint="eastAsia" w:ascii="Times New Roman" w:hAnsi="Times New Roman" w:eastAsia="方正仿宋_GBK" w:cs="Times New Roman"/>
          <w:sz w:val="32"/>
          <w:szCs w:val="32"/>
        </w:rPr>
        <w:t>以来，綦江区发生“</w:t>
      </w:r>
      <w:r>
        <w:rPr>
          <w:rFonts w:hint="default" w:ascii="Times New Roman" w:hAnsi="Times New Roman" w:eastAsia="方正仿宋_GBK" w:cs="Times New Roman"/>
          <w:sz w:val="32"/>
          <w:szCs w:val="32"/>
        </w:rPr>
        <w:t>6</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rPr>
        <w:t>12”、“6</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rPr>
        <w:t>22”、“6</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rPr>
        <w:t>27”、“7</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rPr>
        <w:t>1”、“7</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rPr>
        <w:t>7”五次较大暴雨洪水过程，发生频率很高，短短一个月内发生5次，达到或超过保证水位就有两次，分别为“6</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rPr>
        <w:t>22”、“7</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rPr>
        <w:t>1”，洪灾</w:t>
      </w:r>
      <w:r>
        <w:rPr>
          <w:rFonts w:hint="default" w:ascii="Times New Roman" w:hAnsi="Times New Roman" w:eastAsia="方正仿宋_GBK" w:cs="Times New Roman"/>
          <w:sz w:val="32"/>
          <w:szCs w:val="32"/>
        </w:rPr>
        <w:t>范围广，灾情重。2020年6月22日，綦江流域重庆段全线出现超历史洪水，綦江流域历史第一次全线红色预警。22日10时50分，预计城区水位将超98洪水，经会商后发布綦江城区Ⅱ级预警信息，并启动Ⅱ级应急响应；22日16时左右，洪峰通过綦江城区，綦江彩虹桥处最高洪水位达到227.6m，超保证水位5.1m，比1998年</w:t>
      </w:r>
      <w:r>
        <w:rPr>
          <w:rFonts w:hint="eastAsia" w:ascii="方正仿宋_GBK" w:hAnsi="方正仿宋_GBK" w:eastAsia="方正仿宋_GBK" w:cs="方正仿宋_GBK"/>
          <w:sz w:val="32"/>
          <w:szCs w:val="32"/>
        </w:rPr>
        <w:t>“</w:t>
      </w:r>
      <w:r>
        <w:rPr>
          <w:rFonts w:hint="default" w:ascii="Times New Roman" w:hAnsi="Times New Roman" w:eastAsia="方正仿宋_GBK" w:cs="Times New Roman"/>
          <w:sz w:val="32"/>
          <w:szCs w:val="32"/>
        </w:rPr>
        <w:t>8</w:t>
      </w:r>
      <w:r>
        <w:rPr>
          <w:rFonts w:hint="eastAsia" w:ascii="Times New Roman" w:eastAsia="方正仿宋_GBK" w:cs="Times New Roman"/>
          <w:sz w:val="32"/>
          <w:szCs w:val="32"/>
          <w:lang w:val="en-US" w:eastAsia="zh-CN"/>
        </w:rPr>
        <w:t>·</w:t>
      </w:r>
      <w:r>
        <w:rPr>
          <w:rFonts w:hint="default" w:ascii="Times New Roman" w:hAnsi="Times New Roman" w:eastAsia="方正仿宋_GBK" w:cs="Times New Roman"/>
          <w:sz w:val="32"/>
          <w:szCs w:val="32"/>
        </w:rPr>
        <w:t>7</w:t>
      </w:r>
      <w:r>
        <w:rPr>
          <w:rFonts w:hint="eastAsia" w:ascii="方正仿宋_GBK" w:hAnsi="方正仿宋_GBK" w:eastAsia="方正仿宋_GBK" w:cs="方正仿宋_GBK"/>
          <w:sz w:val="32"/>
          <w:szCs w:val="32"/>
        </w:rPr>
        <w:t>”</w:t>
      </w:r>
      <w:r>
        <w:rPr>
          <w:rFonts w:hint="default" w:ascii="Times New Roman" w:hAnsi="Times New Roman" w:eastAsia="方正仿宋_GBK" w:cs="Times New Roman"/>
          <w:sz w:val="32"/>
          <w:szCs w:val="32"/>
        </w:rPr>
        <w:t>洪灾高出0.</w:t>
      </w:r>
      <w:r>
        <w:rPr>
          <w:rFonts w:hint="eastAsia" w:ascii="Times New Roman" w:eastAsia="方正仿宋_GBK" w:cs="Times New Roman"/>
          <w:sz w:val="32"/>
          <w:szCs w:val="32"/>
          <w:lang w:val="en-US" w:eastAsia="zh-CN"/>
        </w:rPr>
        <w:t>07</w:t>
      </w:r>
      <w:r>
        <w:rPr>
          <w:rFonts w:hint="default" w:ascii="Times New Roman" w:hAnsi="Times New Roman" w:eastAsia="方正仿宋_GBK" w:cs="Times New Roman"/>
          <w:sz w:val="32"/>
          <w:szCs w:val="32"/>
        </w:rPr>
        <w:t>m，綦江城区洪峰流量5063m</w:t>
      </w:r>
      <w:r>
        <w:rPr>
          <w:rFonts w:hint="default" w:ascii="Times New Roman" w:hAnsi="Times New Roman" w:eastAsia="方正仿宋_GBK" w:cs="Times New Roman"/>
          <w:sz w:val="32"/>
          <w:szCs w:val="32"/>
          <w:vertAlign w:val="superscript"/>
        </w:rPr>
        <w:t>3</w:t>
      </w:r>
      <w:r>
        <w:rPr>
          <w:rFonts w:hint="default" w:ascii="Times New Roman" w:hAnsi="Times New Roman" w:eastAsia="方正仿宋_GBK" w:cs="Times New Roman"/>
          <w:sz w:val="32"/>
          <w:szCs w:val="32"/>
        </w:rPr>
        <w:t>/s。此次洪水造成綦江主城区的文龙街道菜坝社区、下北街片区等沿江地区一至二层居民楼被淹，洪水淹没面积约63万m</w:t>
      </w:r>
      <w:r>
        <w:rPr>
          <w:rFonts w:hint="default" w:ascii="Times New Roman" w:hAnsi="Times New Roman" w:eastAsia="方正仿宋_GBK" w:cs="Times New Roman"/>
          <w:sz w:val="32"/>
          <w:szCs w:val="32"/>
          <w:vertAlign w:val="superscript"/>
        </w:rPr>
        <w:t>2</w:t>
      </w:r>
      <w:r>
        <w:rPr>
          <w:rFonts w:hint="default" w:ascii="Times New Roman" w:hAnsi="Times New Roman" w:eastAsia="方正仿宋_GBK" w:cs="Times New Roman"/>
          <w:sz w:val="32"/>
          <w:szCs w:val="32"/>
        </w:rPr>
        <w:t>，灾后主要受灾点现场情景见图1.2</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8、图1.2</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9和图1.2</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10；綦江区共有古南、文龙、三江、石角、赶水、永城等21个街镇11.21万人受灾，紧急转移安置人口3万人，紧急避险转移约2.7万人，农作物受灾面积约1538公顷，成灾面积约785公顷，绝收面积约94公顷，毁坏耕地约23公顷，倒塌农房173间，严重损坏农房136间，一般损坏农房369间，直接经济损失约11.57亿元。7月1日，綦江区再次发生强降雨天气，截止1日14时，綦江城区彩虹桥防洪亭最高洪水位223.8m，超保证水位1.3m，洪峰流量3200m</w:t>
      </w:r>
      <w:r>
        <w:rPr>
          <w:rFonts w:hint="default" w:ascii="Times New Roman" w:hAnsi="Times New Roman" w:eastAsia="方正仿宋_GBK" w:cs="Times New Roman"/>
          <w:sz w:val="32"/>
          <w:szCs w:val="32"/>
          <w:vertAlign w:val="superscript"/>
        </w:rPr>
        <w:t>3</w:t>
      </w:r>
      <w:r>
        <w:rPr>
          <w:rFonts w:hint="default" w:ascii="Times New Roman" w:hAnsi="Times New Roman" w:eastAsia="方正仿宋_GBK" w:cs="Times New Roman"/>
          <w:sz w:val="32"/>
          <w:szCs w:val="32"/>
        </w:rPr>
        <w:t>/s，綦江区古南、文龙、石角、赶水、永新等16个街镇不同程度受灾，受灾人口3.96万人，紧急转移安置人口229人，紧急避险转移约5万余人，农作物受灾面积约515.1公顷，成灾面积约185.1公顷，绝收面积约23.2公顷，倒塌农房100间，严重损坏农房89间，一般损坏农房103间，直接经济损失约0.43亿元。</w:t>
      </w:r>
    </w:p>
    <w:p>
      <w:pPr>
        <w:pStyle w:val="2953"/>
        <w:keepNext w:val="0"/>
        <w:keepLines w:val="0"/>
        <w:pageBreakBefore w:val="0"/>
        <w:widowControl w:val="0"/>
        <w:kinsoku/>
        <w:wordWrap/>
        <w:overflowPunct/>
        <w:topLinePunct w:val="0"/>
        <w:autoSpaceDE/>
        <w:autoSpaceDN/>
        <w:bidi w:val="0"/>
        <w:adjustRightInd/>
        <w:snapToGrid/>
        <w:spacing w:line="600" w:lineRule="exact"/>
        <w:ind w:firstLine="560"/>
        <w:textAlignment w:val="auto"/>
        <w:rPr>
          <w:rFonts w:hint="default" w:ascii="Times New Roman" w:hAnsi="Times New Roman" w:eastAsia="方正仿宋_GBK" w:cs="Times New Roman"/>
          <w:sz w:val="32"/>
          <w:szCs w:val="32"/>
        </w:rPr>
      </w:pPr>
    </w:p>
    <w:p>
      <w:pPr>
        <w:pStyle w:val="2953"/>
        <w:keepNext w:val="0"/>
        <w:keepLines w:val="0"/>
        <w:pageBreakBefore w:val="0"/>
        <w:widowControl w:val="0"/>
        <w:kinsoku/>
        <w:wordWrap/>
        <w:overflowPunct/>
        <w:topLinePunct w:val="0"/>
        <w:autoSpaceDE/>
        <w:autoSpaceDN/>
        <w:bidi w:val="0"/>
        <w:adjustRightInd/>
        <w:snapToGrid/>
        <w:spacing w:line="600" w:lineRule="exact"/>
        <w:ind w:firstLine="560"/>
        <w:textAlignment w:val="auto"/>
        <w:rPr>
          <w:rFonts w:hint="default" w:ascii="Times New Roman" w:hAnsi="Times New Roman" w:eastAsia="方正仿宋_GBK" w:cs="Times New Roman"/>
          <w:sz w:val="32"/>
          <w:szCs w:val="32"/>
        </w:rPr>
      </w:pPr>
    </w:p>
    <w:p>
      <w:pPr>
        <w:pStyle w:val="2953"/>
        <w:keepNext w:val="0"/>
        <w:keepLines w:val="0"/>
        <w:pageBreakBefore w:val="0"/>
        <w:widowControl w:val="0"/>
        <w:kinsoku/>
        <w:wordWrap/>
        <w:overflowPunct/>
        <w:topLinePunct w:val="0"/>
        <w:autoSpaceDE/>
        <w:autoSpaceDN/>
        <w:bidi w:val="0"/>
        <w:adjustRightInd/>
        <w:snapToGrid/>
        <w:spacing w:line="600" w:lineRule="exact"/>
        <w:ind w:firstLine="560"/>
        <w:textAlignment w:val="auto"/>
        <w:rPr>
          <w:rFonts w:hint="default" w:ascii="Times New Roman" w:hAnsi="Times New Roman" w:eastAsia="方正仿宋_GBK" w:cs="Times New Roman"/>
          <w:sz w:val="32"/>
          <w:szCs w:val="32"/>
        </w:rPr>
      </w:pPr>
    </w:p>
    <w:p>
      <w:pPr>
        <w:pStyle w:val="2953"/>
        <w:keepNext w:val="0"/>
        <w:keepLines w:val="0"/>
        <w:pageBreakBefore w:val="0"/>
        <w:widowControl w:val="0"/>
        <w:kinsoku/>
        <w:wordWrap/>
        <w:overflowPunct/>
        <w:topLinePunct w:val="0"/>
        <w:autoSpaceDE/>
        <w:autoSpaceDN/>
        <w:bidi w:val="0"/>
        <w:adjustRightInd/>
        <w:snapToGrid/>
        <w:spacing w:line="600" w:lineRule="exact"/>
        <w:ind w:firstLine="560"/>
        <w:textAlignment w:val="auto"/>
        <w:rPr>
          <w:rFonts w:hint="default" w:ascii="Times New Roman" w:hAnsi="Times New Roman" w:eastAsia="方正仿宋_GBK" w:cs="Times New Roman"/>
          <w:sz w:val="32"/>
          <w:szCs w:val="32"/>
        </w:rPr>
      </w:pPr>
    </w:p>
    <w:p>
      <w:pPr>
        <w:pStyle w:val="853"/>
        <w:spacing w:line="240" w:lineRule="auto"/>
        <w:ind w:firstLine="0" w:firstLineChars="0"/>
        <w:jc w:val="center"/>
        <w:rPr>
          <w:rFonts w:ascii="Times New Roman" w:eastAsia="宋体"/>
          <w:kern w:val="32"/>
          <w:sz w:val="20"/>
          <w:szCs w:val="21"/>
        </w:rPr>
      </w:pPr>
      <w:r>
        <w:rPr>
          <w:rFonts w:ascii="Times New Roman" w:eastAsia="宋体"/>
          <w:kern w:val="32"/>
          <w:sz w:val="20"/>
          <w:szCs w:val="21"/>
        </w:rPr>
        <w:drawing>
          <wp:inline distT="0" distB="0" distL="114300" distR="114300">
            <wp:extent cx="2704465" cy="1322070"/>
            <wp:effectExtent l="0" t="0" r="635" b="11430"/>
            <wp:docPr id="39"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9" name="图片 7"/>
                    <pic:cNvPicPr>
                      <a:picLocks noChangeAspect="true"/>
                    </pic:cNvPicPr>
                  </pic:nvPicPr>
                  <pic:blipFill>
                    <a:blip r:embed="rId78"/>
                    <a:stretch>
                      <a:fillRect/>
                    </a:stretch>
                  </pic:blipFill>
                  <pic:spPr>
                    <a:xfrm>
                      <a:off x="0" y="0"/>
                      <a:ext cx="2704465" cy="1322070"/>
                    </a:xfrm>
                    <a:prstGeom prst="rect">
                      <a:avLst/>
                    </a:prstGeom>
                    <a:noFill/>
                    <a:ln>
                      <a:noFill/>
                    </a:ln>
                  </pic:spPr>
                </pic:pic>
              </a:graphicData>
            </a:graphic>
          </wp:inline>
        </w:drawing>
      </w:r>
      <w:r>
        <w:rPr>
          <w:rFonts w:ascii="Times New Roman" w:eastAsia="宋体"/>
          <w:kern w:val="32"/>
          <w:sz w:val="20"/>
          <w:szCs w:val="21"/>
        </w:rPr>
        <w:t xml:space="preserve"> </w:t>
      </w:r>
      <w:r>
        <w:rPr>
          <w:rFonts w:ascii="Times New Roman" w:eastAsia="宋体"/>
          <w:kern w:val="32"/>
          <w:sz w:val="20"/>
          <w:szCs w:val="21"/>
        </w:rPr>
        <w:drawing>
          <wp:inline distT="0" distB="0" distL="114300" distR="114300">
            <wp:extent cx="2699385" cy="1326515"/>
            <wp:effectExtent l="0" t="0" r="5715" b="6985"/>
            <wp:docPr id="40"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0" name="图片 6"/>
                    <pic:cNvPicPr>
                      <a:picLocks noChangeAspect="true"/>
                    </pic:cNvPicPr>
                  </pic:nvPicPr>
                  <pic:blipFill>
                    <a:blip r:embed="rId79"/>
                    <a:stretch>
                      <a:fillRect/>
                    </a:stretch>
                  </pic:blipFill>
                  <pic:spPr>
                    <a:xfrm>
                      <a:off x="0" y="0"/>
                      <a:ext cx="2699385" cy="1326515"/>
                    </a:xfrm>
                    <a:prstGeom prst="rect">
                      <a:avLst/>
                    </a:prstGeom>
                    <a:noFill/>
                    <a:ln>
                      <a:noFill/>
                    </a:ln>
                  </pic:spPr>
                </pic:pic>
              </a:graphicData>
            </a:graphic>
          </wp:inline>
        </w:drawing>
      </w:r>
    </w:p>
    <w:p>
      <w:pPr>
        <w:pStyle w:val="853"/>
        <w:spacing w:line="240" w:lineRule="auto"/>
        <w:ind w:firstLine="0" w:firstLineChars="0"/>
        <w:jc w:val="center"/>
        <w:rPr>
          <w:rFonts w:hint="eastAsia"/>
          <w:spacing w:val="-4"/>
          <w:sz w:val="21"/>
        </w:rPr>
      </w:pPr>
      <w:r>
        <w:rPr>
          <w:rFonts w:ascii="Times New Roman" w:eastAsia="宋体"/>
          <w:kern w:val="32"/>
          <w:sz w:val="20"/>
          <w:szCs w:val="21"/>
        </w:rPr>
        <w:drawing>
          <wp:inline distT="0" distB="0" distL="114300" distR="114300">
            <wp:extent cx="2703195" cy="1270000"/>
            <wp:effectExtent l="0" t="0" r="1905" b="6350"/>
            <wp:docPr id="41" name="图片 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1" name="图片 8"/>
                    <pic:cNvPicPr>
                      <a:picLocks noChangeAspect="true"/>
                    </pic:cNvPicPr>
                  </pic:nvPicPr>
                  <pic:blipFill>
                    <a:blip r:embed="rId80"/>
                    <a:stretch>
                      <a:fillRect/>
                    </a:stretch>
                  </pic:blipFill>
                  <pic:spPr>
                    <a:xfrm>
                      <a:off x="0" y="0"/>
                      <a:ext cx="2703195" cy="1270000"/>
                    </a:xfrm>
                    <a:prstGeom prst="rect">
                      <a:avLst/>
                    </a:prstGeom>
                    <a:noFill/>
                    <a:ln>
                      <a:noFill/>
                    </a:ln>
                  </pic:spPr>
                </pic:pic>
              </a:graphicData>
            </a:graphic>
          </wp:inline>
        </w:drawing>
      </w:r>
      <w:r>
        <w:rPr>
          <w:rFonts w:ascii="Times New Roman" w:eastAsia="宋体"/>
          <w:kern w:val="32"/>
          <w:sz w:val="20"/>
          <w:szCs w:val="21"/>
        </w:rPr>
        <w:t xml:space="preserve"> </w:t>
      </w:r>
      <w:r>
        <w:rPr>
          <w:rFonts w:ascii="Times New Roman" w:eastAsia="宋体"/>
          <w:kern w:val="32"/>
          <w:sz w:val="20"/>
          <w:szCs w:val="21"/>
        </w:rPr>
        <w:drawing>
          <wp:inline distT="0" distB="0" distL="114300" distR="114300">
            <wp:extent cx="2701290" cy="1270000"/>
            <wp:effectExtent l="0" t="0" r="3810" b="6350"/>
            <wp:docPr id="42" name="图片 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2" name="图片 9"/>
                    <pic:cNvPicPr>
                      <a:picLocks noChangeAspect="true"/>
                    </pic:cNvPicPr>
                  </pic:nvPicPr>
                  <pic:blipFill>
                    <a:blip r:embed="rId81"/>
                    <a:stretch>
                      <a:fillRect/>
                    </a:stretch>
                  </pic:blipFill>
                  <pic:spPr>
                    <a:xfrm>
                      <a:off x="0" y="0"/>
                      <a:ext cx="2701290" cy="1270000"/>
                    </a:xfrm>
                    <a:prstGeom prst="rect">
                      <a:avLst/>
                    </a:prstGeom>
                    <a:noFill/>
                    <a:ln>
                      <a:noFill/>
                    </a:ln>
                  </pic:spPr>
                </pic:pic>
              </a:graphicData>
            </a:graphic>
          </wp:inline>
        </w:drawing>
      </w:r>
    </w:p>
    <w:p>
      <w:pPr>
        <w:pStyle w:val="2886"/>
        <w:ind w:firstLine="560"/>
        <w:rPr>
          <w:rFonts w:hint="default" w:ascii="Times New Roman" w:hAnsi="Times New Roman" w:eastAsia="方正黑体_GBK" w:cs="Times New Roman"/>
        </w:rPr>
      </w:pPr>
      <w:r>
        <w:rPr>
          <w:rFonts w:hint="default" w:ascii="Times New Roman" w:hAnsi="Times New Roman" w:cs="Times New Roman"/>
        </w:rPr>
        <w:t>图1.2</w:t>
      </w:r>
      <w:r>
        <w:rPr>
          <w:rFonts w:hint="default" w:ascii="Times New Roman" w:hAnsi="Times New Roman" w:cs="Times New Roman"/>
          <w:lang w:eastAsia="zh-CN"/>
        </w:rPr>
        <w:t>—</w:t>
      </w:r>
      <w:r>
        <w:rPr>
          <w:rFonts w:hint="default" w:ascii="Times New Roman" w:hAnsi="Times New Roman" w:cs="Times New Roman"/>
        </w:rPr>
        <w:t xml:space="preserve">8 　 </w:t>
      </w:r>
      <w:r>
        <w:rPr>
          <w:rFonts w:hint="default" w:ascii="Times New Roman" w:hAnsi="Times New Roman" w:eastAsia="方正黑体_GBK" w:cs="Times New Roman"/>
        </w:rPr>
        <w:t>綦江城区2020年</w:t>
      </w:r>
      <w:r>
        <w:rPr>
          <w:rFonts w:hint="eastAsia" w:ascii="方正黑体_GBK" w:hAnsi="方正黑体_GBK" w:eastAsia="方正黑体_GBK" w:cs="方正黑体_GBK"/>
        </w:rPr>
        <w:t>“</w:t>
      </w:r>
      <w:r>
        <w:rPr>
          <w:rFonts w:hint="default" w:ascii="Times New Roman" w:hAnsi="Times New Roman" w:eastAsia="方正黑体_GBK" w:cs="Times New Roman"/>
        </w:rPr>
        <w:t>6</w:t>
      </w:r>
      <w:r>
        <w:rPr>
          <w:rFonts w:hint="eastAsia" w:ascii="Times New Roman" w:eastAsia="方正仿宋_GBK" w:cs="Times New Roman"/>
          <w:sz w:val="32"/>
          <w:szCs w:val="32"/>
          <w:lang w:val="en-US" w:eastAsia="zh-CN"/>
        </w:rPr>
        <w:t>·</w:t>
      </w:r>
      <w:r>
        <w:rPr>
          <w:rFonts w:hint="default" w:ascii="Times New Roman" w:hAnsi="Times New Roman" w:eastAsia="方正黑体_GBK" w:cs="Times New Roman"/>
        </w:rPr>
        <w:t>22</w:t>
      </w:r>
      <w:r>
        <w:rPr>
          <w:rFonts w:hint="eastAsia" w:ascii="方正黑体_GBK" w:hAnsi="方正黑体_GBK" w:eastAsia="方正黑体_GBK" w:cs="方正黑体_GBK"/>
        </w:rPr>
        <w:t>”</w:t>
      </w:r>
      <w:r>
        <w:rPr>
          <w:rFonts w:hint="default" w:ascii="Times New Roman" w:hAnsi="Times New Roman" w:eastAsia="方正黑体_GBK" w:cs="Times New Roman"/>
        </w:rPr>
        <w:t>洪灾照片</w:t>
      </w:r>
    </w:p>
    <w:p>
      <w:pPr>
        <w:pStyle w:val="853"/>
        <w:spacing w:line="240" w:lineRule="auto"/>
        <w:ind w:firstLine="0" w:firstLineChars="0"/>
        <w:jc w:val="center"/>
      </w:pPr>
      <w:r>
        <w:drawing>
          <wp:inline distT="0" distB="0" distL="114300" distR="114300">
            <wp:extent cx="2517140" cy="1401445"/>
            <wp:effectExtent l="0" t="0" r="16510" b="8255"/>
            <wp:docPr id="43" name="图片 9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3" name="图片 90"/>
                    <pic:cNvPicPr>
                      <a:picLocks noChangeAspect="true"/>
                    </pic:cNvPicPr>
                  </pic:nvPicPr>
                  <pic:blipFill>
                    <a:blip r:embed="rId82"/>
                    <a:srcRect t="25168"/>
                    <a:stretch>
                      <a:fillRect/>
                    </a:stretch>
                  </pic:blipFill>
                  <pic:spPr>
                    <a:xfrm>
                      <a:off x="0" y="0"/>
                      <a:ext cx="2517140" cy="1401445"/>
                    </a:xfrm>
                    <a:prstGeom prst="rect">
                      <a:avLst/>
                    </a:prstGeom>
                    <a:noFill/>
                    <a:ln>
                      <a:noFill/>
                    </a:ln>
                  </pic:spPr>
                </pic:pic>
              </a:graphicData>
            </a:graphic>
          </wp:inline>
        </w:drawing>
      </w:r>
      <w:r>
        <w:t xml:space="preserve"> </w:t>
      </w:r>
      <w:r>
        <w:drawing>
          <wp:inline distT="0" distB="0" distL="114300" distR="114300">
            <wp:extent cx="2764155" cy="1412875"/>
            <wp:effectExtent l="0" t="0" r="17145" b="15875"/>
            <wp:docPr id="44" name="图片 9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4" name="图片 91"/>
                    <pic:cNvPicPr>
                      <a:picLocks noChangeAspect="true"/>
                    </pic:cNvPicPr>
                  </pic:nvPicPr>
                  <pic:blipFill>
                    <a:blip r:embed="rId83"/>
                    <a:srcRect b="32030"/>
                    <a:stretch>
                      <a:fillRect/>
                    </a:stretch>
                  </pic:blipFill>
                  <pic:spPr>
                    <a:xfrm>
                      <a:off x="0" y="0"/>
                      <a:ext cx="2764155" cy="1412875"/>
                    </a:xfrm>
                    <a:prstGeom prst="rect">
                      <a:avLst/>
                    </a:prstGeom>
                    <a:noFill/>
                    <a:ln>
                      <a:noFill/>
                    </a:ln>
                  </pic:spPr>
                </pic:pic>
              </a:graphicData>
            </a:graphic>
          </wp:inline>
        </w:drawing>
      </w:r>
    </w:p>
    <w:p>
      <w:pPr>
        <w:pStyle w:val="965"/>
        <w:spacing w:line="240" w:lineRule="auto"/>
      </w:pPr>
      <w:r>
        <w:rPr>
          <w:rFonts w:hint="eastAsia"/>
        </w:rPr>
        <w:t xml:space="preserve">彩虹桥至綦江大桥段 </w:t>
      </w:r>
      <w:r>
        <w:t xml:space="preserve">                       </w:t>
      </w:r>
      <w:r>
        <w:rPr>
          <w:rFonts w:hint="eastAsia"/>
        </w:rPr>
        <w:t>綦江右岸南</w:t>
      </w:r>
      <w:r>
        <w:rPr>
          <w:rFonts w:hint="eastAsia"/>
          <w:lang w:val="en-US" w:eastAsia="zh-CN"/>
        </w:rPr>
        <w:t>州</w:t>
      </w:r>
      <w:r>
        <w:rPr>
          <w:rFonts w:hint="eastAsia"/>
        </w:rPr>
        <w:t>小学</w:t>
      </w:r>
    </w:p>
    <w:p>
      <w:pPr>
        <w:pStyle w:val="2886"/>
        <w:ind w:firstLine="560"/>
        <w:rPr>
          <w:rFonts w:hint="eastAsia" w:ascii="Times New Roman" w:hAnsi="Times New Roman" w:eastAsia="方正黑体_GBK" w:cs="Times New Roman"/>
        </w:rPr>
      </w:pPr>
      <w:r>
        <w:rPr>
          <w:rFonts w:hint="eastAsia" w:ascii="Times New Roman" w:hAnsi="Times New Roman" w:eastAsia="方正黑体_GBK" w:cs="Times New Roman"/>
        </w:rPr>
        <w:t>图</w:t>
      </w:r>
      <w:r>
        <w:rPr>
          <w:rFonts w:hint="default" w:ascii="Times New Roman" w:hAnsi="Times New Roman" w:eastAsia="方正黑体_GBK" w:cs="Times New Roman"/>
        </w:rPr>
        <w:t>1.2</w:t>
      </w:r>
      <w:r>
        <w:rPr>
          <w:rFonts w:hint="eastAsia" w:ascii="Times New Roman" w:hAnsi="Times New Roman" w:eastAsia="方正黑体_GBK" w:cs="Times New Roman"/>
          <w:lang w:eastAsia="zh-CN"/>
        </w:rPr>
        <w:t>—</w:t>
      </w:r>
      <w:r>
        <w:rPr>
          <w:rFonts w:hint="eastAsia" w:ascii="Times New Roman" w:hAnsi="Times New Roman" w:eastAsia="方正黑体_GBK" w:cs="Times New Roman"/>
        </w:rPr>
        <w:t>9</w:t>
      </w:r>
      <w:r>
        <w:rPr>
          <w:rFonts w:hint="default" w:ascii="Times New Roman" w:hAnsi="Times New Roman" w:eastAsia="方正黑体_GBK" w:cs="Times New Roman"/>
        </w:rPr>
        <w:t xml:space="preserve"> </w:t>
      </w:r>
      <w:r>
        <w:rPr>
          <w:rFonts w:hint="eastAsia" w:ascii="Times New Roman" w:hAnsi="Times New Roman" w:eastAsia="方正黑体_GBK" w:cs="Times New Roman"/>
        </w:rPr>
        <w:t>　</w:t>
      </w:r>
      <w:r>
        <w:rPr>
          <w:rFonts w:hint="default" w:ascii="Times New Roman" w:hAnsi="Times New Roman" w:eastAsia="方正黑体_GBK" w:cs="Times New Roman"/>
        </w:rPr>
        <w:t xml:space="preserve"> </w:t>
      </w:r>
      <w:r>
        <w:rPr>
          <w:rFonts w:hint="eastAsia" w:ascii="Times New Roman" w:hAnsi="Times New Roman" w:eastAsia="方正黑体_GBK" w:cs="Times New Roman"/>
        </w:rPr>
        <w:t>綦江城区2</w:t>
      </w:r>
      <w:r>
        <w:rPr>
          <w:rFonts w:hint="default" w:ascii="Times New Roman" w:hAnsi="Times New Roman" w:eastAsia="方正黑体_GBK" w:cs="Times New Roman"/>
        </w:rPr>
        <w:t>020</w:t>
      </w:r>
      <w:r>
        <w:rPr>
          <w:rFonts w:hint="eastAsia" w:ascii="Times New Roman" w:hAnsi="Times New Roman" w:eastAsia="方正黑体_GBK" w:cs="Times New Roman"/>
        </w:rPr>
        <w:t>年“</w:t>
      </w:r>
      <w:r>
        <w:rPr>
          <w:rFonts w:hint="default" w:ascii="Times New Roman" w:hAnsi="Times New Roman" w:eastAsia="方正黑体_GBK" w:cs="Times New Roman"/>
        </w:rPr>
        <w:t>6</w:t>
      </w:r>
      <w:r>
        <w:rPr>
          <w:rFonts w:hint="eastAsia" w:ascii="Times New Roman" w:eastAsia="方正仿宋_GBK" w:cs="Times New Roman"/>
          <w:sz w:val="32"/>
          <w:szCs w:val="32"/>
          <w:lang w:val="en-US" w:eastAsia="zh-CN"/>
        </w:rPr>
        <w:t>·</w:t>
      </w:r>
      <w:r>
        <w:rPr>
          <w:rFonts w:hint="default" w:ascii="Times New Roman" w:hAnsi="Times New Roman" w:eastAsia="方正黑体_GBK" w:cs="Times New Roman"/>
        </w:rPr>
        <w:t>22</w:t>
      </w:r>
      <w:r>
        <w:rPr>
          <w:rFonts w:hint="eastAsia" w:ascii="方正黑体_GBK" w:hAnsi="方正黑体_GBK" w:eastAsia="方正黑体_GBK" w:cs="方正黑体_GBK"/>
        </w:rPr>
        <w:t>”洪</w:t>
      </w:r>
      <w:r>
        <w:rPr>
          <w:rFonts w:hint="eastAsia" w:ascii="Times New Roman" w:hAnsi="Times New Roman" w:eastAsia="方正黑体_GBK" w:cs="Times New Roman"/>
        </w:rPr>
        <w:t>水过后沿江街道照片</w:t>
      </w:r>
    </w:p>
    <w:p>
      <w:pPr>
        <w:pStyle w:val="853"/>
        <w:spacing w:line="240" w:lineRule="auto"/>
        <w:ind w:firstLine="0" w:firstLineChars="0"/>
        <w:jc w:val="center"/>
        <w:rPr>
          <w:rFonts w:hint="eastAsia"/>
          <w:spacing w:val="-4"/>
        </w:rPr>
      </w:pPr>
      <w:r>
        <w:rPr>
          <w:rFonts w:ascii="Times New Roman" w:eastAsia="宋体"/>
          <w:kern w:val="32"/>
          <w:sz w:val="24"/>
          <w:szCs w:val="21"/>
        </w:rPr>
        <w:drawing>
          <wp:inline distT="0" distB="0" distL="114300" distR="114300">
            <wp:extent cx="4375150" cy="4394200"/>
            <wp:effectExtent l="0" t="0" r="6350" b="6350"/>
            <wp:docPr id="45"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5" name="图片 5"/>
                    <pic:cNvPicPr>
                      <a:picLocks noChangeAspect="true"/>
                    </pic:cNvPicPr>
                  </pic:nvPicPr>
                  <pic:blipFill>
                    <a:blip r:embed="rId84"/>
                    <a:stretch>
                      <a:fillRect/>
                    </a:stretch>
                  </pic:blipFill>
                  <pic:spPr>
                    <a:xfrm>
                      <a:off x="0" y="0"/>
                      <a:ext cx="4375150" cy="4394200"/>
                    </a:xfrm>
                    <a:prstGeom prst="rect">
                      <a:avLst/>
                    </a:prstGeom>
                    <a:noFill/>
                    <a:ln>
                      <a:noFill/>
                    </a:ln>
                  </pic:spPr>
                </pic:pic>
              </a:graphicData>
            </a:graphic>
          </wp:inline>
        </w:drawing>
      </w:r>
    </w:p>
    <w:p>
      <w:pPr>
        <w:pStyle w:val="2886"/>
        <w:rPr>
          <w:rFonts w:hint="default" w:ascii="Times New Roman" w:hAnsi="Times New Roman" w:eastAsia="方正黑体_GBK" w:cs="Times New Roman"/>
        </w:rPr>
      </w:pPr>
      <w:r>
        <w:rPr>
          <w:rFonts w:hint="default" w:ascii="Times New Roman" w:hAnsi="Times New Roman" w:eastAsia="方正黑体_GBK" w:cs="Times New Roman"/>
        </w:rPr>
        <w:t>图1.2</w:t>
      </w:r>
      <w:r>
        <w:rPr>
          <w:rFonts w:hint="default" w:ascii="Times New Roman" w:hAnsi="Times New Roman" w:eastAsia="方正黑体_GBK" w:cs="Times New Roman"/>
          <w:lang w:eastAsia="zh-CN"/>
        </w:rPr>
        <w:t>—</w:t>
      </w:r>
      <w:r>
        <w:rPr>
          <w:rFonts w:hint="default" w:ascii="Times New Roman" w:hAnsi="Times New Roman" w:eastAsia="方正黑体_GBK" w:cs="Times New Roman"/>
        </w:rPr>
        <w:t>10　  綦江城区2020年</w:t>
      </w:r>
      <w:r>
        <w:rPr>
          <w:rFonts w:hint="eastAsia" w:ascii="方正黑体_GBK" w:hAnsi="方正黑体_GBK" w:eastAsia="方正黑体_GBK" w:cs="方正黑体_GBK"/>
        </w:rPr>
        <w:t>“</w:t>
      </w:r>
      <w:r>
        <w:rPr>
          <w:rFonts w:hint="default" w:ascii="Times New Roman" w:hAnsi="Times New Roman" w:eastAsia="方正黑体_GBK" w:cs="Times New Roman"/>
        </w:rPr>
        <w:t>7</w:t>
      </w:r>
      <w:r>
        <w:rPr>
          <w:rFonts w:hint="eastAsia" w:ascii="Times New Roman" w:eastAsia="方正仿宋_GBK" w:cs="Times New Roman"/>
          <w:sz w:val="32"/>
          <w:szCs w:val="32"/>
          <w:lang w:val="en-US" w:eastAsia="zh-CN"/>
        </w:rPr>
        <w:t>·</w:t>
      </w:r>
      <w:r>
        <w:rPr>
          <w:rFonts w:hint="default" w:ascii="Times New Roman" w:hAnsi="Times New Roman" w:eastAsia="方正黑体_GBK" w:cs="Times New Roman"/>
        </w:rPr>
        <w:t>1</w:t>
      </w:r>
      <w:r>
        <w:rPr>
          <w:rFonts w:hint="eastAsia" w:ascii="方正黑体_GBK" w:hAnsi="方正黑体_GBK" w:eastAsia="方正黑体_GBK" w:cs="方正黑体_GBK"/>
        </w:rPr>
        <w:t>”</w:t>
      </w:r>
      <w:r>
        <w:rPr>
          <w:rFonts w:hint="default" w:ascii="Times New Roman" w:hAnsi="Times New Roman" w:eastAsia="方正黑体_GBK" w:cs="Times New Roman"/>
        </w:rPr>
        <w:t>洪灾照片</w:t>
      </w:r>
    </w:p>
    <w:p>
      <w:pPr>
        <w:pStyle w:val="1795"/>
        <w:keepNext w:val="0"/>
        <w:keepLines w:val="0"/>
        <w:pageBreakBefore w:val="0"/>
        <w:widowControl w:val="0"/>
        <w:kinsoku/>
        <w:wordWrap/>
        <w:overflowPunct/>
        <w:topLinePunct w:val="0"/>
        <w:autoSpaceDE/>
        <w:autoSpaceDN/>
        <w:bidi w:val="0"/>
        <w:adjustRightInd/>
        <w:snapToGrid/>
        <w:spacing w:before="0" w:after="0"/>
        <w:ind w:firstLine="640" w:firstLineChars="200"/>
        <w:textAlignment w:val="auto"/>
        <w:rPr>
          <w:rFonts w:hint="eastAsia" w:ascii="方正楷体_GBK" w:hAnsi="方正楷体_GBK" w:eastAsia="方正楷体_GBK" w:cs="方正楷体_GBK"/>
        </w:rPr>
      </w:pPr>
      <w:bookmarkStart w:id="26" w:name="_Toc71665846"/>
      <w:bookmarkStart w:id="27" w:name="_Toc28092"/>
      <w:bookmarkStart w:id="28" w:name="_Toc71782063"/>
      <w:bookmarkStart w:id="29" w:name="_Toc3132"/>
      <w:r>
        <w:rPr>
          <w:rFonts w:hint="eastAsia" w:ascii="方正楷体_GBK" w:hAnsi="方正楷体_GBK" w:eastAsia="方正楷体_GBK" w:cs="方正楷体_GBK"/>
          <w:lang w:eastAsia="zh-CN"/>
        </w:rPr>
        <w:t>（</w:t>
      </w:r>
      <w:r>
        <w:rPr>
          <w:rFonts w:hint="eastAsia" w:ascii="方正楷体_GBK" w:hAnsi="方正楷体_GBK" w:eastAsia="方正楷体_GBK" w:cs="方正楷体_GBK"/>
          <w:lang w:val="en-US" w:eastAsia="zh-CN"/>
        </w:rPr>
        <w:t>三</w:t>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rPr>
        <w:t>经济社会概况</w:t>
      </w:r>
      <w:bookmarkEnd w:id="25"/>
      <w:bookmarkEnd w:id="26"/>
      <w:bookmarkEnd w:id="27"/>
      <w:bookmarkEnd w:id="28"/>
      <w:bookmarkEnd w:id="29"/>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sz w:val="32"/>
          <w:szCs w:val="32"/>
        </w:rPr>
      </w:pPr>
      <w:bookmarkStart w:id="30" w:name="_Toc250624481"/>
      <w:r>
        <w:rPr>
          <w:rFonts w:hint="default" w:ascii="Times New Roman" w:hAnsi="Times New Roman" w:eastAsia="方正仿宋_GBK" w:cs="Times New Roman"/>
          <w:kern w:val="0"/>
          <w:sz w:val="32"/>
          <w:szCs w:val="32"/>
        </w:rPr>
        <w:t>綦江区2020年年末户籍</w:t>
      </w:r>
      <w:r>
        <w:rPr>
          <w:rFonts w:hint="default" w:ascii="Times New Roman" w:hAnsi="Times New Roman" w:eastAsia="方正仿宋_GBK" w:cs="Times New Roman"/>
          <w:sz w:val="32"/>
          <w:szCs w:val="32"/>
        </w:rPr>
        <w:t>人口92.10万人，其中城镇人口41.96万人，地区生产总值500.30亿元（不含万盛经开区）。綦江城区古南、文龙、三江、通惠、新盛五个街道</w:t>
      </w:r>
      <w:r>
        <w:rPr>
          <w:rFonts w:hint="default" w:ascii="Times New Roman" w:hAnsi="Times New Roman" w:eastAsia="方正仿宋_GBK" w:cs="Times New Roman"/>
          <w:kern w:val="0"/>
          <w:sz w:val="32"/>
          <w:szCs w:val="32"/>
        </w:rPr>
        <w:t>2020年</w:t>
      </w:r>
      <w:r>
        <w:rPr>
          <w:rFonts w:hint="default" w:ascii="Times New Roman" w:hAnsi="Times New Roman" w:eastAsia="方正仿宋_GBK" w:cs="Times New Roman"/>
          <w:sz w:val="32"/>
          <w:szCs w:val="32"/>
        </w:rPr>
        <w:t>总人口26.38万人，占地面积69平方公里，2019年地区生产总值300.94亿元。</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kern w:val="0"/>
          <w:sz w:val="32"/>
          <w:szCs w:val="32"/>
        </w:rPr>
      </w:pPr>
      <w:r>
        <w:rPr>
          <w:rFonts w:hint="default" w:ascii="Times New Roman" w:hAnsi="Times New Roman" w:eastAsia="方正仿宋_GBK" w:cs="Times New Roman"/>
          <w:kern w:val="0"/>
          <w:sz w:val="32"/>
          <w:szCs w:val="32"/>
        </w:rPr>
        <w:t>1. 綦江主城区</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kern w:val="0"/>
          <w:sz w:val="32"/>
          <w:szCs w:val="32"/>
        </w:rPr>
      </w:pPr>
      <w:r>
        <w:rPr>
          <w:rFonts w:hint="eastAsia" w:ascii="Times New Roman" w:hAnsi="Times New Roman" w:eastAsia="方正仿宋_GBK" w:cs="Times New Roman"/>
          <w:kern w:val="0"/>
          <w:sz w:val="32"/>
          <w:szCs w:val="32"/>
        </w:rPr>
        <w:t>綦江主城区包括古南街道、文龙街道和通惠街道，见图1.3</w:t>
      </w:r>
      <w:r>
        <w:rPr>
          <w:rFonts w:hint="eastAsia" w:ascii="Times New Roman" w:eastAsia="方正仿宋_GBK" w:cs="Times New Roman"/>
          <w:kern w:val="0"/>
          <w:sz w:val="32"/>
          <w:szCs w:val="32"/>
          <w:lang w:eastAsia="zh-CN"/>
        </w:rPr>
        <w:t>—</w:t>
      </w:r>
      <w:r>
        <w:rPr>
          <w:rFonts w:hint="eastAsia" w:ascii="Times New Roman" w:hAnsi="Times New Roman" w:eastAsia="方正仿宋_GBK" w:cs="Times New Roman"/>
          <w:kern w:val="0"/>
          <w:sz w:val="32"/>
          <w:szCs w:val="32"/>
        </w:rPr>
        <w:t>1和图1.3</w:t>
      </w:r>
      <w:r>
        <w:rPr>
          <w:rFonts w:hint="eastAsia" w:ascii="Times New Roman" w:eastAsia="方正仿宋_GBK" w:cs="Times New Roman"/>
          <w:kern w:val="0"/>
          <w:sz w:val="32"/>
          <w:szCs w:val="32"/>
          <w:lang w:eastAsia="zh-CN"/>
        </w:rPr>
        <w:t>—</w:t>
      </w:r>
      <w:r>
        <w:rPr>
          <w:rFonts w:hint="eastAsia" w:ascii="Times New Roman" w:hAnsi="Times New Roman" w:eastAsia="方正仿宋_GBK" w:cs="Times New Roman"/>
          <w:kern w:val="0"/>
          <w:sz w:val="32"/>
          <w:szCs w:val="32"/>
        </w:rPr>
        <w:t>2。</w:t>
      </w:r>
    </w:p>
    <w:p>
      <w:pPr>
        <w:pStyle w:val="853"/>
        <w:spacing w:line="240" w:lineRule="auto"/>
        <w:ind w:firstLine="0" w:firstLineChars="0"/>
        <w:jc w:val="center"/>
        <w:rPr>
          <w:rFonts w:hint="eastAsia"/>
        </w:rPr>
      </w:pPr>
      <w:r>
        <w:rPr>
          <w:rFonts w:hint="eastAsia"/>
        </w:rPr>
        <w:drawing>
          <wp:inline distT="0" distB="0" distL="114300" distR="114300">
            <wp:extent cx="5741035" cy="4977765"/>
            <wp:effectExtent l="0" t="0" r="12065" b="13335"/>
            <wp:docPr id="46" name="图片 420" descr="图1.1-4    綦江区主城区范围示意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6" name="图片 420" descr="图1.1-4    綦江区主城区范围示意图"/>
                    <pic:cNvPicPr>
                      <a:picLocks noChangeAspect="true"/>
                    </pic:cNvPicPr>
                  </pic:nvPicPr>
                  <pic:blipFill>
                    <a:blip r:embed="rId85"/>
                    <a:stretch>
                      <a:fillRect/>
                    </a:stretch>
                  </pic:blipFill>
                  <pic:spPr>
                    <a:xfrm>
                      <a:off x="0" y="0"/>
                      <a:ext cx="5741035" cy="4977765"/>
                    </a:xfrm>
                    <a:prstGeom prst="rect">
                      <a:avLst/>
                    </a:prstGeom>
                    <a:noFill/>
                    <a:ln>
                      <a:noFill/>
                    </a:ln>
                  </pic:spPr>
                </pic:pic>
              </a:graphicData>
            </a:graphic>
          </wp:inline>
        </w:drawing>
      </w:r>
    </w:p>
    <w:p>
      <w:pPr>
        <w:pStyle w:val="2886"/>
        <w:rPr>
          <w:rFonts w:hint="default" w:ascii="Times New Roman" w:hAnsi="Times New Roman" w:eastAsia="方正黑体_GBK" w:cs="Times New Roman"/>
        </w:rPr>
      </w:pPr>
      <w:r>
        <w:rPr>
          <w:rFonts w:hint="default" w:ascii="Times New Roman" w:hAnsi="Times New Roman" w:eastAsia="方正黑体_GBK" w:cs="Times New Roman"/>
        </w:rPr>
        <w:t>图1.3</w:t>
      </w:r>
      <w:r>
        <w:rPr>
          <w:rFonts w:hint="default" w:ascii="Times New Roman" w:hAnsi="Times New Roman" w:eastAsia="方正黑体_GBK" w:cs="Times New Roman"/>
          <w:lang w:eastAsia="zh-CN"/>
        </w:rPr>
        <w:t>—</w:t>
      </w:r>
      <w:r>
        <w:rPr>
          <w:rFonts w:hint="default" w:ascii="Times New Roman" w:hAnsi="Times New Roman" w:eastAsia="方正黑体_GBK" w:cs="Times New Roman"/>
        </w:rPr>
        <w:t>1    綦江区主城区范围示意图</w:t>
      </w:r>
    </w:p>
    <w:p>
      <w:pPr>
        <w:pStyle w:val="853"/>
        <w:spacing w:line="240" w:lineRule="auto"/>
        <w:ind w:firstLine="0" w:firstLineChars="0"/>
        <w:jc w:val="center"/>
        <w:rPr>
          <w:rFonts w:hint="eastAsia"/>
          <w:spacing w:val="-4"/>
        </w:rPr>
      </w:pPr>
      <w:r>
        <w:rPr>
          <w:rFonts w:ascii="微软雅黑" w:hAnsi="微软雅黑" w:eastAsia="微软雅黑"/>
          <w:sz w:val="2"/>
          <w:szCs w:val="2"/>
          <w:lang w:val="en"/>
        </w:rPr>
        <w:drawing>
          <wp:inline distT="0" distB="0" distL="114300" distR="114300">
            <wp:extent cx="5763895" cy="2867660"/>
            <wp:effectExtent l="0" t="0" r="8255" b="8890"/>
            <wp:docPr id="47" name="图片 42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7" name="图片 421"/>
                    <pic:cNvPicPr>
                      <a:picLocks noChangeAspect="true"/>
                    </pic:cNvPicPr>
                  </pic:nvPicPr>
                  <pic:blipFill>
                    <a:blip r:embed="rId86"/>
                    <a:srcRect t="22826"/>
                    <a:stretch>
                      <a:fillRect/>
                    </a:stretch>
                  </pic:blipFill>
                  <pic:spPr>
                    <a:xfrm>
                      <a:off x="0" y="0"/>
                      <a:ext cx="5763895" cy="2867660"/>
                    </a:xfrm>
                    <a:prstGeom prst="rect">
                      <a:avLst/>
                    </a:prstGeom>
                    <a:noFill/>
                    <a:ln>
                      <a:noFill/>
                    </a:ln>
                  </pic:spPr>
                </pic:pic>
              </a:graphicData>
            </a:graphic>
          </wp:inline>
        </w:drawing>
      </w:r>
    </w:p>
    <w:p>
      <w:pPr>
        <w:pStyle w:val="2886"/>
        <w:rPr>
          <w:rFonts w:hint="eastAsia" w:ascii="Times New Roman" w:hAnsi="Times New Roman" w:eastAsia="方正黑体_GBK" w:cs="Times New Roman"/>
        </w:rPr>
      </w:pPr>
      <w:r>
        <w:rPr>
          <w:rFonts w:hint="eastAsia" w:ascii="Times New Roman" w:hAnsi="Times New Roman" w:eastAsia="方正黑体_GBK" w:cs="Times New Roman"/>
        </w:rPr>
        <w:t>图1.3</w:t>
      </w:r>
      <w:r>
        <w:rPr>
          <w:rFonts w:hint="eastAsia" w:ascii="Times New Roman" w:hAnsi="Times New Roman" w:eastAsia="方正黑体_GBK" w:cs="Times New Roman"/>
          <w:lang w:eastAsia="zh-CN"/>
        </w:rPr>
        <w:t>—</w:t>
      </w:r>
      <w:r>
        <w:rPr>
          <w:rFonts w:hint="eastAsia" w:ascii="Times New Roman" w:hAnsi="Times New Roman" w:eastAsia="方正黑体_GBK" w:cs="Times New Roman"/>
        </w:rPr>
        <w:t>2　  綦江主城区俯瞰图</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kern w:val="0"/>
          <w:sz w:val="32"/>
          <w:szCs w:val="32"/>
        </w:rPr>
      </w:pPr>
      <w:r>
        <w:rPr>
          <w:rFonts w:hint="eastAsia" w:ascii="Times New Roman" w:hAnsi="Times New Roman" w:eastAsia="方正仿宋_GBK" w:cs="Times New Roman"/>
          <w:kern w:val="0"/>
          <w:sz w:val="32"/>
          <w:szCs w:val="32"/>
        </w:rPr>
        <w:t>古南街道位于綦江左岸，于2007年12月1日挂牌设立，为綦江区政府所在地，是全区政治、经济、文化、商贸中心。辖区内交通网络密布，四通八达，国道210、渝黔高速公路贯穿南北；</w:t>
      </w:r>
      <w:r>
        <w:rPr>
          <w:rFonts w:hint="default" w:ascii="Times New Roman" w:hAnsi="Times New Roman" w:eastAsia="方正仿宋_GBK" w:cs="Times New Roman"/>
          <w:kern w:val="0"/>
          <w:sz w:val="32"/>
          <w:szCs w:val="32"/>
        </w:rPr>
        <w:t>工业园区和古剑山景区，是綦江工业的主战场，也是綦江旅游的主阵地</w:t>
      </w:r>
      <w:r>
        <w:rPr>
          <w:rFonts w:hint="eastAsia" w:ascii="Times New Roman" w:hAnsi="Times New Roman" w:eastAsia="方正仿宋_GBK" w:cs="Times New Roman"/>
          <w:kern w:val="0"/>
          <w:sz w:val="32"/>
          <w:szCs w:val="32"/>
        </w:rPr>
        <w:t>，发展潜力巨大。辖11个村和12个居委会、99个村民小组和85个居民小组，2</w:t>
      </w:r>
      <w:r>
        <w:rPr>
          <w:rFonts w:hint="default" w:ascii="Times New Roman" w:hAnsi="Times New Roman" w:eastAsia="方正仿宋_GBK" w:cs="Times New Roman"/>
          <w:kern w:val="0"/>
          <w:sz w:val="32"/>
          <w:szCs w:val="32"/>
        </w:rPr>
        <w:t>0</w:t>
      </w:r>
      <w:r>
        <w:rPr>
          <w:rFonts w:hint="eastAsia" w:ascii="Times New Roman" w:hAnsi="Times New Roman" w:eastAsia="方正仿宋_GBK" w:cs="Times New Roman"/>
          <w:kern w:val="0"/>
          <w:sz w:val="32"/>
          <w:szCs w:val="32"/>
        </w:rPr>
        <w:t>20年户籍总人口7.89万人。</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kern w:val="0"/>
          <w:sz w:val="32"/>
          <w:szCs w:val="32"/>
        </w:rPr>
      </w:pPr>
      <w:r>
        <w:rPr>
          <w:rFonts w:hint="eastAsia" w:ascii="Times New Roman" w:hAnsi="Times New Roman" w:eastAsia="方正仿宋_GBK" w:cs="Times New Roman"/>
          <w:kern w:val="0"/>
          <w:sz w:val="32"/>
          <w:szCs w:val="32"/>
        </w:rPr>
        <w:t>文龙街道</w:t>
      </w:r>
      <w:r>
        <w:rPr>
          <w:rFonts w:hint="default" w:ascii="Times New Roman" w:hAnsi="Times New Roman" w:eastAsia="方正仿宋_GBK" w:cs="Times New Roman"/>
          <w:kern w:val="0"/>
          <w:sz w:val="32"/>
          <w:szCs w:val="32"/>
        </w:rPr>
        <w:t>地处太公之麓、綦河之滨</w:t>
      </w:r>
      <w:r>
        <w:rPr>
          <w:rFonts w:hint="eastAsia" w:ascii="Times New Roman" w:hAnsi="Times New Roman" w:eastAsia="方正仿宋_GBK" w:cs="Times New Roman"/>
          <w:kern w:val="0"/>
          <w:sz w:val="32"/>
          <w:szCs w:val="32"/>
        </w:rPr>
        <w:t>，</w:t>
      </w:r>
      <w:r>
        <w:rPr>
          <w:rFonts w:hint="default" w:ascii="Times New Roman" w:hAnsi="Times New Roman" w:eastAsia="方正仿宋_GBK" w:cs="Times New Roman"/>
          <w:kern w:val="0"/>
          <w:sz w:val="32"/>
          <w:szCs w:val="32"/>
        </w:rPr>
        <w:t>街道东与通惠街道为邻，南与古南街道隔河相望，</w:t>
      </w:r>
      <w:r>
        <w:rPr>
          <w:rFonts w:hint="eastAsia" w:ascii="Times New Roman" w:hAnsi="Times New Roman" w:eastAsia="方正仿宋_GBK" w:cs="Times New Roman"/>
          <w:kern w:val="0"/>
          <w:sz w:val="32"/>
          <w:szCs w:val="32"/>
        </w:rPr>
        <w:t>于2007年12月1日经重庆市政府批准设立，是全区经济、金融、文化、交通中心，</w:t>
      </w:r>
      <w:r>
        <w:rPr>
          <w:rFonts w:hint="default" w:ascii="Times New Roman" w:hAnsi="Times New Roman" w:eastAsia="方正仿宋_GBK" w:cs="Times New Roman"/>
          <w:kern w:val="0"/>
          <w:sz w:val="32"/>
          <w:szCs w:val="32"/>
        </w:rPr>
        <w:t>是綦江城市建设的主战场和推动城乡融合发展的先行区</w:t>
      </w:r>
      <w:r>
        <w:rPr>
          <w:rFonts w:hint="eastAsia" w:ascii="Times New Roman" w:hAnsi="Times New Roman" w:eastAsia="方正仿宋_GBK" w:cs="Times New Roman"/>
          <w:kern w:val="0"/>
          <w:sz w:val="32"/>
          <w:szCs w:val="32"/>
        </w:rPr>
        <w:t>，城镇化建设主战场。</w:t>
      </w:r>
      <w:r>
        <w:rPr>
          <w:rFonts w:hint="default" w:ascii="Times New Roman" w:hAnsi="Times New Roman" w:eastAsia="方正仿宋_GBK" w:cs="Times New Roman"/>
          <w:kern w:val="0"/>
          <w:sz w:val="32"/>
          <w:szCs w:val="32"/>
        </w:rPr>
        <w:t>交通便利，兰海高速、渝黔铁路、渝贵高铁、綦万高速贯穿全境，航道运输直达重庆</w:t>
      </w:r>
      <w:r>
        <w:rPr>
          <w:rFonts w:hint="eastAsia" w:ascii="Times New Roman" w:hAnsi="Times New Roman" w:eastAsia="方正仿宋_GBK" w:cs="Times New Roman"/>
          <w:kern w:val="0"/>
          <w:sz w:val="32"/>
          <w:szCs w:val="32"/>
        </w:rPr>
        <w:t>。</w:t>
      </w:r>
      <w:r>
        <w:rPr>
          <w:rFonts w:hint="default" w:ascii="Times New Roman" w:hAnsi="Times New Roman" w:eastAsia="方正仿宋_GBK" w:cs="Times New Roman"/>
          <w:kern w:val="0"/>
          <w:sz w:val="32"/>
          <w:szCs w:val="32"/>
        </w:rPr>
        <w:t>商贸活跃繁荣，拥有各类企业3200余家</w:t>
      </w:r>
      <w:r>
        <w:rPr>
          <w:rFonts w:hint="eastAsia" w:ascii="Times New Roman" w:hAnsi="Times New Roman" w:eastAsia="方正仿宋_GBK" w:cs="Times New Roman"/>
          <w:kern w:val="0"/>
          <w:sz w:val="32"/>
          <w:szCs w:val="32"/>
        </w:rPr>
        <w:t>；</w:t>
      </w:r>
      <w:r>
        <w:rPr>
          <w:rFonts w:hint="default" w:ascii="Times New Roman" w:hAnsi="Times New Roman" w:eastAsia="方正仿宋_GBK" w:cs="Times New Roman"/>
          <w:kern w:val="0"/>
          <w:sz w:val="32"/>
          <w:szCs w:val="32"/>
        </w:rPr>
        <w:t>生态旅游蓬勃发展，</w:t>
      </w:r>
      <w:r>
        <w:rPr>
          <w:rFonts w:hint="eastAsia" w:ascii="Times New Roman" w:hAnsi="Times New Roman" w:eastAsia="方正仿宋_GBK" w:cs="Times New Roman"/>
          <w:kern w:val="0"/>
          <w:sz w:val="32"/>
          <w:szCs w:val="32"/>
        </w:rPr>
        <w:t>拥有</w:t>
      </w:r>
      <w:r>
        <w:rPr>
          <w:rFonts w:hint="default" w:ascii="Times New Roman" w:hAnsi="Times New Roman" w:eastAsia="方正仿宋_GBK" w:cs="Times New Roman"/>
          <w:kern w:val="0"/>
          <w:sz w:val="32"/>
          <w:szCs w:val="32"/>
        </w:rPr>
        <w:t>万兴生态休闲旅游设施</w:t>
      </w:r>
      <w:r>
        <w:rPr>
          <w:rFonts w:hint="eastAsia" w:ascii="Times New Roman" w:hAnsi="Times New Roman" w:eastAsia="方正仿宋_GBK" w:cs="Times New Roman"/>
          <w:kern w:val="0"/>
          <w:sz w:val="32"/>
          <w:szCs w:val="32"/>
        </w:rPr>
        <w:t>、</w:t>
      </w:r>
      <w:r>
        <w:rPr>
          <w:rFonts w:hint="default" w:ascii="Times New Roman" w:hAnsi="Times New Roman" w:eastAsia="方正仿宋_GBK" w:cs="Times New Roman"/>
          <w:kern w:val="0"/>
          <w:sz w:val="32"/>
          <w:szCs w:val="32"/>
        </w:rPr>
        <w:t>太公山</w:t>
      </w:r>
      <w:r>
        <w:rPr>
          <w:rFonts w:hint="eastAsia" w:ascii="Times New Roman" w:hAnsi="Times New Roman" w:eastAsia="方正仿宋_GBK" w:cs="Times New Roman"/>
          <w:kern w:val="0"/>
          <w:sz w:val="32"/>
          <w:szCs w:val="32"/>
        </w:rPr>
        <w:t>、</w:t>
      </w:r>
      <w:r>
        <w:rPr>
          <w:rFonts w:hint="default" w:ascii="Times New Roman" w:hAnsi="Times New Roman" w:eastAsia="方正仿宋_GBK" w:cs="Times New Roman"/>
          <w:kern w:val="0"/>
          <w:sz w:val="32"/>
          <w:szCs w:val="32"/>
        </w:rPr>
        <w:t>十里登山步道、万米健身长廊</w:t>
      </w:r>
      <w:r>
        <w:rPr>
          <w:rFonts w:hint="eastAsia" w:ascii="Times New Roman" w:hAnsi="Times New Roman" w:eastAsia="方正仿宋_GBK" w:cs="Times New Roman"/>
          <w:kern w:val="0"/>
          <w:sz w:val="32"/>
          <w:szCs w:val="32"/>
        </w:rPr>
        <w:t>；</w:t>
      </w:r>
      <w:r>
        <w:rPr>
          <w:rFonts w:hint="default" w:ascii="Times New Roman" w:hAnsi="Times New Roman" w:eastAsia="方正仿宋_GBK" w:cs="Times New Roman"/>
          <w:kern w:val="0"/>
          <w:sz w:val="32"/>
          <w:szCs w:val="32"/>
        </w:rPr>
        <w:t>人文荟萃硕果累累，綦江农民版画作品是重庆市对外文化交流名片之一。</w:t>
      </w:r>
      <w:r>
        <w:rPr>
          <w:rFonts w:hint="eastAsia" w:ascii="Times New Roman" w:hAnsi="Times New Roman" w:eastAsia="方正仿宋_GBK" w:cs="Times New Roman"/>
          <w:kern w:val="0"/>
          <w:sz w:val="32"/>
          <w:szCs w:val="32"/>
        </w:rPr>
        <w:t>辖</w:t>
      </w:r>
      <w:r>
        <w:rPr>
          <w:rFonts w:hint="default" w:ascii="Times New Roman" w:hAnsi="Times New Roman" w:eastAsia="方正仿宋_GBK" w:cs="Times New Roman"/>
          <w:kern w:val="0"/>
          <w:sz w:val="32"/>
          <w:szCs w:val="32"/>
        </w:rPr>
        <w:t>13个社区、7个行政村</w:t>
      </w:r>
      <w:r>
        <w:rPr>
          <w:rFonts w:hint="eastAsia" w:ascii="Times New Roman" w:hAnsi="Times New Roman" w:eastAsia="方正仿宋_GBK" w:cs="Times New Roman"/>
          <w:kern w:val="0"/>
          <w:sz w:val="32"/>
          <w:szCs w:val="32"/>
        </w:rPr>
        <w:t>，2</w:t>
      </w:r>
      <w:r>
        <w:rPr>
          <w:rFonts w:hint="default" w:ascii="Times New Roman" w:hAnsi="Times New Roman" w:eastAsia="方正仿宋_GBK" w:cs="Times New Roman"/>
          <w:kern w:val="0"/>
          <w:sz w:val="32"/>
          <w:szCs w:val="32"/>
        </w:rPr>
        <w:t>0</w:t>
      </w:r>
      <w:r>
        <w:rPr>
          <w:rFonts w:hint="eastAsia" w:ascii="Times New Roman" w:hAnsi="Times New Roman" w:eastAsia="方正仿宋_GBK" w:cs="Times New Roman"/>
          <w:kern w:val="0"/>
          <w:sz w:val="32"/>
          <w:szCs w:val="32"/>
        </w:rPr>
        <w:t>20年户籍人口8.21人。</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kern w:val="0"/>
          <w:sz w:val="32"/>
          <w:szCs w:val="32"/>
        </w:rPr>
      </w:pPr>
      <w:r>
        <w:rPr>
          <w:rFonts w:hint="eastAsia" w:ascii="Times New Roman" w:hAnsi="Times New Roman" w:eastAsia="方正仿宋_GBK" w:cs="Times New Roman"/>
          <w:kern w:val="0"/>
          <w:sz w:val="32"/>
          <w:szCs w:val="32"/>
        </w:rPr>
        <w:t>通惠街道</w:t>
      </w:r>
      <w:r>
        <w:rPr>
          <w:rFonts w:hint="default" w:ascii="Times New Roman" w:hAnsi="Times New Roman" w:eastAsia="方正仿宋_GBK" w:cs="Times New Roman"/>
          <w:kern w:val="0"/>
          <w:sz w:val="32"/>
          <w:szCs w:val="32"/>
        </w:rPr>
        <w:t>南临綦河之滨，与古南街道隔河相望，与三江街道为邻；西抵孟家院互通，与文龙街道紧密相连；北至戴坝湾，与新盛街道、横山镇接壤；綦河、通惠河、登瀛河三河哺育。</w:t>
      </w:r>
      <w:r>
        <w:rPr>
          <w:rFonts w:hint="eastAsia" w:ascii="Times New Roman" w:hAnsi="Times New Roman" w:eastAsia="方正仿宋_GBK" w:cs="Times New Roman"/>
          <w:kern w:val="0"/>
          <w:sz w:val="32"/>
          <w:szCs w:val="32"/>
        </w:rPr>
        <w:t>通惠街道于2019年12月经重庆市政府批准、2020年1月16日正式挂牌成立，</w:t>
      </w:r>
      <w:r>
        <w:rPr>
          <w:rFonts w:hint="default" w:ascii="Times New Roman" w:hAnsi="Times New Roman" w:eastAsia="方正仿宋_GBK" w:cs="Times New Roman"/>
          <w:kern w:val="0"/>
          <w:sz w:val="32"/>
          <w:szCs w:val="32"/>
        </w:rPr>
        <w:t>是綦江城市建设的主战场，是转型升级的主阵地，是城乡融合发展的先行区，是</w:t>
      </w:r>
      <w:r>
        <w:rPr>
          <w:rFonts w:hint="eastAsia" w:ascii="方正仿宋_GBK" w:hAnsi="方正仿宋_GBK" w:eastAsia="方正仿宋_GBK" w:cs="方正仿宋_GBK"/>
          <w:kern w:val="0"/>
          <w:sz w:val="32"/>
          <w:szCs w:val="32"/>
        </w:rPr>
        <w:t>推动“一点三区一地”战</w:t>
      </w:r>
      <w:r>
        <w:rPr>
          <w:rFonts w:hint="default" w:ascii="Times New Roman" w:hAnsi="Times New Roman" w:eastAsia="方正仿宋_GBK" w:cs="Times New Roman"/>
          <w:kern w:val="0"/>
          <w:sz w:val="32"/>
          <w:szCs w:val="32"/>
        </w:rPr>
        <w:t>略部署落地的生力军，是全区重要的城区经济、行政办公、财税金融、科教文化、商贸物流中心</w:t>
      </w:r>
      <w:r>
        <w:rPr>
          <w:rFonts w:hint="eastAsia" w:ascii="Times New Roman" w:hAnsi="Times New Roman" w:eastAsia="方正仿宋_GBK" w:cs="Times New Roman"/>
          <w:kern w:val="0"/>
          <w:sz w:val="32"/>
          <w:szCs w:val="32"/>
        </w:rPr>
        <w:t>。城区</w:t>
      </w:r>
      <w:r>
        <w:rPr>
          <w:rFonts w:hint="default" w:ascii="Times New Roman" w:hAnsi="Times New Roman" w:eastAsia="方正仿宋_GBK" w:cs="Times New Roman"/>
          <w:kern w:val="0"/>
          <w:sz w:val="32"/>
          <w:szCs w:val="32"/>
        </w:rPr>
        <w:t>交通方便快捷</w:t>
      </w:r>
      <w:r>
        <w:rPr>
          <w:rFonts w:hint="eastAsia" w:ascii="Times New Roman" w:hAnsi="Times New Roman" w:eastAsia="方正仿宋_GBK" w:cs="Times New Roman"/>
          <w:kern w:val="0"/>
          <w:sz w:val="32"/>
          <w:szCs w:val="32"/>
        </w:rPr>
        <w:t>，</w:t>
      </w:r>
      <w:r>
        <w:rPr>
          <w:rFonts w:hint="default" w:ascii="Times New Roman" w:hAnsi="Times New Roman" w:eastAsia="方正仿宋_GBK" w:cs="Times New Roman"/>
          <w:kern w:val="0"/>
          <w:sz w:val="32"/>
          <w:szCs w:val="32"/>
        </w:rPr>
        <w:t>有渝黔、綦万、江綦三条高速公路，渝黔铁路、渝贵快铁穿城</w:t>
      </w:r>
      <w:r>
        <w:rPr>
          <w:rFonts w:hint="eastAsia" w:ascii="方正仿宋_GBK" w:hAnsi="方正仿宋_GBK" w:eastAsia="方正仿宋_GBK" w:cs="方正仿宋_GBK"/>
          <w:kern w:val="0"/>
          <w:sz w:val="32"/>
          <w:szCs w:val="32"/>
        </w:rPr>
        <w:t>而过，有“綦江东站”和“綦江站”客、货运火车</w:t>
      </w:r>
      <w:r>
        <w:rPr>
          <w:rFonts w:hint="default" w:ascii="Times New Roman" w:hAnsi="Times New Roman" w:eastAsia="方正仿宋_GBK" w:cs="Times New Roman"/>
          <w:kern w:val="0"/>
          <w:sz w:val="32"/>
          <w:szCs w:val="32"/>
        </w:rPr>
        <w:t>站。</w:t>
      </w:r>
      <w:r>
        <w:rPr>
          <w:rFonts w:hint="eastAsia" w:ascii="Times New Roman" w:hAnsi="Times New Roman" w:eastAsia="方正仿宋_GBK" w:cs="Times New Roman"/>
          <w:kern w:val="0"/>
          <w:sz w:val="32"/>
          <w:szCs w:val="32"/>
        </w:rPr>
        <w:t>辖区有6个社区、7个行政村，2020年户籍人口4.48万人，</w:t>
      </w:r>
      <w:r>
        <w:rPr>
          <w:rFonts w:hint="default" w:ascii="Times New Roman" w:hAnsi="Times New Roman" w:eastAsia="方正仿宋_GBK" w:cs="Times New Roman"/>
          <w:kern w:val="0"/>
          <w:sz w:val="32"/>
          <w:szCs w:val="32"/>
        </w:rPr>
        <w:t>常住人口7.31万人。</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kern w:val="0"/>
          <w:sz w:val="32"/>
          <w:szCs w:val="32"/>
        </w:rPr>
      </w:pPr>
      <w:r>
        <w:rPr>
          <w:rFonts w:hint="eastAsia" w:ascii="Times New Roman" w:hAnsi="Times New Roman" w:eastAsia="方正仿宋_GBK" w:cs="Times New Roman"/>
          <w:kern w:val="0"/>
          <w:sz w:val="32"/>
          <w:szCs w:val="32"/>
        </w:rPr>
        <w:t>2</w:t>
      </w:r>
      <w:r>
        <w:rPr>
          <w:rFonts w:hint="eastAsia" w:ascii="Times New Roman" w:hAnsi="Times New Roman" w:eastAsia="方正仿宋_GBK" w:cs="Times New Roman"/>
          <w:kern w:val="0"/>
          <w:sz w:val="32"/>
          <w:szCs w:val="32"/>
          <w:lang w:eastAsia="zh-CN"/>
        </w:rPr>
        <w:t>.</w:t>
      </w:r>
      <w:r>
        <w:rPr>
          <w:rFonts w:hint="eastAsia" w:ascii="Times New Roman" w:hAnsi="Times New Roman" w:eastAsia="方正仿宋_GBK" w:cs="Times New Roman"/>
          <w:kern w:val="0"/>
          <w:sz w:val="32"/>
          <w:szCs w:val="32"/>
        </w:rPr>
        <w:t xml:space="preserve"> 三江街道</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kern w:val="0"/>
          <w:sz w:val="32"/>
          <w:szCs w:val="32"/>
        </w:rPr>
      </w:pPr>
      <w:r>
        <w:rPr>
          <w:rFonts w:hint="eastAsia" w:ascii="Times New Roman" w:hAnsi="Times New Roman" w:eastAsia="方正仿宋_GBK" w:cs="Times New Roman"/>
          <w:kern w:val="0"/>
          <w:sz w:val="32"/>
          <w:szCs w:val="32"/>
        </w:rPr>
        <w:t>三江街道地处綦江城区东南部，距区政府所在地10km，綦江在此由东北流折向西北流，在转弯处有蒲河汇入。三江街道是全国重点城镇、重庆市首批命名的45个中心城镇之一，中国现代有色金属材料的冶炼生产基地和中国西部地区电器金属材料、机械和建筑金属板材的生产基地，首创全市微型工业企业创业园，三江老工业基地是綦江工业园区的重要组成部分，是綦江工业园区的延展新区。三江交通便利，境内有渝黔铁路、三（万）南铁路、渝贵高铁和渝黔高速公路、国道210线、省道303线交汇贯穿，设有两个火车站。三江街道辖18个村和6个居委会、118个村民小组和41个居民小组，城区范围见图1.3</w:t>
      </w:r>
      <w:r>
        <w:rPr>
          <w:rFonts w:hint="eastAsia" w:ascii="Times New Roman" w:eastAsia="方正仿宋_GBK" w:cs="Times New Roman"/>
          <w:kern w:val="0"/>
          <w:sz w:val="32"/>
          <w:szCs w:val="32"/>
          <w:lang w:eastAsia="zh-CN"/>
        </w:rPr>
        <w:t>—</w:t>
      </w:r>
      <w:r>
        <w:rPr>
          <w:rFonts w:hint="eastAsia" w:ascii="Times New Roman" w:hAnsi="Times New Roman" w:eastAsia="方正仿宋_GBK" w:cs="Times New Roman"/>
          <w:kern w:val="0"/>
          <w:sz w:val="32"/>
          <w:szCs w:val="32"/>
        </w:rPr>
        <w:t>3，2020年户籍人口3.81万人，2019年地区生产总值18.92亿元。</w:t>
      </w:r>
    </w:p>
    <w:p>
      <w:pPr>
        <w:pStyle w:val="853"/>
        <w:spacing w:line="240" w:lineRule="auto"/>
        <w:ind w:firstLine="0" w:firstLineChars="0"/>
        <w:jc w:val="center"/>
      </w:pPr>
      <w:r>
        <w:drawing>
          <wp:inline distT="0" distB="0" distL="114300" distR="114300">
            <wp:extent cx="5462270" cy="2172335"/>
            <wp:effectExtent l="9525" t="9525" r="14605" b="27940"/>
            <wp:docPr id="48" name="图片 41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8" name="图片 418"/>
                    <pic:cNvPicPr>
                      <a:picLocks noChangeAspect="true"/>
                    </pic:cNvPicPr>
                  </pic:nvPicPr>
                  <pic:blipFill>
                    <a:blip r:embed="rId87"/>
                    <a:stretch>
                      <a:fillRect/>
                    </a:stretch>
                  </pic:blipFill>
                  <pic:spPr>
                    <a:xfrm>
                      <a:off x="0" y="0"/>
                      <a:ext cx="5462270" cy="2172335"/>
                    </a:xfrm>
                    <a:prstGeom prst="rect">
                      <a:avLst/>
                    </a:prstGeom>
                    <a:noFill/>
                    <a:ln w="9525" cap="flat" cmpd="sng">
                      <a:solidFill>
                        <a:srgbClr val="000000"/>
                      </a:solidFill>
                      <a:prstDash val="solid"/>
                      <a:miter/>
                      <a:headEnd type="none" w="med" len="med"/>
                      <a:tailEnd type="none" w="med" len="med"/>
                    </a:ln>
                  </pic:spPr>
                </pic:pic>
              </a:graphicData>
            </a:graphic>
          </wp:inline>
        </w:drawing>
      </w:r>
    </w:p>
    <w:p>
      <w:pPr>
        <w:pStyle w:val="2886"/>
        <w:rPr>
          <w:rFonts w:hint="default" w:ascii="Times New Roman" w:hAnsi="Times New Roman" w:eastAsia="方正黑体_GBK" w:cs="Times New Roman"/>
        </w:rPr>
      </w:pPr>
      <w:r>
        <w:rPr>
          <w:rFonts w:hint="default" w:ascii="Times New Roman" w:hAnsi="Times New Roman" w:eastAsia="方正黑体_GBK" w:cs="Times New Roman"/>
        </w:rPr>
        <w:t>图1.3</w:t>
      </w:r>
      <w:r>
        <w:rPr>
          <w:rFonts w:hint="default" w:ascii="Times New Roman" w:hAnsi="Times New Roman" w:eastAsia="方正黑体_GBK" w:cs="Times New Roman"/>
          <w:lang w:eastAsia="zh-CN"/>
        </w:rPr>
        <w:t>—</w:t>
      </w:r>
      <w:r>
        <w:rPr>
          <w:rFonts w:hint="default" w:ascii="Times New Roman" w:hAnsi="Times New Roman" w:eastAsia="方正黑体_GBK" w:cs="Times New Roman"/>
        </w:rPr>
        <w:t>3    三江街道范围示意图</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kern w:val="0"/>
          <w:sz w:val="32"/>
          <w:szCs w:val="32"/>
        </w:rPr>
      </w:pPr>
      <w:r>
        <w:rPr>
          <w:rFonts w:hint="eastAsia" w:ascii="Times New Roman" w:hAnsi="Times New Roman" w:eastAsia="方正仿宋_GBK" w:cs="Times New Roman"/>
          <w:kern w:val="0"/>
          <w:sz w:val="32"/>
          <w:szCs w:val="32"/>
        </w:rPr>
        <w:t>3</w:t>
      </w:r>
      <w:r>
        <w:rPr>
          <w:rFonts w:hint="eastAsia" w:ascii="Times New Roman" w:hAnsi="Times New Roman" w:eastAsia="方正仿宋_GBK" w:cs="Times New Roman"/>
          <w:kern w:val="0"/>
          <w:sz w:val="32"/>
          <w:szCs w:val="32"/>
          <w:lang w:eastAsia="zh-CN"/>
        </w:rPr>
        <w:t>.</w:t>
      </w:r>
      <w:r>
        <w:rPr>
          <w:rFonts w:hint="eastAsia" w:ascii="Times New Roman" w:hAnsi="Times New Roman" w:eastAsia="方正仿宋_GBK" w:cs="Times New Roman"/>
          <w:kern w:val="0"/>
          <w:sz w:val="32"/>
          <w:szCs w:val="32"/>
        </w:rPr>
        <w:t xml:space="preserve"> 新盛街道</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rPr>
      </w:pPr>
      <w:r>
        <w:rPr>
          <w:rFonts w:hint="eastAsia" w:ascii="Times New Roman" w:hAnsi="Times New Roman" w:eastAsia="方正仿宋_GBK" w:cs="Times New Roman"/>
          <w:kern w:val="0"/>
          <w:sz w:val="32"/>
          <w:szCs w:val="32"/>
        </w:rPr>
        <w:t>新盛街道位于綦江区北部綦江支流新盛河，距离綦江主城区6km，重庆主城28km，是重庆进入綦江的第一站，是融入綦江主城的承接区，北部智慧新城已纳入綦江区十四五规划。新盛街道于2019年12月12日经重庆市政府批准设立，辖8个村和1个居委会、55个村民小组和2个居民小组，2020年户籍人口1.99万人，2019年地区生产总值7.08亿元。</w:t>
      </w:r>
    </w:p>
    <w:p>
      <w:pPr>
        <w:pStyle w:val="1795"/>
        <w:keepNext w:val="0"/>
        <w:keepLines w:val="0"/>
        <w:pageBreakBefore w:val="0"/>
        <w:widowControl w:val="0"/>
        <w:kinsoku/>
        <w:wordWrap/>
        <w:overflowPunct/>
        <w:topLinePunct w:val="0"/>
        <w:autoSpaceDE/>
        <w:autoSpaceDN/>
        <w:bidi w:val="0"/>
        <w:adjustRightInd/>
        <w:snapToGrid/>
        <w:spacing w:before="0" w:after="0"/>
        <w:ind w:firstLine="640" w:firstLineChars="200"/>
        <w:textAlignment w:val="auto"/>
        <w:rPr>
          <w:rFonts w:hint="eastAsia" w:ascii="方正楷体_GBK" w:hAnsi="方正楷体_GBK" w:eastAsia="方正楷体_GBK" w:cs="方正楷体_GBK"/>
        </w:rPr>
      </w:pPr>
      <w:bookmarkStart w:id="31" w:name="_Toc71665847"/>
      <w:bookmarkStart w:id="32" w:name="_Toc23852"/>
      <w:bookmarkStart w:id="33" w:name="_Toc20169"/>
      <w:bookmarkStart w:id="34" w:name="_Toc71782064"/>
      <w:bookmarkStart w:id="35" w:name="_Toc483242185"/>
      <w:r>
        <w:rPr>
          <w:rFonts w:hint="eastAsia" w:ascii="方正楷体_GBK" w:hAnsi="方正楷体_GBK" w:eastAsia="方正楷体_GBK" w:cs="方正楷体_GBK"/>
          <w:lang w:eastAsia="zh-CN"/>
        </w:rPr>
        <w:t>（</w:t>
      </w:r>
      <w:r>
        <w:rPr>
          <w:rFonts w:hint="eastAsia" w:ascii="方正楷体_GBK" w:hAnsi="方正楷体_GBK" w:eastAsia="方正楷体_GBK" w:cs="方正楷体_GBK"/>
          <w:lang w:val="en-US" w:eastAsia="zh-CN"/>
        </w:rPr>
        <w:t>四</w:t>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rPr>
        <w:t>涉河建筑物概况</w:t>
      </w:r>
      <w:bookmarkEnd w:id="31"/>
      <w:bookmarkEnd w:id="32"/>
      <w:bookmarkEnd w:id="33"/>
      <w:bookmarkEnd w:id="34"/>
      <w:bookmarkEnd w:id="35"/>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pacing w:val="-17"/>
          <w:kern w:val="0"/>
          <w:sz w:val="32"/>
          <w:szCs w:val="32"/>
        </w:rPr>
      </w:pPr>
      <w:r>
        <w:rPr>
          <w:rFonts w:hint="eastAsia" w:ascii="Times New Roman" w:hAnsi="Times New Roman" w:eastAsia="方正仿宋_GBK" w:cs="Times New Roman"/>
          <w:kern w:val="0"/>
          <w:sz w:val="32"/>
          <w:szCs w:val="32"/>
        </w:rPr>
        <w:t>綦江</w:t>
      </w:r>
      <w:r>
        <w:rPr>
          <w:rFonts w:hint="eastAsia" w:ascii="Times New Roman" w:hAnsi="Times New Roman" w:eastAsia="方正仿宋_GBK" w:cs="Times New Roman"/>
          <w:spacing w:val="-17"/>
          <w:kern w:val="0"/>
          <w:sz w:val="32"/>
          <w:szCs w:val="32"/>
        </w:rPr>
        <w:t>干流桥梁、闸坝枢纽等涉河建筑物众多，其分布见图1.4</w:t>
      </w:r>
      <w:r>
        <w:rPr>
          <w:rFonts w:hint="eastAsia" w:ascii="Times New Roman" w:eastAsia="方正仿宋_GBK" w:cs="Times New Roman"/>
          <w:spacing w:val="-17"/>
          <w:kern w:val="0"/>
          <w:sz w:val="32"/>
          <w:szCs w:val="32"/>
          <w:lang w:eastAsia="zh-CN"/>
        </w:rPr>
        <w:t>—</w:t>
      </w:r>
      <w:r>
        <w:rPr>
          <w:rFonts w:hint="eastAsia" w:ascii="Times New Roman" w:hAnsi="Times New Roman" w:eastAsia="方正仿宋_GBK" w:cs="Times New Roman"/>
          <w:spacing w:val="-17"/>
          <w:kern w:val="0"/>
          <w:sz w:val="32"/>
          <w:szCs w:val="32"/>
        </w:rPr>
        <w:t>1。</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kern w:val="0"/>
          <w:sz w:val="32"/>
          <w:szCs w:val="32"/>
        </w:rPr>
      </w:pPr>
      <w:r>
        <w:rPr>
          <w:rFonts w:hint="eastAsia" w:ascii="Times New Roman" w:hAnsi="Times New Roman" w:eastAsia="方正仿宋_GBK" w:cs="Times New Roman"/>
          <w:kern w:val="0"/>
          <w:sz w:val="32"/>
          <w:szCs w:val="32"/>
          <w:lang w:val="en-US" w:eastAsia="zh-CN"/>
        </w:rPr>
        <w:t>1.</w:t>
      </w:r>
      <w:r>
        <w:rPr>
          <w:rFonts w:hint="eastAsia" w:ascii="Times New Roman" w:hAnsi="Times New Roman" w:eastAsia="方正仿宋_GBK" w:cs="Times New Roman"/>
          <w:kern w:val="0"/>
          <w:sz w:val="32"/>
          <w:szCs w:val="32"/>
        </w:rPr>
        <w:t>闸坝枢纽</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kern w:val="0"/>
          <w:sz w:val="32"/>
          <w:szCs w:val="32"/>
        </w:rPr>
      </w:pPr>
      <w:r>
        <w:rPr>
          <w:rFonts w:hint="eastAsia" w:ascii="Times New Roman" w:hAnsi="Times New Roman" w:eastAsia="方正仿宋_GBK" w:cs="Times New Roman"/>
          <w:kern w:val="0"/>
          <w:sz w:val="32"/>
          <w:szCs w:val="32"/>
        </w:rPr>
        <w:t>綦江是渝南山区的一条重要水运通道。綦江干流赶水至河口136km河段自上而下已建成羊蹄洞、</w:t>
      </w:r>
      <w:r>
        <w:rPr>
          <w:rFonts w:hint="eastAsia" w:ascii="Times New Roman" w:eastAsia="方正仿宋_GBK" w:cs="Times New Roman"/>
          <w:kern w:val="0"/>
          <w:sz w:val="32"/>
          <w:szCs w:val="32"/>
          <w:lang w:eastAsia="zh-CN"/>
        </w:rPr>
        <w:t>盖石洞</w:t>
      </w:r>
      <w:r>
        <w:rPr>
          <w:rFonts w:hint="eastAsia" w:ascii="Times New Roman" w:hAnsi="Times New Roman" w:eastAsia="方正仿宋_GBK" w:cs="Times New Roman"/>
          <w:kern w:val="0"/>
          <w:sz w:val="32"/>
          <w:szCs w:val="32"/>
        </w:rPr>
        <w:t>、珠滩、石溪口、桥河、大常、桥溪口、车滩、五福等9座航运梯级，现有枢纽基本情况见表1.4</w:t>
      </w:r>
      <w:r>
        <w:rPr>
          <w:rFonts w:hint="eastAsia" w:ascii="Times New Roman" w:eastAsia="方正仿宋_GBK" w:cs="Times New Roman"/>
          <w:kern w:val="0"/>
          <w:sz w:val="32"/>
          <w:szCs w:val="32"/>
          <w:lang w:eastAsia="zh-CN"/>
        </w:rPr>
        <w:t>—</w:t>
      </w:r>
      <w:r>
        <w:rPr>
          <w:rFonts w:hint="eastAsia" w:ascii="Times New Roman" w:hAnsi="Times New Roman" w:eastAsia="方正仿宋_GBK" w:cs="Times New Roman"/>
          <w:kern w:val="0"/>
          <w:sz w:val="32"/>
          <w:szCs w:val="32"/>
        </w:rPr>
        <w:t>1，綦江干流开发现状剖面图见图1.4</w:t>
      </w:r>
      <w:r>
        <w:rPr>
          <w:rFonts w:hint="eastAsia" w:ascii="Times New Roman" w:eastAsia="方正仿宋_GBK" w:cs="Times New Roman"/>
          <w:kern w:val="0"/>
          <w:sz w:val="32"/>
          <w:szCs w:val="32"/>
          <w:lang w:eastAsia="zh-CN"/>
        </w:rPr>
        <w:t>—</w:t>
      </w:r>
      <w:r>
        <w:rPr>
          <w:rFonts w:hint="eastAsia" w:ascii="Times New Roman" w:hAnsi="Times New Roman" w:eastAsia="方正仿宋_GBK" w:cs="Times New Roman"/>
          <w:kern w:val="0"/>
          <w:sz w:val="32"/>
          <w:szCs w:val="32"/>
        </w:rPr>
        <w:t>2，枢纽现状见图1.4</w:t>
      </w:r>
      <w:r>
        <w:rPr>
          <w:rFonts w:hint="eastAsia" w:ascii="Times New Roman" w:eastAsia="方正仿宋_GBK" w:cs="Times New Roman"/>
          <w:kern w:val="0"/>
          <w:sz w:val="32"/>
          <w:szCs w:val="32"/>
          <w:lang w:eastAsia="zh-CN"/>
        </w:rPr>
        <w:t>—</w:t>
      </w:r>
      <w:r>
        <w:rPr>
          <w:rFonts w:hint="eastAsia" w:ascii="Times New Roman" w:hAnsi="Times New Roman" w:eastAsia="方正仿宋_GBK" w:cs="Times New Roman"/>
          <w:kern w:val="0"/>
          <w:sz w:val="32"/>
          <w:szCs w:val="32"/>
        </w:rPr>
        <w:t>3。在现状条件下，车滩枢纽和五福枢纽采用溢流坝泄洪，桥溪口、桥河、大常、石溪口4座枢纽采用坝顶开敞式泄洪，珠滩和羊蹄洞采用水力自动翻板闸门泄洪。</w:t>
      </w:r>
    </w:p>
    <w:p>
      <w:pPr>
        <w:pStyle w:val="2312"/>
        <w:ind w:firstLine="240"/>
        <w:rPr>
          <w:rFonts w:hint="eastAsia"/>
        </w:rPr>
      </w:pPr>
      <w:r>
        <w:rPr>
          <w:rFonts w:hint="default" w:ascii="Times New Roman" w:hAnsi="Times New Roman" w:cs="Times New Roman"/>
        </w:rPr>
        <w:t>表1.4</w:t>
      </w:r>
      <w:r>
        <w:rPr>
          <w:rFonts w:hint="default" w:ascii="Times New Roman" w:hAnsi="Times New Roman" w:cs="Times New Roman"/>
          <w:lang w:eastAsia="zh-CN"/>
        </w:rPr>
        <w:t>—</w:t>
      </w:r>
      <w:r>
        <w:rPr>
          <w:rFonts w:hint="default" w:ascii="Times New Roman" w:hAnsi="Times New Roman" w:cs="Times New Roman"/>
        </w:rPr>
        <w:t xml:space="preserve">1  </w:t>
      </w:r>
      <w:r>
        <w:rPr>
          <w:rFonts w:hint="eastAsia"/>
        </w:rPr>
        <w:t xml:space="preserve">            </w:t>
      </w:r>
      <w:r>
        <w:t xml:space="preserve"> </w:t>
      </w:r>
      <w:r>
        <w:rPr>
          <w:rFonts w:hint="eastAsia" w:ascii="方正黑体_GBK" w:hAnsi="方正黑体_GBK" w:eastAsia="方正黑体_GBK" w:cs="方正黑体_GBK"/>
        </w:rPr>
        <w:t xml:space="preserve">  綦江干流现有枢纽基本情况表</w:t>
      </w:r>
    </w:p>
    <w:tbl>
      <w:tblPr>
        <w:tblStyle w:val="88"/>
        <w:tblW w:w="4989"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0" w:type="dxa"/>
          <w:bottom w:w="0" w:type="dxa"/>
          <w:right w:w="0" w:type="dxa"/>
        </w:tblCellMar>
      </w:tblPr>
      <w:tblGrid>
        <w:gridCol w:w="696"/>
        <w:gridCol w:w="592"/>
        <w:gridCol w:w="923"/>
        <w:gridCol w:w="691"/>
        <w:gridCol w:w="691"/>
        <w:gridCol w:w="691"/>
        <w:gridCol w:w="691"/>
        <w:gridCol w:w="691"/>
        <w:gridCol w:w="691"/>
        <w:gridCol w:w="855"/>
        <w:gridCol w:w="806"/>
        <w:gridCol w:w="1049"/>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90" w:hRule="atLeast"/>
          <w:jc w:val="center"/>
        </w:trPr>
        <w:tc>
          <w:tcPr>
            <w:tcW w:w="1218" w:type="pct"/>
            <w:gridSpan w:val="3"/>
            <w:noWrap w:val="0"/>
            <w:vAlign w:val="center"/>
          </w:tcPr>
          <w:p>
            <w:pPr>
              <w:pStyle w:val="3013"/>
              <w:spacing w:line="240" w:lineRule="exact"/>
              <w:rPr>
                <w:rFonts w:hint="eastAsia"/>
              </w:rPr>
            </w:pPr>
            <w:r>
              <w:rPr>
                <w:rFonts w:hint="eastAsia"/>
              </w:rPr>
              <w:t>枢纽名称</w:t>
            </w:r>
          </w:p>
        </w:tc>
        <w:tc>
          <w:tcPr>
            <w:tcW w:w="381" w:type="pct"/>
            <w:noWrap w:val="0"/>
            <w:vAlign w:val="center"/>
          </w:tcPr>
          <w:p>
            <w:pPr>
              <w:pStyle w:val="3013"/>
              <w:spacing w:line="240" w:lineRule="exact"/>
              <w:rPr>
                <w:rFonts w:hint="eastAsia"/>
              </w:rPr>
            </w:pPr>
            <w:r>
              <w:rPr>
                <w:rFonts w:hint="eastAsia"/>
              </w:rPr>
              <w:t>五福</w:t>
            </w:r>
          </w:p>
        </w:tc>
        <w:tc>
          <w:tcPr>
            <w:tcW w:w="381" w:type="pct"/>
            <w:noWrap w:val="0"/>
            <w:vAlign w:val="center"/>
          </w:tcPr>
          <w:p>
            <w:pPr>
              <w:pStyle w:val="3013"/>
              <w:spacing w:line="240" w:lineRule="exact"/>
              <w:rPr>
                <w:rFonts w:hint="eastAsia"/>
              </w:rPr>
            </w:pPr>
            <w:r>
              <w:rPr>
                <w:rFonts w:hint="eastAsia"/>
              </w:rPr>
              <w:t>车滩</w:t>
            </w:r>
          </w:p>
        </w:tc>
        <w:tc>
          <w:tcPr>
            <w:tcW w:w="381" w:type="pct"/>
            <w:noWrap w:val="0"/>
            <w:vAlign w:val="center"/>
          </w:tcPr>
          <w:p>
            <w:pPr>
              <w:pStyle w:val="3013"/>
              <w:spacing w:line="240" w:lineRule="exact"/>
              <w:rPr>
                <w:rFonts w:hint="eastAsia"/>
              </w:rPr>
            </w:pPr>
            <w:r>
              <w:rPr>
                <w:rFonts w:hint="eastAsia"/>
              </w:rPr>
              <w:t>桥溪口</w:t>
            </w:r>
          </w:p>
        </w:tc>
        <w:tc>
          <w:tcPr>
            <w:tcW w:w="381" w:type="pct"/>
            <w:noWrap w:val="0"/>
            <w:vAlign w:val="center"/>
          </w:tcPr>
          <w:p>
            <w:pPr>
              <w:pStyle w:val="3013"/>
              <w:spacing w:line="240" w:lineRule="exact"/>
              <w:rPr>
                <w:rFonts w:hint="eastAsia"/>
              </w:rPr>
            </w:pPr>
            <w:r>
              <w:rPr>
                <w:rFonts w:hint="eastAsia"/>
              </w:rPr>
              <w:t>大常</w:t>
            </w:r>
          </w:p>
        </w:tc>
        <w:tc>
          <w:tcPr>
            <w:tcW w:w="381" w:type="pct"/>
            <w:noWrap w:val="0"/>
            <w:vAlign w:val="center"/>
          </w:tcPr>
          <w:p>
            <w:pPr>
              <w:pStyle w:val="3013"/>
              <w:spacing w:line="240" w:lineRule="exact"/>
              <w:rPr>
                <w:rFonts w:hint="eastAsia"/>
              </w:rPr>
            </w:pPr>
            <w:r>
              <w:rPr>
                <w:rFonts w:hint="eastAsia"/>
              </w:rPr>
              <w:t>桥河</w:t>
            </w:r>
          </w:p>
        </w:tc>
        <w:tc>
          <w:tcPr>
            <w:tcW w:w="381" w:type="pct"/>
            <w:noWrap w:val="0"/>
            <w:vAlign w:val="center"/>
          </w:tcPr>
          <w:p>
            <w:pPr>
              <w:pStyle w:val="3013"/>
              <w:spacing w:line="240" w:lineRule="exact"/>
              <w:rPr>
                <w:rFonts w:hint="eastAsia"/>
              </w:rPr>
            </w:pPr>
            <w:r>
              <w:rPr>
                <w:rFonts w:hint="eastAsia"/>
              </w:rPr>
              <w:t>石溪口</w:t>
            </w:r>
          </w:p>
        </w:tc>
        <w:tc>
          <w:tcPr>
            <w:tcW w:w="471" w:type="pct"/>
            <w:noWrap w:val="0"/>
            <w:vAlign w:val="center"/>
          </w:tcPr>
          <w:p>
            <w:pPr>
              <w:pStyle w:val="3013"/>
              <w:spacing w:line="240" w:lineRule="exact"/>
              <w:rPr>
                <w:rFonts w:hint="eastAsia"/>
              </w:rPr>
            </w:pPr>
            <w:r>
              <w:rPr>
                <w:rFonts w:hint="eastAsia"/>
              </w:rPr>
              <w:t>珠滩</w:t>
            </w:r>
          </w:p>
        </w:tc>
        <w:tc>
          <w:tcPr>
            <w:tcW w:w="444" w:type="pct"/>
            <w:noWrap w:val="0"/>
            <w:vAlign w:val="center"/>
          </w:tcPr>
          <w:p>
            <w:pPr>
              <w:pStyle w:val="3013"/>
              <w:spacing w:line="240" w:lineRule="exact"/>
              <w:rPr>
                <w:rFonts w:hint="eastAsia" w:eastAsia="楷体_GB2312"/>
                <w:lang w:eastAsia="zh-CN"/>
              </w:rPr>
            </w:pPr>
            <w:r>
              <w:rPr>
                <w:rFonts w:hint="eastAsia"/>
                <w:lang w:eastAsia="zh-CN"/>
              </w:rPr>
              <w:t>盖石洞</w:t>
            </w:r>
          </w:p>
        </w:tc>
        <w:tc>
          <w:tcPr>
            <w:tcW w:w="578" w:type="pct"/>
            <w:noWrap w:val="0"/>
            <w:vAlign w:val="center"/>
          </w:tcPr>
          <w:p>
            <w:pPr>
              <w:pStyle w:val="3013"/>
              <w:spacing w:line="240" w:lineRule="exact"/>
              <w:rPr>
                <w:rFonts w:hint="eastAsia"/>
              </w:rPr>
            </w:pPr>
            <w:r>
              <w:rPr>
                <w:rFonts w:hint="eastAsia"/>
              </w:rPr>
              <w:t>羊蹄洞</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90" w:hRule="atLeast"/>
          <w:jc w:val="center"/>
        </w:trPr>
        <w:tc>
          <w:tcPr>
            <w:tcW w:w="1218" w:type="pct"/>
            <w:gridSpan w:val="3"/>
            <w:noWrap w:val="0"/>
            <w:vAlign w:val="center"/>
          </w:tcPr>
          <w:p>
            <w:pPr>
              <w:pStyle w:val="3013"/>
              <w:spacing w:line="240" w:lineRule="exact"/>
              <w:rPr>
                <w:rFonts w:hint="eastAsia"/>
              </w:rPr>
            </w:pPr>
            <w:r>
              <w:rPr>
                <w:rFonts w:hint="eastAsia"/>
              </w:rPr>
              <w:t>距河口（km）</w:t>
            </w:r>
          </w:p>
        </w:tc>
        <w:tc>
          <w:tcPr>
            <w:tcW w:w="381" w:type="pct"/>
            <w:noWrap w:val="0"/>
            <w:vAlign w:val="center"/>
          </w:tcPr>
          <w:p>
            <w:pPr>
              <w:pStyle w:val="3013"/>
              <w:spacing w:line="240" w:lineRule="exact"/>
              <w:rPr>
                <w:rFonts w:hint="eastAsia"/>
              </w:rPr>
            </w:pPr>
            <w:r>
              <w:rPr>
                <w:rFonts w:hint="eastAsia"/>
              </w:rPr>
              <w:t>45.29</w:t>
            </w:r>
          </w:p>
        </w:tc>
        <w:tc>
          <w:tcPr>
            <w:tcW w:w="381" w:type="pct"/>
            <w:noWrap w:val="0"/>
            <w:vAlign w:val="center"/>
          </w:tcPr>
          <w:p>
            <w:pPr>
              <w:pStyle w:val="3013"/>
              <w:spacing w:line="240" w:lineRule="exact"/>
              <w:rPr>
                <w:rFonts w:hint="eastAsia"/>
              </w:rPr>
            </w:pPr>
            <w:r>
              <w:rPr>
                <w:rFonts w:hint="eastAsia"/>
              </w:rPr>
              <w:t>53.40</w:t>
            </w:r>
          </w:p>
        </w:tc>
        <w:tc>
          <w:tcPr>
            <w:tcW w:w="381" w:type="pct"/>
            <w:noWrap w:val="0"/>
            <w:vAlign w:val="center"/>
          </w:tcPr>
          <w:p>
            <w:pPr>
              <w:pStyle w:val="3013"/>
              <w:spacing w:line="240" w:lineRule="exact"/>
              <w:rPr>
                <w:rFonts w:hint="eastAsia"/>
              </w:rPr>
            </w:pPr>
            <w:r>
              <w:rPr>
                <w:rFonts w:hint="eastAsia"/>
              </w:rPr>
              <w:t>63.15</w:t>
            </w:r>
          </w:p>
        </w:tc>
        <w:tc>
          <w:tcPr>
            <w:tcW w:w="381" w:type="pct"/>
            <w:noWrap w:val="0"/>
            <w:vAlign w:val="center"/>
          </w:tcPr>
          <w:p>
            <w:pPr>
              <w:pStyle w:val="3013"/>
              <w:spacing w:line="240" w:lineRule="exact"/>
              <w:rPr>
                <w:rFonts w:hint="eastAsia"/>
              </w:rPr>
            </w:pPr>
            <w:r>
              <w:rPr>
                <w:rFonts w:hint="eastAsia"/>
              </w:rPr>
              <w:t>75.40</w:t>
            </w:r>
          </w:p>
        </w:tc>
        <w:tc>
          <w:tcPr>
            <w:tcW w:w="381" w:type="pct"/>
            <w:noWrap w:val="0"/>
            <w:vAlign w:val="center"/>
          </w:tcPr>
          <w:p>
            <w:pPr>
              <w:pStyle w:val="3013"/>
              <w:spacing w:line="240" w:lineRule="exact"/>
              <w:rPr>
                <w:rFonts w:hint="eastAsia"/>
              </w:rPr>
            </w:pPr>
            <w:r>
              <w:rPr>
                <w:rFonts w:hint="eastAsia"/>
              </w:rPr>
              <w:t>81.60</w:t>
            </w:r>
          </w:p>
        </w:tc>
        <w:tc>
          <w:tcPr>
            <w:tcW w:w="381" w:type="pct"/>
            <w:noWrap w:val="0"/>
            <w:vAlign w:val="center"/>
          </w:tcPr>
          <w:p>
            <w:pPr>
              <w:pStyle w:val="3013"/>
              <w:spacing w:line="240" w:lineRule="exact"/>
              <w:rPr>
                <w:rFonts w:hint="eastAsia"/>
              </w:rPr>
            </w:pPr>
            <w:r>
              <w:rPr>
                <w:rFonts w:hint="eastAsia"/>
              </w:rPr>
              <w:t>90.60</w:t>
            </w:r>
          </w:p>
        </w:tc>
        <w:tc>
          <w:tcPr>
            <w:tcW w:w="471" w:type="pct"/>
            <w:noWrap w:val="0"/>
            <w:vAlign w:val="center"/>
          </w:tcPr>
          <w:p>
            <w:pPr>
              <w:pStyle w:val="3013"/>
              <w:spacing w:line="240" w:lineRule="exact"/>
              <w:rPr>
                <w:rFonts w:hint="eastAsia"/>
              </w:rPr>
            </w:pPr>
            <w:r>
              <w:rPr>
                <w:rFonts w:hint="eastAsia"/>
              </w:rPr>
              <w:t>96.59</w:t>
            </w:r>
          </w:p>
        </w:tc>
        <w:tc>
          <w:tcPr>
            <w:tcW w:w="444" w:type="pct"/>
            <w:noWrap w:val="0"/>
            <w:vAlign w:val="center"/>
          </w:tcPr>
          <w:p>
            <w:pPr>
              <w:pStyle w:val="3013"/>
              <w:spacing w:line="240" w:lineRule="exact"/>
              <w:rPr>
                <w:rFonts w:hint="eastAsia"/>
              </w:rPr>
            </w:pPr>
            <w:r>
              <w:rPr>
                <w:rFonts w:hint="eastAsia"/>
              </w:rPr>
              <w:t>110.21</w:t>
            </w:r>
          </w:p>
        </w:tc>
        <w:tc>
          <w:tcPr>
            <w:tcW w:w="578" w:type="pct"/>
            <w:noWrap w:val="0"/>
            <w:vAlign w:val="center"/>
          </w:tcPr>
          <w:p>
            <w:pPr>
              <w:pStyle w:val="3013"/>
              <w:spacing w:line="240" w:lineRule="exact"/>
              <w:rPr>
                <w:rFonts w:hint="eastAsia"/>
              </w:rPr>
            </w:pPr>
            <w:r>
              <w:rPr>
                <w:rFonts w:hint="eastAsia"/>
              </w:rPr>
              <w:t>126.00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90" w:hRule="atLeast"/>
          <w:jc w:val="center"/>
        </w:trPr>
        <w:tc>
          <w:tcPr>
            <w:tcW w:w="384" w:type="pct"/>
            <w:vMerge w:val="restart"/>
            <w:noWrap w:val="0"/>
            <w:vAlign w:val="center"/>
          </w:tcPr>
          <w:p>
            <w:pPr>
              <w:pStyle w:val="3013"/>
              <w:spacing w:line="240" w:lineRule="exact"/>
              <w:rPr>
                <w:rFonts w:hint="eastAsia"/>
              </w:rPr>
            </w:pPr>
            <w:r>
              <w:rPr>
                <w:rFonts w:hint="eastAsia"/>
              </w:rPr>
              <w:t>溢流坝</w:t>
            </w:r>
          </w:p>
        </w:tc>
        <w:tc>
          <w:tcPr>
            <w:tcW w:w="325" w:type="pct"/>
            <w:vMerge w:val="restart"/>
            <w:noWrap w:val="0"/>
            <w:vAlign w:val="center"/>
          </w:tcPr>
          <w:p>
            <w:pPr>
              <w:pStyle w:val="3013"/>
              <w:spacing w:line="240" w:lineRule="exact"/>
              <w:rPr>
                <w:rFonts w:hint="eastAsia"/>
              </w:rPr>
            </w:pPr>
            <w:r>
              <w:rPr>
                <w:rFonts w:hint="eastAsia"/>
              </w:rPr>
              <w:t>高程</w:t>
            </w:r>
          </w:p>
          <w:p>
            <w:pPr>
              <w:pStyle w:val="3013"/>
              <w:spacing w:line="240" w:lineRule="exact"/>
              <w:rPr>
                <w:rFonts w:hint="eastAsia"/>
              </w:rPr>
            </w:pPr>
            <w:r>
              <w:rPr>
                <w:rFonts w:hint="eastAsia"/>
              </w:rPr>
              <w:t>（m）</w:t>
            </w:r>
          </w:p>
        </w:tc>
        <w:tc>
          <w:tcPr>
            <w:tcW w:w="508" w:type="pct"/>
            <w:noWrap w:val="0"/>
            <w:vAlign w:val="center"/>
          </w:tcPr>
          <w:p>
            <w:pPr>
              <w:pStyle w:val="3013"/>
              <w:spacing w:line="240" w:lineRule="exact"/>
              <w:rPr>
                <w:rFonts w:hint="eastAsia"/>
              </w:rPr>
            </w:pPr>
            <w:r>
              <w:rPr>
                <w:rFonts w:hint="eastAsia"/>
              </w:rPr>
              <w:t>闸顶</w:t>
            </w:r>
          </w:p>
        </w:tc>
        <w:tc>
          <w:tcPr>
            <w:tcW w:w="381" w:type="pct"/>
            <w:noWrap w:val="0"/>
            <w:vAlign w:val="center"/>
          </w:tcPr>
          <w:p>
            <w:pPr>
              <w:pStyle w:val="3013"/>
              <w:spacing w:line="240" w:lineRule="exact"/>
              <w:rPr>
                <w:rFonts w:hint="eastAsia"/>
              </w:rPr>
            </w:pPr>
            <w:r>
              <w:rPr>
                <w:rFonts w:hint="eastAsia"/>
              </w:rPr>
              <w:t>202.55</w:t>
            </w:r>
          </w:p>
        </w:tc>
        <w:tc>
          <w:tcPr>
            <w:tcW w:w="381" w:type="pct"/>
            <w:noWrap w:val="0"/>
            <w:vAlign w:val="center"/>
          </w:tcPr>
          <w:p>
            <w:pPr>
              <w:pStyle w:val="3013"/>
              <w:spacing w:line="240" w:lineRule="exact"/>
              <w:rPr>
                <w:rFonts w:hint="eastAsia"/>
              </w:rPr>
            </w:pPr>
            <w:r>
              <w:rPr>
                <w:rFonts w:hint="eastAsia"/>
              </w:rPr>
              <w:t>207.57</w:t>
            </w:r>
          </w:p>
        </w:tc>
        <w:tc>
          <w:tcPr>
            <w:tcW w:w="381" w:type="pct"/>
            <w:noWrap w:val="0"/>
            <w:vAlign w:val="center"/>
          </w:tcPr>
          <w:p>
            <w:pPr>
              <w:pStyle w:val="3013"/>
              <w:spacing w:line="240" w:lineRule="exact"/>
              <w:rPr>
                <w:rFonts w:hint="eastAsia"/>
              </w:rPr>
            </w:pPr>
            <w:r>
              <w:rPr>
                <w:rFonts w:hint="eastAsia"/>
              </w:rPr>
              <w:t>213.5</w:t>
            </w:r>
          </w:p>
        </w:tc>
        <w:tc>
          <w:tcPr>
            <w:tcW w:w="381" w:type="pct"/>
            <w:noWrap w:val="0"/>
            <w:vAlign w:val="center"/>
          </w:tcPr>
          <w:p>
            <w:pPr>
              <w:pStyle w:val="3013"/>
              <w:spacing w:line="240" w:lineRule="exact"/>
              <w:rPr>
                <w:rFonts w:hint="eastAsia"/>
              </w:rPr>
            </w:pPr>
            <w:r>
              <w:rPr>
                <w:rFonts w:hint="eastAsia"/>
              </w:rPr>
              <w:t>217.6</w:t>
            </w:r>
          </w:p>
        </w:tc>
        <w:tc>
          <w:tcPr>
            <w:tcW w:w="381" w:type="pct"/>
            <w:noWrap w:val="0"/>
            <w:vAlign w:val="center"/>
          </w:tcPr>
          <w:p>
            <w:pPr>
              <w:pStyle w:val="3013"/>
              <w:spacing w:line="240" w:lineRule="exact"/>
              <w:rPr>
                <w:rFonts w:hint="eastAsia"/>
              </w:rPr>
            </w:pPr>
            <w:r>
              <w:rPr>
                <w:rFonts w:hint="eastAsia"/>
              </w:rPr>
              <w:t>222.6</w:t>
            </w:r>
          </w:p>
        </w:tc>
        <w:tc>
          <w:tcPr>
            <w:tcW w:w="381" w:type="pct"/>
            <w:noWrap w:val="0"/>
            <w:vAlign w:val="center"/>
          </w:tcPr>
          <w:p>
            <w:pPr>
              <w:pStyle w:val="3013"/>
              <w:spacing w:line="240" w:lineRule="exact"/>
              <w:rPr>
                <w:rFonts w:hint="eastAsia"/>
              </w:rPr>
            </w:pPr>
            <w:r>
              <w:rPr>
                <w:rFonts w:hint="eastAsia"/>
              </w:rPr>
              <w:t>227.5</w:t>
            </w:r>
          </w:p>
        </w:tc>
        <w:tc>
          <w:tcPr>
            <w:tcW w:w="471" w:type="pct"/>
            <w:noWrap w:val="0"/>
            <w:vAlign w:val="center"/>
          </w:tcPr>
          <w:p>
            <w:pPr>
              <w:pStyle w:val="3013"/>
              <w:spacing w:line="240" w:lineRule="exact"/>
              <w:rPr>
                <w:rFonts w:hint="eastAsia"/>
              </w:rPr>
            </w:pPr>
            <w:r>
              <w:rPr>
                <w:rFonts w:hint="eastAsia"/>
              </w:rPr>
              <w:t>243</w:t>
            </w:r>
          </w:p>
        </w:tc>
        <w:tc>
          <w:tcPr>
            <w:tcW w:w="444" w:type="pct"/>
            <w:noWrap w:val="0"/>
            <w:vAlign w:val="center"/>
          </w:tcPr>
          <w:p>
            <w:pPr>
              <w:pStyle w:val="3013"/>
              <w:spacing w:line="240" w:lineRule="exact"/>
              <w:rPr>
                <w:rFonts w:hint="eastAsia"/>
              </w:rPr>
            </w:pPr>
            <w:r>
              <w:rPr>
                <w:rFonts w:hint="eastAsia"/>
              </w:rPr>
              <w:t>277.5</w:t>
            </w:r>
          </w:p>
        </w:tc>
        <w:tc>
          <w:tcPr>
            <w:tcW w:w="578" w:type="pct"/>
            <w:noWrap w:val="0"/>
            <w:vAlign w:val="center"/>
          </w:tcPr>
          <w:p>
            <w:pPr>
              <w:pStyle w:val="3013"/>
              <w:spacing w:line="240" w:lineRule="exact"/>
              <w:rPr>
                <w:rFonts w:hint="eastAsia"/>
              </w:rPr>
            </w:pPr>
            <w:r>
              <w:rPr>
                <w:rFonts w:hint="eastAsia"/>
              </w:rPr>
              <w:t>278.3</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90" w:hRule="atLeast"/>
          <w:jc w:val="center"/>
        </w:trPr>
        <w:tc>
          <w:tcPr>
            <w:tcW w:w="384" w:type="pct"/>
            <w:vMerge w:val="continue"/>
            <w:noWrap w:val="0"/>
            <w:vAlign w:val="center"/>
          </w:tcPr>
          <w:p>
            <w:pPr>
              <w:pStyle w:val="3013"/>
              <w:spacing w:line="240" w:lineRule="exact"/>
              <w:rPr>
                <w:rFonts w:hint="eastAsia"/>
              </w:rPr>
            </w:pPr>
          </w:p>
        </w:tc>
        <w:tc>
          <w:tcPr>
            <w:tcW w:w="325" w:type="pct"/>
            <w:vMerge w:val="continue"/>
            <w:noWrap w:val="0"/>
            <w:vAlign w:val="center"/>
          </w:tcPr>
          <w:p>
            <w:pPr>
              <w:pStyle w:val="3013"/>
              <w:spacing w:line="240" w:lineRule="exact"/>
              <w:rPr>
                <w:rFonts w:hint="eastAsia"/>
              </w:rPr>
            </w:pPr>
          </w:p>
        </w:tc>
        <w:tc>
          <w:tcPr>
            <w:tcW w:w="508" w:type="pct"/>
            <w:noWrap w:val="0"/>
            <w:vAlign w:val="center"/>
          </w:tcPr>
          <w:p>
            <w:pPr>
              <w:pStyle w:val="3013"/>
              <w:spacing w:line="240" w:lineRule="exact"/>
              <w:rPr>
                <w:rFonts w:hint="eastAsia"/>
              </w:rPr>
            </w:pPr>
            <w:r>
              <w:rPr>
                <w:rFonts w:hint="eastAsia"/>
              </w:rPr>
              <w:t>正常蓄水</w:t>
            </w:r>
          </w:p>
        </w:tc>
        <w:tc>
          <w:tcPr>
            <w:tcW w:w="381" w:type="pct"/>
            <w:noWrap w:val="0"/>
            <w:vAlign w:val="center"/>
          </w:tcPr>
          <w:p>
            <w:pPr>
              <w:pStyle w:val="3013"/>
              <w:spacing w:line="240" w:lineRule="exact"/>
              <w:rPr>
                <w:rFonts w:hint="eastAsia"/>
              </w:rPr>
            </w:pPr>
            <w:r>
              <w:rPr>
                <w:rFonts w:hint="eastAsia"/>
              </w:rPr>
              <w:t>200.24</w:t>
            </w:r>
          </w:p>
        </w:tc>
        <w:tc>
          <w:tcPr>
            <w:tcW w:w="381" w:type="pct"/>
            <w:noWrap w:val="0"/>
            <w:vAlign w:val="center"/>
          </w:tcPr>
          <w:p>
            <w:pPr>
              <w:pStyle w:val="3013"/>
              <w:spacing w:line="240" w:lineRule="exact"/>
              <w:rPr>
                <w:rFonts w:hint="eastAsia"/>
              </w:rPr>
            </w:pPr>
            <w:r>
              <w:rPr>
                <w:rFonts w:hint="eastAsia"/>
              </w:rPr>
              <w:t>205.70</w:t>
            </w:r>
          </w:p>
        </w:tc>
        <w:tc>
          <w:tcPr>
            <w:tcW w:w="381" w:type="pct"/>
            <w:noWrap w:val="0"/>
            <w:vAlign w:val="center"/>
          </w:tcPr>
          <w:p>
            <w:pPr>
              <w:pStyle w:val="3013"/>
              <w:spacing w:line="240" w:lineRule="exact"/>
              <w:rPr>
                <w:rFonts w:hint="eastAsia"/>
              </w:rPr>
            </w:pPr>
            <w:r>
              <w:rPr>
                <w:rFonts w:hint="eastAsia"/>
              </w:rPr>
              <w:t>211.73</w:t>
            </w:r>
          </w:p>
        </w:tc>
        <w:tc>
          <w:tcPr>
            <w:tcW w:w="381" w:type="pct"/>
            <w:noWrap w:val="0"/>
            <w:vAlign w:val="center"/>
          </w:tcPr>
          <w:p>
            <w:pPr>
              <w:pStyle w:val="3013"/>
              <w:spacing w:line="240" w:lineRule="exact"/>
              <w:rPr>
                <w:rFonts w:hint="eastAsia"/>
              </w:rPr>
            </w:pPr>
            <w:r>
              <w:rPr>
                <w:rFonts w:hint="eastAsia"/>
              </w:rPr>
              <w:t>215.70</w:t>
            </w:r>
          </w:p>
        </w:tc>
        <w:tc>
          <w:tcPr>
            <w:tcW w:w="381" w:type="pct"/>
            <w:noWrap w:val="0"/>
            <w:vAlign w:val="center"/>
          </w:tcPr>
          <w:p>
            <w:pPr>
              <w:pStyle w:val="3013"/>
              <w:spacing w:line="240" w:lineRule="exact"/>
              <w:rPr>
                <w:rFonts w:hint="eastAsia"/>
              </w:rPr>
            </w:pPr>
            <w:r>
              <w:rPr>
                <w:rFonts w:hint="eastAsia"/>
              </w:rPr>
              <w:t>220.70</w:t>
            </w:r>
          </w:p>
        </w:tc>
        <w:tc>
          <w:tcPr>
            <w:tcW w:w="381" w:type="pct"/>
            <w:noWrap w:val="0"/>
            <w:vAlign w:val="center"/>
          </w:tcPr>
          <w:p>
            <w:pPr>
              <w:pStyle w:val="3013"/>
              <w:spacing w:line="240" w:lineRule="exact"/>
              <w:rPr>
                <w:rFonts w:hint="eastAsia"/>
              </w:rPr>
            </w:pPr>
            <w:r>
              <w:rPr>
                <w:rFonts w:hint="eastAsia"/>
              </w:rPr>
              <w:t>225.60</w:t>
            </w:r>
          </w:p>
        </w:tc>
        <w:tc>
          <w:tcPr>
            <w:tcW w:w="471" w:type="pct"/>
            <w:noWrap w:val="0"/>
            <w:vAlign w:val="center"/>
          </w:tcPr>
          <w:p>
            <w:pPr>
              <w:pStyle w:val="3013"/>
              <w:spacing w:line="240" w:lineRule="exact"/>
              <w:rPr>
                <w:rFonts w:hint="eastAsia"/>
              </w:rPr>
            </w:pPr>
            <w:r>
              <w:rPr>
                <w:rFonts w:hint="eastAsia"/>
              </w:rPr>
              <w:t>242.50</w:t>
            </w:r>
          </w:p>
        </w:tc>
        <w:tc>
          <w:tcPr>
            <w:tcW w:w="444" w:type="pct"/>
            <w:noWrap w:val="0"/>
            <w:vAlign w:val="center"/>
          </w:tcPr>
          <w:p>
            <w:pPr>
              <w:pStyle w:val="3013"/>
              <w:spacing w:line="240" w:lineRule="exact"/>
              <w:rPr>
                <w:rFonts w:hint="eastAsia"/>
              </w:rPr>
            </w:pPr>
            <w:r>
              <w:rPr>
                <w:rFonts w:hint="eastAsia"/>
              </w:rPr>
              <w:t>269.00</w:t>
            </w:r>
          </w:p>
        </w:tc>
        <w:tc>
          <w:tcPr>
            <w:tcW w:w="578" w:type="pct"/>
            <w:noWrap w:val="0"/>
            <w:vAlign w:val="center"/>
          </w:tcPr>
          <w:p>
            <w:pPr>
              <w:pStyle w:val="3013"/>
              <w:spacing w:line="240" w:lineRule="exact"/>
              <w:rPr>
                <w:rFonts w:hint="eastAsia"/>
              </w:rPr>
            </w:pPr>
            <w:r>
              <w:rPr>
                <w:rFonts w:hint="eastAsia"/>
              </w:rPr>
              <w:t>277.70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90" w:hRule="atLeast"/>
          <w:jc w:val="center"/>
        </w:trPr>
        <w:tc>
          <w:tcPr>
            <w:tcW w:w="384" w:type="pct"/>
            <w:vMerge w:val="continue"/>
            <w:noWrap w:val="0"/>
            <w:vAlign w:val="center"/>
          </w:tcPr>
          <w:p>
            <w:pPr>
              <w:pStyle w:val="3013"/>
              <w:spacing w:line="240" w:lineRule="exact"/>
              <w:rPr>
                <w:rFonts w:hint="eastAsia"/>
              </w:rPr>
            </w:pPr>
          </w:p>
        </w:tc>
        <w:tc>
          <w:tcPr>
            <w:tcW w:w="325" w:type="pct"/>
            <w:vMerge w:val="continue"/>
            <w:noWrap w:val="0"/>
            <w:vAlign w:val="center"/>
          </w:tcPr>
          <w:p>
            <w:pPr>
              <w:pStyle w:val="3013"/>
              <w:spacing w:line="240" w:lineRule="exact"/>
              <w:rPr>
                <w:rFonts w:hint="eastAsia"/>
              </w:rPr>
            </w:pPr>
          </w:p>
        </w:tc>
        <w:tc>
          <w:tcPr>
            <w:tcW w:w="508" w:type="pct"/>
            <w:noWrap w:val="0"/>
            <w:vAlign w:val="center"/>
          </w:tcPr>
          <w:p>
            <w:pPr>
              <w:pStyle w:val="3013"/>
              <w:spacing w:line="240" w:lineRule="exact"/>
              <w:rPr>
                <w:rFonts w:hint="eastAsia"/>
              </w:rPr>
            </w:pPr>
            <w:r>
              <w:rPr>
                <w:rFonts w:hint="eastAsia"/>
              </w:rPr>
              <w:t>堰顶</w:t>
            </w:r>
          </w:p>
        </w:tc>
        <w:tc>
          <w:tcPr>
            <w:tcW w:w="381" w:type="pct"/>
            <w:noWrap w:val="0"/>
            <w:vAlign w:val="center"/>
          </w:tcPr>
          <w:p>
            <w:pPr>
              <w:pStyle w:val="3013"/>
              <w:spacing w:line="240" w:lineRule="exact"/>
              <w:rPr>
                <w:rFonts w:hint="eastAsia"/>
              </w:rPr>
            </w:pPr>
            <w:r>
              <w:rPr>
                <w:rFonts w:hint="eastAsia"/>
              </w:rPr>
              <w:t>200.5</w:t>
            </w:r>
          </w:p>
        </w:tc>
        <w:tc>
          <w:tcPr>
            <w:tcW w:w="381" w:type="pct"/>
            <w:noWrap w:val="0"/>
            <w:vAlign w:val="center"/>
          </w:tcPr>
          <w:p>
            <w:pPr>
              <w:pStyle w:val="3013"/>
              <w:spacing w:line="240" w:lineRule="exact"/>
              <w:rPr>
                <w:rFonts w:hint="eastAsia"/>
              </w:rPr>
            </w:pPr>
            <w:r>
              <w:rPr>
                <w:rFonts w:hint="eastAsia"/>
              </w:rPr>
              <w:t>206.2</w:t>
            </w:r>
          </w:p>
        </w:tc>
        <w:tc>
          <w:tcPr>
            <w:tcW w:w="381" w:type="pct"/>
            <w:noWrap w:val="0"/>
            <w:vAlign w:val="center"/>
          </w:tcPr>
          <w:p>
            <w:pPr>
              <w:pStyle w:val="3013"/>
              <w:spacing w:line="240" w:lineRule="exact"/>
              <w:rPr>
                <w:rFonts w:hint="eastAsia"/>
              </w:rPr>
            </w:pPr>
            <w:r>
              <w:rPr>
                <w:rFonts w:hint="eastAsia"/>
              </w:rPr>
              <w:t>212.2</w:t>
            </w:r>
          </w:p>
        </w:tc>
        <w:tc>
          <w:tcPr>
            <w:tcW w:w="381" w:type="pct"/>
            <w:noWrap w:val="0"/>
            <w:vAlign w:val="center"/>
          </w:tcPr>
          <w:p>
            <w:pPr>
              <w:pStyle w:val="3013"/>
              <w:spacing w:line="240" w:lineRule="exact"/>
              <w:rPr>
                <w:rFonts w:hint="eastAsia"/>
              </w:rPr>
            </w:pPr>
            <w:r>
              <w:rPr>
                <w:rFonts w:hint="eastAsia"/>
              </w:rPr>
              <w:t>216.2</w:t>
            </w:r>
          </w:p>
        </w:tc>
        <w:tc>
          <w:tcPr>
            <w:tcW w:w="381" w:type="pct"/>
            <w:noWrap w:val="0"/>
            <w:vAlign w:val="center"/>
          </w:tcPr>
          <w:p>
            <w:pPr>
              <w:pStyle w:val="3013"/>
              <w:spacing w:line="240" w:lineRule="exact"/>
              <w:rPr>
                <w:rFonts w:hint="eastAsia"/>
              </w:rPr>
            </w:pPr>
            <w:r>
              <w:rPr>
                <w:rFonts w:hint="eastAsia"/>
              </w:rPr>
              <w:t>221.2</w:t>
            </w:r>
          </w:p>
        </w:tc>
        <w:tc>
          <w:tcPr>
            <w:tcW w:w="381" w:type="pct"/>
            <w:noWrap w:val="0"/>
            <w:vAlign w:val="center"/>
          </w:tcPr>
          <w:p>
            <w:pPr>
              <w:pStyle w:val="3013"/>
              <w:spacing w:line="240" w:lineRule="exact"/>
              <w:rPr>
                <w:rFonts w:hint="eastAsia"/>
              </w:rPr>
            </w:pPr>
            <w:r>
              <w:rPr>
                <w:rFonts w:hint="eastAsia"/>
              </w:rPr>
              <w:t>226.1</w:t>
            </w:r>
          </w:p>
        </w:tc>
        <w:tc>
          <w:tcPr>
            <w:tcW w:w="471" w:type="pct"/>
            <w:noWrap w:val="0"/>
            <w:vAlign w:val="center"/>
          </w:tcPr>
          <w:p>
            <w:pPr>
              <w:pStyle w:val="3013"/>
              <w:spacing w:line="240" w:lineRule="exact"/>
              <w:rPr>
                <w:rFonts w:hint="eastAsia"/>
              </w:rPr>
            </w:pPr>
            <w:r>
              <w:rPr>
                <w:rFonts w:hint="eastAsia"/>
              </w:rPr>
              <w:t>236.5</w:t>
            </w:r>
          </w:p>
        </w:tc>
        <w:tc>
          <w:tcPr>
            <w:tcW w:w="444" w:type="pct"/>
            <w:noWrap w:val="0"/>
            <w:vAlign w:val="center"/>
          </w:tcPr>
          <w:p>
            <w:pPr>
              <w:pStyle w:val="3013"/>
              <w:spacing w:line="240" w:lineRule="exact"/>
              <w:rPr>
                <w:rFonts w:hint="eastAsia"/>
              </w:rPr>
            </w:pPr>
            <w:r>
              <w:rPr>
                <w:rFonts w:hint="eastAsia"/>
              </w:rPr>
              <w:t>258</w:t>
            </w:r>
          </w:p>
        </w:tc>
        <w:tc>
          <w:tcPr>
            <w:tcW w:w="578" w:type="pct"/>
            <w:noWrap w:val="0"/>
            <w:vAlign w:val="center"/>
          </w:tcPr>
          <w:p>
            <w:pPr>
              <w:pStyle w:val="3013"/>
              <w:spacing w:line="240" w:lineRule="exact"/>
              <w:rPr>
                <w:rFonts w:hint="eastAsia"/>
              </w:rPr>
            </w:pPr>
            <w:r>
              <w:rPr>
                <w:rFonts w:hint="eastAsia"/>
              </w:rPr>
              <w:t>273.8</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90" w:hRule="atLeast"/>
          <w:jc w:val="center"/>
        </w:trPr>
        <w:tc>
          <w:tcPr>
            <w:tcW w:w="384" w:type="pct"/>
            <w:vMerge w:val="continue"/>
            <w:noWrap w:val="0"/>
            <w:vAlign w:val="center"/>
          </w:tcPr>
          <w:p>
            <w:pPr>
              <w:pStyle w:val="3013"/>
              <w:spacing w:line="240" w:lineRule="exact"/>
              <w:rPr>
                <w:rFonts w:hint="eastAsia"/>
              </w:rPr>
            </w:pPr>
          </w:p>
        </w:tc>
        <w:tc>
          <w:tcPr>
            <w:tcW w:w="325" w:type="pct"/>
            <w:vMerge w:val="continue"/>
            <w:noWrap w:val="0"/>
            <w:vAlign w:val="center"/>
          </w:tcPr>
          <w:p>
            <w:pPr>
              <w:pStyle w:val="3013"/>
              <w:spacing w:line="240" w:lineRule="exact"/>
              <w:rPr>
                <w:rFonts w:hint="eastAsia"/>
              </w:rPr>
            </w:pPr>
          </w:p>
        </w:tc>
        <w:tc>
          <w:tcPr>
            <w:tcW w:w="508" w:type="pct"/>
            <w:noWrap w:val="0"/>
            <w:vAlign w:val="center"/>
          </w:tcPr>
          <w:p>
            <w:pPr>
              <w:pStyle w:val="3013"/>
              <w:spacing w:line="240" w:lineRule="exact"/>
              <w:rPr>
                <w:rFonts w:hint="eastAsia"/>
              </w:rPr>
            </w:pPr>
            <w:r>
              <w:rPr>
                <w:rFonts w:hint="eastAsia"/>
              </w:rPr>
              <w:t>坝高</w:t>
            </w:r>
          </w:p>
        </w:tc>
        <w:tc>
          <w:tcPr>
            <w:tcW w:w="381" w:type="pct"/>
            <w:noWrap w:val="0"/>
            <w:vAlign w:val="center"/>
          </w:tcPr>
          <w:p>
            <w:pPr>
              <w:pStyle w:val="3013"/>
              <w:spacing w:line="240" w:lineRule="exact"/>
              <w:rPr>
                <w:rFonts w:hint="eastAsia"/>
              </w:rPr>
            </w:pPr>
            <w:r>
              <w:rPr>
                <w:rFonts w:hint="eastAsia"/>
              </w:rPr>
              <w:t>6.5</w:t>
            </w:r>
          </w:p>
        </w:tc>
        <w:tc>
          <w:tcPr>
            <w:tcW w:w="381" w:type="pct"/>
            <w:noWrap w:val="0"/>
            <w:vAlign w:val="center"/>
          </w:tcPr>
          <w:p>
            <w:pPr>
              <w:pStyle w:val="3013"/>
              <w:spacing w:line="240" w:lineRule="exact"/>
              <w:rPr>
                <w:rFonts w:hint="eastAsia"/>
              </w:rPr>
            </w:pPr>
            <w:r>
              <w:rPr>
                <w:rFonts w:hint="eastAsia"/>
              </w:rPr>
              <w:t>6.5</w:t>
            </w:r>
          </w:p>
        </w:tc>
        <w:tc>
          <w:tcPr>
            <w:tcW w:w="381" w:type="pct"/>
            <w:noWrap w:val="0"/>
            <w:vAlign w:val="center"/>
          </w:tcPr>
          <w:p>
            <w:pPr>
              <w:pStyle w:val="3013"/>
              <w:spacing w:line="240" w:lineRule="exact"/>
              <w:rPr>
                <w:rFonts w:hint="eastAsia"/>
              </w:rPr>
            </w:pPr>
            <w:r>
              <w:rPr>
                <w:rFonts w:hint="eastAsia"/>
              </w:rPr>
              <w:t>9.23</w:t>
            </w:r>
          </w:p>
        </w:tc>
        <w:tc>
          <w:tcPr>
            <w:tcW w:w="381" w:type="pct"/>
            <w:noWrap w:val="0"/>
            <w:vAlign w:val="center"/>
          </w:tcPr>
          <w:p>
            <w:pPr>
              <w:pStyle w:val="3013"/>
              <w:spacing w:line="240" w:lineRule="exact"/>
              <w:rPr>
                <w:rFonts w:hint="eastAsia"/>
              </w:rPr>
            </w:pPr>
            <w:r>
              <w:rPr>
                <w:rFonts w:hint="eastAsia"/>
              </w:rPr>
              <w:t>4.3</w:t>
            </w:r>
          </w:p>
        </w:tc>
        <w:tc>
          <w:tcPr>
            <w:tcW w:w="381" w:type="pct"/>
            <w:noWrap w:val="0"/>
            <w:vAlign w:val="center"/>
          </w:tcPr>
          <w:p>
            <w:pPr>
              <w:pStyle w:val="3013"/>
              <w:spacing w:line="240" w:lineRule="exact"/>
              <w:rPr>
                <w:rFonts w:hint="eastAsia"/>
              </w:rPr>
            </w:pPr>
            <w:r>
              <w:rPr>
                <w:rFonts w:hint="eastAsia"/>
              </w:rPr>
              <w:t>7</w:t>
            </w:r>
          </w:p>
        </w:tc>
        <w:tc>
          <w:tcPr>
            <w:tcW w:w="381" w:type="pct"/>
            <w:noWrap w:val="0"/>
            <w:vAlign w:val="center"/>
          </w:tcPr>
          <w:p>
            <w:pPr>
              <w:pStyle w:val="3013"/>
              <w:spacing w:line="240" w:lineRule="exact"/>
              <w:rPr>
                <w:rFonts w:hint="eastAsia"/>
              </w:rPr>
            </w:pPr>
            <w:r>
              <w:rPr>
                <w:rFonts w:hint="eastAsia"/>
              </w:rPr>
              <w:t>5.1</w:t>
            </w:r>
          </w:p>
        </w:tc>
        <w:tc>
          <w:tcPr>
            <w:tcW w:w="471" w:type="pct"/>
            <w:noWrap w:val="0"/>
            <w:vAlign w:val="center"/>
          </w:tcPr>
          <w:p>
            <w:pPr>
              <w:pStyle w:val="3013"/>
              <w:spacing w:line="240" w:lineRule="exact"/>
              <w:rPr>
                <w:rFonts w:hint="eastAsia"/>
              </w:rPr>
            </w:pPr>
            <w:r>
              <w:rPr>
                <w:rFonts w:hint="eastAsia"/>
              </w:rPr>
              <w:t>10</w:t>
            </w:r>
          </w:p>
        </w:tc>
        <w:tc>
          <w:tcPr>
            <w:tcW w:w="444" w:type="pct"/>
            <w:noWrap w:val="0"/>
            <w:vAlign w:val="center"/>
          </w:tcPr>
          <w:p>
            <w:pPr>
              <w:pStyle w:val="3013"/>
              <w:spacing w:line="240" w:lineRule="exact"/>
              <w:rPr>
                <w:rFonts w:hint="eastAsia"/>
              </w:rPr>
            </w:pPr>
            <w:r>
              <w:rPr>
                <w:rFonts w:hint="eastAsia"/>
              </w:rPr>
              <w:t>14.5</w:t>
            </w:r>
          </w:p>
        </w:tc>
        <w:tc>
          <w:tcPr>
            <w:tcW w:w="578" w:type="pct"/>
            <w:noWrap w:val="0"/>
            <w:vAlign w:val="center"/>
          </w:tcPr>
          <w:p>
            <w:pPr>
              <w:pStyle w:val="3013"/>
              <w:spacing w:line="240" w:lineRule="exact"/>
              <w:rPr>
                <w:rFonts w:hint="eastAsia"/>
              </w:rPr>
            </w:pPr>
            <w:r>
              <w:rPr>
                <w:rFonts w:hint="eastAsia"/>
              </w:rPr>
              <w:t>10.8</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90" w:hRule="atLeast"/>
          <w:jc w:val="center"/>
        </w:trPr>
        <w:tc>
          <w:tcPr>
            <w:tcW w:w="384" w:type="pct"/>
            <w:vMerge w:val="continue"/>
            <w:noWrap w:val="0"/>
            <w:vAlign w:val="center"/>
          </w:tcPr>
          <w:p>
            <w:pPr>
              <w:pStyle w:val="3013"/>
              <w:spacing w:line="240" w:lineRule="exact"/>
              <w:rPr>
                <w:rFonts w:hint="eastAsia"/>
              </w:rPr>
            </w:pPr>
          </w:p>
        </w:tc>
        <w:tc>
          <w:tcPr>
            <w:tcW w:w="834" w:type="pct"/>
            <w:gridSpan w:val="2"/>
            <w:noWrap w:val="0"/>
            <w:vAlign w:val="center"/>
          </w:tcPr>
          <w:p>
            <w:pPr>
              <w:pStyle w:val="3013"/>
              <w:spacing w:line="240" w:lineRule="exact"/>
              <w:rPr>
                <w:rFonts w:hint="eastAsia"/>
              </w:rPr>
            </w:pPr>
            <w:r>
              <w:rPr>
                <w:rFonts w:hint="eastAsia"/>
              </w:rPr>
              <w:t>枢纽类型</w:t>
            </w:r>
          </w:p>
        </w:tc>
        <w:tc>
          <w:tcPr>
            <w:tcW w:w="381" w:type="pct"/>
            <w:noWrap w:val="0"/>
            <w:vAlign w:val="center"/>
          </w:tcPr>
          <w:p>
            <w:pPr>
              <w:pStyle w:val="3013"/>
              <w:spacing w:line="240" w:lineRule="exact"/>
              <w:rPr>
                <w:rFonts w:hint="eastAsia"/>
              </w:rPr>
            </w:pPr>
            <w:r>
              <w:rPr>
                <w:rFonts w:hint="eastAsia"/>
              </w:rPr>
              <w:t>条石</w:t>
            </w:r>
          </w:p>
          <w:p>
            <w:pPr>
              <w:pStyle w:val="3013"/>
              <w:spacing w:line="240" w:lineRule="exact"/>
              <w:rPr>
                <w:rFonts w:hint="eastAsia"/>
              </w:rPr>
            </w:pPr>
            <w:r>
              <w:rPr>
                <w:rFonts w:hint="eastAsia"/>
              </w:rPr>
              <w:t>重力坝</w:t>
            </w:r>
          </w:p>
        </w:tc>
        <w:tc>
          <w:tcPr>
            <w:tcW w:w="381" w:type="pct"/>
            <w:noWrap w:val="0"/>
            <w:vAlign w:val="center"/>
          </w:tcPr>
          <w:p>
            <w:pPr>
              <w:pStyle w:val="3013"/>
              <w:spacing w:line="240" w:lineRule="exact"/>
              <w:rPr>
                <w:rFonts w:hint="eastAsia"/>
              </w:rPr>
            </w:pPr>
            <w:r>
              <w:rPr>
                <w:rFonts w:hint="eastAsia"/>
              </w:rPr>
              <w:t>条石</w:t>
            </w:r>
          </w:p>
          <w:p>
            <w:pPr>
              <w:pStyle w:val="3013"/>
              <w:spacing w:line="240" w:lineRule="exact"/>
              <w:rPr>
                <w:rFonts w:hint="eastAsia"/>
              </w:rPr>
            </w:pPr>
            <w:r>
              <w:rPr>
                <w:rFonts w:hint="eastAsia"/>
              </w:rPr>
              <w:t>重力坝</w:t>
            </w:r>
          </w:p>
        </w:tc>
        <w:tc>
          <w:tcPr>
            <w:tcW w:w="381" w:type="pct"/>
            <w:noWrap w:val="0"/>
            <w:vAlign w:val="center"/>
          </w:tcPr>
          <w:p>
            <w:pPr>
              <w:pStyle w:val="3013"/>
              <w:spacing w:line="240" w:lineRule="exact"/>
              <w:rPr>
                <w:rFonts w:hint="eastAsia"/>
              </w:rPr>
            </w:pPr>
            <w:r>
              <w:rPr>
                <w:rFonts w:hint="eastAsia"/>
              </w:rPr>
              <w:t>条石</w:t>
            </w:r>
          </w:p>
          <w:p>
            <w:pPr>
              <w:pStyle w:val="3013"/>
              <w:spacing w:line="240" w:lineRule="exact"/>
              <w:rPr>
                <w:rFonts w:hint="eastAsia"/>
              </w:rPr>
            </w:pPr>
            <w:r>
              <w:rPr>
                <w:rFonts w:hint="eastAsia"/>
              </w:rPr>
              <w:t>重力坝</w:t>
            </w:r>
          </w:p>
        </w:tc>
        <w:tc>
          <w:tcPr>
            <w:tcW w:w="381" w:type="pct"/>
            <w:noWrap w:val="0"/>
            <w:vAlign w:val="center"/>
          </w:tcPr>
          <w:p>
            <w:pPr>
              <w:pStyle w:val="3013"/>
              <w:spacing w:line="240" w:lineRule="exact"/>
              <w:rPr>
                <w:rFonts w:hint="eastAsia"/>
              </w:rPr>
            </w:pPr>
            <w:r>
              <w:rPr>
                <w:rFonts w:hint="eastAsia"/>
              </w:rPr>
              <w:t>条石</w:t>
            </w:r>
          </w:p>
          <w:p>
            <w:pPr>
              <w:pStyle w:val="3013"/>
              <w:spacing w:line="240" w:lineRule="exact"/>
              <w:rPr>
                <w:rFonts w:hint="eastAsia"/>
              </w:rPr>
            </w:pPr>
            <w:r>
              <w:rPr>
                <w:rFonts w:hint="eastAsia"/>
              </w:rPr>
              <w:t>重力坝</w:t>
            </w:r>
          </w:p>
        </w:tc>
        <w:tc>
          <w:tcPr>
            <w:tcW w:w="381" w:type="pct"/>
            <w:noWrap w:val="0"/>
            <w:vAlign w:val="center"/>
          </w:tcPr>
          <w:p>
            <w:pPr>
              <w:pStyle w:val="3013"/>
              <w:spacing w:line="240" w:lineRule="exact"/>
              <w:rPr>
                <w:rFonts w:hint="eastAsia"/>
              </w:rPr>
            </w:pPr>
            <w:r>
              <w:rPr>
                <w:rFonts w:hint="eastAsia"/>
              </w:rPr>
              <w:t>条石</w:t>
            </w:r>
          </w:p>
          <w:p>
            <w:pPr>
              <w:pStyle w:val="3013"/>
              <w:spacing w:line="240" w:lineRule="exact"/>
              <w:rPr>
                <w:rFonts w:hint="eastAsia"/>
              </w:rPr>
            </w:pPr>
            <w:r>
              <w:rPr>
                <w:rFonts w:hint="eastAsia"/>
              </w:rPr>
              <w:t>重力坝</w:t>
            </w:r>
          </w:p>
        </w:tc>
        <w:tc>
          <w:tcPr>
            <w:tcW w:w="381" w:type="pct"/>
            <w:noWrap w:val="0"/>
            <w:vAlign w:val="center"/>
          </w:tcPr>
          <w:p>
            <w:pPr>
              <w:pStyle w:val="3013"/>
              <w:spacing w:line="240" w:lineRule="exact"/>
              <w:rPr>
                <w:rFonts w:hint="eastAsia"/>
              </w:rPr>
            </w:pPr>
            <w:r>
              <w:rPr>
                <w:rFonts w:hint="eastAsia"/>
              </w:rPr>
              <w:t>条石</w:t>
            </w:r>
          </w:p>
          <w:p>
            <w:pPr>
              <w:pStyle w:val="3013"/>
              <w:spacing w:line="240" w:lineRule="exact"/>
              <w:rPr>
                <w:rFonts w:hint="eastAsia"/>
              </w:rPr>
            </w:pPr>
            <w:r>
              <w:rPr>
                <w:rFonts w:hint="eastAsia"/>
              </w:rPr>
              <w:t>重力坝</w:t>
            </w:r>
          </w:p>
        </w:tc>
        <w:tc>
          <w:tcPr>
            <w:tcW w:w="471" w:type="pct"/>
            <w:noWrap w:val="0"/>
            <w:vAlign w:val="center"/>
          </w:tcPr>
          <w:p>
            <w:pPr>
              <w:pStyle w:val="3013"/>
              <w:spacing w:line="240" w:lineRule="exact"/>
              <w:rPr>
                <w:rFonts w:hint="eastAsia"/>
              </w:rPr>
            </w:pPr>
            <w:r>
              <w:rPr>
                <w:rFonts w:hint="eastAsia"/>
              </w:rPr>
              <w:t>翻板闸+重力坝</w:t>
            </w:r>
          </w:p>
        </w:tc>
        <w:tc>
          <w:tcPr>
            <w:tcW w:w="444" w:type="pct"/>
            <w:noWrap w:val="0"/>
            <w:vAlign w:val="center"/>
          </w:tcPr>
          <w:p>
            <w:pPr>
              <w:pStyle w:val="3013"/>
              <w:spacing w:line="240" w:lineRule="exact"/>
              <w:rPr>
                <w:rFonts w:hint="eastAsia"/>
              </w:rPr>
            </w:pPr>
            <w:r>
              <w:rPr>
                <w:rFonts w:hint="eastAsia"/>
              </w:rPr>
              <w:t>闸门+</w:t>
            </w:r>
          </w:p>
          <w:p>
            <w:pPr>
              <w:pStyle w:val="3013"/>
              <w:spacing w:line="240" w:lineRule="exact"/>
              <w:rPr>
                <w:rFonts w:hint="eastAsia"/>
              </w:rPr>
            </w:pPr>
            <w:r>
              <w:rPr>
                <w:rFonts w:hint="eastAsia"/>
              </w:rPr>
              <w:t>重力坝</w:t>
            </w:r>
          </w:p>
        </w:tc>
        <w:tc>
          <w:tcPr>
            <w:tcW w:w="578" w:type="pct"/>
            <w:noWrap w:val="0"/>
            <w:vAlign w:val="center"/>
          </w:tcPr>
          <w:p>
            <w:pPr>
              <w:pStyle w:val="3013"/>
              <w:spacing w:line="240" w:lineRule="exact"/>
              <w:rPr>
                <w:rFonts w:hint="eastAsia"/>
              </w:rPr>
            </w:pPr>
            <w:r>
              <w:rPr>
                <w:rFonts w:hint="eastAsia"/>
              </w:rPr>
              <w:t>翻板闸+</w:t>
            </w:r>
          </w:p>
          <w:p>
            <w:pPr>
              <w:pStyle w:val="3013"/>
              <w:spacing w:line="240" w:lineRule="exact"/>
              <w:rPr>
                <w:rFonts w:hint="eastAsia"/>
              </w:rPr>
            </w:pPr>
            <w:r>
              <w:rPr>
                <w:rFonts w:hint="eastAsia"/>
              </w:rPr>
              <w:t>重力坝</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90" w:hRule="atLeast"/>
          <w:jc w:val="center"/>
        </w:trPr>
        <w:tc>
          <w:tcPr>
            <w:tcW w:w="384" w:type="pct"/>
            <w:vMerge w:val="restart"/>
            <w:noWrap w:val="0"/>
            <w:vAlign w:val="center"/>
          </w:tcPr>
          <w:p>
            <w:pPr>
              <w:pStyle w:val="3013"/>
              <w:spacing w:line="240" w:lineRule="exact"/>
              <w:rPr>
                <w:rFonts w:hint="eastAsia"/>
              </w:rPr>
            </w:pPr>
            <w:r>
              <w:rPr>
                <w:rFonts w:hint="eastAsia"/>
              </w:rPr>
              <w:t>电站</w:t>
            </w:r>
          </w:p>
        </w:tc>
        <w:tc>
          <w:tcPr>
            <w:tcW w:w="834" w:type="pct"/>
            <w:gridSpan w:val="2"/>
            <w:noWrap w:val="0"/>
            <w:vAlign w:val="center"/>
          </w:tcPr>
          <w:p>
            <w:pPr>
              <w:pStyle w:val="3013"/>
              <w:spacing w:line="240" w:lineRule="exact"/>
              <w:rPr>
                <w:rFonts w:hint="eastAsia"/>
              </w:rPr>
            </w:pPr>
            <w:r>
              <w:rPr>
                <w:rFonts w:hint="eastAsia"/>
              </w:rPr>
              <w:t>装机（kW/台）</w:t>
            </w:r>
          </w:p>
        </w:tc>
        <w:tc>
          <w:tcPr>
            <w:tcW w:w="381" w:type="pct"/>
            <w:noWrap w:val="0"/>
            <w:vAlign w:val="center"/>
          </w:tcPr>
          <w:p>
            <w:pPr>
              <w:pStyle w:val="3013"/>
              <w:spacing w:line="240" w:lineRule="exact"/>
              <w:rPr>
                <w:rFonts w:hint="eastAsia"/>
              </w:rPr>
            </w:pPr>
            <w:r>
              <w:rPr>
                <w:rFonts w:hint="eastAsia" w:hAnsi="Calibri"/>
              </w:rPr>
              <w:t>3200/2</w:t>
            </w:r>
          </w:p>
        </w:tc>
        <w:tc>
          <w:tcPr>
            <w:tcW w:w="381" w:type="pct"/>
            <w:noWrap w:val="0"/>
            <w:vAlign w:val="center"/>
          </w:tcPr>
          <w:p>
            <w:pPr>
              <w:pStyle w:val="3013"/>
              <w:spacing w:line="240" w:lineRule="exact"/>
              <w:rPr>
                <w:rFonts w:hint="eastAsia"/>
              </w:rPr>
            </w:pPr>
            <w:r>
              <w:rPr>
                <w:rFonts w:hint="eastAsia" w:hAnsi="Calibri"/>
              </w:rPr>
              <w:t>6000/2</w:t>
            </w:r>
          </w:p>
        </w:tc>
        <w:tc>
          <w:tcPr>
            <w:tcW w:w="381" w:type="pct"/>
            <w:noWrap w:val="0"/>
            <w:vAlign w:val="center"/>
          </w:tcPr>
          <w:p>
            <w:pPr>
              <w:pStyle w:val="3013"/>
              <w:spacing w:line="240" w:lineRule="exact"/>
              <w:rPr>
                <w:rFonts w:hint="eastAsia"/>
              </w:rPr>
            </w:pPr>
            <w:r>
              <w:rPr>
                <w:rFonts w:hint="eastAsia"/>
              </w:rPr>
              <w:t>无</w:t>
            </w:r>
          </w:p>
        </w:tc>
        <w:tc>
          <w:tcPr>
            <w:tcW w:w="381" w:type="pct"/>
            <w:noWrap w:val="0"/>
            <w:vAlign w:val="center"/>
          </w:tcPr>
          <w:p>
            <w:pPr>
              <w:pStyle w:val="3013"/>
              <w:spacing w:line="240" w:lineRule="exact"/>
              <w:rPr>
                <w:rFonts w:hint="eastAsia"/>
              </w:rPr>
            </w:pPr>
            <w:r>
              <w:rPr>
                <w:rFonts w:hint="eastAsia"/>
              </w:rPr>
              <w:t>1600/2</w:t>
            </w:r>
          </w:p>
        </w:tc>
        <w:tc>
          <w:tcPr>
            <w:tcW w:w="381" w:type="pct"/>
            <w:noWrap w:val="0"/>
            <w:vAlign w:val="center"/>
          </w:tcPr>
          <w:p>
            <w:pPr>
              <w:pStyle w:val="3013"/>
              <w:spacing w:line="240" w:lineRule="exact"/>
              <w:rPr>
                <w:rFonts w:hint="eastAsia"/>
              </w:rPr>
            </w:pPr>
            <w:r>
              <w:rPr>
                <w:rFonts w:hint="eastAsia"/>
              </w:rPr>
              <w:t>160/2</w:t>
            </w:r>
          </w:p>
        </w:tc>
        <w:tc>
          <w:tcPr>
            <w:tcW w:w="381" w:type="pct"/>
            <w:noWrap w:val="0"/>
            <w:vAlign w:val="center"/>
          </w:tcPr>
          <w:p>
            <w:pPr>
              <w:pStyle w:val="3013"/>
              <w:spacing w:line="240" w:lineRule="exact"/>
              <w:rPr>
                <w:rFonts w:hint="eastAsia"/>
              </w:rPr>
            </w:pPr>
            <w:r>
              <w:rPr>
                <w:rFonts w:hint="eastAsia"/>
              </w:rPr>
              <w:t>1250/2</w:t>
            </w:r>
          </w:p>
        </w:tc>
        <w:tc>
          <w:tcPr>
            <w:tcW w:w="471" w:type="pct"/>
            <w:noWrap w:val="0"/>
            <w:vAlign w:val="center"/>
          </w:tcPr>
          <w:p>
            <w:pPr>
              <w:pStyle w:val="3013"/>
              <w:spacing w:line="240" w:lineRule="exact"/>
              <w:rPr>
                <w:rFonts w:hint="eastAsia"/>
              </w:rPr>
            </w:pPr>
            <w:r>
              <w:rPr>
                <w:rFonts w:hint="eastAsia" w:hAnsi="Calibri"/>
              </w:rPr>
              <w:t>8000/2</w:t>
            </w:r>
          </w:p>
        </w:tc>
        <w:tc>
          <w:tcPr>
            <w:tcW w:w="444" w:type="pct"/>
            <w:noWrap w:val="0"/>
            <w:vAlign w:val="center"/>
          </w:tcPr>
          <w:p>
            <w:pPr>
              <w:pStyle w:val="3013"/>
              <w:spacing w:line="240" w:lineRule="exact"/>
              <w:rPr>
                <w:rFonts w:hint="eastAsia"/>
              </w:rPr>
            </w:pPr>
            <w:r>
              <w:rPr>
                <w:rFonts w:hint="eastAsia"/>
              </w:rPr>
              <w:t>18000/3</w:t>
            </w:r>
          </w:p>
        </w:tc>
        <w:tc>
          <w:tcPr>
            <w:tcW w:w="578" w:type="pct"/>
            <w:noWrap w:val="0"/>
            <w:vAlign w:val="center"/>
          </w:tcPr>
          <w:p>
            <w:pPr>
              <w:pStyle w:val="3013"/>
              <w:spacing w:line="240" w:lineRule="exact"/>
              <w:rPr>
                <w:rFonts w:hint="eastAsia"/>
              </w:rPr>
            </w:pPr>
            <w:r>
              <w:rPr>
                <w:rFonts w:hint="eastAsia" w:hAnsi="Calibri"/>
              </w:rPr>
              <w:t>4000/2</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90" w:hRule="atLeast"/>
          <w:jc w:val="center"/>
        </w:trPr>
        <w:tc>
          <w:tcPr>
            <w:tcW w:w="384" w:type="pct"/>
            <w:vMerge w:val="continue"/>
            <w:noWrap w:val="0"/>
            <w:vAlign w:val="center"/>
          </w:tcPr>
          <w:p>
            <w:pPr>
              <w:pStyle w:val="3013"/>
              <w:spacing w:line="240" w:lineRule="exact"/>
              <w:rPr>
                <w:rFonts w:hint="eastAsia"/>
              </w:rPr>
            </w:pPr>
          </w:p>
        </w:tc>
        <w:tc>
          <w:tcPr>
            <w:tcW w:w="834" w:type="pct"/>
            <w:gridSpan w:val="2"/>
            <w:noWrap w:val="0"/>
            <w:vAlign w:val="center"/>
          </w:tcPr>
          <w:p>
            <w:pPr>
              <w:pStyle w:val="3013"/>
              <w:spacing w:line="240" w:lineRule="exact"/>
              <w:rPr>
                <w:rFonts w:hint="eastAsia"/>
              </w:rPr>
            </w:pPr>
            <w:r>
              <w:rPr>
                <w:rFonts w:hint="eastAsia"/>
              </w:rPr>
              <w:t>建设情况</w:t>
            </w:r>
          </w:p>
        </w:tc>
        <w:tc>
          <w:tcPr>
            <w:tcW w:w="381" w:type="pct"/>
            <w:noWrap w:val="0"/>
            <w:vAlign w:val="center"/>
          </w:tcPr>
          <w:p>
            <w:pPr>
              <w:pStyle w:val="3013"/>
              <w:spacing w:line="240" w:lineRule="exact"/>
              <w:rPr>
                <w:rFonts w:hint="eastAsia"/>
              </w:rPr>
            </w:pPr>
            <w:r>
              <w:rPr>
                <w:rFonts w:hint="eastAsia"/>
              </w:rPr>
              <w:t>已建</w:t>
            </w:r>
          </w:p>
        </w:tc>
        <w:tc>
          <w:tcPr>
            <w:tcW w:w="381" w:type="pct"/>
            <w:noWrap w:val="0"/>
            <w:vAlign w:val="center"/>
          </w:tcPr>
          <w:p>
            <w:pPr>
              <w:pStyle w:val="3013"/>
              <w:spacing w:line="240" w:lineRule="exact"/>
              <w:rPr>
                <w:rFonts w:hint="eastAsia"/>
              </w:rPr>
            </w:pPr>
            <w:r>
              <w:rPr>
                <w:rFonts w:hint="eastAsia"/>
              </w:rPr>
              <w:t>已建</w:t>
            </w:r>
          </w:p>
        </w:tc>
        <w:tc>
          <w:tcPr>
            <w:tcW w:w="381" w:type="pct"/>
            <w:noWrap w:val="0"/>
            <w:vAlign w:val="center"/>
          </w:tcPr>
          <w:p>
            <w:pPr>
              <w:pStyle w:val="3013"/>
              <w:spacing w:line="240" w:lineRule="exact"/>
              <w:rPr>
                <w:rFonts w:hint="eastAsia"/>
              </w:rPr>
            </w:pPr>
            <w:r>
              <w:rPr>
                <w:rFonts w:hint="eastAsia"/>
              </w:rPr>
              <w:t>在修建</w:t>
            </w:r>
          </w:p>
        </w:tc>
        <w:tc>
          <w:tcPr>
            <w:tcW w:w="381" w:type="pct"/>
            <w:noWrap w:val="0"/>
            <w:vAlign w:val="center"/>
          </w:tcPr>
          <w:p>
            <w:pPr>
              <w:pStyle w:val="3013"/>
              <w:spacing w:line="240" w:lineRule="exact"/>
              <w:rPr>
                <w:rFonts w:hint="eastAsia"/>
              </w:rPr>
            </w:pPr>
            <w:r>
              <w:rPr>
                <w:rFonts w:hint="eastAsia"/>
              </w:rPr>
              <w:t>已建</w:t>
            </w:r>
          </w:p>
        </w:tc>
        <w:tc>
          <w:tcPr>
            <w:tcW w:w="381" w:type="pct"/>
            <w:noWrap w:val="0"/>
            <w:vAlign w:val="center"/>
          </w:tcPr>
          <w:p>
            <w:pPr>
              <w:pStyle w:val="3013"/>
              <w:spacing w:line="240" w:lineRule="exact"/>
              <w:rPr>
                <w:rFonts w:hint="eastAsia"/>
              </w:rPr>
            </w:pPr>
            <w:r>
              <w:rPr>
                <w:rFonts w:hint="eastAsia"/>
              </w:rPr>
              <w:t>已建</w:t>
            </w:r>
          </w:p>
        </w:tc>
        <w:tc>
          <w:tcPr>
            <w:tcW w:w="381" w:type="pct"/>
            <w:noWrap w:val="0"/>
            <w:vAlign w:val="center"/>
          </w:tcPr>
          <w:p>
            <w:pPr>
              <w:pStyle w:val="3013"/>
              <w:spacing w:line="240" w:lineRule="exact"/>
              <w:rPr>
                <w:rFonts w:hint="eastAsia"/>
              </w:rPr>
            </w:pPr>
            <w:r>
              <w:rPr>
                <w:rFonts w:hint="eastAsia"/>
              </w:rPr>
              <w:t>已建</w:t>
            </w:r>
          </w:p>
        </w:tc>
        <w:tc>
          <w:tcPr>
            <w:tcW w:w="471" w:type="pct"/>
            <w:noWrap w:val="0"/>
            <w:vAlign w:val="center"/>
          </w:tcPr>
          <w:p>
            <w:pPr>
              <w:pStyle w:val="3013"/>
              <w:spacing w:line="240" w:lineRule="exact"/>
              <w:rPr>
                <w:rFonts w:hint="eastAsia"/>
              </w:rPr>
            </w:pPr>
            <w:r>
              <w:rPr>
                <w:rFonts w:hint="eastAsia"/>
              </w:rPr>
              <w:t>已建</w:t>
            </w:r>
          </w:p>
        </w:tc>
        <w:tc>
          <w:tcPr>
            <w:tcW w:w="444" w:type="pct"/>
            <w:noWrap w:val="0"/>
            <w:vAlign w:val="center"/>
          </w:tcPr>
          <w:p>
            <w:pPr>
              <w:pStyle w:val="3013"/>
              <w:spacing w:line="240" w:lineRule="exact"/>
              <w:rPr>
                <w:rFonts w:hint="eastAsia"/>
              </w:rPr>
            </w:pPr>
            <w:r>
              <w:rPr>
                <w:rFonts w:hint="eastAsia"/>
              </w:rPr>
              <w:t>重建</w:t>
            </w:r>
          </w:p>
        </w:tc>
        <w:tc>
          <w:tcPr>
            <w:tcW w:w="578" w:type="pct"/>
            <w:noWrap w:val="0"/>
            <w:vAlign w:val="center"/>
          </w:tcPr>
          <w:p>
            <w:pPr>
              <w:pStyle w:val="3013"/>
              <w:spacing w:line="240" w:lineRule="exact"/>
              <w:rPr>
                <w:rFonts w:hint="eastAsia"/>
              </w:rPr>
            </w:pPr>
            <w:r>
              <w:rPr>
                <w:rFonts w:hint="eastAsia"/>
              </w:rPr>
              <w:t>已改建</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90" w:hRule="atLeast"/>
          <w:jc w:val="center"/>
        </w:trPr>
        <w:tc>
          <w:tcPr>
            <w:tcW w:w="384" w:type="pct"/>
            <w:vMerge w:val="continue"/>
            <w:noWrap w:val="0"/>
            <w:vAlign w:val="center"/>
          </w:tcPr>
          <w:p>
            <w:pPr>
              <w:pStyle w:val="3013"/>
              <w:spacing w:line="240" w:lineRule="exact"/>
              <w:rPr>
                <w:rFonts w:hint="eastAsia"/>
              </w:rPr>
            </w:pPr>
          </w:p>
        </w:tc>
        <w:tc>
          <w:tcPr>
            <w:tcW w:w="834" w:type="pct"/>
            <w:gridSpan w:val="2"/>
            <w:noWrap w:val="0"/>
            <w:vAlign w:val="center"/>
          </w:tcPr>
          <w:p>
            <w:pPr>
              <w:pStyle w:val="3013"/>
              <w:spacing w:line="240" w:lineRule="exact"/>
              <w:rPr>
                <w:rFonts w:hint="eastAsia"/>
              </w:rPr>
            </w:pPr>
            <w:r>
              <w:rPr>
                <w:rFonts w:hint="eastAsia"/>
              </w:rPr>
              <w:t>运行情况</w:t>
            </w:r>
          </w:p>
        </w:tc>
        <w:tc>
          <w:tcPr>
            <w:tcW w:w="381" w:type="pct"/>
            <w:noWrap w:val="0"/>
            <w:vAlign w:val="center"/>
          </w:tcPr>
          <w:p>
            <w:pPr>
              <w:pStyle w:val="3013"/>
              <w:spacing w:line="240" w:lineRule="exact"/>
              <w:rPr>
                <w:rFonts w:hint="eastAsia"/>
              </w:rPr>
            </w:pPr>
            <w:r>
              <w:rPr>
                <w:rFonts w:hint="eastAsia"/>
              </w:rPr>
              <w:t>未运行</w:t>
            </w:r>
          </w:p>
        </w:tc>
        <w:tc>
          <w:tcPr>
            <w:tcW w:w="381" w:type="pct"/>
            <w:noWrap w:val="0"/>
            <w:vAlign w:val="center"/>
          </w:tcPr>
          <w:p>
            <w:pPr>
              <w:pStyle w:val="3013"/>
              <w:spacing w:line="240" w:lineRule="exact"/>
              <w:rPr>
                <w:rFonts w:hint="eastAsia"/>
              </w:rPr>
            </w:pPr>
            <w:r>
              <w:rPr>
                <w:rFonts w:hint="eastAsia"/>
              </w:rPr>
              <w:t>运行</w:t>
            </w:r>
          </w:p>
        </w:tc>
        <w:tc>
          <w:tcPr>
            <w:tcW w:w="381" w:type="pct"/>
            <w:noWrap w:val="0"/>
            <w:vAlign w:val="center"/>
          </w:tcPr>
          <w:p>
            <w:pPr>
              <w:pStyle w:val="3013"/>
              <w:spacing w:line="240" w:lineRule="exact"/>
              <w:rPr>
                <w:rFonts w:hint="eastAsia"/>
              </w:rPr>
            </w:pPr>
          </w:p>
        </w:tc>
        <w:tc>
          <w:tcPr>
            <w:tcW w:w="381" w:type="pct"/>
            <w:noWrap w:val="0"/>
            <w:vAlign w:val="center"/>
          </w:tcPr>
          <w:p>
            <w:pPr>
              <w:pStyle w:val="3013"/>
              <w:spacing w:line="240" w:lineRule="exact"/>
              <w:rPr>
                <w:rFonts w:hint="eastAsia"/>
              </w:rPr>
            </w:pPr>
            <w:r>
              <w:rPr>
                <w:rFonts w:hint="eastAsia"/>
              </w:rPr>
              <w:t>运行</w:t>
            </w:r>
          </w:p>
        </w:tc>
        <w:tc>
          <w:tcPr>
            <w:tcW w:w="381" w:type="pct"/>
            <w:noWrap w:val="0"/>
            <w:vAlign w:val="center"/>
          </w:tcPr>
          <w:p>
            <w:pPr>
              <w:pStyle w:val="3013"/>
              <w:spacing w:line="240" w:lineRule="exact"/>
              <w:rPr>
                <w:rFonts w:hint="eastAsia"/>
              </w:rPr>
            </w:pPr>
            <w:r>
              <w:rPr>
                <w:rFonts w:hint="eastAsia"/>
              </w:rPr>
              <w:t>未运行</w:t>
            </w:r>
          </w:p>
        </w:tc>
        <w:tc>
          <w:tcPr>
            <w:tcW w:w="381" w:type="pct"/>
            <w:noWrap w:val="0"/>
            <w:vAlign w:val="center"/>
          </w:tcPr>
          <w:p>
            <w:pPr>
              <w:pStyle w:val="3013"/>
              <w:spacing w:line="240" w:lineRule="exact"/>
              <w:rPr>
                <w:rFonts w:hint="eastAsia"/>
              </w:rPr>
            </w:pPr>
            <w:r>
              <w:rPr>
                <w:rFonts w:hint="eastAsia"/>
              </w:rPr>
              <w:t>运行</w:t>
            </w:r>
          </w:p>
        </w:tc>
        <w:tc>
          <w:tcPr>
            <w:tcW w:w="471" w:type="pct"/>
            <w:noWrap w:val="0"/>
            <w:vAlign w:val="center"/>
          </w:tcPr>
          <w:p>
            <w:pPr>
              <w:pStyle w:val="3013"/>
              <w:spacing w:line="240" w:lineRule="exact"/>
              <w:rPr>
                <w:rFonts w:hint="eastAsia"/>
              </w:rPr>
            </w:pPr>
            <w:r>
              <w:rPr>
                <w:rFonts w:hint="eastAsia"/>
              </w:rPr>
              <w:t>运行</w:t>
            </w:r>
          </w:p>
        </w:tc>
        <w:tc>
          <w:tcPr>
            <w:tcW w:w="444" w:type="pct"/>
            <w:noWrap w:val="0"/>
            <w:vAlign w:val="center"/>
          </w:tcPr>
          <w:p>
            <w:pPr>
              <w:pStyle w:val="3013"/>
              <w:spacing w:line="240" w:lineRule="exact"/>
              <w:rPr>
                <w:rFonts w:hint="eastAsia"/>
              </w:rPr>
            </w:pPr>
            <w:r>
              <w:rPr>
                <w:rFonts w:hint="eastAsia"/>
              </w:rPr>
              <w:t>未运行</w:t>
            </w:r>
          </w:p>
        </w:tc>
        <w:tc>
          <w:tcPr>
            <w:tcW w:w="578" w:type="pct"/>
            <w:noWrap w:val="0"/>
            <w:vAlign w:val="center"/>
          </w:tcPr>
          <w:p>
            <w:pPr>
              <w:pStyle w:val="3013"/>
              <w:spacing w:line="240" w:lineRule="exact"/>
              <w:rPr>
                <w:rFonts w:hint="eastAsia"/>
              </w:rPr>
            </w:pPr>
            <w:r>
              <w:rPr>
                <w:rFonts w:hint="eastAsia"/>
              </w:rPr>
              <w:t>运行</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90" w:hRule="atLeast"/>
          <w:jc w:val="center"/>
        </w:trPr>
        <w:tc>
          <w:tcPr>
            <w:tcW w:w="384" w:type="pct"/>
            <w:vMerge w:val="restart"/>
            <w:noWrap w:val="0"/>
            <w:vAlign w:val="center"/>
          </w:tcPr>
          <w:p>
            <w:pPr>
              <w:pStyle w:val="3013"/>
              <w:spacing w:line="240" w:lineRule="exact"/>
              <w:rPr>
                <w:rFonts w:hint="eastAsia"/>
              </w:rPr>
            </w:pPr>
            <w:r>
              <w:rPr>
                <w:rFonts w:hint="eastAsia"/>
              </w:rPr>
              <w:t>船闸</w:t>
            </w:r>
          </w:p>
        </w:tc>
        <w:tc>
          <w:tcPr>
            <w:tcW w:w="834" w:type="pct"/>
            <w:gridSpan w:val="2"/>
            <w:noWrap w:val="0"/>
            <w:vAlign w:val="center"/>
          </w:tcPr>
          <w:p>
            <w:pPr>
              <w:pStyle w:val="3013"/>
              <w:spacing w:line="240" w:lineRule="exact"/>
              <w:rPr>
                <w:rFonts w:hint="eastAsia"/>
              </w:rPr>
            </w:pPr>
            <w:r>
              <w:rPr>
                <w:rFonts w:hint="eastAsia"/>
              </w:rPr>
              <w:t>建设情况</w:t>
            </w:r>
          </w:p>
        </w:tc>
        <w:tc>
          <w:tcPr>
            <w:tcW w:w="381" w:type="pct"/>
            <w:noWrap w:val="0"/>
            <w:vAlign w:val="center"/>
          </w:tcPr>
          <w:p>
            <w:pPr>
              <w:pStyle w:val="3013"/>
              <w:spacing w:line="240" w:lineRule="exact"/>
              <w:rPr>
                <w:rFonts w:hint="eastAsia"/>
              </w:rPr>
            </w:pPr>
            <w:r>
              <w:rPr>
                <w:rFonts w:hint="eastAsia"/>
              </w:rPr>
              <w:t>已建</w:t>
            </w:r>
          </w:p>
        </w:tc>
        <w:tc>
          <w:tcPr>
            <w:tcW w:w="381" w:type="pct"/>
            <w:noWrap w:val="0"/>
            <w:vAlign w:val="center"/>
          </w:tcPr>
          <w:p>
            <w:pPr>
              <w:pStyle w:val="3013"/>
              <w:spacing w:line="240" w:lineRule="exact"/>
              <w:rPr>
                <w:rFonts w:hint="eastAsia"/>
              </w:rPr>
            </w:pPr>
            <w:r>
              <w:rPr>
                <w:rFonts w:hint="eastAsia"/>
              </w:rPr>
              <w:t>已建</w:t>
            </w:r>
          </w:p>
        </w:tc>
        <w:tc>
          <w:tcPr>
            <w:tcW w:w="381" w:type="pct"/>
            <w:noWrap w:val="0"/>
            <w:vAlign w:val="center"/>
          </w:tcPr>
          <w:p>
            <w:pPr>
              <w:pStyle w:val="3013"/>
              <w:spacing w:line="240" w:lineRule="exact"/>
              <w:rPr>
                <w:rFonts w:hint="eastAsia"/>
              </w:rPr>
            </w:pPr>
            <w:r>
              <w:rPr>
                <w:rFonts w:hint="eastAsia"/>
              </w:rPr>
              <w:t>已建</w:t>
            </w:r>
          </w:p>
        </w:tc>
        <w:tc>
          <w:tcPr>
            <w:tcW w:w="381" w:type="pct"/>
            <w:noWrap w:val="0"/>
            <w:vAlign w:val="center"/>
          </w:tcPr>
          <w:p>
            <w:pPr>
              <w:pStyle w:val="3013"/>
              <w:spacing w:line="240" w:lineRule="exact"/>
              <w:rPr>
                <w:rFonts w:hint="eastAsia"/>
              </w:rPr>
            </w:pPr>
            <w:r>
              <w:rPr>
                <w:rFonts w:hint="eastAsia"/>
              </w:rPr>
              <w:t>已建</w:t>
            </w:r>
          </w:p>
        </w:tc>
        <w:tc>
          <w:tcPr>
            <w:tcW w:w="381" w:type="pct"/>
            <w:noWrap w:val="0"/>
            <w:vAlign w:val="center"/>
          </w:tcPr>
          <w:p>
            <w:pPr>
              <w:pStyle w:val="3013"/>
              <w:spacing w:line="240" w:lineRule="exact"/>
              <w:rPr>
                <w:rFonts w:hint="eastAsia"/>
              </w:rPr>
            </w:pPr>
            <w:r>
              <w:rPr>
                <w:rFonts w:hint="eastAsia"/>
              </w:rPr>
              <w:t>已建</w:t>
            </w:r>
          </w:p>
        </w:tc>
        <w:tc>
          <w:tcPr>
            <w:tcW w:w="381" w:type="pct"/>
            <w:noWrap w:val="0"/>
            <w:vAlign w:val="center"/>
          </w:tcPr>
          <w:p>
            <w:pPr>
              <w:pStyle w:val="3013"/>
              <w:spacing w:line="240" w:lineRule="exact"/>
              <w:rPr>
                <w:rFonts w:hint="eastAsia"/>
              </w:rPr>
            </w:pPr>
            <w:r>
              <w:rPr>
                <w:rFonts w:hint="eastAsia"/>
              </w:rPr>
              <w:t>已建</w:t>
            </w:r>
          </w:p>
        </w:tc>
        <w:tc>
          <w:tcPr>
            <w:tcW w:w="471" w:type="pct"/>
            <w:noWrap w:val="0"/>
            <w:vAlign w:val="center"/>
          </w:tcPr>
          <w:p>
            <w:pPr>
              <w:pStyle w:val="3013"/>
              <w:spacing w:line="240" w:lineRule="exact"/>
              <w:rPr>
                <w:rFonts w:hint="eastAsia"/>
              </w:rPr>
            </w:pPr>
            <w:r>
              <w:rPr>
                <w:rFonts w:hint="eastAsia"/>
              </w:rPr>
              <w:t>未建</w:t>
            </w:r>
          </w:p>
        </w:tc>
        <w:tc>
          <w:tcPr>
            <w:tcW w:w="444" w:type="pct"/>
            <w:noWrap w:val="0"/>
            <w:vAlign w:val="center"/>
          </w:tcPr>
          <w:p>
            <w:pPr>
              <w:pStyle w:val="3013"/>
              <w:spacing w:line="240" w:lineRule="exact"/>
              <w:rPr>
                <w:rFonts w:hint="eastAsia"/>
              </w:rPr>
            </w:pPr>
            <w:r>
              <w:rPr>
                <w:rFonts w:hint="eastAsia"/>
              </w:rPr>
              <w:t>未建</w:t>
            </w:r>
          </w:p>
        </w:tc>
        <w:tc>
          <w:tcPr>
            <w:tcW w:w="578" w:type="pct"/>
            <w:noWrap w:val="0"/>
            <w:vAlign w:val="center"/>
          </w:tcPr>
          <w:p>
            <w:pPr>
              <w:pStyle w:val="3013"/>
              <w:spacing w:line="240" w:lineRule="exact"/>
              <w:rPr>
                <w:rFonts w:hint="eastAsia"/>
              </w:rPr>
            </w:pPr>
            <w:r>
              <w:rPr>
                <w:rFonts w:hint="eastAsia"/>
              </w:rPr>
              <w:t>已改建</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90" w:hRule="atLeast"/>
          <w:jc w:val="center"/>
        </w:trPr>
        <w:tc>
          <w:tcPr>
            <w:tcW w:w="384" w:type="pct"/>
            <w:vMerge w:val="continue"/>
            <w:noWrap w:val="0"/>
            <w:vAlign w:val="center"/>
          </w:tcPr>
          <w:p>
            <w:pPr>
              <w:pStyle w:val="3013"/>
              <w:spacing w:line="240" w:lineRule="exact"/>
              <w:rPr>
                <w:rFonts w:hint="eastAsia"/>
              </w:rPr>
            </w:pPr>
          </w:p>
        </w:tc>
        <w:tc>
          <w:tcPr>
            <w:tcW w:w="834" w:type="pct"/>
            <w:gridSpan w:val="2"/>
            <w:noWrap w:val="0"/>
            <w:vAlign w:val="center"/>
          </w:tcPr>
          <w:p>
            <w:pPr>
              <w:pStyle w:val="3013"/>
              <w:spacing w:line="240" w:lineRule="exact"/>
              <w:rPr>
                <w:rFonts w:hint="eastAsia"/>
              </w:rPr>
            </w:pPr>
            <w:r>
              <w:rPr>
                <w:rFonts w:hint="eastAsia"/>
              </w:rPr>
              <w:t>运行情况</w:t>
            </w:r>
          </w:p>
        </w:tc>
        <w:tc>
          <w:tcPr>
            <w:tcW w:w="381" w:type="pct"/>
            <w:noWrap w:val="0"/>
            <w:vAlign w:val="center"/>
          </w:tcPr>
          <w:p>
            <w:pPr>
              <w:pStyle w:val="3013"/>
              <w:spacing w:line="240" w:lineRule="exact"/>
              <w:rPr>
                <w:rFonts w:hint="eastAsia"/>
              </w:rPr>
            </w:pPr>
            <w:r>
              <w:rPr>
                <w:rFonts w:hint="eastAsia"/>
              </w:rPr>
              <w:t>运行</w:t>
            </w:r>
          </w:p>
        </w:tc>
        <w:tc>
          <w:tcPr>
            <w:tcW w:w="381" w:type="pct"/>
            <w:noWrap w:val="0"/>
            <w:vAlign w:val="center"/>
          </w:tcPr>
          <w:p>
            <w:pPr>
              <w:pStyle w:val="3013"/>
              <w:spacing w:line="240" w:lineRule="exact"/>
              <w:rPr>
                <w:rFonts w:hint="eastAsia"/>
              </w:rPr>
            </w:pPr>
            <w:r>
              <w:rPr>
                <w:rFonts w:hint="eastAsia"/>
              </w:rPr>
              <w:t>运行</w:t>
            </w:r>
          </w:p>
        </w:tc>
        <w:tc>
          <w:tcPr>
            <w:tcW w:w="381" w:type="pct"/>
            <w:noWrap w:val="0"/>
            <w:vAlign w:val="center"/>
          </w:tcPr>
          <w:p>
            <w:pPr>
              <w:pStyle w:val="3013"/>
              <w:spacing w:line="240" w:lineRule="exact"/>
              <w:rPr>
                <w:rFonts w:hint="eastAsia"/>
              </w:rPr>
            </w:pPr>
            <w:r>
              <w:rPr>
                <w:rFonts w:hint="eastAsia"/>
              </w:rPr>
              <w:t>运行</w:t>
            </w:r>
          </w:p>
        </w:tc>
        <w:tc>
          <w:tcPr>
            <w:tcW w:w="381" w:type="pct"/>
            <w:noWrap w:val="0"/>
            <w:vAlign w:val="center"/>
          </w:tcPr>
          <w:p>
            <w:pPr>
              <w:pStyle w:val="3013"/>
              <w:spacing w:line="240" w:lineRule="exact"/>
              <w:rPr>
                <w:rFonts w:hint="eastAsia"/>
              </w:rPr>
            </w:pPr>
            <w:r>
              <w:rPr>
                <w:rFonts w:hint="eastAsia"/>
              </w:rPr>
              <w:t>运行</w:t>
            </w:r>
          </w:p>
        </w:tc>
        <w:tc>
          <w:tcPr>
            <w:tcW w:w="381" w:type="pct"/>
            <w:noWrap w:val="0"/>
            <w:vAlign w:val="center"/>
          </w:tcPr>
          <w:p>
            <w:pPr>
              <w:pStyle w:val="3013"/>
              <w:spacing w:line="240" w:lineRule="exact"/>
              <w:rPr>
                <w:rFonts w:hint="eastAsia"/>
              </w:rPr>
            </w:pPr>
            <w:r>
              <w:rPr>
                <w:rFonts w:hint="eastAsia"/>
              </w:rPr>
              <w:t>运行</w:t>
            </w:r>
          </w:p>
        </w:tc>
        <w:tc>
          <w:tcPr>
            <w:tcW w:w="381" w:type="pct"/>
            <w:noWrap w:val="0"/>
            <w:vAlign w:val="center"/>
          </w:tcPr>
          <w:p>
            <w:pPr>
              <w:pStyle w:val="3013"/>
              <w:spacing w:line="240" w:lineRule="exact"/>
              <w:rPr>
                <w:rFonts w:hint="eastAsia"/>
              </w:rPr>
            </w:pPr>
            <w:r>
              <w:rPr>
                <w:rFonts w:hint="eastAsia"/>
              </w:rPr>
              <w:t>运行</w:t>
            </w:r>
          </w:p>
        </w:tc>
        <w:tc>
          <w:tcPr>
            <w:tcW w:w="471" w:type="pct"/>
            <w:noWrap w:val="0"/>
            <w:vAlign w:val="center"/>
          </w:tcPr>
          <w:p>
            <w:pPr>
              <w:pStyle w:val="3013"/>
              <w:spacing w:line="240" w:lineRule="exact"/>
              <w:rPr>
                <w:rFonts w:hint="eastAsia"/>
              </w:rPr>
            </w:pPr>
          </w:p>
        </w:tc>
        <w:tc>
          <w:tcPr>
            <w:tcW w:w="444" w:type="pct"/>
            <w:noWrap w:val="0"/>
            <w:vAlign w:val="center"/>
          </w:tcPr>
          <w:p>
            <w:pPr>
              <w:pStyle w:val="3013"/>
              <w:spacing w:line="240" w:lineRule="exact"/>
              <w:rPr>
                <w:rFonts w:hint="eastAsia"/>
              </w:rPr>
            </w:pPr>
          </w:p>
        </w:tc>
        <w:tc>
          <w:tcPr>
            <w:tcW w:w="578" w:type="pct"/>
            <w:noWrap w:val="0"/>
            <w:vAlign w:val="center"/>
          </w:tcPr>
          <w:p>
            <w:pPr>
              <w:pStyle w:val="3013"/>
              <w:spacing w:line="240" w:lineRule="exact"/>
              <w:rPr>
                <w:rFonts w:hint="eastAsia"/>
              </w:rPr>
            </w:pPr>
            <w:r>
              <w:rPr>
                <w:rFonts w:hint="eastAsia"/>
              </w:rPr>
              <w:t>未运行</w:t>
            </w:r>
          </w:p>
        </w:tc>
      </w:tr>
    </w:tbl>
    <w:p>
      <w:pPr>
        <w:pStyle w:val="965"/>
        <w:rPr>
          <w:rFonts w:hint="eastAsia" w:ascii="仿宋_GB2312" w:eastAsia="仿宋_GB2312"/>
          <w:sz w:val="28"/>
        </w:rPr>
      </w:pPr>
      <w:r>
        <w:rPr>
          <w:rFonts w:hint="eastAsia" w:ascii="仿宋_GB2312" w:eastAsia="仿宋_GB2312"/>
          <w:sz w:val="28"/>
        </w:rPr>
        <w:drawing>
          <wp:inline distT="0" distB="0" distL="114300" distR="114300">
            <wp:extent cx="4940300" cy="5930900"/>
            <wp:effectExtent l="0" t="0" r="12700" b="12700"/>
            <wp:docPr id="49" name="图片 92" descr="水动力学模型研究范围"/>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9" name="图片 92" descr="水动力学模型研究范围"/>
                    <pic:cNvPicPr>
                      <a:picLocks noChangeAspect="true"/>
                    </pic:cNvPicPr>
                  </pic:nvPicPr>
                  <pic:blipFill>
                    <a:blip r:embed="rId88"/>
                    <a:stretch>
                      <a:fillRect/>
                    </a:stretch>
                  </pic:blipFill>
                  <pic:spPr>
                    <a:xfrm>
                      <a:off x="0" y="0"/>
                      <a:ext cx="4940300" cy="5930900"/>
                    </a:xfrm>
                    <a:prstGeom prst="rect">
                      <a:avLst/>
                    </a:prstGeom>
                    <a:noFill/>
                    <a:ln>
                      <a:noFill/>
                    </a:ln>
                  </pic:spPr>
                </pic:pic>
              </a:graphicData>
            </a:graphic>
          </wp:inline>
        </w:drawing>
      </w:r>
    </w:p>
    <w:p>
      <w:pPr>
        <w:pStyle w:val="2886"/>
        <w:rPr>
          <w:rFonts w:hint="default" w:ascii="Times New Roman" w:hAnsi="Times New Roman" w:eastAsia="方正黑体_GBK" w:cs="Times New Roman"/>
        </w:rPr>
      </w:pPr>
      <w:r>
        <w:rPr>
          <w:rFonts w:hint="default" w:ascii="Times New Roman" w:hAnsi="Times New Roman" w:eastAsia="方正黑体_GBK" w:cs="Times New Roman"/>
        </w:rPr>
        <w:t>图1.4</w:t>
      </w:r>
      <w:r>
        <w:rPr>
          <w:rFonts w:hint="default" w:ascii="Times New Roman" w:hAnsi="Times New Roman" w:eastAsia="方正黑体_GBK" w:cs="Times New Roman"/>
          <w:lang w:eastAsia="zh-CN"/>
        </w:rPr>
        <w:t>—</w:t>
      </w:r>
      <w:r>
        <w:rPr>
          <w:rFonts w:hint="default" w:ascii="Times New Roman" w:hAnsi="Times New Roman" w:eastAsia="方正黑体_GBK" w:cs="Times New Roman"/>
        </w:rPr>
        <w:t>1 　 綦江干流涉河建筑物分布图</w:t>
      </w:r>
    </w:p>
    <w:p>
      <w:pPr>
        <w:pStyle w:val="1300"/>
        <w:outlineLvl w:val="9"/>
        <w:rPr>
          <w:rFonts w:hint="eastAsia" w:ascii="仿宋_GB2312" w:eastAsia="仿宋_GB2312"/>
        </w:rPr>
      </w:pPr>
      <w:r>
        <w:rPr>
          <w:rFonts w:hint="eastAsia" w:ascii="仿宋_GB2312" w:eastAsia="仿宋_GB2312"/>
        </w:rPr>
        <w:drawing>
          <wp:inline distT="0" distB="0" distL="114300" distR="114300">
            <wp:extent cx="5758180" cy="2011045"/>
            <wp:effectExtent l="0" t="0" r="13970" b="8255"/>
            <wp:docPr id="50" name="图片 93" descr="图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0" name="图片 93" descr="图1"/>
                    <pic:cNvPicPr>
                      <a:picLocks noChangeAspect="true"/>
                    </pic:cNvPicPr>
                  </pic:nvPicPr>
                  <pic:blipFill>
                    <a:blip r:embed="rId89"/>
                    <a:stretch>
                      <a:fillRect/>
                    </a:stretch>
                  </pic:blipFill>
                  <pic:spPr>
                    <a:xfrm>
                      <a:off x="0" y="0"/>
                      <a:ext cx="5758180" cy="2011045"/>
                    </a:xfrm>
                    <a:prstGeom prst="rect">
                      <a:avLst/>
                    </a:prstGeom>
                    <a:noFill/>
                    <a:ln>
                      <a:noFill/>
                    </a:ln>
                  </pic:spPr>
                </pic:pic>
              </a:graphicData>
            </a:graphic>
          </wp:inline>
        </w:drawing>
      </w:r>
    </w:p>
    <w:p>
      <w:pPr>
        <w:pStyle w:val="2886"/>
        <w:rPr>
          <w:rFonts w:hint="eastAsia" w:ascii="Times New Roman" w:hAnsi="Times New Roman" w:eastAsia="方正黑体_GBK" w:cs="Times New Roman"/>
        </w:rPr>
      </w:pPr>
      <w:r>
        <w:rPr>
          <w:rFonts w:hint="eastAsia" w:ascii="Times New Roman" w:hAnsi="Times New Roman" w:eastAsia="方正黑体_GBK" w:cs="Times New Roman"/>
        </w:rPr>
        <w:t>图1.</w:t>
      </w:r>
      <w:r>
        <w:rPr>
          <w:rFonts w:hint="default" w:ascii="Times New Roman" w:hAnsi="Times New Roman" w:eastAsia="方正黑体_GBK" w:cs="Times New Roman"/>
        </w:rPr>
        <w:t>4</w:t>
      </w:r>
      <w:r>
        <w:rPr>
          <w:rFonts w:hint="eastAsia" w:ascii="Times New Roman" w:hAnsi="Times New Roman" w:eastAsia="方正黑体_GBK" w:cs="Times New Roman"/>
          <w:lang w:eastAsia="zh-CN"/>
        </w:rPr>
        <w:t>—</w:t>
      </w:r>
      <w:r>
        <w:rPr>
          <w:rFonts w:hint="default" w:ascii="Times New Roman" w:hAnsi="Times New Roman" w:eastAsia="方正黑体_GBK" w:cs="Times New Roman"/>
        </w:rPr>
        <w:t xml:space="preserve">2 </w:t>
      </w:r>
      <w:r>
        <w:rPr>
          <w:rFonts w:hint="eastAsia" w:ascii="Times New Roman" w:hAnsi="Times New Roman" w:eastAsia="方正黑体_GBK" w:cs="Times New Roman"/>
        </w:rPr>
        <w:t>　 綦江干流开发现状剖面图</w:t>
      </w:r>
    </w:p>
    <w:p>
      <w:pPr>
        <w:pStyle w:val="2886"/>
        <w:spacing w:line="336" w:lineRule="auto"/>
        <w:outlineLvl w:val="9"/>
        <w:rPr>
          <w:rFonts w:hint="eastAsia" w:ascii="仿宋_GB2312" w:eastAsia="仿宋_GB2312"/>
        </w:rPr>
      </w:pPr>
      <w:r>
        <w:rPr>
          <w:rFonts w:hint="eastAsia" w:ascii="仿宋_GB2312" w:eastAsia="仿宋_GB2312"/>
        </w:rPr>
        <w:drawing>
          <wp:inline distT="0" distB="0" distL="114300" distR="114300">
            <wp:extent cx="2771775" cy="2080895"/>
            <wp:effectExtent l="0" t="0" r="9525" b="14605"/>
            <wp:docPr id="51" name="图片 228" descr="航运梯级"/>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1" name="图片 228" descr="航运梯级"/>
                    <pic:cNvPicPr>
                      <a:picLocks noChangeAspect="true"/>
                    </pic:cNvPicPr>
                  </pic:nvPicPr>
                  <pic:blipFill>
                    <a:blip r:embed="rId90"/>
                    <a:stretch>
                      <a:fillRect/>
                    </a:stretch>
                  </pic:blipFill>
                  <pic:spPr>
                    <a:xfrm>
                      <a:off x="0" y="0"/>
                      <a:ext cx="2771775" cy="2080895"/>
                    </a:xfrm>
                    <a:prstGeom prst="rect">
                      <a:avLst/>
                    </a:prstGeom>
                    <a:noFill/>
                    <a:ln>
                      <a:noFill/>
                    </a:ln>
                  </pic:spPr>
                </pic:pic>
              </a:graphicData>
            </a:graphic>
          </wp:inline>
        </w:drawing>
      </w:r>
      <w:r>
        <w:rPr>
          <w:rFonts w:ascii="仿宋_GB2312" w:eastAsia="仿宋_GB2312"/>
        </w:rPr>
        <w:t xml:space="preserve"> </w:t>
      </w:r>
      <w:r>
        <w:rPr>
          <w:rFonts w:hint="eastAsia" w:eastAsia="仿宋_GB2312"/>
          <w:snapToGrid w:val="0"/>
          <w:kern w:val="0"/>
        </w:rPr>
        <w:drawing>
          <wp:inline distT="0" distB="0" distL="114300" distR="114300">
            <wp:extent cx="2771775" cy="2077085"/>
            <wp:effectExtent l="0" t="0" r="9525" b="18415"/>
            <wp:docPr id="52" name="图片 229" descr="航运梯级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2" name="图片 229" descr="航运梯级2"/>
                    <pic:cNvPicPr>
                      <a:picLocks noChangeAspect="true"/>
                    </pic:cNvPicPr>
                  </pic:nvPicPr>
                  <pic:blipFill>
                    <a:blip r:embed="rId91"/>
                    <a:stretch>
                      <a:fillRect/>
                    </a:stretch>
                  </pic:blipFill>
                  <pic:spPr>
                    <a:xfrm>
                      <a:off x="0" y="0"/>
                      <a:ext cx="2771775" cy="2077085"/>
                    </a:xfrm>
                    <a:prstGeom prst="rect">
                      <a:avLst/>
                    </a:prstGeom>
                    <a:noFill/>
                    <a:ln>
                      <a:noFill/>
                    </a:ln>
                  </pic:spPr>
                </pic:pic>
              </a:graphicData>
            </a:graphic>
          </wp:inline>
        </w:drawing>
      </w:r>
    </w:p>
    <w:p>
      <w:pPr>
        <w:adjustRightInd w:val="0"/>
        <w:snapToGrid w:val="0"/>
        <w:spacing w:line="336" w:lineRule="auto"/>
        <w:ind w:firstLine="0" w:firstLineChars="0"/>
        <w:jc w:val="center"/>
        <w:rPr>
          <w:rFonts w:hint="eastAsia"/>
          <w:snapToGrid w:val="0"/>
          <w:kern w:val="0"/>
        </w:rPr>
      </w:pPr>
      <w:r>
        <w:rPr>
          <w:rFonts w:hint="eastAsia"/>
          <w:snapToGrid w:val="0"/>
          <w:kern w:val="0"/>
        </w:rPr>
        <w:drawing>
          <wp:inline distT="0" distB="0" distL="114300" distR="114300">
            <wp:extent cx="2771775" cy="2078355"/>
            <wp:effectExtent l="0" t="0" r="9525" b="17145"/>
            <wp:docPr id="53" name="图片 230" descr="航运梯级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3" name="图片 230" descr="航运梯级3"/>
                    <pic:cNvPicPr>
                      <a:picLocks noChangeAspect="true"/>
                    </pic:cNvPicPr>
                  </pic:nvPicPr>
                  <pic:blipFill>
                    <a:blip r:embed="rId92"/>
                    <a:stretch>
                      <a:fillRect/>
                    </a:stretch>
                  </pic:blipFill>
                  <pic:spPr>
                    <a:xfrm>
                      <a:off x="0" y="0"/>
                      <a:ext cx="2771775" cy="2078355"/>
                    </a:xfrm>
                    <a:prstGeom prst="rect">
                      <a:avLst/>
                    </a:prstGeom>
                    <a:noFill/>
                    <a:ln>
                      <a:noFill/>
                    </a:ln>
                  </pic:spPr>
                </pic:pic>
              </a:graphicData>
            </a:graphic>
          </wp:inline>
        </w:drawing>
      </w:r>
      <w:r>
        <w:rPr>
          <w:snapToGrid w:val="0"/>
          <w:kern w:val="0"/>
        </w:rPr>
        <w:t xml:space="preserve"> </w:t>
      </w:r>
      <w:r>
        <w:rPr>
          <w:rFonts w:hint="eastAsia"/>
          <w:snapToGrid w:val="0"/>
          <w:kern w:val="0"/>
        </w:rPr>
        <w:drawing>
          <wp:inline distT="0" distB="0" distL="114300" distR="114300">
            <wp:extent cx="2771775" cy="2077085"/>
            <wp:effectExtent l="0" t="0" r="9525" b="18415"/>
            <wp:docPr id="54" name="图片 231" descr="航运梯级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4" name="图片 231" descr="航运梯级4"/>
                    <pic:cNvPicPr>
                      <a:picLocks noChangeAspect="true"/>
                    </pic:cNvPicPr>
                  </pic:nvPicPr>
                  <pic:blipFill>
                    <a:blip r:embed="rId93"/>
                    <a:stretch>
                      <a:fillRect/>
                    </a:stretch>
                  </pic:blipFill>
                  <pic:spPr>
                    <a:xfrm>
                      <a:off x="0" y="0"/>
                      <a:ext cx="2771775" cy="2077085"/>
                    </a:xfrm>
                    <a:prstGeom prst="rect">
                      <a:avLst/>
                    </a:prstGeom>
                    <a:noFill/>
                    <a:ln>
                      <a:noFill/>
                    </a:ln>
                  </pic:spPr>
                </pic:pic>
              </a:graphicData>
            </a:graphic>
          </wp:inline>
        </w:drawing>
      </w:r>
    </w:p>
    <w:p>
      <w:pPr>
        <w:adjustRightInd w:val="0"/>
        <w:snapToGrid w:val="0"/>
        <w:spacing w:line="336" w:lineRule="auto"/>
        <w:ind w:firstLine="0" w:firstLineChars="0"/>
        <w:jc w:val="center"/>
        <w:rPr>
          <w:rFonts w:hint="eastAsia"/>
          <w:snapToGrid w:val="0"/>
          <w:kern w:val="0"/>
        </w:rPr>
      </w:pPr>
      <w:r>
        <w:rPr>
          <w:rFonts w:hint="eastAsia"/>
          <w:snapToGrid w:val="0"/>
          <w:kern w:val="0"/>
        </w:rPr>
        <w:drawing>
          <wp:inline distT="0" distB="0" distL="114300" distR="114300">
            <wp:extent cx="2771775" cy="2077085"/>
            <wp:effectExtent l="0" t="0" r="9525" b="18415"/>
            <wp:docPr id="55" name="图片 232" descr="航运梯级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5" name="图片 232" descr="航运梯级5"/>
                    <pic:cNvPicPr>
                      <a:picLocks noChangeAspect="true"/>
                    </pic:cNvPicPr>
                  </pic:nvPicPr>
                  <pic:blipFill>
                    <a:blip r:embed="rId94"/>
                    <a:stretch>
                      <a:fillRect/>
                    </a:stretch>
                  </pic:blipFill>
                  <pic:spPr>
                    <a:xfrm>
                      <a:off x="0" y="0"/>
                      <a:ext cx="2771775" cy="2077085"/>
                    </a:xfrm>
                    <a:prstGeom prst="rect">
                      <a:avLst/>
                    </a:prstGeom>
                    <a:noFill/>
                    <a:ln>
                      <a:noFill/>
                    </a:ln>
                  </pic:spPr>
                </pic:pic>
              </a:graphicData>
            </a:graphic>
          </wp:inline>
        </w:drawing>
      </w:r>
      <w:r>
        <w:rPr>
          <w:snapToGrid w:val="0"/>
          <w:kern w:val="0"/>
        </w:rPr>
        <w:t xml:space="preserve"> </w:t>
      </w:r>
      <w:r>
        <w:rPr>
          <w:rFonts w:hint="eastAsia"/>
          <w:snapToGrid w:val="0"/>
          <w:kern w:val="0"/>
        </w:rPr>
        <w:drawing>
          <wp:inline distT="0" distB="0" distL="114300" distR="114300">
            <wp:extent cx="2771775" cy="2077085"/>
            <wp:effectExtent l="0" t="0" r="9525" b="18415"/>
            <wp:docPr id="56" name="图片 233" descr="航运梯级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6" name="图片 233" descr="航运梯级6"/>
                    <pic:cNvPicPr>
                      <a:picLocks noChangeAspect="true"/>
                    </pic:cNvPicPr>
                  </pic:nvPicPr>
                  <pic:blipFill>
                    <a:blip r:embed="rId95"/>
                    <a:stretch>
                      <a:fillRect/>
                    </a:stretch>
                  </pic:blipFill>
                  <pic:spPr>
                    <a:xfrm>
                      <a:off x="0" y="0"/>
                      <a:ext cx="2771775" cy="2077085"/>
                    </a:xfrm>
                    <a:prstGeom prst="rect">
                      <a:avLst/>
                    </a:prstGeom>
                    <a:noFill/>
                    <a:ln>
                      <a:noFill/>
                    </a:ln>
                  </pic:spPr>
                </pic:pic>
              </a:graphicData>
            </a:graphic>
          </wp:inline>
        </w:drawing>
      </w:r>
    </w:p>
    <w:p>
      <w:pPr>
        <w:adjustRightInd w:val="0"/>
        <w:snapToGrid w:val="0"/>
        <w:spacing w:line="336" w:lineRule="auto"/>
        <w:ind w:firstLine="0" w:firstLineChars="0"/>
        <w:jc w:val="center"/>
        <w:rPr>
          <w:snapToGrid w:val="0"/>
          <w:kern w:val="0"/>
        </w:rPr>
      </w:pPr>
      <w:r>
        <w:rPr>
          <w:rFonts w:hint="eastAsia"/>
          <w:snapToGrid w:val="0"/>
          <w:kern w:val="0"/>
        </w:rPr>
        <w:drawing>
          <wp:inline distT="0" distB="0" distL="114300" distR="114300">
            <wp:extent cx="2771775" cy="2077085"/>
            <wp:effectExtent l="0" t="0" r="9525" b="18415"/>
            <wp:docPr id="57" name="图片 234" descr="航运梯级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7" name="图片 234" descr="航运梯级7"/>
                    <pic:cNvPicPr>
                      <a:picLocks noChangeAspect="true"/>
                    </pic:cNvPicPr>
                  </pic:nvPicPr>
                  <pic:blipFill>
                    <a:blip r:embed="rId96"/>
                    <a:stretch>
                      <a:fillRect/>
                    </a:stretch>
                  </pic:blipFill>
                  <pic:spPr>
                    <a:xfrm>
                      <a:off x="0" y="0"/>
                      <a:ext cx="2771775" cy="2077085"/>
                    </a:xfrm>
                    <a:prstGeom prst="rect">
                      <a:avLst/>
                    </a:prstGeom>
                    <a:noFill/>
                    <a:ln>
                      <a:noFill/>
                    </a:ln>
                  </pic:spPr>
                </pic:pic>
              </a:graphicData>
            </a:graphic>
          </wp:inline>
        </w:drawing>
      </w:r>
      <w:r>
        <w:rPr>
          <w:snapToGrid w:val="0"/>
          <w:kern w:val="0"/>
        </w:rPr>
        <w:t xml:space="preserve"> </w:t>
      </w:r>
      <w:r>
        <w:rPr>
          <w:rFonts w:hint="eastAsia"/>
          <w:snapToGrid w:val="0"/>
          <w:kern w:val="0"/>
        </w:rPr>
        <w:drawing>
          <wp:inline distT="0" distB="0" distL="114300" distR="114300">
            <wp:extent cx="2771775" cy="2077085"/>
            <wp:effectExtent l="0" t="0" r="9525" b="18415"/>
            <wp:docPr id="58" name="图片 235" descr="航运梯级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8" name="图片 235" descr="航运梯级8"/>
                    <pic:cNvPicPr>
                      <a:picLocks noChangeAspect="true"/>
                    </pic:cNvPicPr>
                  </pic:nvPicPr>
                  <pic:blipFill>
                    <a:blip r:embed="rId97"/>
                    <a:stretch>
                      <a:fillRect/>
                    </a:stretch>
                  </pic:blipFill>
                  <pic:spPr>
                    <a:xfrm>
                      <a:off x="0" y="0"/>
                      <a:ext cx="2771775" cy="2077085"/>
                    </a:xfrm>
                    <a:prstGeom prst="rect">
                      <a:avLst/>
                    </a:prstGeom>
                    <a:noFill/>
                    <a:ln>
                      <a:noFill/>
                    </a:ln>
                  </pic:spPr>
                </pic:pic>
              </a:graphicData>
            </a:graphic>
          </wp:inline>
        </w:drawing>
      </w:r>
    </w:p>
    <w:p>
      <w:pPr>
        <w:pStyle w:val="2886"/>
        <w:outlineLvl w:val="9"/>
        <w:rPr>
          <w:rFonts w:hint="eastAsia" w:ascii="仿宋_GB2312" w:eastAsia="仿宋_GB2312"/>
        </w:rPr>
      </w:pPr>
      <w:r>
        <w:drawing>
          <wp:inline distT="0" distB="0" distL="114300" distR="114300">
            <wp:extent cx="4271645" cy="2894330"/>
            <wp:effectExtent l="0" t="0" r="14605" b="1270"/>
            <wp:docPr id="59" name="图片 237" descr="航运梯级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9" name="图片 237" descr="航运梯级10"/>
                    <pic:cNvPicPr>
                      <a:picLocks noChangeAspect="true"/>
                    </pic:cNvPicPr>
                  </pic:nvPicPr>
                  <pic:blipFill>
                    <a:blip r:embed="rId98"/>
                    <a:stretch>
                      <a:fillRect/>
                    </a:stretch>
                  </pic:blipFill>
                  <pic:spPr>
                    <a:xfrm>
                      <a:off x="0" y="0"/>
                      <a:ext cx="4271645" cy="2894330"/>
                    </a:xfrm>
                    <a:prstGeom prst="rect">
                      <a:avLst/>
                    </a:prstGeom>
                    <a:noFill/>
                    <a:ln>
                      <a:noFill/>
                    </a:ln>
                  </pic:spPr>
                </pic:pic>
              </a:graphicData>
            </a:graphic>
          </wp:inline>
        </w:drawing>
      </w:r>
    </w:p>
    <w:p>
      <w:pPr>
        <w:pStyle w:val="2886"/>
        <w:rPr>
          <w:rFonts w:hint="eastAsia"/>
        </w:rPr>
      </w:pPr>
      <w:r>
        <w:rPr>
          <w:rFonts w:hint="default" w:ascii="Times New Roman" w:hAnsi="Times New Roman" w:cs="Times New Roman"/>
        </w:rPr>
        <w:t>图1.4</w:t>
      </w:r>
      <w:r>
        <w:rPr>
          <w:rFonts w:hint="default" w:ascii="Times New Roman" w:hAnsi="Times New Roman" w:cs="Times New Roman"/>
          <w:lang w:eastAsia="zh-CN"/>
        </w:rPr>
        <w:t>—</w:t>
      </w:r>
      <w:r>
        <w:rPr>
          <w:rFonts w:hint="default" w:ascii="Times New Roman" w:hAnsi="Times New Roman" w:cs="Times New Roman"/>
        </w:rPr>
        <w:t>3 　 綦江干流已建梯级</w:t>
      </w:r>
      <w:r>
        <w:rPr>
          <w:rFonts w:hint="eastAsia"/>
        </w:rPr>
        <w:t>枢纽现状图</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kern w:val="0"/>
          <w:sz w:val="32"/>
          <w:szCs w:val="32"/>
        </w:rPr>
      </w:pPr>
      <w:r>
        <w:rPr>
          <w:rFonts w:hint="eastAsia" w:ascii="Times New Roman" w:hAnsi="Times New Roman" w:eastAsia="方正仿宋_GBK" w:cs="Times New Roman"/>
          <w:kern w:val="0"/>
          <w:sz w:val="32"/>
          <w:szCs w:val="32"/>
          <w:lang w:val="en-US" w:eastAsia="zh-CN"/>
        </w:rPr>
        <w:t>2</w:t>
      </w:r>
      <w:r>
        <w:rPr>
          <w:rFonts w:hint="eastAsia" w:ascii="Times New Roman" w:eastAsia="方正仿宋_GBK" w:cs="Times New Roman"/>
          <w:kern w:val="0"/>
          <w:sz w:val="32"/>
          <w:szCs w:val="32"/>
          <w:lang w:val="en-US" w:eastAsia="zh-CN"/>
        </w:rPr>
        <w:t>．</w:t>
      </w:r>
      <w:r>
        <w:rPr>
          <w:rFonts w:hint="eastAsia" w:ascii="Times New Roman" w:hAnsi="Times New Roman" w:eastAsia="方正仿宋_GBK" w:cs="Times New Roman"/>
          <w:kern w:val="0"/>
          <w:sz w:val="32"/>
          <w:szCs w:val="32"/>
        </w:rPr>
        <w:t>跨河桥梁</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kern w:val="0"/>
          <w:sz w:val="32"/>
          <w:szCs w:val="32"/>
        </w:rPr>
      </w:pPr>
      <w:r>
        <w:rPr>
          <w:rFonts w:hint="eastAsia" w:ascii="Times New Roman" w:hAnsi="Times New Roman" w:eastAsia="方正仿宋_GBK" w:cs="Times New Roman"/>
          <w:kern w:val="0"/>
          <w:sz w:val="32"/>
          <w:szCs w:val="32"/>
        </w:rPr>
        <w:t>綦江</w:t>
      </w:r>
      <w:r>
        <w:rPr>
          <w:rFonts w:hint="eastAsia" w:ascii="Times New Roman" w:hAnsi="Times New Roman" w:eastAsia="方正仿宋_GBK" w:cs="Times New Roman"/>
          <w:spacing w:val="-11"/>
          <w:kern w:val="0"/>
          <w:sz w:val="32"/>
          <w:szCs w:val="32"/>
        </w:rPr>
        <w:t>干流赶水至五福枢纽段已建跨河桥梁共15座，见表1</w:t>
      </w:r>
      <w:r>
        <w:rPr>
          <w:rFonts w:hint="eastAsia" w:ascii="Times New Roman" w:hAnsi="Times New Roman" w:eastAsia="方正仿宋_GBK" w:cs="Times New Roman"/>
          <w:kern w:val="0"/>
          <w:sz w:val="32"/>
          <w:szCs w:val="32"/>
        </w:rPr>
        <w:t>.4</w:t>
      </w:r>
      <w:r>
        <w:rPr>
          <w:rFonts w:hint="eastAsia" w:ascii="Times New Roman" w:eastAsia="方正仿宋_GBK" w:cs="Times New Roman"/>
          <w:kern w:val="0"/>
          <w:sz w:val="32"/>
          <w:szCs w:val="32"/>
          <w:lang w:eastAsia="zh-CN"/>
        </w:rPr>
        <w:t>—</w:t>
      </w:r>
      <w:r>
        <w:rPr>
          <w:rFonts w:hint="eastAsia" w:ascii="Times New Roman" w:hAnsi="Times New Roman" w:eastAsia="方正仿宋_GBK" w:cs="Times New Roman"/>
          <w:kern w:val="0"/>
          <w:sz w:val="32"/>
          <w:szCs w:val="32"/>
        </w:rPr>
        <w:t>2。其中，綦江主城区段有城北大桥、綦江大桥、彩虹桥和沱湾大桥四座跨河桥梁，见图1.4</w:t>
      </w:r>
      <w:r>
        <w:rPr>
          <w:rFonts w:hint="eastAsia" w:ascii="Times New Roman" w:eastAsia="方正仿宋_GBK" w:cs="Times New Roman"/>
          <w:kern w:val="0"/>
          <w:sz w:val="32"/>
          <w:szCs w:val="32"/>
          <w:lang w:eastAsia="zh-CN"/>
        </w:rPr>
        <w:t>—</w:t>
      </w:r>
      <w:r>
        <w:rPr>
          <w:rFonts w:hint="eastAsia" w:ascii="Times New Roman" w:hAnsi="Times New Roman" w:eastAsia="方正仿宋_GBK" w:cs="Times New Roman"/>
          <w:kern w:val="0"/>
          <w:sz w:val="32"/>
          <w:szCs w:val="32"/>
        </w:rPr>
        <w:t>4。</w:t>
      </w:r>
    </w:p>
    <w:p>
      <w:pPr>
        <w:pStyle w:val="2312"/>
        <w:ind w:firstLine="240"/>
        <w:rPr>
          <w:rFonts w:hint="eastAsia" w:ascii="方正黑体_GBK" w:hAnsi="方正黑体_GBK" w:eastAsia="方正黑体_GBK" w:cs="方正黑体_GBK"/>
        </w:rPr>
      </w:pPr>
      <w:r>
        <w:rPr>
          <w:rFonts w:hint="default" w:ascii="Times New Roman" w:hAnsi="Times New Roman" w:cs="Times New Roman"/>
        </w:rPr>
        <w:t>表1.4</w:t>
      </w:r>
      <w:r>
        <w:rPr>
          <w:rFonts w:hint="default" w:ascii="Times New Roman" w:hAnsi="Times New Roman" w:cs="Times New Roman"/>
          <w:lang w:eastAsia="zh-CN"/>
        </w:rPr>
        <w:t>—</w:t>
      </w:r>
      <w:r>
        <w:rPr>
          <w:rFonts w:hint="default" w:ascii="Times New Roman" w:hAnsi="Times New Roman" w:cs="Times New Roman"/>
        </w:rPr>
        <w:t xml:space="preserve">2   </w:t>
      </w:r>
      <w:r>
        <w:rPr>
          <w:rFonts w:hint="eastAsia"/>
        </w:rPr>
        <w:t xml:space="preserve">       </w:t>
      </w:r>
      <w:r>
        <w:rPr>
          <w:rFonts w:hint="eastAsia" w:ascii="方正黑体_GBK" w:hAnsi="方正黑体_GBK" w:eastAsia="方正黑体_GBK" w:cs="方正黑体_GBK"/>
        </w:rPr>
        <w:t xml:space="preserve"> 綦江五福枢纽至赶水段跨河桥梁基本情况表</w:t>
      </w:r>
    </w:p>
    <w:tbl>
      <w:tblPr>
        <w:tblStyle w:val="88"/>
        <w:tblW w:w="5000"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108" w:type="dxa"/>
          <w:bottom w:w="0" w:type="dxa"/>
          <w:right w:w="108" w:type="dxa"/>
        </w:tblCellMar>
      </w:tblPr>
      <w:tblGrid>
        <w:gridCol w:w="776"/>
        <w:gridCol w:w="2060"/>
        <w:gridCol w:w="1033"/>
        <w:gridCol w:w="1547"/>
        <w:gridCol w:w="1547"/>
        <w:gridCol w:w="1291"/>
        <w:gridCol w:w="1033"/>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418" w:type="pct"/>
            <w:noWrap w:val="0"/>
            <w:vAlign w:val="center"/>
          </w:tcPr>
          <w:p>
            <w:pPr>
              <w:pStyle w:val="3013"/>
              <w:spacing w:line="240" w:lineRule="exact"/>
              <w:rPr>
                <w:rFonts w:hint="eastAsia"/>
              </w:rPr>
            </w:pPr>
            <w:r>
              <w:rPr>
                <w:rFonts w:hint="eastAsia"/>
              </w:rPr>
              <w:t>序号</w:t>
            </w:r>
          </w:p>
        </w:tc>
        <w:tc>
          <w:tcPr>
            <w:tcW w:w="1109" w:type="pct"/>
            <w:noWrap w:val="0"/>
            <w:vAlign w:val="center"/>
          </w:tcPr>
          <w:p>
            <w:pPr>
              <w:pStyle w:val="3013"/>
              <w:spacing w:line="240" w:lineRule="exact"/>
              <w:rPr>
                <w:rFonts w:hint="eastAsia"/>
              </w:rPr>
            </w:pPr>
            <w:r>
              <w:rPr>
                <w:rFonts w:hint="eastAsia"/>
              </w:rPr>
              <w:t>桥梁名称</w:t>
            </w:r>
          </w:p>
        </w:tc>
        <w:tc>
          <w:tcPr>
            <w:tcW w:w="556" w:type="pct"/>
            <w:noWrap w:val="0"/>
            <w:vAlign w:val="center"/>
          </w:tcPr>
          <w:p>
            <w:pPr>
              <w:pStyle w:val="3013"/>
              <w:spacing w:line="240" w:lineRule="exact"/>
              <w:rPr>
                <w:rFonts w:hint="eastAsia"/>
              </w:rPr>
            </w:pPr>
            <w:r>
              <w:rPr>
                <w:rFonts w:hint="eastAsia"/>
              </w:rPr>
              <w:t>距河口</w:t>
            </w:r>
          </w:p>
          <w:p>
            <w:pPr>
              <w:pStyle w:val="3013"/>
              <w:spacing w:line="240" w:lineRule="exact"/>
              <w:rPr>
                <w:rFonts w:hint="eastAsia"/>
              </w:rPr>
            </w:pPr>
            <w:r>
              <w:rPr>
                <w:rFonts w:hint="eastAsia"/>
              </w:rPr>
              <w:t>（km）</w:t>
            </w:r>
          </w:p>
        </w:tc>
        <w:tc>
          <w:tcPr>
            <w:tcW w:w="833" w:type="pct"/>
            <w:noWrap w:val="0"/>
            <w:vAlign w:val="center"/>
          </w:tcPr>
          <w:p>
            <w:pPr>
              <w:pStyle w:val="3013"/>
              <w:spacing w:line="240" w:lineRule="exact"/>
              <w:rPr>
                <w:rFonts w:hint="eastAsia"/>
              </w:rPr>
            </w:pPr>
            <w:r>
              <w:rPr>
                <w:rFonts w:hint="eastAsia"/>
              </w:rPr>
              <w:t>结构特点</w:t>
            </w:r>
          </w:p>
        </w:tc>
        <w:tc>
          <w:tcPr>
            <w:tcW w:w="833" w:type="pct"/>
            <w:noWrap w:val="0"/>
            <w:vAlign w:val="center"/>
          </w:tcPr>
          <w:p>
            <w:pPr>
              <w:pStyle w:val="3013"/>
              <w:spacing w:line="240" w:lineRule="exact"/>
              <w:rPr>
                <w:rFonts w:hint="eastAsia"/>
              </w:rPr>
            </w:pPr>
            <w:r>
              <w:rPr>
                <w:rFonts w:hint="eastAsia"/>
              </w:rPr>
              <w:t>桥梁底高程</w:t>
            </w:r>
          </w:p>
          <w:p>
            <w:pPr>
              <w:pStyle w:val="3013"/>
              <w:spacing w:line="240" w:lineRule="exact"/>
              <w:rPr>
                <w:rFonts w:hint="eastAsia"/>
              </w:rPr>
            </w:pPr>
            <w:r>
              <w:rPr>
                <w:rFonts w:hint="eastAsia"/>
              </w:rPr>
              <w:t>（m）</w:t>
            </w:r>
          </w:p>
        </w:tc>
        <w:tc>
          <w:tcPr>
            <w:tcW w:w="695" w:type="pct"/>
            <w:noWrap w:val="0"/>
            <w:vAlign w:val="center"/>
          </w:tcPr>
          <w:p>
            <w:pPr>
              <w:pStyle w:val="3013"/>
              <w:spacing w:line="240" w:lineRule="exact"/>
              <w:rPr>
                <w:rFonts w:hint="eastAsia"/>
              </w:rPr>
            </w:pPr>
            <w:r>
              <w:rPr>
                <w:rFonts w:hint="eastAsia"/>
              </w:rPr>
              <w:t>完建时间</w:t>
            </w:r>
          </w:p>
          <w:p>
            <w:pPr>
              <w:pStyle w:val="3013"/>
              <w:spacing w:line="240" w:lineRule="exact"/>
              <w:rPr>
                <w:rFonts w:hint="eastAsia"/>
              </w:rPr>
            </w:pPr>
            <w:r>
              <w:rPr>
                <w:rFonts w:hint="eastAsia"/>
              </w:rPr>
              <w:t>（年）</w:t>
            </w:r>
          </w:p>
        </w:tc>
        <w:tc>
          <w:tcPr>
            <w:tcW w:w="556" w:type="pct"/>
            <w:noWrap w:val="0"/>
            <w:vAlign w:val="center"/>
          </w:tcPr>
          <w:p>
            <w:pPr>
              <w:pStyle w:val="3013"/>
              <w:spacing w:line="240" w:lineRule="exact"/>
              <w:rPr>
                <w:rFonts w:hint="eastAsia"/>
              </w:rPr>
            </w:pPr>
            <w:r>
              <w:rPr>
                <w:rFonts w:hint="eastAsia"/>
              </w:rPr>
              <w:t>用途</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418" w:type="pct"/>
            <w:noWrap w:val="0"/>
            <w:vAlign w:val="center"/>
          </w:tcPr>
          <w:p>
            <w:pPr>
              <w:pStyle w:val="3013"/>
              <w:spacing w:line="240" w:lineRule="exact"/>
              <w:rPr>
                <w:rFonts w:hint="eastAsia"/>
              </w:rPr>
            </w:pPr>
            <w:r>
              <w:rPr>
                <w:rFonts w:hint="eastAsia"/>
              </w:rPr>
              <w:t>1</w:t>
            </w:r>
          </w:p>
        </w:tc>
        <w:tc>
          <w:tcPr>
            <w:tcW w:w="1109" w:type="pct"/>
            <w:noWrap w:val="0"/>
            <w:vAlign w:val="center"/>
          </w:tcPr>
          <w:p>
            <w:pPr>
              <w:pStyle w:val="3013"/>
              <w:spacing w:line="240" w:lineRule="exact"/>
              <w:rPr>
                <w:rFonts w:hint="eastAsia"/>
              </w:rPr>
            </w:pPr>
            <w:r>
              <w:rPr>
                <w:rFonts w:hint="eastAsia"/>
              </w:rPr>
              <w:t>广兴互通桥</w:t>
            </w:r>
          </w:p>
        </w:tc>
        <w:tc>
          <w:tcPr>
            <w:tcW w:w="556" w:type="pct"/>
            <w:noWrap w:val="0"/>
            <w:vAlign w:val="center"/>
          </w:tcPr>
          <w:p>
            <w:pPr>
              <w:pStyle w:val="3013"/>
              <w:spacing w:line="240" w:lineRule="exact"/>
              <w:rPr>
                <w:rFonts w:hint="eastAsia"/>
              </w:rPr>
            </w:pPr>
            <w:r>
              <w:rPr>
                <w:rFonts w:hint="eastAsia"/>
              </w:rPr>
              <w:t>47.9</w:t>
            </w:r>
          </w:p>
        </w:tc>
        <w:tc>
          <w:tcPr>
            <w:tcW w:w="833" w:type="pct"/>
            <w:noWrap w:val="0"/>
            <w:vAlign w:val="center"/>
          </w:tcPr>
          <w:p>
            <w:pPr>
              <w:pStyle w:val="3013"/>
              <w:spacing w:line="240" w:lineRule="exact"/>
              <w:rPr>
                <w:rFonts w:hint="eastAsia"/>
              </w:rPr>
            </w:pPr>
            <w:r>
              <w:rPr>
                <w:rFonts w:hint="eastAsia"/>
              </w:rPr>
              <w:t>连续梁</w:t>
            </w:r>
          </w:p>
        </w:tc>
        <w:tc>
          <w:tcPr>
            <w:tcW w:w="833" w:type="pct"/>
            <w:noWrap w:val="0"/>
            <w:vAlign w:val="center"/>
          </w:tcPr>
          <w:p>
            <w:pPr>
              <w:pStyle w:val="3013"/>
              <w:spacing w:line="240" w:lineRule="exact"/>
              <w:rPr>
                <w:rFonts w:hint="eastAsia"/>
              </w:rPr>
            </w:pPr>
            <w:r>
              <w:rPr>
                <w:rFonts w:hint="eastAsia"/>
              </w:rPr>
              <w:t>221.1</w:t>
            </w:r>
          </w:p>
        </w:tc>
        <w:tc>
          <w:tcPr>
            <w:tcW w:w="695" w:type="pct"/>
            <w:noWrap w:val="0"/>
            <w:vAlign w:val="center"/>
          </w:tcPr>
          <w:p>
            <w:pPr>
              <w:pStyle w:val="3013"/>
              <w:spacing w:line="240" w:lineRule="exact"/>
              <w:rPr>
                <w:rFonts w:hint="eastAsia"/>
              </w:rPr>
            </w:pPr>
          </w:p>
        </w:tc>
        <w:tc>
          <w:tcPr>
            <w:tcW w:w="556" w:type="pct"/>
            <w:noWrap w:val="0"/>
            <w:vAlign w:val="center"/>
          </w:tcPr>
          <w:p>
            <w:pPr>
              <w:pStyle w:val="3013"/>
              <w:spacing w:line="240" w:lineRule="exact"/>
              <w:rPr>
                <w:rFonts w:hint="eastAsia"/>
              </w:rPr>
            </w:pPr>
            <w:r>
              <w:rPr>
                <w:rFonts w:hint="eastAsia"/>
              </w:rPr>
              <w:t>公路</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418" w:type="pct"/>
            <w:noWrap w:val="0"/>
            <w:vAlign w:val="center"/>
          </w:tcPr>
          <w:p>
            <w:pPr>
              <w:pStyle w:val="3013"/>
              <w:spacing w:line="240" w:lineRule="exact"/>
              <w:rPr>
                <w:rFonts w:hint="eastAsia"/>
              </w:rPr>
            </w:pPr>
            <w:r>
              <w:rPr>
                <w:rFonts w:hint="eastAsia"/>
              </w:rPr>
              <w:t>2</w:t>
            </w:r>
          </w:p>
        </w:tc>
        <w:tc>
          <w:tcPr>
            <w:tcW w:w="1109" w:type="pct"/>
            <w:noWrap w:val="0"/>
            <w:vAlign w:val="center"/>
          </w:tcPr>
          <w:p>
            <w:pPr>
              <w:pStyle w:val="3013"/>
              <w:spacing w:line="240" w:lineRule="exact"/>
              <w:rPr>
                <w:rFonts w:hint="eastAsia"/>
              </w:rPr>
            </w:pPr>
            <w:r>
              <w:rPr>
                <w:rFonts w:hint="eastAsia"/>
              </w:rPr>
              <w:t>北渡铁路桥</w:t>
            </w:r>
          </w:p>
        </w:tc>
        <w:tc>
          <w:tcPr>
            <w:tcW w:w="556" w:type="pct"/>
            <w:noWrap w:val="0"/>
            <w:vAlign w:val="center"/>
          </w:tcPr>
          <w:p>
            <w:pPr>
              <w:pStyle w:val="3013"/>
              <w:spacing w:line="240" w:lineRule="exact"/>
              <w:rPr>
                <w:rFonts w:hint="eastAsia"/>
              </w:rPr>
            </w:pPr>
            <w:r>
              <w:rPr>
                <w:rFonts w:hint="eastAsia"/>
              </w:rPr>
              <w:t>57.4</w:t>
            </w:r>
          </w:p>
        </w:tc>
        <w:tc>
          <w:tcPr>
            <w:tcW w:w="833" w:type="pct"/>
            <w:noWrap w:val="0"/>
            <w:vAlign w:val="center"/>
          </w:tcPr>
          <w:p>
            <w:pPr>
              <w:pStyle w:val="3013"/>
              <w:spacing w:line="240" w:lineRule="exact"/>
              <w:rPr>
                <w:rFonts w:hint="eastAsia"/>
              </w:rPr>
            </w:pPr>
            <w:r>
              <w:rPr>
                <w:rFonts w:hint="eastAsia"/>
              </w:rPr>
              <w:t>钢桁</w:t>
            </w:r>
          </w:p>
        </w:tc>
        <w:tc>
          <w:tcPr>
            <w:tcW w:w="833" w:type="pct"/>
            <w:noWrap w:val="0"/>
            <w:vAlign w:val="center"/>
          </w:tcPr>
          <w:p>
            <w:pPr>
              <w:pStyle w:val="3013"/>
              <w:spacing w:line="240" w:lineRule="exact"/>
              <w:rPr>
                <w:rFonts w:hint="eastAsia"/>
              </w:rPr>
            </w:pPr>
            <w:r>
              <w:rPr>
                <w:rFonts w:hint="eastAsia"/>
              </w:rPr>
              <w:t>227.8</w:t>
            </w:r>
          </w:p>
        </w:tc>
        <w:tc>
          <w:tcPr>
            <w:tcW w:w="695" w:type="pct"/>
            <w:noWrap w:val="0"/>
            <w:vAlign w:val="center"/>
          </w:tcPr>
          <w:p>
            <w:pPr>
              <w:pStyle w:val="3013"/>
              <w:spacing w:line="240" w:lineRule="exact"/>
              <w:rPr>
                <w:rFonts w:hint="eastAsia"/>
              </w:rPr>
            </w:pPr>
            <w:r>
              <w:rPr>
                <w:rFonts w:hint="eastAsia"/>
              </w:rPr>
              <w:t>2012</w:t>
            </w:r>
          </w:p>
        </w:tc>
        <w:tc>
          <w:tcPr>
            <w:tcW w:w="556" w:type="pct"/>
            <w:noWrap w:val="0"/>
            <w:vAlign w:val="center"/>
          </w:tcPr>
          <w:p>
            <w:pPr>
              <w:pStyle w:val="3013"/>
              <w:spacing w:line="240" w:lineRule="exact"/>
              <w:rPr>
                <w:rFonts w:hint="eastAsia"/>
              </w:rPr>
            </w:pPr>
            <w:r>
              <w:rPr>
                <w:rFonts w:hint="eastAsia"/>
              </w:rPr>
              <w:t>铁路</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418" w:type="pct"/>
            <w:noWrap w:val="0"/>
            <w:vAlign w:val="center"/>
          </w:tcPr>
          <w:p>
            <w:pPr>
              <w:pStyle w:val="3013"/>
              <w:spacing w:line="240" w:lineRule="exact"/>
              <w:rPr>
                <w:rFonts w:hint="eastAsia"/>
              </w:rPr>
            </w:pPr>
            <w:r>
              <w:rPr>
                <w:rFonts w:hint="eastAsia"/>
              </w:rPr>
              <w:t>3</w:t>
            </w:r>
          </w:p>
        </w:tc>
        <w:tc>
          <w:tcPr>
            <w:tcW w:w="1109" w:type="pct"/>
            <w:noWrap w:val="0"/>
            <w:vAlign w:val="center"/>
          </w:tcPr>
          <w:p>
            <w:pPr>
              <w:pStyle w:val="3013"/>
              <w:spacing w:line="240" w:lineRule="exact"/>
              <w:rPr>
                <w:rFonts w:hint="eastAsia"/>
              </w:rPr>
            </w:pPr>
            <w:r>
              <w:rPr>
                <w:rFonts w:hint="eastAsia"/>
              </w:rPr>
              <w:t>北渡大桥</w:t>
            </w:r>
          </w:p>
        </w:tc>
        <w:tc>
          <w:tcPr>
            <w:tcW w:w="556" w:type="pct"/>
            <w:noWrap w:val="0"/>
            <w:vAlign w:val="center"/>
          </w:tcPr>
          <w:p>
            <w:pPr>
              <w:pStyle w:val="3013"/>
              <w:spacing w:line="240" w:lineRule="exact"/>
              <w:rPr>
                <w:rFonts w:hint="eastAsia"/>
              </w:rPr>
            </w:pPr>
            <w:r>
              <w:rPr>
                <w:rFonts w:hint="eastAsia"/>
              </w:rPr>
              <w:t>69</w:t>
            </w:r>
          </w:p>
        </w:tc>
        <w:tc>
          <w:tcPr>
            <w:tcW w:w="833" w:type="pct"/>
            <w:noWrap w:val="0"/>
            <w:vAlign w:val="center"/>
          </w:tcPr>
          <w:p>
            <w:pPr>
              <w:pStyle w:val="3013"/>
              <w:spacing w:line="240" w:lineRule="exact"/>
              <w:rPr>
                <w:rFonts w:hint="eastAsia"/>
              </w:rPr>
            </w:pPr>
            <w:r>
              <w:rPr>
                <w:rFonts w:hint="eastAsia"/>
              </w:rPr>
              <w:t>混凝土拱桥</w:t>
            </w:r>
          </w:p>
        </w:tc>
        <w:tc>
          <w:tcPr>
            <w:tcW w:w="833" w:type="pct"/>
            <w:noWrap w:val="0"/>
            <w:vAlign w:val="center"/>
          </w:tcPr>
          <w:p>
            <w:pPr>
              <w:pStyle w:val="3013"/>
              <w:spacing w:line="240" w:lineRule="exact"/>
              <w:rPr>
                <w:rFonts w:hint="eastAsia"/>
              </w:rPr>
            </w:pPr>
            <w:r>
              <w:rPr>
                <w:rFonts w:hint="eastAsia"/>
              </w:rPr>
              <w:t>224.7</w:t>
            </w:r>
          </w:p>
        </w:tc>
        <w:tc>
          <w:tcPr>
            <w:tcW w:w="695" w:type="pct"/>
            <w:noWrap w:val="0"/>
            <w:vAlign w:val="center"/>
          </w:tcPr>
          <w:p>
            <w:pPr>
              <w:pStyle w:val="3013"/>
              <w:spacing w:line="240" w:lineRule="exact"/>
              <w:rPr>
                <w:rFonts w:hint="eastAsia"/>
              </w:rPr>
            </w:pPr>
            <w:r>
              <w:rPr>
                <w:rFonts w:hint="eastAsia"/>
              </w:rPr>
              <w:t>1973</w:t>
            </w:r>
          </w:p>
        </w:tc>
        <w:tc>
          <w:tcPr>
            <w:tcW w:w="556" w:type="pct"/>
            <w:noWrap w:val="0"/>
            <w:vAlign w:val="center"/>
          </w:tcPr>
          <w:p>
            <w:pPr>
              <w:pStyle w:val="3013"/>
              <w:spacing w:line="240" w:lineRule="exact"/>
              <w:rPr>
                <w:rFonts w:hint="eastAsia"/>
              </w:rPr>
            </w:pPr>
            <w:r>
              <w:rPr>
                <w:rFonts w:hint="eastAsia"/>
              </w:rPr>
              <w:t>公路</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418" w:type="pct"/>
            <w:noWrap w:val="0"/>
            <w:vAlign w:val="center"/>
          </w:tcPr>
          <w:p>
            <w:pPr>
              <w:pStyle w:val="3013"/>
              <w:spacing w:line="240" w:lineRule="exact"/>
              <w:rPr>
                <w:rFonts w:hint="eastAsia"/>
              </w:rPr>
            </w:pPr>
            <w:r>
              <w:rPr>
                <w:rFonts w:hint="eastAsia"/>
              </w:rPr>
              <w:t>4</w:t>
            </w:r>
          </w:p>
        </w:tc>
        <w:tc>
          <w:tcPr>
            <w:tcW w:w="1109" w:type="pct"/>
            <w:noWrap w:val="0"/>
            <w:vAlign w:val="center"/>
          </w:tcPr>
          <w:p>
            <w:pPr>
              <w:pStyle w:val="3013"/>
              <w:spacing w:line="240" w:lineRule="exact"/>
              <w:rPr>
                <w:rFonts w:hint="eastAsia"/>
              </w:rPr>
            </w:pPr>
            <w:r>
              <w:rPr>
                <w:rFonts w:hint="eastAsia"/>
              </w:rPr>
              <w:t>城北大桥</w:t>
            </w:r>
          </w:p>
        </w:tc>
        <w:tc>
          <w:tcPr>
            <w:tcW w:w="556" w:type="pct"/>
            <w:noWrap w:val="0"/>
            <w:vAlign w:val="center"/>
          </w:tcPr>
          <w:p>
            <w:pPr>
              <w:pStyle w:val="3013"/>
              <w:spacing w:line="240" w:lineRule="exact"/>
              <w:rPr>
                <w:rFonts w:hint="eastAsia"/>
              </w:rPr>
            </w:pPr>
            <w:r>
              <w:rPr>
                <w:rFonts w:hint="eastAsia"/>
              </w:rPr>
              <w:t>74</w:t>
            </w:r>
          </w:p>
        </w:tc>
        <w:tc>
          <w:tcPr>
            <w:tcW w:w="833" w:type="pct"/>
            <w:noWrap w:val="0"/>
            <w:vAlign w:val="center"/>
          </w:tcPr>
          <w:p>
            <w:pPr>
              <w:pStyle w:val="3013"/>
              <w:spacing w:line="240" w:lineRule="exact"/>
              <w:rPr>
                <w:rFonts w:hint="eastAsia"/>
              </w:rPr>
            </w:pPr>
            <w:r>
              <w:rPr>
                <w:rFonts w:hint="eastAsia"/>
              </w:rPr>
              <w:t>混凝土拱桥</w:t>
            </w:r>
          </w:p>
        </w:tc>
        <w:tc>
          <w:tcPr>
            <w:tcW w:w="833" w:type="pct"/>
            <w:noWrap w:val="0"/>
            <w:vAlign w:val="center"/>
          </w:tcPr>
          <w:p>
            <w:pPr>
              <w:pStyle w:val="3013"/>
              <w:spacing w:line="240" w:lineRule="exact"/>
              <w:rPr>
                <w:rFonts w:hint="eastAsia"/>
              </w:rPr>
            </w:pPr>
            <w:r>
              <w:rPr>
                <w:rFonts w:hint="eastAsia"/>
              </w:rPr>
              <w:t>234.44</w:t>
            </w:r>
          </w:p>
        </w:tc>
        <w:tc>
          <w:tcPr>
            <w:tcW w:w="695" w:type="pct"/>
            <w:noWrap w:val="0"/>
            <w:vAlign w:val="center"/>
          </w:tcPr>
          <w:p>
            <w:pPr>
              <w:pStyle w:val="3013"/>
              <w:spacing w:line="240" w:lineRule="exact"/>
              <w:rPr>
                <w:rFonts w:hint="eastAsia"/>
              </w:rPr>
            </w:pPr>
            <w:r>
              <w:rPr>
                <w:rFonts w:hint="eastAsia"/>
              </w:rPr>
              <w:t>2009</w:t>
            </w:r>
          </w:p>
        </w:tc>
        <w:tc>
          <w:tcPr>
            <w:tcW w:w="556" w:type="pct"/>
            <w:noWrap w:val="0"/>
            <w:vAlign w:val="center"/>
          </w:tcPr>
          <w:p>
            <w:pPr>
              <w:pStyle w:val="3013"/>
              <w:spacing w:line="240" w:lineRule="exact"/>
              <w:rPr>
                <w:rFonts w:hint="eastAsia"/>
              </w:rPr>
            </w:pPr>
            <w:r>
              <w:rPr>
                <w:rFonts w:hint="eastAsia"/>
              </w:rPr>
              <w:t>公路</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418" w:type="pct"/>
            <w:noWrap w:val="0"/>
            <w:vAlign w:val="center"/>
          </w:tcPr>
          <w:p>
            <w:pPr>
              <w:pStyle w:val="3013"/>
              <w:spacing w:line="240" w:lineRule="exact"/>
              <w:rPr>
                <w:rFonts w:hint="eastAsia"/>
              </w:rPr>
            </w:pPr>
            <w:r>
              <w:rPr>
                <w:rFonts w:hint="eastAsia"/>
              </w:rPr>
              <w:t>5</w:t>
            </w:r>
          </w:p>
        </w:tc>
        <w:tc>
          <w:tcPr>
            <w:tcW w:w="1109" w:type="pct"/>
            <w:noWrap w:val="0"/>
            <w:vAlign w:val="center"/>
          </w:tcPr>
          <w:p>
            <w:pPr>
              <w:pStyle w:val="3013"/>
              <w:spacing w:line="240" w:lineRule="exact"/>
              <w:rPr>
                <w:rFonts w:hint="eastAsia"/>
              </w:rPr>
            </w:pPr>
            <w:r>
              <w:rPr>
                <w:rFonts w:hint="eastAsia"/>
              </w:rPr>
              <w:t>綦江大桥</w:t>
            </w:r>
          </w:p>
        </w:tc>
        <w:tc>
          <w:tcPr>
            <w:tcW w:w="556" w:type="pct"/>
            <w:noWrap w:val="0"/>
            <w:vAlign w:val="center"/>
          </w:tcPr>
          <w:p>
            <w:pPr>
              <w:pStyle w:val="3013"/>
              <w:spacing w:line="240" w:lineRule="exact"/>
              <w:rPr>
                <w:rFonts w:hint="eastAsia"/>
              </w:rPr>
            </w:pPr>
            <w:r>
              <w:rPr>
                <w:rFonts w:hint="eastAsia"/>
              </w:rPr>
              <w:t>76</w:t>
            </w:r>
          </w:p>
        </w:tc>
        <w:tc>
          <w:tcPr>
            <w:tcW w:w="833" w:type="pct"/>
            <w:noWrap w:val="0"/>
            <w:vAlign w:val="center"/>
          </w:tcPr>
          <w:p>
            <w:pPr>
              <w:pStyle w:val="3013"/>
              <w:spacing w:line="240" w:lineRule="exact"/>
              <w:rPr>
                <w:rFonts w:hint="eastAsia"/>
              </w:rPr>
            </w:pPr>
            <w:r>
              <w:rPr>
                <w:rFonts w:hint="eastAsia"/>
              </w:rPr>
              <w:t>连续石拱桥</w:t>
            </w:r>
          </w:p>
        </w:tc>
        <w:tc>
          <w:tcPr>
            <w:tcW w:w="833" w:type="pct"/>
            <w:noWrap w:val="0"/>
            <w:vAlign w:val="center"/>
          </w:tcPr>
          <w:p>
            <w:pPr>
              <w:pStyle w:val="3013"/>
              <w:spacing w:line="240" w:lineRule="exact"/>
              <w:rPr>
                <w:rFonts w:hint="eastAsia"/>
              </w:rPr>
            </w:pPr>
            <w:r>
              <w:rPr>
                <w:rFonts w:hint="eastAsia"/>
              </w:rPr>
              <w:t>227.4</w:t>
            </w:r>
          </w:p>
        </w:tc>
        <w:tc>
          <w:tcPr>
            <w:tcW w:w="695" w:type="pct"/>
            <w:noWrap w:val="0"/>
            <w:vAlign w:val="center"/>
          </w:tcPr>
          <w:p>
            <w:pPr>
              <w:pStyle w:val="3013"/>
              <w:spacing w:line="240" w:lineRule="exact"/>
              <w:rPr>
                <w:rFonts w:hint="eastAsia"/>
              </w:rPr>
            </w:pPr>
            <w:r>
              <w:rPr>
                <w:rFonts w:hint="eastAsia"/>
              </w:rPr>
              <w:t>1972</w:t>
            </w:r>
          </w:p>
        </w:tc>
        <w:tc>
          <w:tcPr>
            <w:tcW w:w="556" w:type="pct"/>
            <w:noWrap w:val="0"/>
            <w:vAlign w:val="center"/>
          </w:tcPr>
          <w:p>
            <w:pPr>
              <w:pStyle w:val="3013"/>
              <w:spacing w:line="240" w:lineRule="exact"/>
              <w:rPr>
                <w:rFonts w:hint="eastAsia"/>
              </w:rPr>
            </w:pPr>
            <w:r>
              <w:rPr>
                <w:rFonts w:hint="eastAsia"/>
              </w:rPr>
              <w:t>公路</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418" w:type="pct"/>
            <w:noWrap w:val="0"/>
            <w:vAlign w:val="center"/>
          </w:tcPr>
          <w:p>
            <w:pPr>
              <w:pStyle w:val="3013"/>
              <w:spacing w:line="240" w:lineRule="exact"/>
              <w:rPr>
                <w:rFonts w:hint="eastAsia"/>
              </w:rPr>
            </w:pPr>
            <w:r>
              <w:rPr>
                <w:rFonts w:hint="eastAsia"/>
              </w:rPr>
              <w:t>6</w:t>
            </w:r>
          </w:p>
        </w:tc>
        <w:tc>
          <w:tcPr>
            <w:tcW w:w="1109" w:type="pct"/>
            <w:noWrap w:val="0"/>
            <w:vAlign w:val="center"/>
          </w:tcPr>
          <w:p>
            <w:pPr>
              <w:pStyle w:val="3013"/>
              <w:spacing w:line="240" w:lineRule="exact"/>
              <w:rPr>
                <w:rFonts w:hint="eastAsia"/>
              </w:rPr>
            </w:pPr>
            <w:r>
              <w:rPr>
                <w:rFonts w:hint="eastAsia"/>
              </w:rPr>
              <w:t>彩虹桥</w:t>
            </w:r>
          </w:p>
        </w:tc>
        <w:tc>
          <w:tcPr>
            <w:tcW w:w="556" w:type="pct"/>
            <w:noWrap w:val="0"/>
            <w:vAlign w:val="center"/>
          </w:tcPr>
          <w:p>
            <w:pPr>
              <w:pStyle w:val="3013"/>
              <w:spacing w:line="240" w:lineRule="exact"/>
              <w:rPr>
                <w:rFonts w:hint="eastAsia"/>
              </w:rPr>
            </w:pPr>
            <w:r>
              <w:rPr>
                <w:rFonts w:hint="eastAsia"/>
              </w:rPr>
              <w:t>76.7</w:t>
            </w:r>
          </w:p>
        </w:tc>
        <w:tc>
          <w:tcPr>
            <w:tcW w:w="833" w:type="pct"/>
            <w:noWrap w:val="0"/>
            <w:vAlign w:val="center"/>
          </w:tcPr>
          <w:p>
            <w:pPr>
              <w:pStyle w:val="3013"/>
              <w:spacing w:line="240" w:lineRule="exact"/>
              <w:rPr>
                <w:rFonts w:hint="eastAsia"/>
              </w:rPr>
            </w:pPr>
            <w:r>
              <w:rPr>
                <w:rFonts w:hint="eastAsia"/>
              </w:rPr>
              <w:t>混凝土拱桥</w:t>
            </w:r>
          </w:p>
        </w:tc>
        <w:tc>
          <w:tcPr>
            <w:tcW w:w="833" w:type="pct"/>
            <w:noWrap w:val="0"/>
            <w:vAlign w:val="center"/>
          </w:tcPr>
          <w:p>
            <w:pPr>
              <w:pStyle w:val="3013"/>
              <w:spacing w:line="240" w:lineRule="exact"/>
              <w:rPr>
                <w:rFonts w:hint="eastAsia"/>
              </w:rPr>
            </w:pPr>
            <w:r>
              <w:rPr>
                <w:rFonts w:hint="eastAsia"/>
              </w:rPr>
              <w:t>237.19</w:t>
            </w:r>
          </w:p>
        </w:tc>
        <w:tc>
          <w:tcPr>
            <w:tcW w:w="695" w:type="pct"/>
            <w:noWrap w:val="0"/>
            <w:vAlign w:val="center"/>
          </w:tcPr>
          <w:p>
            <w:pPr>
              <w:pStyle w:val="3013"/>
              <w:spacing w:line="240" w:lineRule="exact"/>
              <w:rPr>
                <w:rFonts w:hint="eastAsia"/>
              </w:rPr>
            </w:pPr>
            <w:r>
              <w:rPr>
                <w:rFonts w:hint="eastAsia"/>
              </w:rPr>
              <w:t>2001</w:t>
            </w:r>
          </w:p>
        </w:tc>
        <w:tc>
          <w:tcPr>
            <w:tcW w:w="556" w:type="pct"/>
            <w:noWrap w:val="0"/>
            <w:vAlign w:val="center"/>
          </w:tcPr>
          <w:p>
            <w:pPr>
              <w:pStyle w:val="3013"/>
              <w:spacing w:line="240" w:lineRule="exact"/>
              <w:rPr>
                <w:rFonts w:hint="eastAsia"/>
              </w:rPr>
            </w:pPr>
            <w:r>
              <w:rPr>
                <w:rFonts w:hint="eastAsia"/>
              </w:rPr>
              <w:t>人行桥</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418" w:type="pct"/>
            <w:noWrap w:val="0"/>
            <w:vAlign w:val="center"/>
          </w:tcPr>
          <w:p>
            <w:pPr>
              <w:pStyle w:val="3013"/>
              <w:spacing w:line="240" w:lineRule="exact"/>
              <w:rPr>
                <w:rFonts w:hint="eastAsia"/>
              </w:rPr>
            </w:pPr>
            <w:r>
              <w:rPr>
                <w:rFonts w:hint="eastAsia"/>
              </w:rPr>
              <w:t>7</w:t>
            </w:r>
          </w:p>
        </w:tc>
        <w:tc>
          <w:tcPr>
            <w:tcW w:w="1109" w:type="pct"/>
            <w:noWrap w:val="0"/>
            <w:vAlign w:val="center"/>
          </w:tcPr>
          <w:p>
            <w:pPr>
              <w:pStyle w:val="3013"/>
              <w:spacing w:line="240" w:lineRule="exact"/>
              <w:rPr>
                <w:rFonts w:hint="eastAsia"/>
              </w:rPr>
            </w:pPr>
            <w:r>
              <w:rPr>
                <w:rFonts w:hint="eastAsia"/>
              </w:rPr>
              <w:t>沱湾大桥</w:t>
            </w:r>
          </w:p>
        </w:tc>
        <w:tc>
          <w:tcPr>
            <w:tcW w:w="556" w:type="pct"/>
            <w:noWrap w:val="0"/>
            <w:vAlign w:val="center"/>
          </w:tcPr>
          <w:p>
            <w:pPr>
              <w:pStyle w:val="3013"/>
              <w:spacing w:line="240" w:lineRule="exact"/>
              <w:rPr>
                <w:rFonts w:hint="eastAsia"/>
              </w:rPr>
            </w:pPr>
            <w:r>
              <w:rPr>
                <w:rFonts w:hint="eastAsia"/>
              </w:rPr>
              <w:t>77.6</w:t>
            </w:r>
          </w:p>
        </w:tc>
        <w:tc>
          <w:tcPr>
            <w:tcW w:w="833" w:type="pct"/>
            <w:noWrap w:val="0"/>
            <w:vAlign w:val="center"/>
          </w:tcPr>
          <w:p>
            <w:pPr>
              <w:pStyle w:val="3013"/>
              <w:spacing w:line="240" w:lineRule="exact"/>
              <w:rPr>
                <w:rFonts w:hint="eastAsia"/>
              </w:rPr>
            </w:pPr>
            <w:r>
              <w:rPr>
                <w:rFonts w:hint="eastAsia"/>
              </w:rPr>
              <w:t>混凝土拱桥</w:t>
            </w:r>
          </w:p>
        </w:tc>
        <w:tc>
          <w:tcPr>
            <w:tcW w:w="833" w:type="pct"/>
            <w:noWrap w:val="0"/>
            <w:vAlign w:val="center"/>
          </w:tcPr>
          <w:p>
            <w:pPr>
              <w:pStyle w:val="3013"/>
              <w:spacing w:line="240" w:lineRule="exact"/>
              <w:rPr>
                <w:rFonts w:hint="eastAsia"/>
              </w:rPr>
            </w:pPr>
            <w:r>
              <w:rPr>
                <w:rFonts w:hint="eastAsia"/>
              </w:rPr>
              <w:t>233.39</w:t>
            </w:r>
          </w:p>
        </w:tc>
        <w:tc>
          <w:tcPr>
            <w:tcW w:w="695" w:type="pct"/>
            <w:noWrap w:val="0"/>
            <w:vAlign w:val="center"/>
          </w:tcPr>
          <w:p>
            <w:pPr>
              <w:pStyle w:val="3013"/>
              <w:spacing w:line="240" w:lineRule="exact"/>
              <w:rPr>
                <w:rFonts w:hint="eastAsia"/>
              </w:rPr>
            </w:pPr>
            <w:r>
              <w:rPr>
                <w:rFonts w:hint="eastAsia"/>
              </w:rPr>
              <w:t>1995</w:t>
            </w:r>
          </w:p>
        </w:tc>
        <w:tc>
          <w:tcPr>
            <w:tcW w:w="556" w:type="pct"/>
            <w:noWrap w:val="0"/>
            <w:vAlign w:val="center"/>
          </w:tcPr>
          <w:p>
            <w:pPr>
              <w:pStyle w:val="3013"/>
              <w:spacing w:line="240" w:lineRule="exact"/>
              <w:rPr>
                <w:rFonts w:hint="eastAsia"/>
              </w:rPr>
            </w:pPr>
            <w:r>
              <w:rPr>
                <w:rFonts w:hint="eastAsia"/>
              </w:rPr>
              <w:t>公路</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418" w:type="pct"/>
            <w:noWrap w:val="0"/>
            <w:vAlign w:val="center"/>
          </w:tcPr>
          <w:p>
            <w:pPr>
              <w:pStyle w:val="3013"/>
              <w:spacing w:line="240" w:lineRule="exact"/>
              <w:rPr>
                <w:rFonts w:hint="eastAsia"/>
              </w:rPr>
            </w:pPr>
            <w:r>
              <w:rPr>
                <w:rFonts w:hint="eastAsia"/>
              </w:rPr>
              <w:t>8</w:t>
            </w:r>
          </w:p>
        </w:tc>
        <w:tc>
          <w:tcPr>
            <w:tcW w:w="1109" w:type="pct"/>
            <w:noWrap w:val="0"/>
            <w:vAlign w:val="center"/>
          </w:tcPr>
          <w:p>
            <w:pPr>
              <w:pStyle w:val="3013"/>
              <w:spacing w:line="240" w:lineRule="exact"/>
              <w:rPr>
                <w:rFonts w:hint="eastAsia"/>
              </w:rPr>
            </w:pPr>
            <w:r>
              <w:rPr>
                <w:rFonts w:hint="eastAsia"/>
              </w:rPr>
              <w:t>三环土槽湾大桥</w:t>
            </w:r>
          </w:p>
        </w:tc>
        <w:tc>
          <w:tcPr>
            <w:tcW w:w="556" w:type="pct"/>
            <w:noWrap w:val="0"/>
            <w:vAlign w:val="center"/>
          </w:tcPr>
          <w:p>
            <w:pPr>
              <w:pStyle w:val="3013"/>
              <w:spacing w:line="240" w:lineRule="exact"/>
              <w:rPr>
                <w:rFonts w:hint="eastAsia"/>
              </w:rPr>
            </w:pPr>
            <w:r>
              <w:rPr>
                <w:rFonts w:hint="eastAsia"/>
              </w:rPr>
              <w:t>79.5</w:t>
            </w:r>
          </w:p>
        </w:tc>
        <w:tc>
          <w:tcPr>
            <w:tcW w:w="833" w:type="pct"/>
            <w:noWrap w:val="0"/>
            <w:vAlign w:val="center"/>
          </w:tcPr>
          <w:p>
            <w:pPr>
              <w:pStyle w:val="3013"/>
              <w:spacing w:line="240" w:lineRule="exact"/>
              <w:rPr>
                <w:rFonts w:hint="eastAsia"/>
              </w:rPr>
            </w:pPr>
            <w:r>
              <w:rPr>
                <w:rFonts w:hint="eastAsia"/>
              </w:rPr>
              <w:t>连续刚构</w:t>
            </w:r>
          </w:p>
        </w:tc>
        <w:tc>
          <w:tcPr>
            <w:tcW w:w="833" w:type="pct"/>
            <w:noWrap w:val="0"/>
            <w:vAlign w:val="center"/>
          </w:tcPr>
          <w:p>
            <w:pPr>
              <w:pStyle w:val="3013"/>
              <w:spacing w:line="240" w:lineRule="exact"/>
              <w:rPr>
                <w:rFonts w:hint="eastAsia"/>
              </w:rPr>
            </w:pPr>
            <w:r>
              <w:rPr>
                <w:rFonts w:hint="eastAsia"/>
              </w:rPr>
              <w:t>267.72</w:t>
            </w:r>
          </w:p>
        </w:tc>
        <w:tc>
          <w:tcPr>
            <w:tcW w:w="695" w:type="pct"/>
            <w:noWrap w:val="0"/>
            <w:vAlign w:val="center"/>
          </w:tcPr>
          <w:p>
            <w:pPr>
              <w:pStyle w:val="3013"/>
              <w:spacing w:line="240" w:lineRule="exact"/>
              <w:rPr>
                <w:rFonts w:hint="eastAsia"/>
              </w:rPr>
            </w:pPr>
          </w:p>
        </w:tc>
        <w:tc>
          <w:tcPr>
            <w:tcW w:w="556" w:type="pct"/>
            <w:noWrap w:val="0"/>
            <w:vAlign w:val="center"/>
          </w:tcPr>
          <w:p>
            <w:pPr>
              <w:pStyle w:val="3013"/>
              <w:spacing w:line="240" w:lineRule="exact"/>
              <w:rPr>
                <w:rFonts w:hint="eastAsia"/>
              </w:rPr>
            </w:pPr>
            <w:r>
              <w:rPr>
                <w:rFonts w:hint="eastAsia"/>
              </w:rPr>
              <w:t>公路</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418" w:type="pct"/>
            <w:noWrap w:val="0"/>
            <w:vAlign w:val="center"/>
          </w:tcPr>
          <w:p>
            <w:pPr>
              <w:pStyle w:val="3013"/>
              <w:spacing w:line="240" w:lineRule="exact"/>
              <w:rPr>
                <w:rFonts w:hint="eastAsia"/>
              </w:rPr>
            </w:pPr>
            <w:r>
              <w:rPr>
                <w:rFonts w:hint="eastAsia"/>
              </w:rPr>
              <w:t>9</w:t>
            </w:r>
          </w:p>
        </w:tc>
        <w:tc>
          <w:tcPr>
            <w:tcW w:w="1109" w:type="pct"/>
            <w:noWrap w:val="0"/>
            <w:vAlign w:val="center"/>
          </w:tcPr>
          <w:p>
            <w:pPr>
              <w:pStyle w:val="3013"/>
              <w:spacing w:line="240" w:lineRule="exact"/>
              <w:rPr>
                <w:rFonts w:hint="eastAsia"/>
              </w:rPr>
            </w:pPr>
            <w:r>
              <w:rPr>
                <w:rFonts w:hint="eastAsia"/>
              </w:rPr>
              <w:t>渝黔高速大桥</w:t>
            </w:r>
          </w:p>
        </w:tc>
        <w:tc>
          <w:tcPr>
            <w:tcW w:w="556" w:type="pct"/>
            <w:noWrap w:val="0"/>
            <w:vAlign w:val="center"/>
          </w:tcPr>
          <w:p>
            <w:pPr>
              <w:pStyle w:val="3013"/>
              <w:spacing w:line="240" w:lineRule="exact"/>
              <w:rPr>
                <w:rFonts w:hint="eastAsia"/>
              </w:rPr>
            </w:pPr>
            <w:r>
              <w:rPr>
                <w:rFonts w:hint="eastAsia"/>
              </w:rPr>
              <w:t>81</w:t>
            </w:r>
          </w:p>
        </w:tc>
        <w:tc>
          <w:tcPr>
            <w:tcW w:w="833" w:type="pct"/>
            <w:noWrap w:val="0"/>
            <w:vAlign w:val="center"/>
          </w:tcPr>
          <w:p>
            <w:pPr>
              <w:pStyle w:val="3013"/>
              <w:spacing w:line="240" w:lineRule="exact"/>
              <w:rPr>
                <w:rFonts w:hint="eastAsia"/>
              </w:rPr>
            </w:pPr>
            <w:r>
              <w:rPr>
                <w:rFonts w:hint="eastAsia"/>
              </w:rPr>
              <w:t>连续梁</w:t>
            </w:r>
          </w:p>
        </w:tc>
        <w:tc>
          <w:tcPr>
            <w:tcW w:w="833" w:type="pct"/>
            <w:noWrap w:val="0"/>
            <w:vAlign w:val="center"/>
          </w:tcPr>
          <w:p>
            <w:pPr>
              <w:pStyle w:val="3013"/>
              <w:spacing w:line="240" w:lineRule="exact"/>
              <w:rPr>
                <w:rFonts w:hint="eastAsia"/>
              </w:rPr>
            </w:pPr>
            <w:r>
              <w:rPr>
                <w:rFonts w:hint="eastAsia"/>
              </w:rPr>
              <w:t>274.9</w:t>
            </w:r>
          </w:p>
        </w:tc>
        <w:tc>
          <w:tcPr>
            <w:tcW w:w="695" w:type="pct"/>
            <w:noWrap w:val="0"/>
            <w:vAlign w:val="center"/>
          </w:tcPr>
          <w:p>
            <w:pPr>
              <w:pStyle w:val="3013"/>
              <w:spacing w:line="240" w:lineRule="exact"/>
              <w:rPr>
                <w:rFonts w:hint="eastAsia"/>
              </w:rPr>
            </w:pPr>
            <w:r>
              <w:rPr>
                <w:rFonts w:hint="eastAsia"/>
              </w:rPr>
              <w:t>1993</w:t>
            </w:r>
          </w:p>
        </w:tc>
        <w:tc>
          <w:tcPr>
            <w:tcW w:w="556" w:type="pct"/>
            <w:noWrap w:val="0"/>
            <w:vAlign w:val="center"/>
          </w:tcPr>
          <w:p>
            <w:pPr>
              <w:pStyle w:val="3013"/>
              <w:spacing w:line="240" w:lineRule="exact"/>
              <w:rPr>
                <w:rFonts w:hint="eastAsia"/>
              </w:rPr>
            </w:pPr>
            <w:r>
              <w:rPr>
                <w:rFonts w:hint="eastAsia"/>
              </w:rPr>
              <w:t>公路</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418" w:type="pct"/>
            <w:noWrap w:val="0"/>
            <w:vAlign w:val="center"/>
          </w:tcPr>
          <w:p>
            <w:pPr>
              <w:pStyle w:val="3013"/>
              <w:spacing w:line="240" w:lineRule="exact"/>
              <w:rPr>
                <w:rFonts w:hint="eastAsia"/>
              </w:rPr>
            </w:pPr>
            <w:r>
              <w:rPr>
                <w:rFonts w:hint="eastAsia"/>
              </w:rPr>
              <w:t>10</w:t>
            </w:r>
          </w:p>
        </w:tc>
        <w:tc>
          <w:tcPr>
            <w:tcW w:w="1109" w:type="pct"/>
            <w:noWrap w:val="0"/>
            <w:vAlign w:val="center"/>
          </w:tcPr>
          <w:p>
            <w:pPr>
              <w:pStyle w:val="3013"/>
              <w:spacing w:line="240" w:lineRule="exact"/>
              <w:rPr>
                <w:rFonts w:hint="eastAsia"/>
              </w:rPr>
            </w:pPr>
            <w:r>
              <w:rPr>
                <w:rFonts w:hint="eastAsia"/>
              </w:rPr>
              <w:t>四钢旧铁路大桥</w:t>
            </w:r>
          </w:p>
        </w:tc>
        <w:tc>
          <w:tcPr>
            <w:tcW w:w="556" w:type="pct"/>
            <w:noWrap w:val="0"/>
            <w:vAlign w:val="center"/>
          </w:tcPr>
          <w:p>
            <w:pPr>
              <w:pStyle w:val="3013"/>
              <w:spacing w:line="240" w:lineRule="exact"/>
              <w:rPr>
                <w:rFonts w:hint="eastAsia"/>
              </w:rPr>
            </w:pPr>
            <w:r>
              <w:rPr>
                <w:rFonts w:hint="eastAsia"/>
              </w:rPr>
              <w:t>86</w:t>
            </w:r>
          </w:p>
        </w:tc>
        <w:tc>
          <w:tcPr>
            <w:tcW w:w="833" w:type="pct"/>
            <w:noWrap w:val="0"/>
            <w:vAlign w:val="center"/>
          </w:tcPr>
          <w:p>
            <w:pPr>
              <w:pStyle w:val="3013"/>
              <w:spacing w:line="240" w:lineRule="exact"/>
              <w:rPr>
                <w:rFonts w:hint="eastAsia"/>
              </w:rPr>
            </w:pPr>
            <w:r>
              <w:rPr>
                <w:rFonts w:hint="eastAsia"/>
              </w:rPr>
              <w:t>连续梁</w:t>
            </w:r>
          </w:p>
        </w:tc>
        <w:tc>
          <w:tcPr>
            <w:tcW w:w="833" w:type="pct"/>
            <w:noWrap w:val="0"/>
            <w:vAlign w:val="center"/>
          </w:tcPr>
          <w:p>
            <w:pPr>
              <w:pStyle w:val="3013"/>
              <w:spacing w:line="240" w:lineRule="exact"/>
              <w:rPr>
                <w:rFonts w:hint="eastAsia"/>
              </w:rPr>
            </w:pPr>
            <w:r>
              <w:rPr>
                <w:rFonts w:hint="eastAsia"/>
              </w:rPr>
              <w:t>240.9</w:t>
            </w:r>
          </w:p>
        </w:tc>
        <w:tc>
          <w:tcPr>
            <w:tcW w:w="695" w:type="pct"/>
            <w:noWrap w:val="0"/>
            <w:vAlign w:val="center"/>
          </w:tcPr>
          <w:p>
            <w:pPr>
              <w:pStyle w:val="3013"/>
              <w:spacing w:line="240" w:lineRule="exact"/>
              <w:rPr>
                <w:rFonts w:hint="eastAsia"/>
              </w:rPr>
            </w:pPr>
            <w:r>
              <w:rPr>
                <w:rFonts w:hint="eastAsia"/>
              </w:rPr>
              <w:t>1965</w:t>
            </w:r>
          </w:p>
        </w:tc>
        <w:tc>
          <w:tcPr>
            <w:tcW w:w="556" w:type="pct"/>
            <w:noWrap w:val="0"/>
            <w:vAlign w:val="center"/>
          </w:tcPr>
          <w:p>
            <w:pPr>
              <w:pStyle w:val="3013"/>
              <w:spacing w:line="240" w:lineRule="exact"/>
              <w:rPr>
                <w:rFonts w:hint="eastAsia"/>
              </w:rPr>
            </w:pPr>
            <w:r>
              <w:rPr>
                <w:rFonts w:hint="eastAsia"/>
              </w:rPr>
              <w:t>铁路</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418" w:type="pct"/>
            <w:noWrap w:val="0"/>
            <w:vAlign w:val="center"/>
          </w:tcPr>
          <w:p>
            <w:pPr>
              <w:pStyle w:val="3013"/>
              <w:spacing w:line="240" w:lineRule="exact"/>
              <w:rPr>
                <w:rFonts w:hint="eastAsia"/>
              </w:rPr>
            </w:pPr>
            <w:r>
              <w:rPr>
                <w:rFonts w:hint="eastAsia"/>
              </w:rPr>
              <w:t>11</w:t>
            </w:r>
          </w:p>
        </w:tc>
        <w:tc>
          <w:tcPr>
            <w:tcW w:w="1109" w:type="pct"/>
            <w:noWrap w:val="0"/>
            <w:vAlign w:val="center"/>
          </w:tcPr>
          <w:p>
            <w:pPr>
              <w:pStyle w:val="3013"/>
              <w:spacing w:line="240" w:lineRule="exact"/>
              <w:rPr>
                <w:rFonts w:hint="eastAsia"/>
              </w:rPr>
            </w:pPr>
            <w:r>
              <w:rPr>
                <w:rFonts w:hint="eastAsia"/>
              </w:rPr>
              <w:t>四钢铁路大桥</w:t>
            </w:r>
          </w:p>
        </w:tc>
        <w:tc>
          <w:tcPr>
            <w:tcW w:w="556" w:type="pct"/>
            <w:noWrap w:val="0"/>
            <w:vAlign w:val="center"/>
          </w:tcPr>
          <w:p>
            <w:pPr>
              <w:pStyle w:val="3013"/>
              <w:spacing w:line="240" w:lineRule="exact"/>
              <w:rPr>
                <w:rFonts w:hint="eastAsia"/>
              </w:rPr>
            </w:pPr>
            <w:r>
              <w:rPr>
                <w:rFonts w:hint="eastAsia"/>
              </w:rPr>
              <w:t>87</w:t>
            </w:r>
          </w:p>
        </w:tc>
        <w:tc>
          <w:tcPr>
            <w:tcW w:w="833" w:type="pct"/>
            <w:noWrap w:val="0"/>
            <w:vAlign w:val="center"/>
          </w:tcPr>
          <w:p>
            <w:pPr>
              <w:pStyle w:val="3013"/>
              <w:spacing w:line="240" w:lineRule="exact"/>
              <w:rPr>
                <w:rFonts w:hint="eastAsia"/>
              </w:rPr>
            </w:pPr>
            <w:r>
              <w:rPr>
                <w:rFonts w:hint="eastAsia"/>
              </w:rPr>
              <w:t>连续钢梁</w:t>
            </w:r>
          </w:p>
        </w:tc>
        <w:tc>
          <w:tcPr>
            <w:tcW w:w="833" w:type="pct"/>
            <w:noWrap w:val="0"/>
            <w:vAlign w:val="center"/>
          </w:tcPr>
          <w:p>
            <w:pPr>
              <w:pStyle w:val="3013"/>
              <w:spacing w:line="240" w:lineRule="exact"/>
              <w:rPr>
                <w:rFonts w:hint="eastAsia"/>
              </w:rPr>
            </w:pPr>
            <w:r>
              <w:rPr>
                <w:rFonts w:hint="eastAsia"/>
              </w:rPr>
              <w:t>245</w:t>
            </w:r>
          </w:p>
        </w:tc>
        <w:tc>
          <w:tcPr>
            <w:tcW w:w="695" w:type="pct"/>
            <w:noWrap w:val="0"/>
            <w:vAlign w:val="center"/>
          </w:tcPr>
          <w:p>
            <w:pPr>
              <w:pStyle w:val="3013"/>
              <w:spacing w:line="240" w:lineRule="exact"/>
              <w:rPr>
                <w:rFonts w:hint="eastAsia"/>
              </w:rPr>
            </w:pPr>
            <w:r>
              <w:rPr>
                <w:rFonts w:hint="eastAsia"/>
              </w:rPr>
              <w:t>1976</w:t>
            </w:r>
          </w:p>
        </w:tc>
        <w:tc>
          <w:tcPr>
            <w:tcW w:w="556" w:type="pct"/>
            <w:noWrap w:val="0"/>
            <w:vAlign w:val="center"/>
          </w:tcPr>
          <w:p>
            <w:pPr>
              <w:pStyle w:val="3013"/>
              <w:spacing w:line="240" w:lineRule="exact"/>
              <w:rPr>
                <w:rFonts w:hint="eastAsia"/>
              </w:rPr>
            </w:pPr>
            <w:r>
              <w:rPr>
                <w:rFonts w:hint="eastAsia"/>
              </w:rPr>
              <w:t>铁路</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418" w:type="pct"/>
            <w:noWrap w:val="0"/>
            <w:vAlign w:val="center"/>
          </w:tcPr>
          <w:p>
            <w:pPr>
              <w:pStyle w:val="3013"/>
              <w:spacing w:line="240" w:lineRule="exact"/>
              <w:rPr>
                <w:rFonts w:hint="eastAsia"/>
              </w:rPr>
            </w:pPr>
            <w:r>
              <w:rPr>
                <w:rFonts w:hint="eastAsia"/>
              </w:rPr>
              <w:t>12</w:t>
            </w:r>
          </w:p>
        </w:tc>
        <w:tc>
          <w:tcPr>
            <w:tcW w:w="1109" w:type="pct"/>
            <w:noWrap w:val="0"/>
            <w:vAlign w:val="center"/>
          </w:tcPr>
          <w:p>
            <w:pPr>
              <w:pStyle w:val="3013"/>
              <w:spacing w:line="240" w:lineRule="exact"/>
              <w:rPr>
                <w:rFonts w:hint="eastAsia"/>
              </w:rPr>
            </w:pPr>
            <w:r>
              <w:rPr>
                <w:rFonts w:hint="eastAsia"/>
              </w:rPr>
              <w:t>三江大桥</w:t>
            </w:r>
          </w:p>
        </w:tc>
        <w:tc>
          <w:tcPr>
            <w:tcW w:w="556" w:type="pct"/>
            <w:noWrap w:val="0"/>
            <w:vAlign w:val="center"/>
          </w:tcPr>
          <w:p>
            <w:pPr>
              <w:pStyle w:val="3013"/>
              <w:spacing w:line="240" w:lineRule="exact"/>
              <w:rPr>
                <w:rFonts w:hint="eastAsia"/>
              </w:rPr>
            </w:pPr>
            <w:r>
              <w:rPr>
                <w:rFonts w:hint="eastAsia"/>
              </w:rPr>
              <w:t>89</w:t>
            </w:r>
          </w:p>
        </w:tc>
        <w:tc>
          <w:tcPr>
            <w:tcW w:w="833" w:type="pct"/>
            <w:noWrap w:val="0"/>
            <w:vAlign w:val="center"/>
          </w:tcPr>
          <w:p>
            <w:pPr>
              <w:pStyle w:val="3013"/>
              <w:spacing w:line="240" w:lineRule="exact"/>
              <w:rPr>
                <w:rFonts w:hint="eastAsia"/>
              </w:rPr>
            </w:pPr>
            <w:r>
              <w:rPr>
                <w:rFonts w:hint="eastAsia"/>
              </w:rPr>
              <w:t>连续梁</w:t>
            </w:r>
          </w:p>
        </w:tc>
        <w:tc>
          <w:tcPr>
            <w:tcW w:w="833" w:type="pct"/>
            <w:noWrap w:val="0"/>
            <w:vAlign w:val="center"/>
          </w:tcPr>
          <w:p>
            <w:pPr>
              <w:pStyle w:val="3013"/>
              <w:spacing w:line="240" w:lineRule="exact"/>
              <w:rPr>
                <w:rFonts w:hint="eastAsia"/>
              </w:rPr>
            </w:pPr>
            <w:r>
              <w:rPr>
                <w:rFonts w:hint="eastAsia"/>
              </w:rPr>
              <w:t>279.5</w:t>
            </w:r>
          </w:p>
        </w:tc>
        <w:tc>
          <w:tcPr>
            <w:tcW w:w="695" w:type="pct"/>
            <w:noWrap w:val="0"/>
            <w:vAlign w:val="center"/>
          </w:tcPr>
          <w:p>
            <w:pPr>
              <w:pStyle w:val="3013"/>
              <w:spacing w:line="240" w:lineRule="exact"/>
              <w:rPr>
                <w:rFonts w:hint="eastAsia"/>
              </w:rPr>
            </w:pPr>
            <w:r>
              <w:rPr>
                <w:rFonts w:hint="eastAsia"/>
              </w:rPr>
              <w:t>1999</w:t>
            </w:r>
          </w:p>
        </w:tc>
        <w:tc>
          <w:tcPr>
            <w:tcW w:w="556" w:type="pct"/>
            <w:noWrap w:val="0"/>
            <w:vAlign w:val="center"/>
          </w:tcPr>
          <w:p>
            <w:pPr>
              <w:pStyle w:val="3013"/>
              <w:spacing w:line="240" w:lineRule="exact"/>
              <w:rPr>
                <w:rFonts w:hint="eastAsia"/>
              </w:rPr>
            </w:pPr>
            <w:r>
              <w:rPr>
                <w:rFonts w:hint="eastAsia"/>
              </w:rPr>
              <w:t>公路</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418" w:type="pct"/>
            <w:noWrap w:val="0"/>
            <w:vAlign w:val="center"/>
          </w:tcPr>
          <w:p>
            <w:pPr>
              <w:pStyle w:val="3013"/>
              <w:spacing w:line="240" w:lineRule="exact"/>
              <w:rPr>
                <w:rFonts w:hint="eastAsia"/>
              </w:rPr>
            </w:pPr>
            <w:r>
              <w:rPr>
                <w:rFonts w:hint="eastAsia"/>
              </w:rPr>
              <w:t>13</w:t>
            </w:r>
          </w:p>
        </w:tc>
        <w:tc>
          <w:tcPr>
            <w:tcW w:w="1109" w:type="pct"/>
            <w:noWrap w:val="0"/>
            <w:vAlign w:val="center"/>
          </w:tcPr>
          <w:p>
            <w:pPr>
              <w:pStyle w:val="3013"/>
              <w:spacing w:line="240" w:lineRule="exact"/>
              <w:rPr>
                <w:rFonts w:hint="eastAsia"/>
              </w:rPr>
            </w:pPr>
            <w:r>
              <w:rPr>
                <w:rFonts w:hint="eastAsia"/>
              </w:rPr>
              <w:t>三江旧大桥</w:t>
            </w:r>
          </w:p>
        </w:tc>
        <w:tc>
          <w:tcPr>
            <w:tcW w:w="556" w:type="pct"/>
            <w:noWrap w:val="0"/>
            <w:vAlign w:val="center"/>
          </w:tcPr>
          <w:p>
            <w:pPr>
              <w:pStyle w:val="3013"/>
              <w:spacing w:line="240" w:lineRule="exact"/>
              <w:rPr>
                <w:rFonts w:hint="eastAsia"/>
              </w:rPr>
            </w:pPr>
            <w:r>
              <w:rPr>
                <w:rFonts w:hint="eastAsia"/>
              </w:rPr>
              <w:t>89.2</w:t>
            </w:r>
          </w:p>
        </w:tc>
        <w:tc>
          <w:tcPr>
            <w:tcW w:w="833" w:type="pct"/>
            <w:noWrap w:val="0"/>
            <w:vAlign w:val="center"/>
          </w:tcPr>
          <w:p>
            <w:pPr>
              <w:pStyle w:val="3013"/>
              <w:spacing w:line="240" w:lineRule="exact"/>
              <w:rPr>
                <w:rFonts w:hint="eastAsia"/>
              </w:rPr>
            </w:pPr>
            <w:r>
              <w:rPr>
                <w:rFonts w:hint="eastAsia"/>
              </w:rPr>
              <w:t>连续梁</w:t>
            </w:r>
          </w:p>
        </w:tc>
        <w:tc>
          <w:tcPr>
            <w:tcW w:w="833" w:type="pct"/>
            <w:noWrap w:val="0"/>
            <w:vAlign w:val="center"/>
          </w:tcPr>
          <w:p>
            <w:pPr>
              <w:pStyle w:val="3013"/>
              <w:spacing w:line="240" w:lineRule="exact"/>
              <w:rPr>
                <w:rFonts w:hint="eastAsia"/>
              </w:rPr>
            </w:pPr>
            <w:r>
              <w:rPr>
                <w:rFonts w:hint="eastAsia"/>
              </w:rPr>
              <w:t>240.5</w:t>
            </w:r>
          </w:p>
        </w:tc>
        <w:tc>
          <w:tcPr>
            <w:tcW w:w="695" w:type="pct"/>
            <w:noWrap w:val="0"/>
            <w:vAlign w:val="center"/>
          </w:tcPr>
          <w:p>
            <w:pPr>
              <w:pStyle w:val="3013"/>
              <w:spacing w:line="240" w:lineRule="exact"/>
              <w:rPr>
                <w:rFonts w:hint="eastAsia"/>
              </w:rPr>
            </w:pPr>
            <w:r>
              <w:rPr>
                <w:rFonts w:hint="eastAsia"/>
              </w:rPr>
              <w:t>1958</w:t>
            </w:r>
          </w:p>
        </w:tc>
        <w:tc>
          <w:tcPr>
            <w:tcW w:w="556" w:type="pct"/>
            <w:noWrap w:val="0"/>
            <w:vAlign w:val="center"/>
          </w:tcPr>
          <w:p>
            <w:pPr>
              <w:pStyle w:val="3013"/>
              <w:spacing w:line="240" w:lineRule="exact"/>
              <w:rPr>
                <w:rFonts w:hint="eastAsia"/>
              </w:rPr>
            </w:pPr>
            <w:r>
              <w:rPr>
                <w:rFonts w:hint="eastAsia"/>
              </w:rPr>
              <w:t>公路</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418" w:type="pct"/>
            <w:noWrap w:val="0"/>
            <w:vAlign w:val="center"/>
          </w:tcPr>
          <w:p>
            <w:pPr>
              <w:pStyle w:val="3013"/>
              <w:spacing w:line="240" w:lineRule="exact"/>
              <w:rPr>
                <w:rFonts w:hint="eastAsia"/>
              </w:rPr>
            </w:pPr>
            <w:r>
              <w:rPr>
                <w:rFonts w:hint="eastAsia"/>
              </w:rPr>
              <w:t>14</w:t>
            </w:r>
          </w:p>
        </w:tc>
        <w:tc>
          <w:tcPr>
            <w:tcW w:w="1109" w:type="pct"/>
            <w:noWrap w:val="0"/>
            <w:vAlign w:val="center"/>
          </w:tcPr>
          <w:p>
            <w:pPr>
              <w:pStyle w:val="3013"/>
              <w:spacing w:line="240" w:lineRule="exact"/>
              <w:rPr>
                <w:rFonts w:hint="eastAsia"/>
              </w:rPr>
            </w:pPr>
            <w:r>
              <w:rPr>
                <w:rFonts w:hint="eastAsia"/>
              </w:rPr>
              <w:t>东溪太平公路桥</w:t>
            </w:r>
          </w:p>
        </w:tc>
        <w:tc>
          <w:tcPr>
            <w:tcW w:w="556" w:type="pct"/>
            <w:noWrap w:val="0"/>
            <w:vAlign w:val="center"/>
          </w:tcPr>
          <w:p>
            <w:pPr>
              <w:pStyle w:val="3013"/>
              <w:spacing w:line="240" w:lineRule="exact"/>
              <w:rPr>
                <w:rFonts w:hint="eastAsia"/>
              </w:rPr>
            </w:pPr>
            <w:r>
              <w:rPr>
                <w:rFonts w:hint="eastAsia"/>
              </w:rPr>
              <w:t>126</w:t>
            </w:r>
          </w:p>
        </w:tc>
        <w:tc>
          <w:tcPr>
            <w:tcW w:w="833" w:type="pct"/>
            <w:noWrap w:val="0"/>
            <w:vAlign w:val="center"/>
          </w:tcPr>
          <w:p>
            <w:pPr>
              <w:pStyle w:val="3013"/>
              <w:spacing w:line="240" w:lineRule="exact"/>
              <w:rPr>
                <w:rFonts w:hint="eastAsia"/>
              </w:rPr>
            </w:pPr>
            <w:r>
              <w:rPr>
                <w:rFonts w:hint="eastAsia"/>
              </w:rPr>
              <w:t>石拱桥</w:t>
            </w:r>
          </w:p>
        </w:tc>
        <w:tc>
          <w:tcPr>
            <w:tcW w:w="833" w:type="pct"/>
            <w:noWrap w:val="0"/>
            <w:vAlign w:val="center"/>
          </w:tcPr>
          <w:p>
            <w:pPr>
              <w:pStyle w:val="3013"/>
              <w:spacing w:line="240" w:lineRule="exact"/>
              <w:rPr>
                <w:rFonts w:hint="eastAsia"/>
              </w:rPr>
            </w:pPr>
            <w:r>
              <w:rPr>
                <w:rFonts w:hint="eastAsia"/>
              </w:rPr>
              <w:t>292.5</w:t>
            </w:r>
          </w:p>
        </w:tc>
        <w:tc>
          <w:tcPr>
            <w:tcW w:w="695" w:type="pct"/>
            <w:noWrap w:val="0"/>
            <w:vAlign w:val="center"/>
          </w:tcPr>
          <w:p>
            <w:pPr>
              <w:pStyle w:val="3013"/>
              <w:spacing w:line="240" w:lineRule="exact"/>
              <w:rPr>
                <w:rFonts w:hint="eastAsia"/>
              </w:rPr>
            </w:pPr>
            <w:r>
              <w:rPr>
                <w:rFonts w:hint="eastAsia"/>
              </w:rPr>
              <w:t>1995</w:t>
            </w:r>
          </w:p>
        </w:tc>
        <w:tc>
          <w:tcPr>
            <w:tcW w:w="556" w:type="pct"/>
            <w:noWrap w:val="0"/>
            <w:vAlign w:val="center"/>
          </w:tcPr>
          <w:p>
            <w:pPr>
              <w:pStyle w:val="3013"/>
              <w:spacing w:line="240" w:lineRule="exact"/>
              <w:rPr>
                <w:rFonts w:hint="eastAsia"/>
              </w:rPr>
            </w:pPr>
            <w:r>
              <w:rPr>
                <w:rFonts w:hint="eastAsia"/>
              </w:rPr>
              <w:t>公路</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418" w:type="pct"/>
            <w:noWrap w:val="0"/>
            <w:vAlign w:val="center"/>
          </w:tcPr>
          <w:p>
            <w:pPr>
              <w:pStyle w:val="3013"/>
              <w:spacing w:line="240" w:lineRule="exact"/>
              <w:rPr>
                <w:rFonts w:hint="eastAsia"/>
              </w:rPr>
            </w:pPr>
            <w:r>
              <w:rPr>
                <w:rFonts w:hint="eastAsia"/>
              </w:rPr>
              <w:t>15</w:t>
            </w:r>
          </w:p>
        </w:tc>
        <w:tc>
          <w:tcPr>
            <w:tcW w:w="1109" w:type="pct"/>
            <w:noWrap w:val="0"/>
            <w:vAlign w:val="center"/>
          </w:tcPr>
          <w:p>
            <w:pPr>
              <w:pStyle w:val="3013"/>
              <w:spacing w:line="240" w:lineRule="exact"/>
              <w:rPr>
                <w:rFonts w:hint="eastAsia"/>
              </w:rPr>
            </w:pPr>
            <w:r>
              <w:rPr>
                <w:rFonts w:hint="eastAsia"/>
              </w:rPr>
              <w:t>赶水公铁立交桥</w:t>
            </w:r>
          </w:p>
        </w:tc>
        <w:tc>
          <w:tcPr>
            <w:tcW w:w="556" w:type="pct"/>
            <w:noWrap w:val="0"/>
            <w:vAlign w:val="center"/>
          </w:tcPr>
          <w:p>
            <w:pPr>
              <w:pStyle w:val="3013"/>
              <w:spacing w:line="240" w:lineRule="exact"/>
              <w:rPr>
                <w:rFonts w:hint="eastAsia"/>
              </w:rPr>
            </w:pPr>
            <w:r>
              <w:rPr>
                <w:rFonts w:hint="eastAsia"/>
              </w:rPr>
              <w:t>135</w:t>
            </w:r>
          </w:p>
        </w:tc>
        <w:tc>
          <w:tcPr>
            <w:tcW w:w="833" w:type="pct"/>
            <w:noWrap w:val="0"/>
            <w:vAlign w:val="center"/>
          </w:tcPr>
          <w:p>
            <w:pPr>
              <w:pStyle w:val="3013"/>
              <w:spacing w:line="240" w:lineRule="exact"/>
              <w:rPr>
                <w:rFonts w:hint="eastAsia"/>
              </w:rPr>
            </w:pPr>
            <w:r>
              <w:rPr>
                <w:rFonts w:hint="eastAsia"/>
              </w:rPr>
              <w:t>连续梁</w:t>
            </w:r>
          </w:p>
        </w:tc>
        <w:tc>
          <w:tcPr>
            <w:tcW w:w="833" w:type="pct"/>
            <w:noWrap w:val="0"/>
            <w:vAlign w:val="center"/>
          </w:tcPr>
          <w:p>
            <w:pPr>
              <w:pStyle w:val="3013"/>
              <w:spacing w:line="240" w:lineRule="exact"/>
              <w:rPr>
                <w:rFonts w:hint="eastAsia"/>
              </w:rPr>
            </w:pPr>
            <w:r>
              <w:rPr>
                <w:rFonts w:hint="eastAsia"/>
              </w:rPr>
              <w:t>302.2</w:t>
            </w:r>
          </w:p>
        </w:tc>
        <w:tc>
          <w:tcPr>
            <w:tcW w:w="695" w:type="pct"/>
            <w:noWrap w:val="0"/>
            <w:vAlign w:val="center"/>
          </w:tcPr>
          <w:p>
            <w:pPr>
              <w:pStyle w:val="3013"/>
              <w:spacing w:line="240" w:lineRule="exact"/>
              <w:rPr>
                <w:rFonts w:hint="eastAsia"/>
              </w:rPr>
            </w:pPr>
            <w:r>
              <w:rPr>
                <w:rFonts w:hint="eastAsia"/>
              </w:rPr>
              <w:t>1990</w:t>
            </w:r>
          </w:p>
        </w:tc>
        <w:tc>
          <w:tcPr>
            <w:tcW w:w="556" w:type="pct"/>
            <w:noWrap w:val="0"/>
            <w:vAlign w:val="center"/>
          </w:tcPr>
          <w:p>
            <w:pPr>
              <w:pStyle w:val="3013"/>
              <w:spacing w:line="240" w:lineRule="exact"/>
              <w:rPr>
                <w:rFonts w:hint="eastAsia"/>
              </w:rPr>
            </w:pPr>
            <w:r>
              <w:rPr>
                <w:rFonts w:hint="eastAsia"/>
              </w:rPr>
              <w:t>公路</w:t>
            </w:r>
          </w:p>
        </w:tc>
      </w:tr>
    </w:tbl>
    <w:p>
      <w:pPr>
        <w:adjustRightInd w:val="0"/>
        <w:snapToGrid w:val="0"/>
        <w:spacing w:line="240" w:lineRule="exact"/>
        <w:ind w:firstLine="0" w:firstLineChars="0"/>
        <w:jc w:val="center"/>
        <w:rPr>
          <w:b/>
          <w:snapToGrid w:val="0"/>
          <w:kern w:val="0"/>
          <w:sz w:val="18"/>
          <w:szCs w:val="18"/>
        </w:rPr>
      </w:pPr>
    </w:p>
    <w:p>
      <w:pPr>
        <w:adjustRightInd w:val="0"/>
        <w:snapToGrid w:val="0"/>
        <w:spacing w:line="360" w:lineRule="auto"/>
        <w:ind w:firstLine="0" w:firstLineChars="0"/>
        <w:jc w:val="center"/>
        <w:rPr>
          <w:rFonts w:hint="eastAsia"/>
          <w:snapToGrid w:val="0"/>
          <w:kern w:val="0"/>
          <w:sz w:val="18"/>
          <w:szCs w:val="18"/>
        </w:rPr>
      </w:pPr>
      <w:r>
        <w:rPr>
          <w:rFonts w:hint="eastAsia"/>
          <w:snapToGrid w:val="0"/>
          <w:kern w:val="0"/>
          <w:sz w:val="18"/>
          <w:szCs w:val="18"/>
        </w:rPr>
        <w:drawing>
          <wp:inline distT="0" distB="0" distL="114300" distR="114300">
            <wp:extent cx="4142740" cy="1954530"/>
            <wp:effectExtent l="0" t="0" r="10160" b="7620"/>
            <wp:docPr id="60" name="图片 103" descr="城北大桥"/>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0" name="图片 103" descr="城北大桥"/>
                    <pic:cNvPicPr>
                      <a:picLocks noChangeAspect="true"/>
                    </pic:cNvPicPr>
                  </pic:nvPicPr>
                  <pic:blipFill>
                    <a:blip r:embed="rId99">
                      <a:lum bright="12000"/>
                    </a:blip>
                    <a:stretch>
                      <a:fillRect/>
                    </a:stretch>
                  </pic:blipFill>
                  <pic:spPr>
                    <a:xfrm>
                      <a:off x="0" y="0"/>
                      <a:ext cx="4142740" cy="1954530"/>
                    </a:xfrm>
                    <a:prstGeom prst="rect">
                      <a:avLst/>
                    </a:prstGeom>
                    <a:noFill/>
                    <a:ln>
                      <a:noFill/>
                    </a:ln>
                  </pic:spPr>
                </pic:pic>
              </a:graphicData>
            </a:graphic>
          </wp:inline>
        </w:drawing>
      </w:r>
      <w:r>
        <w:rPr>
          <w:rFonts w:hint="eastAsia"/>
          <w:snapToGrid w:val="0"/>
          <w:kern w:val="0"/>
          <w:sz w:val="18"/>
          <w:szCs w:val="18"/>
        </w:rPr>
        <w:t xml:space="preserve"> </w:t>
      </w:r>
      <w:r>
        <w:rPr>
          <w:rFonts w:hint="eastAsia"/>
          <w:snapToGrid w:val="0"/>
          <w:kern w:val="0"/>
          <w:sz w:val="18"/>
          <w:szCs w:val="18"/>
        </w:rPr>
        <w:drawing>
          <wp:inline distT="0" distB="0" distL="114300" distR="114300">
            <wp:extent cx="4095750" cy="1833245"/>
            <wp:effectExtent l="0" t="0" r="0" b="14605"/>
            <wp:docPr id="61" name="图片 104" descr="綦江大桥"/>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1" name="图片 104" descr="綦江大桥"/>
                    <pic:cNvPicPr>
                      <a:picLocks noChangeAspect="true"/>
                    </pic:cNvPicPr>
                  </pic:nvPicPr>
                  <pic:blipFill>
                    <a:blip r:embed="rId100">
                      <a:lum bright="12000"/>
                    </a:blip>
                    <a:stretch>
                      <a:fillRect/>
                    </a:stretch>
                  </pic:blipFill>
                  <pic:spPr>
                    <a:xfrm>
                      <a:off x="0" y="0"/>
                      <a:ext cx="4095750" cy="1833245"/>
                    </a:xfrm>
                    <a:prstGeom prst="rect">
                      <a:avLst/>
                    </a:prstGeom>
                    <a:noFill/>
                    <a:ln>
                      <a:noFill/>
                    </a:ln>
                  </pic:spPr>
                </pic:pic>
              </a:graphicData>
            </a:graphic>
          </wp:inline>
        </w:drawing>
      </w:r>
    </w:p>
    <w:p>
      <w:pPr>
        <w:adjustRightInd w:val="0"/>
        <w:snapToGrid w:val="0"/>
        <w:spacing w:line="360" w:lineRule="auto"/>
        <w:ind w:firstLine="0" w:firstLineChars="0"/>
        <w:jc w:val="center"/>
        <w:rPr>
          <w:rFonts w:hint="eastAsia"/>
          <w:snapToGrid w:val="0"/>
          <w:kern w:val="0"/>
          <w:sz w:val="18"/>
          <w:szCs w:val="18"/>
        </w:rPr>
      </w:pPr>
      <w:r>
        <w:rPr>
          <w:rFonts w:hint="eastAsia"/>
          <w:snapToGrid w:val="0"/>
          <w:kern w:val="0"/>
          <w:sz w:val="18"/>
          <w:szCs w:val="18"/>
        </w:rPr>
        <w:drawing>
          <wp:inline distT="0" distB="0" distL="114300" distR="114300">
            <wp:extent cx="4084955" cy="1819275"/>
            <wp:effectExtent l="0" t="0" r="10795" b="9525"/>
            <wp:docPr id="62" name="图片 105" descr="新虹桥"/>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2" name="图片 105" descr="新虹桥"/>
                    <pic:cNvPicPr>
                      <a:picLocks noChangeAspect="true"/>
                    </pic:cNvPicPr>
                  </pic:nvPicPr>
                  <pic:blipFill>
                    <a:blip r:embed="rId101">
                      <a:lum bright="12000"/>
                    </a:blip>
                    <a:stretch>
                      <a:fillRect/>
                    </a:stretch>
                  </pic:blipFill>
                  <pic:spPr>
                    <a:xfrm>
                      <a:off x="0" y="0"/>
                      <a:ext cx="4084955" cy="1819275"/>
                    </a:xfrm>
                    <a:prstGeom prst="rect">
                      <a:avLst/>
                    </a:prstGeom>
                    <a:noFill/>
                    <a:ln>
                      <a:noFill/>
                    </a:ln>
                  </pic:spPr>
                </pic:pic>
              </a:graphicData>
            </a:graphic>
          </wp:inline>
        </w:drawing>
      </w:r>
      <w:r>
        <w:rPr>
          <w:rFonts w:hint="eastAsia"/>
          <w:snapToGrid w:val="0"/>
          <w:kern w:val="0"/>
          <w:sz w:val="18"/>
          <w:szCs w:val="18"/>
        </w:rPr>
        <w:t xml:space="preserve"> </w:t>
      </w:r>
      <w:r>
        <w:rPr>
          <w:rFonts w:hint="eastAsia"/>
          <w:snapToGrid w:val="0"/>
          <w:kern w:val="0"/>
          <w:sz w:val="18"/>
          <w:szCs w:val="18"/>
        </w:rPr>
        <w:drawing>
          <wp:inline distT="0" distB="0" distL="114300" distR="114300">
            <wp:extent cx="4590415" cy="1797685"/>
            <wp:effectExtent l="0" t="0" r="635" b="12065"/>
            <wp:docPr id="63" name="图片 106" descr="沱湾大桥"/>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3" name="图片 106" descr="沱湾大桥"/>
                    <pic:cNvPicPr>
                      <a:picLocks noChangeAspect="true"/>
                    </pic:cNvPicPr>
                  </pic:nvPicPr>
                  <pic:blipFill>
                    <a:blip r:embed="rId102">
                      <a:lum bright="12000"/>
                    </a:blip>
                    <a:stretch>
                      <a:fillRect/>
                    </a:stretch>
                  </pic:blipFill>
                  <pic:spPr>
                    <a:xfrm>
                      <a:off x="0" y="0"/>
                      <a:ext cx="4590415" cy="1797685"/>
                    </a:xfrm>
                    <a:prstGeom prst="rect">
                      <a:avLst/>
                    </a:prstGeom>
                    <a:noFill/>
                    <a:ln>
                      <a:noFill/>
                    </a:ln>
                  </pic:spPr>
                </pic:pic>
              </a:graphicData>
            </a:graphic>
          </wp:inline>
        </w:drawing>
      </w:r>
    </w:p>
    <w:p>
      <w:pPr>
        <w:pStyle w:val="2886"/>
        <w:rPr>
          <w:rFonts w:hint="default" w:ascii="Times New Roman" w:hAnsi="Times New Roman" w:eastAsia="方正黑体_GBK" w:cs="Times New Roman"/>
        </w:rPr>
      </w:pPr>
      <w:r>
        <w:rPr>
          <w:rFonts w:hint="default" w:ascii="Times New Roman" w:hAnsi="Times New Roman" w:eastAsia="方正黑体_GBK" w:cs="Times New Roman"/>
        </w:rPr>
        <w:t>图1.4</w:t>
      </w:r>
      <w:r>
        <w:rPr>
          <w:rFonts w:hint="default" w:ascii="Times New Roman" w:hAnsi="Times New Roman" w:eastAsia="方正黑体_GBK" w:cs="Times New Roman"/>
          <w:lang w:eastAsia="zh-CN"/>
        </w:rPr>
        <w:t>—</w:t>
      </w:r>
      <w:r>
        <w:rPr>
          <w:rFonts w:hint="default" w:ascii="Times New Roman" w:hAnsi="Times New Roman" w:eastAsia="方正黑体_GBK" w:cs="Times New Roman"/>
        </w:rPr>
        <w:t>4  　綦江干流主城区段已建跨河桥梁</w:t>
      </w:r>
    </w:p>
    <w:p>
      <w:pPr>
        <w:pStyle w:val="1795"/>
        <w:keepNext w:val="0"/>
        <w:keepLines w:val="0"/>
        <w:pageBreakBefore w:val="0"/>
        <w:widowControl w:val="0"/>
        <w:kinsoku/>
        <w:wordWrap/>
        <w:overflowPunct/>
        <w:topLinePunct w:val="0"/>
        <w:autoSpaceDE/>
        <w:autoSpaceDN/>
        <w:bidi w:val="0"/>
        <w:adjustRightInd/>
        <w:snapToGrid/>
        <w:spacing w:before="0" w:after="0"/>
        <w:ind w:firstLine="640" w:firstLineChars="200"/>
        <w:textAlignment w:val="auto"/>
        <w:rPr>
          <w:rFonts w:hint="eastAsia" w:ascii="方正楷体_GBK" w:hAnsi="方正楷体_GBK" w:eastAsia="方正楷体_GBK" w:cs="方正楷体_GBK"/>
        </w:rPr>
      </w:pPr>
      <w:bookmarkStart w:id="36" w:name="_Toc11091"/>
      <w:bookmarkStart w:id="37" w:name="_Toc9121"/>
      <w:bookmarkStart w:id="38" w:name="_Toc71665848"/>
      <w:bookmarkStart w:id="39" w:name="_Toc71782065"/>
      <w:r>
        <w:rPr>
          <w:rFonts w:hint="eastAsia" w:ascii="方正楷体_GBK" w:hAnsi="方正楷体_GBK" w:eastAsia="方正楷体_GBK" w:cs="方正楷体_GBK"/>
          <w:lang w:eastAsia="zh-CN"/>
        </w:rPr>
        <w:t>（</w:t>
      </w:r>
      <w:r>
        <w:rPr>
          <w:rFonts w:hint="eastAsia" w:ascii="方正楷体_GBK" w:hAnsi="方正楷体_GBK" w:eastAsia="方正楷体_GBK" w:cs="方正楷体_GBK"/>
          <w:lang w:val="en-US" w:eastAsia="zh-CN"/>
        </w:rPr>
        <w:t>五</w:t>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rPr>
        <w:t>相关规划</w:t>
      </w:r>
      <w:bookmarkEnd w:id="36"/>
      <w:bookmarkEnd w:id="37"/>
      <w:bookmarkEnd w:id="38"/>
      <w:bookmarkEnd w:id="39"/>
    </w:p>
    <w:bookmarkEnd w:id="30"/>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kern w:val="0"/>
          <w:sz w:val="32"/>
          <w:szCs w:val="32"/>
          <w:lang w:val="en-US" w:eastAsia="zh-CN"/>
        </w:rPr>
      </w:pPr>
      <w:bookmarkStart w:id="40" w:name="ref_[12]_11177927"/>
      <w:bookmarkEnd w:id="40"/>
      <w:bookmarkStart w:id="41" w:name="_Toc250624482"/>
      <w:r>
        <w:rPr>
          <w:rFonts w:hint="eastAsia" w:ascii="Times New Roman" w:hAnsi="Times New Roman" w:eastAsia="方正仿宋_GBK" w:cs="Times New Roman"/>
          <w:kern w:val="0"/>
          <w:sz w:val="32"/>
          <w:szCs w:val="32"/>
          <w:lang w:val="en-US" w:eastAsia="zh-CN"/>
        </w:rPr>
        <w:t>1. 城市总体规划</w:t>
      </w:r>
      <w:bookmarkEnd w:id="41"/>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kern w:val="0"/>
          <w:sz w:val="32"/>
          <w:szCs w:val="32"/>
          <w:lang w:val="en-US" w:eastAsia="zh-CN"/>
        </w:rPr>
      </w:pPr>
      <w:r>
        <w:rPr>
          <w:rFonts w:hint="eastAsia" w:ascii="Times New Roman" w:hAnsi="Times New Roman" w:eastAsia="方正仿宋_GBK" w:cs="Times New Roman"/>
          <w:kern w:val="0"/>
          <w:sz w:val="32"/>
          <w:szCs w:val="32"/>
          <w:lang w:val="en-US" w:eastAsia="zh-CN"/>
        </w:rPr>
        <w:t>《重庆市綦江区城乡总体规划（2012</w:t>
      </w:r>
      <w:r>
        <w:rPr>
          <w:rFonts w:hint="eastAsia" w:ascii="Times New Roman" w:eastAsia="方正仿宋_GBK" w:cs="Times New Roman"/>
          <w:kern w:val="0"/>
          <w:sz w:val="32"/>
          <w:szCs w:val="32"/>
          <w:lang w:val="en-US" w:eastAsia="zh-CN"/>
        </w:rPr>
        <w:t>—</w:t>
      </w:r>
      <w:r>
        <w:rPr>
          <w:rFonts w:hint="eastAsia" w:ascii="Times New Roman" w:hAnsi="Times New Roman" w:eastAsia="方正仿宋_GBK" w:cs="Times New Roman"/>
          <w:kern w:val="0"/>
          <w:sz w:val="32"/>
          <w:szCs w:val="32"/>
          <w:lang w:val="en-US" w:eastAsia="zh-CN"/>
        </w:rPr>
        <w:t>2020年）》有关綦江区城区规划的主要内容如下：</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kern w:val="0"/>
          <w:sz w:val="32"/>
          <w:szCs w:val="32"/>
          <w:lang w:val="en-US" w:eastAsia="zh-CN"/>
        </w:rPr>
      </w:pPr>
      <w:r>
        <w:rPr>
          <w:rFonts w:hint="eastAsia" w:ascii="Times New Roman" w:hAnsi="Times New Roman" w:eastAsia="方正仿宋_GBK" w:cs="Times New Roman"/>
          <w:kern w:val="0"/>
          <w:sz w:val="32"/>
          <w:szCs w:val="32"/>
          <w:lang w:val="en-US" w:eastAsia="zh-CN"/>
        </w:rPr>
        <w:t>1.1 城市性质</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kern w:val="0"/>
          <w:sz w:val="32"/>
          <w:szCs w:val="32"/>
          <w:lang w:val="en-US" w:eastAsia="zh-CN"/>
        </w:rPr>
      </w:pPr>
      <w:r>
        <w:rPr>
          <w:rFonts w:hint="eastAsia" w:ascii="Times New Roman" w:hAnsi="Times New Roman" w:eastAsia="方正仿宋_GBK" w:cs="Times New Roman"/>
          <w:kern w:val="0"/>
          <w:sz w:val="32"/>
          <w:szCs w:val="32"/>
          <w:lang w:val="en-US" w:eastAsia="zh-CN"/>
        </w:rPr>
        <w:t>綦江区规划建设成为渝南的综合交通枢纽、商贸物流中心，重庆市重要的现代综合制造业基地、城郊休闲旅游度假区、山地现代农业示范区、现代山水田园城市和渝黔合作共赢先行区。</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kern w:val="0"/>
          <w:sz w:val="32"/>
          <w:szCs w:val="32"/>
          <w:lang w:val="en-US" w:eastAsia="zh-CN"/>
        </w:rPr>
      </w:pPr>
      <w:r>
        <w:rPr>
          <w:rFonts w:hint="eastAsia" w:ascii="Times New Roman" w:hAnsi="Times New Roman" w:eastAsia="方正仿宋_GBK" w:cs="Times New Roman"/>
          <w:kern w:val="0"/>
          <w:sz w:val="32"/>
          <w:szCs w:val="32"/>
          <w:lang w:val="en-US" w:eastAsia="zh-CN"/>
        </w:rPr>
        <w:t>1.2 城镇职能</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kern w:val="0"/>
          <w:sz w:val="32"/>
          <w:szCs w:val="32"/>
          <w:lang w:val="en-US" w:eastAsia="zh-CN"/>
        </w:rPr>
      </w:pPr>
      <w:r>
        <w:rPr>
          <w:rFonts w:hint="eastAsia" w:ascii="Times New Roman" w:hAnsi="Times New Roman" w:eastAsia="方正仿宋_GBK" w:cs="Times New Roman"/>
          <w:kern w:val="0"/>
          <w:sz w:val="32"/>
          <w:szCs w:val="32"/>
          <w:lang w:val="en-US" w:eastAsia="zh-CN"/>
        </w:rPr>
        <w:t>区域中心：渝南的综合交通枢纽、商贸物流中心和区域旅游集散中心。</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kern w:val="0"/>
          <w:sz w:val="32"/>
          <w:szCs w:val="32"/>
          <w:lang w:val="en-US" w:eastAsia="zh-CN"/>
        </w:rPr>
      </w:pPr>
      <w:r>
        <w:rPr>
          <w:rFonts w:hint="eastAsia" w:ascii="Times New Roman" w:hAnsi="Times New Roman" w:eastAsia="方正仿宋_GBK" w:cs="Times New Roman"/>
          <w:kern w:val="0"/>
          <w:sz w:val="32"/>
          <w:szCs w:val="32"/>
          <w:lang w:val="en-US" w:eastAsia="zh-CN"/>
        </w:rPr>
        <w:t>产业高地：重庆市以新型材料、装备制造、能源加工和食品加工为主导的现代综合制造业基地。</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kern w:val="0"/>
          <w:sz w:val="32"/>
          <w:szCs w:val="32"/>
          <w:lang w:val="en-US" w:eastAsia="zh-CN"/>
        </w:rPr>
      </w:pPr>
      <w:r>
        <w:rPr>
          <w:rFonts w:hint="eastAsia" w:ascii="Times New Roman" w:hAnsi="Times New Roman" w:eastAsia="方正仿宋_GBK" w:cs="Times New Roman"/>
          <w:kern w:val="0"/>
          <w:sz w:val="32"/>
          <w:szCs w:val="32"/>
          <w:lang w:val="en-US" w:eastAsia="zh-CN"/>
        </w:rPr>
        <w:t>旅游胜地：以避暑纳凉、养生养老、康体健身、观光游憩和文化体验为主的重庆特色城郊休闲旅游地。</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kern w:val="0"/>
          <w:sz w:val="32"/>
          <w:szCs w:val="32"/>
          <w:lang w:val="en-US" w:eastAsia="zh-CN"/>
        </w:rPr>
      </w:pPr>
      <w:r>
        <w:rPr>
          <w:rFonts w:hint="eastAsia" w:ascii="Times New Roman" w:hAnsi="Times New Roman" w:eastAsia="方正仿宋_GBK" w:cs="Times New Roman"/>
          <w:kern w:val="0"/>
          <w:sz w:val="32"/>
          <w:szCs w:val="32"/>
          <w:lang w:val="en-US" w:eastAsia="zh-CN"/>
        </w:rPr>
        <w:t>1.3</w:t>
      </w:r>
      <w:r>
        <w:rPr>
          <w:rFonts w:hint="eastAsia" w:ascii="Times New Roman" w:eastAsia="方正仿宋_GBK" w:cs="Times New Roman"/>
          <w:kern w:val="0"/>
          <w:sz w:val="32"/>
          <w:szCs w:val="32"/>
          <w:lang w:val="en-US" w:eastAsia="zh-CN"/>
        </w:rPr>
        <w:t>　</w:t>
      </w:r>
      <w:r>
        <w:rPr>
          <w:rFonts w:hint="eastAsia" w:ascii="Times New Roman" w:hAnsi="Times New Roman" w:eastAsia="方正仿宋_GBK" w:cs="Times New Roman"/>
          <w:kern w:val="0"/>
          <w:sz w:val="32"/>
          <w:szCs w:val="32"/>
          <w:lang w:val="en-US" w:eastAsia="zh-CN"/>
        </w:rPr>
        <w:t>城乡总规对防洪的意见</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kern w:val="0"/>
          <w:sz w:val="32"/>
          <w:szCs w:val="32"/>
          <w:lang w:val="en-US" w:eastAsia="zh-CN"/>
        </w:rPr>
      </w:pPr>
      <w:r>
        <w:rPr>
          <w:rFonts w:hint="eastAsia" w:ascii="Times New Roman" w:hAnsi="Times New Roman" w:eastAsia="方正仿宋_GBK" w:cs="Times New Roman"/>
          <w:kern w:val="0"/>
          <w:sz w:val="32"/>
          <w:szCs w:val="32"/>
          <w:lang w:val="en-US" w:eastAsia="zh-CN"/>
        </w:rPr>
        <w:t>主城区按50年一遇洪水设防。主要防洪措施包括加高堤防，提高行洪标准；疏浚河道，清除障碍物；兴建蓄、引水工程，拦截洪峰等。其中，防洪护岸工程按20年一遇设计，结合旧城改造回填低洼地带至防洪高程，分期、分片达到20年一遇洪水标准；旧桥改造（綦江大桥和城北大桥）另选桥型，消除阻水影响，增加局部河段的防洪能力。</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kern w:val="0"/>
          <w:sz w:val="32"/>
          <w:szCs w:val="32"/>
          <w:lang w:val="en-US" w:eastAsia="zh-CN"/>
        </w:rPr>
      </w:pPr>
      <w:r>
        <w:rPr>
          <w:rFonts w:hint="eastAsia" w:ascii="Times New Roman" w:hAnsi="Times New Roman" w:eastAsia="方正仿宋_GBK" w:cs="Times New Roman"/>
          <w:kern w:val="0"/>
          <w:sz w:val="32"/>
          <w:szCs w:val="32"/>
          <w:lang w:val="en-US" w:eastAsia="zh-CN"/>
        </w:rPr>
        <w:t>1.4 城乡总规对城市景观的意见</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kern w:val="0"/>
          <w:sz w:val="32"/>
          <w:szCs w:val="32"/>
          <w:lang w:val="en-US" w:eastAsia="zh-CN"/>
        </w:rPr>
      </w:pPr>
      <w:r>
        <w:rPr>
          <w:rFonts w:hint="eastAsia" w:ascii="Times New Roman" w:hAnsi="Times New Roman" w:eastAsia="方正仿宋_GBK" w:cs="Times New Roman"/>
          <w:kern w:val="0"/>
          <w:sz w:val="32"/>
          <w:szCs w:val="32"/>
          <w:lang w:val="en-US" w:eastAsia="zh-CN"/>
        </w:rPr>
        <w:t>保持綦江在主城区一带宜人的空间尺度，突出城市水系特色，保护与利用城市的水景观资源。保证滨水地带的公共属性，以服务于公共利益；滨水地区属于珍贵的城市公共资源，不应当由小部分人所专有，应保障其公共使用的属性，使之能为最广大的市民服务。加强水系的景观环境建设，提高城市景观品质。</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kern w:val="0"/>
          <w:sz w:val="32"/>
          <w:szCs w:val="32"/>
          <w:lang w:val="en-US" w:eastAsia="zh-CN"/>
        </w:rPr>
      </w:pPr>
      <w:r>
        <w:rPr>
          <w:rFonts w:hint="eastAsia" w:ascii="Times New Roman" w:hAnsi="Times New Roman" w:eastAsia="方正仿宋_GBK" w:cs="Times New Roman"/>
          <w:kern w:val="0"/>
          <w:sz w:val="32"/>
          <w:szCs w:val="32"/>
          <w:lang w:val="en-US" w:eastAsia="zh-CN"/>
        </w:rPr>
        <w:t>2</w:t>
      </w:r>
      <w:r>
        <w:rPr>
          <w:rFonts w:hint="eastAsia" w:ascii="Times New Roman" w:eastAsia="方正仿宋_GBK" w:cs="Times New Roman"/>
          <w:kern w:val="0"/>
          <w:sz w:val="32"/>
          <w:szCs w:val="32"/>
          <w:lang w:val="en-US" w:eastAsia="zh-CN"/>
        </w:rPr>
        <w:t>．</w:t>
      </w:r>
      <w:r>
        <w:rPr>
          <w:rFonts w:hint="eastAsia" w:ascii="Times New Roman" w:hAnsi="Times New Roman" w:eastAsia="方正仿宋_GBK" w:cs="Times New Roman"/>
          <w:kern w:val="0"/>
          <w:sz w:val="32"/>
          <w:szCs w:val="32"/>
          <w:lang w:val="en-US" w:eastAsia="zh-CN"/>
        </w:rPr>
        <w:t>綦江城区防洪规划报告</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kern w:val="0"/>
          <w:sz w:val="32"/>
          <w:szCs w:val="32"/>
          <w:lang w:val="en-US" w:eastAsia="zh-CN"/>
        </w:rPr>
      </w:pPr>
      <w:r>
        <w:rPr>
          <w:rFonts w:hint="eastAsia" w:ascii="Times New Roman" w:hAnsi="Times New Roman" w:eastAsia="方正仿宋_GBK" w:cs="Times New Roman"/>
          <w:kern w:val="0"/>
          <w:sz w:val="32"/>
          <w:szCs w:val="32"/>
          <w:lang w:val="en-US" w:eastAsia="zh-CN"/>
        </w:rPr>
        <w:t>2.1</w:t>
      </w:r>
      <w:r>
        <w:rPr>
          <w:rFonts w:hint="eastAsia" w:ascii="Times New Roman" w:eastAsia="方正仿宋_GBK" w:cs="Times New Roman"/>
          <w:kern w:val="0"/>
          <w:sz w:val="32"/>
          <w:szCs w:val="32"/>
          <w:lang w:val="en-US" w:eastAsia="zh-CN"/>
        </w:rPr>
        <w:t xml:space="preserve"> </w:t>
      </w:r>
      <w:r>
        <w:rPr>
          <w:rFonts w:hint="eastAsia" w:ascii="Times New Roman" w:hAnsi="Times New Roman" w:eastAsia="方正仿宋_GBK" w:cs="Times New Roman"/>
          <w:kern w:val="0"/>
          <w:sz w:val="32"/>
          <w:szCs w:val="32"/>
          <w:lang w:val="en-US" w:eastAsia="zh-CN"/>
        </w:rPr>
        <w:t>主要成果简述</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kern w:val="0"/>
          <w:sz w:val="32"/>
          <w:szCs w:val="32"/>
          <w:lang w:val="en-US" w:eastAsia="zh-CN"/>
        </w:rPr>
      </w:pPr>
      <w:r>
        <w:rPr>
          <w:rFonts w:hint="eastAsia" w:ascii="Times New Roman" w:hAnsi="Times New Roman" w:eastAsia="方正仿宋_GBK" w:cs="Times New Roman"/>
          <w:kern w:val="0"/>
          <w:sz w:val="32"/>
          <w:szCs w:val="32"/>
          <w:lang w:val="en-US" w:eastAsia="zh-CN"/>
        </w:rPr>
        <w:t>重庆市水利规划院2007年10月完成了《綦江县县城防洪规划方案报告》。綦江主城区规划治理河道范围起于綦江火车站，止于城北大桥，河道长4.57km，两岸护岸长8.41km。</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kern w:val="0"/>
          <w:sz w:val="32"/>
          <w:szCs w:val="32"/>
          <w:lang w:val="en-US" w:eastAsia="zh-CN"/>
        </w:rPr>
      </w:pPr>
      <w:r>
        <w:rPr>
          <w:rFonts w:hint="eastAsia" w:ascii="Times New Roman" w:hAnsi="Times New Roman" w:eastAsia="方正仿宋_GBK" w:cs="Times New Roman"/>
          <w:kern w:val="0"/>
          <w:sz w:val="32"/>
          <w:szCs w:val="32"/>
          <w:lang w:val="en-US" w:eastAsia="zh-CN"/>
        </w:rPr>
        <w:t>防洪规划方案为：以局部狭窄断面拓宽后确定规划控制洪水位；先进行两岸护岸保护，结合旧城改造回填低洼地带至防洪高程，分期、分片达到20年一遇洪水标准；旧桥改造另选桥型（綦江大桥和城北大桥），消除阻水影响，增加局部河段的防洪能力；上游修建藻渡水库，将城区防洪标准提高到50年一遇。</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kern w:val="0"/>
          <w:sz w:val="32"/>
          <w:szCs w:val="32"/>
          <w:lang w:val="en-US" w:eastAsia="zh-CN"/>
        </w:rPr>
      </w:pPr>
      <w:r>
        <w:rPr>
          <w:rFonts w:hint="eastAsia" w:ascii="Times New Roman" w:hAnsi="Times New Roman" w:eastAsia="方正仿宋_GBK" w:cs="Times New Roman"/>
          <w:kern w:val="0"/>
          <w:sz w:val="32"/>
          <w:szCs w:val="32"/>
          <w:lang w:val="en-US" w:eastAsia="zh-CN"/>
        </w:rPr>
        <w:t>2.2</w:t>
      </w:r>
      <w:r>
        <w:rPr>
          <w:rFonts w:hint="eastAsia" w:ascii="Times New Roman" w:eastAsia="方正仿宋_GBK" w:cs="Times New Roman"/>
          <w:kern w:val="0"/>
          <w:sz w:val="32"/>
          <w:szCs w:val="32"/>
          <w:lang w:val="en-US" w:eastAsia="zh-CN"/>
        </w:rPr>
        <w:t xml:space="preserve"> </w:t>
      </w:r>
      <w:r>
        <w:rPr>
          <w:rFonts w:hint="eastAsia" w:ascii="Times New Roman" w:hAnsi="Times New Roman" w:eastAsia="方正仿宋_GBK" w:cs="Times New Roman"/>
          <w:kern w:val="0"/>
          <w:sz w:val="32"/>
          <w:szCs w:val="32"/>
          <w:lang w:val="en-US" w:eastAsia="zh-CN"/>
        </w:rPr>
        <w:t>防洪工程分期实施安排</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kern w:val="0"/>
          <w:sz w:val="32"/>
          <w:szCs w:val="32"/>
          <w:lang w:val="en-US" w:eastAsia="zh-CN"/>
        </w:rPr>
      </w:pPr>
      <w:r>
        <w:rPr>
          <w:rFonts w:hint="eastAsia" w:ascii="Times New Roman" w:hAnsi="Times New Roman" w:eastAsia="方正仿宋_GBK" w:cs="Times New Roman"/>
          <w:kern w:val="0"/>
          <w:sz w:val="32"/>
          <w:szCs w:val="32"/>
          <w:lang w:val="en-US" w:eastAsia="zh-CN"/>
        </w:rPr>
        <w:t>綦江主城区防洪护岸工程分二期建设。</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kern w:val="0"/>
          <w:sz w:val="32"/>
          <w:szCs w:val="32"/>
          <w:lang w:val="en-US" w:eastAsia="zh-CN"/>
        </w:rPr>
      </w:pPr>
      <w:r>
        <w:rPr>
          <w:rFonts w:hint="eastAsia" w:ascii="Times New Roman" w:hAnsi="Times New Roman" w:eastAsia="方正仿宋_GBK" w:cs="Times New Roman"/>
          <w:kern w:val="0"/>
          <w:sz w:val="32"/>
          <w:szCs w:val="32"/>
          <w:lang w:val="en-US" w:eastAsia="zh-CN"/>
        </w:rPr>
        <w:t>一期工程包括主城区河段4处狭窄断面（原綦江中学、下关王、沙码头、交警队）拓宽以及护岸工程（除低洼地段和建筑物拆迁难度大的河段），一期工程分三个阶段实施：第一阶段完成狭窄河段拓宽及大常枢纽以上的右岸护岸工程，第二阶段完成大常枢纽以上的左岸护岸工程，第三阶段完成大常枢纽以下的两岸护岸工程。各堤段实施高程如下：火车站</w:t>
      </w:r>
      <w:r>
        <w:rPr>
          <w:rFonts w:hint="eastAsia" w:ascii="Times New Roman" w:eastAsia="方正仿宋_GBK" w:cs="Times New Roman"/>
          <w:kern w:val="0"/>
          <w:sz w:val="32"/>
          <w:szCs w:val="32"/>
          <w:lang w:val="en-US" w:eastAsia="zh-CN"/>
        </w:rPr>
        <w:t>—</w:t>
      </w:r>
      <w:r>
        <w:rPr>
          <w:rFonts w:hint="eastAsia" w:ascii="Times New Roman" w:hAnsi="Times New Roman" w:eastAsia="方正仿宋_GBK" w:cs="Times New Roman"/>
          <w:kern w:val="0"/>
          <w:sz w:val="32"/>
          <w:szCs w:val="32"/>
          <w:lang w:val="en-US" w:eastAsia="zh-CN"/>
        </w:rPr>
        <w:t>沱湾大桥左岸（600m）、原綦江中学</w:t>
      </w:r>
      <w:r>
        <w:rPr>
          <w:rFonts w:hint="eastAsia" w:ascii="Times New Roman" w:eastAsia="方正仿宋_GBK" w:cs="Times New Roman"/>
          <w:kern w:val="0"/>
          <w:sz w:val="32"/>
          <w:szCs w:val="32"/>
          <w:lang w:val="en-US" w:eastAsia="zh-CN"/>
        </w:rPr>
        <w:t>—</w:t>
      </w:r>
      <w:r>
        <w:rPr>
          <w:rFonts w:hint="eastAsia" w:ascii="Times New Roman" w:hAnsi="Times New Roman" w:eastAsia="方正仿宋_GBK" w:cs="Times New Roman"/>
          <w:kern w:val="0"/>
          <w:sz w:val="32"/>
          <w:szCs w:val="32"/>
          <w:lang w:val="en-US" w:eastAsia="zh-CN"/>
        </w:rPr>
        <w:t>城北大桥左岸（110m）、火车站</w:t>
      </w:r>
      <w:r>
        <w:rPr>
          <w:rFonts w:hint="eastAsia" w:ascii="Times New Roman" w:eastAsia="方正仿宋_GBK" w:cs="Times New Roman"/>
          <w:kern w:val="0"/>
          <w:sz w:val="32"/>
          <w:szCs w:val="32"/>
          <w:lang w:val="en-US" w:eastAsia="zh-CN"/>
        </w:rPr>
        <w:t>—</w:t>
      </w:r>
      <w:r>
        <w:rPr>
          <w:rFonts w:hint="eastAsia" w:ascii="Times New Roman" w:hAnsi="Times New Roman" w:eastAsia="方正仿宋_GBK" w:cs="Times New Roman"/>
          <w:kern w:val="0"/>
          <w:sz w:val="32"/>
          <w:szCs w:val="32"/>
          <w:lang w:val="en-US" w:eastAsia="zh-CN"/>
        </w:rPr>
        <w:t>交警队右岸（1100m）、大常枢纽</w:t>
      </w:r>
      <w:r>
        <w:rPr>
          <w:rFonts w:hint="eastAsia" w:ascii="Times New Roman" w:eastAsia="方正仿宋_GBK" w:cs="Times New Roman"/>
          <w:kern w:val="0"/>
          <w:sz w:val="32"/>
          <w:szCs w:val="32"/>
          <w:lang w:val="en-US" w:eastAsia="zh-CN"/>
        </w:rPr>
        <w:t>—</w:t>
      </w:r>
      <w:r>
        <w:rPr>
          <w:rFonts w:hint="eastAsia" w:ascii="Times New Roman" w:hAnsi="Times New Roman" w:eastAsia="方正仿宋_GBK" w:cs="Times New Roman"/>
          <w:kern w:val="0"/>
          <w:sz w:val="32"/>
          <w:szCs w:val="32"/>
          <w:lang w:val="en-US" w:eastAsia="zh-CN"/>
        </w:rPr>
        <w:t>城北大桥右岸（1435m）共计3.2</w:t>
      </w:r>
      <w:r>
        <w:rPr>
          <w:rFonts w:hint="eastAsia" w:ascii="Times New Roman" w:eastAsia="方正仿宋_GBK" w:cs="Times New Roman"/>
          <w:kern w:val="0"/>
          <w:sz w:val="32"/>
          <w:szCs w:val="32"/>
          <w:lang w:val="en-US" w:eastAsia="zh-CN"/>
        </w:rPr>
        <w:t>5</w:t>
      </w:r>
      <w:r>
        <w:rPr>
          <w:rFonts w:hint="eastAsia" w:ascii="Times New Roman" w:hAnsi="Times New Roman" w:eastAsia="方正仿宋_GBK" w:cs="Times New Roman"/>
          <w:kern w:val="0"/>
          <w:sz w:val="32"/>
          <w:szCs w:val="32"/>
          <w:lang w:val="en-US" w:eastAsia="zh-CN"/>
        </w:rPr>
        <w:t>km河段一次性建成20年一遇护岸工程；拆迁难度大的沱湾大桥</w:t>
      </w:r>
      <w:r>
        <w:rPr>
          <w:rFonts w:hint="eastAsia" w:ascii="Times New Roman" w:eastAsia="方正仿宋_GBK" w:cs="Times New Roman"/>
          <w:kern w:val="0"/>
          <w:sz w:val="32"/>
          <w:szCs w:val="32"/>
          <w:lang w:val="en-US" w:eastAsia="zh-CN"/>
        </w:rPr>
        <w:t>—</w:t>
      </w:r>
      <w:r>
        <w:rPr>
          <w:rFonts w:hint="eastAsia" w:ascii="Times New Roman" w:hAnsi="Times New Roman" w:eastAsia="方正仿宋_GBK" w:cs="Times New Roman"/>
          <w:kern w:val="0"/>
          <w:sz w:val="32"/>
          <w:szCs w:val="32"/>
          <w:lang w:val="en-US" w:eastAsia="zh-CN"/>
        </w:rPr>
        <w:t>沱湾半山公寓公交站左岸（428m）、通惠河口</w:t>
      </w:r>
      <w:r>
        <w:rPr>
          <w:rFonts w:hint="eastAsia" w:ascii="Times New Roman" w:eastAsia="方正仿宋_GBK" w:cs="Times New Roman"/>
          <w:kern w:val="0"/>
          <w:sz w:val="32"/>
          <w:szCs w:val="32"/>
          <w:lang w:val="en-US" w:eastAsia="zh-CN"/>
        </w:rPr>
        <w:t>—</w:t>
      </w:r>
      <w:r>
        <w:rPr>
          <w:rFonts w:hint="eastAsia" w:ascii="Times New Roman" w:hAnsi="Times New Roman" w:eastAsia="方正仿宋_GBK" w:cs="Times New Roman"/>
          <w:kern w:val="0"/>
          <w:sz w:val="32"/>
          <w:szCs w:val="32"/>
          <w:lang w:val="en-US" w:eastAsia="zh-CN"/>
        </w:rPr>
        <w:t>綦江大桥右岸（158m）河段、綦江大桥</w:t>
      </w:r>
      <w:r>
        <w:rPr>
          <w:rFonts w:hint="eastAsia" w:ascii="Times New Roman" w:eastAsia="方正仿宋_GBK" w:cs="Times New Roman"/>
          <w:kern w:val="0"/>
          <w:sz w:val="32"/>
          <w:szCs w:val="32"/>
          <w:lang w:val="en-US" w:eastAsia="zh-CN"/>
        </w:rPr>
        <w:t>—</w:t>
      </w:r>
      <w:r>
        <w:rPr>
          <w:rFonts w:hint="eastAsia" w:ascii="Times New Roman" w:hAnsi="Times New Roman" w:eastAsia="方正仿宋_GBK" w:cs="Times New Roman"/>
          <w:kern w:val="0"/>
          <w:sz w:val="32"/>
          <w:szCs w:val="32"/>
          <w:lang w:val="en-US" w:eastAsia="zh-CN"/>
        </w:rPr>
        <w:t>大常枢纽右岸（1107m）共计1.69km河段按满足常年洪水位要求护坡至高程224m；拆迁难度大的大常枢纽</w:t>
      </w:r>
      <w:r>
        <w:rPr>
          <w:rFonts w:hint="eastAsia" w:ascii="Times New Roman" w:eastAsia="方正仿宋_GBK" w:cs="Times New Roman"/>
          <w:kern w:val="0"/>
          <w:sz w:val="32"/>
          <w:szCs w:val="32"/>
          <w:lang w:val="en-US" w:eastAsia="zh-CN"/>
        </w:rPr>
        <w:t>—</w:t>
      </w:r>
      <w:r>
        <w:rPr>
          <w:rFonts w:hint="eastAsia" w:ascii="Times New Roman" w:hAnsi="Times New Roman" w:eastAsia="方正仿宋_GBK" w:cs="Times New Roman"/>
          <w:kern w:val="0"/>
          <w:sz w:val="32"/>
          <w:szCs w:val="32"/>
          <w:lang w:val="en-US" w:eastAsia="zh-CN"/>
        </w:rPr>
        <w:t>原綦江中学左岸河段1.20km按满足常年洪水位要求护坡至高程220m；左岸下北街片区1.43km和右岸菜坝片区0.75km两处低洼地带按满足3年一遇洪水位要求护坡至高程224m。</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kern w:val="0"/>
          <w:sz w:val="32"/>
          <w:szCs w:val="32"/>
          <w:lang w:val="en-US" w:eastAsia="zh-CN"/>
        </w:rPr>
      </w:pPr>
      <w:r>
        <w:rPr>
          <w:rFonts w:hint="eastAsia" w:ascii="Times New Roman" w:hAnsi="Times New Roman" w:eastAsia="方正仿宋_GBK" w:cs="Times New Roman"/>
          <w:kern w:val="0"/>
          <w:sz w:val="32"/>
          <w:szCs w:val="32"/>
          <w:lang w:val="en-US" w:eastAsia="zh-CN"/>
        </w:rPr>
        <w:t>二期工程完成现有城区低洼地段填高部分以及建筑物拆迁难度大的护岸工程。二期工程建成后，基本形成綦江主城区段防洪护岸工程体系，规划河段全部达到20年一遇防洪标准和满足《綦江县城城市总体规划》对沿河滨江路和绿化带建设的要求。</w:t>
      </w:r>
    </w:p>
    <w:p>
      <w:pPr>
        <w:pStyle w:val="2953"/>
        <w:keepNext w:val="0"/>
        <w:keepLines w:val="0"/>
        <w:pageBreakBefore w:val="0"/>
        <w:widowControl w:val="0"/>
        <w:kinsoku/>
        <w:wordWrap/>
        <w:overflowPunct/>
        <w:topLinePunct w:val="0"/>
        <w:autoSpaceDE/>
        <w:autoSpaceDN/>
        <w:bidi w:val="0"/>
        <w:adjustRightInd/>
        <w:snapToGrid/>
        <w:ind w:firstLine="560"/>
        <w:textAlignment w:val="auto"/>
      </w:pPr>
      <w:r>
        <w:rPr>
          <w:rFonts w:hint="eastAsia" w:ascii="Times New Roman" w:hAnsi="Times New Roman" w:eastAsia="方正仿宋_GBK" w:cs="Times New Roman"/>
          <w:kern w:val="0"/>
          <w:sz w:val="32"/>
          <w:szCs w:val="32"/>
          <w:lang w:val="en-US" w:eastAsia="zh-CN"/>
        </w:rPr>
        <w:t>各</w:t>
      </w:r>
      <w:r>
        <w:rPr>
          <w:rFonts w:hint="eastAsia" w:ascii="Times New Roman" w:hAnsi="Times New Roman" w:eastAsia="方正仿宋_GBK" w:cs="Times New Roman"/>
          <w:spacing w:val="11"/>
          <w:kern w:val="0"/>
          <w:sz w:val="32"/>
          <w:szCs w:val="32"/>
          <w:lang w:val="en-US" w:eastAsia="zh-CN"/>
        </w:rPr>
        <w:t>阶段实施的防洪工程分布见图1.5</w:t>
      </w:r>
      <w:r>
        <w:rPr>
          <w:rFonts w:hint="eastAsia" w:ascii="Times New Roman" w:eastAsia="方正仿宋_GBK" w:cs="Times New Roman"/>
          <w:spacing w:val="11"/>
          <w:kern w:val="0"/>
          <w:sz w:val="32"/>
          <w:szCs w:val="32"/>
          <w:lang w:val="en-US" w:eastAsia="zh-CN"/>
        </w:rPr>
        <w:t>—</w:t>
      </w:r>
      <w:r>
        <w:rPr>
          <w:rFonts w:hint="eastAsia" w:ascii="Times New Roman" w:hAnsi="Times New Roman" w:eastAsia="方正仿宋_GBK" w:cs="Times New Roman"/>
          <w:spacing w:val="11"/>
          <w:kern w:val="0"/>
          <w:sz w:val="32"/>
          <w:szCs w:val="32"/>
          <w:lang w:val="en-US" w:eastAsia="zh-CN"/>
        </w:rPr>
        <w:t>1、图1.5</w:t>
      </w:r>
      <w:r>
        <w:rPr>
          <w:rFonts w:hint="eastAsia" w:ascii="Times New Roman" w:eastAsia="方正仿宋_GBK" w:cs="Times New Roman"/>
          <w:spacing w:val="11"/>
          <w:kern w:val="0"/>
          <w:sz w:val="32"/>
          <w:szCs w:val="32"/>
          <w:lang w:val="en-US" w:eastAsia="zh-CN"/>
        </w:rPr>
        <w:t>—</w:t>
      </w:r>
      <w:r>
        <w:rPr>
          <w:rFonts w:hint="eastAsia" w:ascii="Times New Roman" w:hAnsi="Times New Roman" w:eastAsia="方正仿宋_GBK" w:cs="Times New Roman"/>
          <w:spacing w:val="11"/>
          <w:kern w:val="0"/>
          <w:sz w:val="32"/>
          <w:szCs w:val="32"/>
          <w:lang w:val="en-US" w:eastAsia="zh-CN"/>
        </w:rPr>
        <w:t>2和图</w:t>
      </w:r>
      <w:r>
        <w:rPr>
          <w:rFonts w:hint="eastAsia" w:ascii="Times New Roman" w:hAnsi="Times New Roman" w:eastAsia="方正仿宋_GBK" w:cs="Times New Roman"/>
          <w:kern w:val="0"/>
          <w:sz w:val="32"/>
          <w:szCs w:val="32"/>
          <w:lang w:val="en-US" w:eastAsia="zh-CN"/>
        </w:rPr>
        <w:t>1.5</w:t>
      </w:r>
      <w:r>
        <w:rPr>
          <w:rFonts w:hint="eastAsia" w:ascii="Times New Roman" w:eastAsia="方正仿宋_GBK" w:cs="Times New Roman"/>
          <w:kern w:val="0"/>
          <w:sz w:val="32"/>
          <w:szCs w:val="32"/>
          <w:lang w:val="en-US" w:eastAsia="zh-CN"/>
        </w:rPr>
        <w:t>—</w:t>
      </w:r>
      <w:r>
        <w:rPr>
          <w:rFonts w:hint="eastAsia" w:ascii="Times New Roman" w:hAnsi="Times New Roman" w:eastAsia="方正仿宋_GBK" w:cs="Times New Roman"/>
          <w:kern w:val="0"/>
          <w:sz w:val="32"/>
          <w:szCs w:val="32"/>
          <w:lang w:val="en-US" w:eastAsia="zh-CN"/>
        </w:rPr>
        <w:t>3。目前，綦江主城区防洪护岸一期工程基本完成建设，原綦江中学（现古南中学，下同）至城北大桥等局部堤段仍存在薄弱环节。</w:t>
      </w:r>
    </w:p>
    <w:p>
      <w:pPr>
        <w:pStyle w:val="853"/>
        <w:spacing w:line="240" w:lineRule="auto"/>
        <w:ind w:firstLine="0" w:firstLineChars="0"/>
        <w:jc w:val="center"/>
        <w:rPr>
          <w:rFonts w:hint="eastAsia"/>
        </w:rPr>
      </w:pPr>
      <w:r>
        <w:rPr>
          <w:rFonts w:hint="eastAsia"/>
        </w:rPr>
        <w:drawing>
          <wp:inline distT="0" distB="0" distL="114300" distR="114300">
            <wp:extent cx="5715000" cy="5067935"/>
            <wp:effectExtent l="0" t="0" r="0" b="18415"/>
            <wp:docPr id="64" name="图片 108" descr="图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4" name="图片 108" descr="图1"/>
                    <pic:cNvPicPr>
                      <a:picLocks noChangeAspect="true"/>
                    </pic:cNvPicPr>
                  </pic:nvPicPr>
                  <pic:blipFill>
                    <a:blip r:embed="rId103"/>
                    <a:stretch>
                      <a:fillRect/>
                    </a:stretch>
                  </pic:blipFill>
                  <pic:spPr>
                    <a:xfrm>
                      <a:off x="0" y="0"/>
                      <a:ext cx="5715000" cy="5067935"/>
                    </a:xfrm>
                    <a:prstGeom prst="rect">
                      <a:avLst/>
                    </a:prstGeom>
                    <a:noFill/>
                    <a:ln>
                      <a:noFill/>
                    </a:ln>
                  </pic:spPr>
                </pic:pic>
              </a:graphicData>
            </a:graphic>
          </wp:inline>
        </w:drawing>
      </w:r>
    </w:p>
    <w:p>
      <w:pPr>
        <w:pStyle w:val="2886"/>
        <w:rPr>
          <w:rFonts w:hint="default" w:ascii="Times New Roman" w:hAnsi="Times New Roman" w:eastAsia="方正黑体_GBK" w:cs="Times New Roman"/>
        </w:rPr>
      </w:pPr>
      <w:r>
        <w:rPr>
          <w:rFonts w:hint="default" w:ascii="Times New Roman" w:hAnsi="Times New Roman" w:eastAsia="方正黑体_GBK" w:cs="Times New Roman"/>
        </w:rPr>
        <w:t>图1.5</w:t>
      </w:r>
      <w:r>
        <w:rPr>
          <w:rFonts w:hint="default" w:ascii="Times New Roman" w:hAnsi="Times New Roman" w:eastAsia="方正黑体_GBK" w:cs="Times New Roman"/>
          <w:lang w:eastAsia="zh-CN"/>
        </w:rPr>
        <w:t>—</w:t>
      </w:r>
      <w:r>
        <w:rPr>
          <w:rFonts w:hint="default" w:ascii="Times New Roman" w:hAnsi="Times New Roman" w:eastAsia="方正黑体_GBK" w:cs="Times New Roman"/>
        </w:rPr>
        <w:t>1　  綦江干流主城区河段原规划防洪工程分段实施示意图</w:t>
      </w:r>
    </w:p>
    <w:p>
      <w:pPr>
        <w:pStyle w:val="853"/>
        <w:spacing w:line="240" w:lineRule="auto"/>
        <w:ind w:firstLine="0" w:firstLineChars="0"/>
        <w:jc w:val="center"/>
        <w:rPr>
          <w:rFonts w:hint="eastAsia"/>
        </w:rPr>
      </w:pPr>
      <w:r>
        <w:rPr>
          <w:rFonts w:hint="eastAsia"/>
        </w:rPr>
        <w:drawing>
          <wp:inline distT="0" distB="0" distL="114300" distR="114300">
            <wp:extent cx="5749925" cy="2434590"/>
            <wp:effectExtent l="0" t="0" r="3175" b="3810"/>
            <wp:docPr id="65" name="图片 425" descr="附图3-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5" name="图片 425" descr="附图3-2"/>
                    <pic:cNvPicPr>
                      <a:picLocks noChangeAspect="true"/>
                    </pic:cNvPicPr>
                  </pic:nvPicPr>
                  <pic:blipFill>
                    <a:blip r:embed="rId104"/>
                    <a:stretch>
                      <a:fillRect/>
                    </a:stretch>
                  </pic:blipFill>
                  <pic:spPr>
                    <a:xfrm>
                      <a:off x="0" y="0"/>
                      <a:ext cx="5749925" cy="2434590"/>
                    </a:xfrm>
                    <a:prstGeom prst="rect">
                      <a:avLst/>
                    </a:prstGeom>
                    <a:noFill/>
                    <a:ln>
                      <a:noFill/>
                    </a:ln>
                  </pic:spPr>
                </pic:pic>
              </a:graphicData>
            </a:graphic>
          </wp:inline>
        </w:drawing>
      </w:r>
    </w:p>
    <w:p>
      <w:pPr>
        <w:pStyle w:val="2886"/>
        <w:rPr>
          <w:rFonts w:hint="default" w:ascii="Times New Roman" w:hAnsi="Times New Roman" w:eastAsia="方正黑体_GBK" w:cs="Times New Roman"/>
        </w:rPr>
      </w:pPr>
      <w:r>
        <w:rPr>
          <w:rFonts w:hint="default" w:ascii="Times New Roman" w:hAnsi="Times New Roman" w:eastAsia="方正黑体_GBK" w:cs="Times New Roman"/>
        </w:rPr>
        <w:t>图1.5</w:t>
      </w:r>
      <w:r>
        <w:rPr>
          <w:rFonts w:hint="default" w:ascii="Times New Roman" w:hAnsi="Times New Roman" w:eastAsia="方正黑体_GBK" w:cs="Times New Roman"/>
          <w:lang w:eastAsia="zh-CN"/>
        </w:rPr>
        <w:t>—</w:t>
      </w:r>
      <w:r>
        <w:rPr>
          <w:rFonts w:hint="default" w:ascii="Times New Roman" w:hAnsi="Times New Roman" w:eastAsia="方正黑体_GBK" w:cs="Times New Roman"/>
        </w:rPr>
        <w:t>2　  綦江县城防洪工程一期工程措施布置图</w:t>
      </w:r>
    </w:p>
    <w:p>
      <w:pPr>
        <w:pStyle w:val="853"/>
        <w:spacing w:line="240" w:lineRule="auto"/>
        <w:ind w:firstLine="0" w:firstLineChars="0"/>
        <w:jc w:val="center"/>
        <w:rPr>
          <w:rFonts w:hint="eastAsia"/>
        </w:rPr>
      </w:pPr>
      <w:r>
        <w:rPr>
          <w:rFonts w:hint="eastAsia"/>
        </w:rPr>
        <w:drawing>
          <wp:inline distT="0" distB="0" distL="114300" distR="114300">
            <wp:extent cx="5752465" cy="8133715"/>
            <wp:effectExtent l="0" t="0" r="635" b="635"/>
            <wp:docPr id="66" name="图片 426" descr="附图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6" name="图片 426" descr="附图1"/>
                    <pic:cNvPicPr>
                      <a:picLocks noChangeAspect="true"/>
                    </pic:cNvPicPr>
                  </pic:nvPicPr>
                  <pic:blipFill>
                    <a:blip r:embed="rId105"/>
                    <a:stretch>
                      <a:fillRect/>
                    </a:stretch>
                  </pic:blipFill>
                  <pic:spPr>
                    <a:xfrm>
                      <a:off x="0" y="0"/>
                      <a:ext cx="5752465" cy="8133715"/>
                    </a:xfrm>
                    <a:prstGeom prst="rect">
                      <a:avLst/>
                    </a:prstGeom>
                    <a:noFill/>
                    <a:ln>
                      <a:noFill/>
                    </a:ln>
                  </pic:spPr>
                </pic:pic>
              </a:graphicData>
            </a:graphic>
          </wp:inline>
        </w:drawing>
      </w:r>
    </w:p>
    <w:p>
      <w:pPr>
        <w:pStyle w:val="2886"/>
        <w:rPr>
          <w:rFonts w:hint="default" w:ascii="Times New Roman" w:hAnsi="Times New Roman" w:eastAsia="方正黑体_GBK" w:cs="Times New Roman"/>
        </w:rPr>
      </w:pPr>
      <w:r>
        <w:rPr>
          <w:rFonts w:hint="default" w:ascii="Times New Roman" w:hAnsi="Times New Roman" w:eastAsia="方正黑体_GBK" w:cs="Times New Roman"/>
        </w:rPr>
        <w:t>图1.5</w:t>
      </w:r>
      <w:r>
        <w:rPr>
          <w:rFonts w:hint="default" w:ascii="Times New Roman" w:hAnsi="Times New Roman" w:eastAsia="方正黑体_GBK" w:cs="Times New Roman"/>
          <w:lang w:eastAsia="zh-CN"/>
        </w:rPr>
        <w:t>—</w:t>
      </w:r>
      <w:r>
        <w:rPr>
          <w:rFonts w:hint="default" w:ascii="Times New Roman" w:hAnsi="Times New Roman" w:eastAsia="方正黑体_GBK" w:cs="Times New Roman"/>
        </w:rPr>
        <w:t>3　  綦江县城防洪规划方案总体示意图</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3</w:t>
      </w:r>
      <w:r>
        <w:rPr>
          <w:rFonts w:hint="eastAsia" w:ascii="Times New Roman" w:eastAsia="方正仿宋_GBK" w:cs="Times New Roman"/>
          <w:kern w:val="0"/>
          <w:sz w:val="32"/>
          <w:szCs w:val="32"/>
          <w:lang w:val="en-US" w:eastAsia="zh-CN"/>
        </w:rPr>
        <w:t>．</w:t>
      </w:r>
      <w:r>
        <w:rPr>
          <w:rFonts w:hint="default" w:ascii="Times New Roman" w:hAnsi="Times New Roman" w:eastAsia="方正仿宋_GBK" w:cs="Times New Roman"/>
          <w:sz w:val="32"/>
          <w:szCs w:val="32"/>
        </w:rPr>
        <w:t>綦江城区防洪工程初设报告</w:t>
      </w:r>
    </w:p>
    <w:p>
      <w:pPr>
        <w:pStyle w:val="2948"/>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3.1</w:t>
      </w:r>
      <w:r>
        <w:rPr>
          <w:rFonts w:hint="eastAsia" w:ascii="Times New Roman" w:hAnsi="Times New Roman" w:eastAsia="方正仿宋_GBK" w:cs="Times New Roman"/>
          <w:sz w:val="32"/>
          <w:szCs w:val="32"/>
          <w:lang w:val="en-US" w:eastAsia="zh-CN"/>
        </w:rPr>
        <w:t xml:space="preserve"> </w:t>
      </w:r>
      <w:r>
        <w:rPr>
          <w:rFonts w:hint="default" w:ascii="Times New Roman" w:hAnsi="Times New Roman" w:eastAsia="方正仿宋_GBK" w:cs="Times New Roman"/>
          <w:sz w:val="32"/>
          <w:szCs w:val="32"/>
        </w:rPr>
        <w:t>主要成果简述</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根据重庆市水利局、重庆市发改委批复的《重庆市綦江城区防洪护岸综合整治工程初步设计报告》（2008年），主要结论为：</w:t>
      </w:r>
    </w:p>
    <w:p>
      <w:pPr>
        <w:pStyle w:val="2948"/>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3.1.1</w:t>
      </w:r>
      <w:r>
        <w:rPr>
          <w:rFonts w:hint="eastAsia" w:ascii="Times New Roman" w:hAnsi="Times New Roman" w:eastAsia="方正仿宋_GBK" w:cs="Times New Roman"/>
          <w:sz w:val="32"/>
          <w:szCs w:val="32"/>
          <w:lang w:val="en-US" w:eastAsia="zh-CN"/>
        </w:rPr>
        <w:t xml:space="preserve"> </w:t>
      </w:r>
      <w:r>
        <w:rPr>
          <w:rFonts w:hint="default" w:ascii="Times New Roman" w:hAnsi="Times New Roman" w:eastAsia="方正仿宋_GBK" w:cs="Times New Roman"/>
          <w:sz w:val="32"/>
          <w:szCs w:val="32"/>
        </w:rPr>
        <w:t>綦江主城区堤防护岸工程上游起于綦江火车站、下游止于城北大桥，治理长度4.50km，设计堤线长9.09km，其中左岸4.375km、右岸4.715km；防洪标准为20年一遇（城北大桥断面流量为4920m</w:t>
      </w:r>
      <w:r>
        <w:rPr>
          <w:rFonts w:hint="default" w:ascii="Times New Roman" w:hAnsi="Times New Roman" w:eastAsia="方正仿宋_GBK" w:cs="Times New Roman"/>
          <w:sz w:val="32"/>
          <w:szCs w:val="32"/>
          <w:vertAlign w:val="superscript"/>
        </w:rPr>
        <w:t>3</w:t>
      </w:r>
      <w:r>
        <w:rPr>
          <w:rFonts w:hint="default" w:ascii="Times New Roman" w:hAnsi="Times New Roman" w:eastAsia="方正仿宋_GBK" w:cs="Times New Roman"/>
          <w:sz w:val="32"/>
          <w:szCs w:val="32"/>
        </w:rPr>
        <w:t>/s），设计洪水位225.32</w:t>
      </w:r>
      <w:r>
        <w:rPr>
          <w:rFonts w:hint="eastAsia" w:ascii="Times New Roman" w:hAnsi="Times New Roman" w:eastAsia="方正仿宋_GBK" w:cs="Times New Roman"/>
          <w:sz w:val="32"/>
          <w:szCs w:val="32"/>
          <w:lang w:eastAsia="zh-CN"/>
        </w:rPr>
        <w:t>—</w:t>
      </w:r>
      <w:r>
        <w:rPr>
          <w:rFonts w:hint="default" w:ascii="Times New Roman" w:hAnsi="Times New Roman" w:eastAsia="方正仿宋_GBK" w:cs="Times New Roman"/>
          <w:sz w:val="32"/>
          <w:szCs w:val="32"/>
        </w:rPr>
        <w:t>228.4m，堤顶超高0.932m；以L型灯饰梁＋生态袋（生态砼）护脚＋亲水步道＋生态袋护坡（挡墙）堤型。</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3.1.2</w:t>
      </w:r>
      <w:r>
        <w:rPr>
          <w:rFonts w:hint="eastAsia" w:ascii="Times New Roman" w:eastAsia="方正仿宋_GBK" w:cs="Times New Roman"/>
          <w:sz w:val="32"/>
          <w:szCs w:val="32"/>
          <w:lang w:val="en-US" w:eastAsia="zh-CN"/>
        </w:rPr>
        <w:t xml:space="preserve"> </w:t>
      </w:r>
      <w:r>
        <w:rPr>
          <w:rFonts w:hint="default" w:ascii="Times New Roman" w:hAnsi="Times New Roman" w:eastAsia="方正仿宋_GBK" w:cs="Times New Roman"/>
          <w:sz w:val="32"/>
          <w:szCs w:val="32"/>
        </w:rPr>
        <w:t>拆除评价河段内所有阻水建筑物（北渡大桥、城北大桥、綦江大桥、彩虹桥、沱湾大桥、桥溪口枢纽、大常枢纽），桥溪口</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大常枢纽河段和大常枢纽以上河段洪水位将分别降低0.05</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0.37m和0.24m</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1.06m，綦江大桥、大常枢纽、沱湾大桥、彩虹桥壅水高度分别为0.49m、0.45m、0.15m和0.08m，拆除后对行洪有利，但由于桥溪口枢纽及大常枢纽主要为了渠化航道，拆除以后对整个綦江流域通航影响较大，且不能形成亲水环境；綦江主城区主要沿河两岸而建，城北大桥、綦江大桥、彩虹桥及沱湾大桥均位于主城区，为主城区交通网络的重要组成部分，拆除后对主城区影响太大，即使修建新的桥梁，对行洪仍然会有一定阻水影响，而且投资巨大，目前条件尚不成熟，且根据实测地形图，即使拆除所有阻水建筑物，降低洪水位高程最多1m，P=5</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频率洪水仍然会造成两岸洪灾，低洼地带仍然需要采取措施解决，对综合整治工程拆迁补偿投资及堤防投资影响很小。因此，不考虑拆除阻水建筑物。但对于影响较大的綦江大桥和大常枢纽在条件成熟时可考虑拆除或重建；城北大桥为正在建设、即将完工的大桥，现阶段拆除或修改方案的可能性小。</w:t>
      </w:r>
    </w:p>
    <w:p>
      <w:pPr>
        <w:pStyle w:val="2948"/>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3.2</w:t>
      </w:r>
      <w:r>
        <w:rPr>
          <w:rFonts w:hint="eastAsia" w:ascii="Times New Roman" w:hAnsi="Times New Roman" w:eastAsia="方正仿宋_GBK" w:cs="Times New Roman"/>
          <w:sz w:val="32"/>
          <w:szCs w:val="32"/>
          <w:lang w:val="en-US" w:eastAsia="zh-CN"/>
        </w:rPr>
        <w:t xml:space="preserve"> </w:t>
      </w:r>
      <w:r>
        <w:rPr>
          <w:rFonts w:hint="default" w:ascii="Times New Roman" w:hAnsi="Times New Roman" w:eastAsia="方正仿宋_GBK" w:cs="Times New Roman"/>
          <w:sz w:val="32"/>
          <w:szCs w:val="32"/>
        </w:rPr>
        <w:t>防洪工程分期实施安排</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防洪护岸工程分三个阶段实施：</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第一阶段完成狭窄河段拓宽及大常枢纽以上的右岸护岸工程，经水文计算，火车站（上游端点）</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大常枢纽上游右岸设计洪水位（P=5%）为228.45</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226.02m，计算堤顶高程为229.382</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226.952m，设计堤顶高程取229.38</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226.95m。</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第二阶段完成大常枢纽以上的左岸护岸工程，经水文计算，火车站（上游端点）</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大常枢纽上游左岸设计洪水位（P=5%）为228.4</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226.02m，计算堤顶高程为229.332</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226.952m，设计堤顶高程取229.33</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226.95m。</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第三阶段完成大常枢纽以下的河段两岸护岸工程，经水文计算大常枢纽下游</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城北大桥（下游端点）两岸设计洪水位（P=5%）为225.75</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225.32m，计算堤顶高程为226.682</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226.252m，设计堤顶高程取226.68</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226.25m。</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4</w:t>
      </w:r>
      <w:r>
        <w:rPr>
          <w:rFonts w:hint="eastAsia" w:ascii="Times New Roman" w:eastAsia="方正仿宋_GBK" w:cs="Times New Roman"/>
          <w:kern w:val="0"/>
          <w:sz w:val="32"/>
          <w:szCs w:val="32"/>
          <w:lang w:val="en-US" w:eastAsia="zh-CN"/>
        </w:rPr>
        <w:t>．</w:t>
      </w:r>
      <w:r>
        <w:rPr>
          <w:rFonts w:hint="default" w:ascii="Times New Roman" w:hAnsi="Times New Roman" w:eastAsia="方正仿宋_GBK" w:cs="Times New Roman"/>
          <w:sz w:val="32"/>
          <w:szCs w:val="32"/>
        </w:rPr>
        <w:t>重庆市綦江河防洪综合整治规划报告</w:t>
      </w:r>
    </w:p>
    <w:p>
      <w:pPr>
        <w:pStyle w:val="2948"/>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4.1</w:t>
      </w:r>
      <w:r>
        <w:rPr>
          <w:rFonts w:hint="eastAsia" w:ascii="Times New Roman" w:hAnsi="Times New Roman" w:eastAsia="方正仿宋_GBK" w:cs="Times New Roman"/>
          <w:sz w:val="32"/>
          <w:szCs w:val="32"/>
          <w:lang w:val="en-US" w:eastAsia="zh-CN"/>
        </w:rPr>
        <w:t xml:space="preserve"> </w:t>
      </w:r>
      <w:r>
        <w:rPr>
          <w:rFonts w:hint="default" w:ascii="Times New Roman" w:hAnsi="Times New Roman" w:eastAsia="方正仿宋_GBK" w:cs="Times New Roman"/>
          <w:sz w:val="32"/>
          <w:szCs w:val="32"/>
        </w:rPr>
        <w:t>主要成果简述</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根据重庆江河工程咨询中心有限公司的《重庆市綦江河防洪综合整治规划报告》（2017年），主要结论为：以藻渡水库工程、分洪洞工程、航电枢纽改造工程和新建防洪护岸工程四大骨干工程为依托，辅以河道疏浚工程、场镇搬迁改造、小型水利水保工</w:t>
      </w:r>
      <w:r>
        <w:rPr>
          <w:rFonts w:hint="default" w:ascii="Times New Roman" w:hAnsi="Times New Roman" w:eastAsia="方正仿宋_GBK" w:cs="Times New Roman"/>
          <w:spacing w:val="-6"/>
          <w:sz w:val="32"/>
          <w:szCs w:val="32"/>
        </w:rPr>
        <w:t>程等和其他非工程措施，形成合力，共同解决綦江河流域防洪问</w:t>
      </w:r>
      <w:r>
        <w:rPr>
          <w:rFonts w:hint="default" w:ascii="Times New Roman" w:hAnsi="Times New Roman" w:eastAsia="方正仿宋_GBK" w:cs="Times New Roman"/>
          <w:sz w:val="32"/>
          <w:szCs w:val="32"/>
        </w:rPr>
        <w:t>题。</w:t>
      </w:r>
    </w:p>
    <w:p>
      <w:pPr>
        <w:pStyle w:val="2948"/>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4.2</w:t>
      </w:r>
      <w:r>
        <w:rPr>
          <w:rFonts w:hint="eastAsia" w:ascii="Times New Roman" w:hAnsi="Times New Roman" w:eastAsia="方正仿宋_GBK" w:cs="Times New Roman"/>
          <w:sz w:val="32"/>
          <w:szCs w:val="32"/>
          <w:lang w:val="en-US" w:eastAsia="zh-CN"/>
        </w:rPr>
        <w:t xml:space="preserve"> </w:t>
      </w:r>
      <w:r>
        <w:rPr>
          <w:rFonts w:hint="default" w:ascii="Times New Roman" w:hAnsi="Times New Roman" w:eastAsia="方正仿宋_GBK" w:cs="Times New Roman"/>
          <w:sz w:val="32"/>
          <w:szCs w:val="32"/>
        </w:rPr>
        <w:t>防洪工程分期实施安排</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根据綦江流域沿线城市及场镇的防洪现状、防洪形势紧迫程度，结合社会经济发展和规划工程的整体布局，分析规划工程在治理中的地位及作用，考虑国家投资力度与地方经济的承受能力，按照轻重缓急的原则，突出重点，将规划工程按照近期、远期分阶段实施。</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近期（2017</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2030年），建议优先推进藻渡水库、分洪隧洞前期工作，力争开工实施；并配合防洪护岸工程、河道清淤疏浚、卡口整治和生态水保工程，构建防洪体系的雏形及框架，提高上游滞洪削峰能力，打通綦江城区分洪通道。</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远期（2030年以后），推动以航电枢纽改造、城镇改造等项目为主的防洪体系工作。其中，航电枢纽改造主要涉及3个航电枢纽拆除工程（大常航电枢纽拆除工程、车滩航电枢纽拆除工程、石溪口航电枢纽拆除工程）；5个航电枢纽改造工程（桥溪口航运枢纽改造工程、桥河航电枢纽改造工程、珠滩航电枢纽改造工程、五福航电枢纽改造工程、羊蹄洞航电枢纽改造工程）；城镇改造主要涉及以三江街道等乡镇为主的城镇改造工作；同时在水土流失严重流域，继续大力开展小流域水土保持工程，农村河道综合治理工程及山洪沟治理工程，提高流域林草覆盖率，“蓄滞排”相结合，全面提高流域防洪能力。</w:t>
      </w:r>
    </w:p>
    <w:p>
      <w:pPr>
        <w:pStyle w:val="2953"/>
        <w:ind w:firstLine="560"/>
      </w:pPr>
    </w:p>
    <w:p>
      <w:pPr>
        <w:pStyle w:val="2953"/>
        <w:ind w:firstLine="560"/>
        <w:rPr>
          <w:rFonts w:hint="eastAsia"/>
        </w:rPr>
      </w:pPr>
    </w:p>
    <w:p>
      <w:pPr>
        <w:pStyle w:val="2953"/>
        <w:ind w:firstLine="560"/>
        <w:sectPr>
          <w:headerReference r:id="rId11" w:type="default"/>
          <w:footerReference r:id="rId13" w:type="default"/>
          <w:headerReference r:id="rId12" w:type="even"/>
          <w:footerReference r:id="rId14" w:type="even"/>
          <w:pgSz w:w="11907" w:h="16840"/>
          <w:pgMar w:top="1616" w:right="1418" w:bottom="1616" w:left="1418" w:header="851" w:footer="1304" w:gutter="0"/>
          <w:pgBorders>
            <w:top w:val="none" w:sz="0" w:space="0"/>
            <w:left w:val="none" w:sz="0" w:space="0"/>
            <w:bottom w:val="none" w:sz="0" w:space="0"/>
            <w:right w:val="none" w:sz="0" w:space="0"/>
          </w:pgBorders>
          <w:pgNumType w:fmt="decimal"/>
          <w:cols w:space="720" w:num="1"/>
          <w:docGrid w:type="lines" w:linePitch="381" w:charSpace="0"/>
        </w:sectPr>
      </w:pPr>
    </w:p>
    <w:p>
      <w:pPr>
        <w:pStyle w:val="153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方正黑体_GBK" w:hAnsi="方正黑体_GBK" w:eastAsia="方正黑体_GBK" w:cs="方正黑体_GBK"/>
          <w:sz w:val="32"/>
          <w:szCs w:val="32"/>
        </w:rPr>
      </w:pPr>
      <w:bookmarkStart w:id="42" w:name="_Toc71782066"/>
      <w:bookmarkStart w:id="43" w:name="_Toc908"/>
      <w:bookmarkStart w:id="44" w:name="_Toc71665849"/>
      <w:bookmarkStart w:id="45" w:name="_Toc618"/>
      <w:r>
        <w:rPr>
          <w:rFonts w:hint="eastAsia" w:ascii="方正黑体_GBK" w:hAnsi="方正黑体_GBK" w:eastAsia="方正黑体_GBK" w:cs="方正黑体_GBK"/>
          <w:sz w:val="32"/>
          <w:szCs w:val="32"/>
          <w:lang w:val="en-US" w:eastAsia="zh-CN"/>
        </w:rPr>
        <w:t>二、</w:t>
      </w:r>
      <w:r>
        <w:rPr>
          <w:rFonts w:hint="eastAsia" w:ascii="方正黑体_GBK" w:hAnsi="方正黑体_GBK" w:eastAsia="方正黑体_GBK" w:cs="方正黑体_GBK"/>
          <w:sz w:val="32"/>
          <w:szCs w:val="32"/>
        </w:rPr>
        <w:t>防洪现状及存在的主要问题</w:t>
      </w:r>
      <w:bookmarkEnd w:id="42"/>
      <w:bookmarkEnd w:id="43"/>
      <w:bookmarkEnd w:id="44"/>
      <w:bookmarkEnd w:id="45"/>
    </w:p>
    <w:p>
      <w:pPr>
        <w:pStyle w:val="1795"/>
        <w:keepNext w:val="0"/>
        <w:keepLines w:val="0"/>
        <w:pageBreakBefore w:val="0"/>
        <w:widowControl w:val="0"/>
        <w:kinsoku/>
        <w:wordWrap/>
        <w:overflowPunct/>
        <w:topLinePunct w:val="0"/>
        <w:autoSpaceDE/>
        <w:autoSpaceDN/>
        <w:bidi w:val="0"/>
        <w:adjustRightInd/>
        <w:snapToGrid/>
        <w:spacing w:before="0" w:after="0"/>
        <w:ind w:firstLine="640" w:firstLineChars="200"/>
        <w:textAlignment w:val="auto"/>
        <w:rPr>
          <w:rFonts w:hint="eastAsia" w:ascii="方正楷体_GBK" w:hAnsi="方正楷体_GBK" w:eastAsia="方正楷体_GBK" w:cs="方正楷体_GBK"/>
        </w:rPr>
      </w:pPr>
      <w:bookmarkStart w:id="46" w:name="_Toc71665850"/>
      <w:bookmarkStart w:id="47" w:name="_Toc27438"/>
      <w:bookmarkStart w:id="48" w:name="_Toc71782067"/>
      <w:bookmarkStart w:id="49" w:name="_Toc13602"/>
      <w:r>
        <w:rPr>
          <w:rFonts w:hint="eastAsia" w:ascii="方正楷体_GBK" w:hAnsi="方正楷体_GBK" w:eastAsia="方正楷体_GBK" w:cs="方正楷体_GBK"/>
          <w:lang w:eastAsia="zh-CN"/>
        </w:rPr>
        <w:t>（</w:t>
      </w:r>
      <w:r>
        <w:rPr>
          <w:rFonts w:hint="eastAsia" w:ascii="方正楷体_GBK" w:hAnsi="方正楷体_GBK" w:eastAsia="方正楷体_GBK" w:cs="方正楷体_GBK"/>
          <w:lang w:val="en-US" w:eastAsia="zh-CN"/>
        </w:rPr>
        <w:t>一</w:t>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rPr>
        <w:t>防洪工程现状</w:t>
      </w:r>
      <w:bookmarkEnd w:id="46"/>
      <w:bookmarkEnd w:id="47"/>
      <w:bookmarkEnd w:id="48"/>
      <w:bookmarkEnd w:id="49"/>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bookmarkStart w:id="50" w:name="_Toc250624488"/>
      <w:r>
        <w:rPr>
          <w:rFonts w:hint="default" w:ascii="Times New Roman" w:hAnsi="Times New Roman" w:eastAsia="方正仿宋_GBK" w:cs="Times New Roman"/>
          <w:sz w:val="32"/>
          <w:szCs w:val="32"/>
        </w:rPr>
        <w:t>目前，綦江上游无控制性防洪水库，已建水库汛期仅起到一定的滞洪作用，綦江区城防洪仅依靠堤防护岸工程。</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1</w:t>
      </w:r>
      <w:r>
        <w:rPr>
          <w:rFonts w:hint="eastAsia" w:ascii="Times New Roman" w:eastAsia="方正仿宋_GBK" w:cs="Times New Roman"/>
          <w:kern w:val="0"/>
          <w:sz w:val="32"/>
          <w:szCs w:val="32"/>
          <w:lang w:val="en-US" w:eastAsia="zh-CN"/>
        </w:rPr>
        <w:t>．</w:t>
      </w:r>
      <w:r>
        <w:rPr>
          <w:rFonts w:hint="default" w:ascii="Times New Roman" w:hAnsi="Times New Roman" w:eastAsia="方正仿宋_GBK" w:cs="Times New Roman"/>
          <w:sz w:val="32"/>
          <w:szCs w:val="32"/>
        </w:rPr>
        <w:t>堤防护岸工程</w:t>
      </w:r>
    </w:p>
    <w:p>
      <w:pPr>
        <w:pStyle w:val="1280"/>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1.1</w:t>
      </w:r>
      <w:r>
        <w:rPr>
          <w:rFonts w:hint="eastAsia" w:ascii="Times New Roman" w:hAnsi="Times New Roman" w:eastAsia="方正仿宋_GBK" w:cs="Times New Roman"/>
          <w:sz w:val="32"/>
          <w:szCs w:val="32"/>
          <w:lang w:val="en-US" w:eastAsia="zh-CN"/>
        </w:rPr>
        <w:t xml:space="preserve"> </w:t>
      </w:r>
      <w:r>
        <w:rPr>
          <w:rFonts w:hint="default" w:ascii="Times New Roman" w:hAnsi="Times New Roman" w:eastAsia="方正仿宋_GBK" w:cs="Times New Roman"/>
          <w:sz w:val="32"/>
          <w:szCs w:val="32"/>
        </w:rPr>
        <w:t>綦江主城区</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1.1.1</w:t>
      </w:r>
      <w:r>
        <w:rPr>
          <w:rFonts w:hint="eastAsia" w:ascii="Times New Roman" w:eastAsia="方正仿宋_GBK" w:cs="Times New Roman"/>
          <w:sz w:val="32"/>
          <w:szCs w:val="32"/>
          <w:lang w:val="en-US" w:eastAsia="zh-CN"/>
        </w:rPr>
        <w:t xml:space="preserve"> </w:t>
      </w:r>
      <w:r>
        <w:rPr>
          <w:rFonts w:hint="default" w:ascii="Times New Roman" w:hAnsi="Times New Roman" w:eastAsia="方正仿宋_GBK" w:cs="Times New Roman"/>
          <w:sz w:val="32"/>
          <w:szCs w:val="32"/>
        </w:rPr>
        <w:t>綦江干流堤防</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綦江主城区上游起于綦江火车站，下游止于城北大桥，长约5km，城区防洪主要依靠</w:t>
      </w:r>
      <w:r>
        <w:rPr>
          <w:rFonts w:hint="default" w:ascii="Times New Roman" w:hAnsi="Times New Roman" w:eastAsia="方正仿宋_GBK" w:cs="Times New Roman"/>
          <w:sz w:val="32"/>
          <w:szCs w:val="32"/>
          <w:shd w:val="clear" w:color="auto" w:fill="FFFFFF"/>
        </w:rPr>
        <w:t>全斜坡式、直墙式</w:t>
      </w:r>
      <w:r>
        <w:rPr>
          <w:rFonts w:hint="default" w:ascii="Times New Roman" w:hAnsi="Times New Roman" w:eastAsia="方正仿宋_GBK" w:cs="Times New Roman"/>
          <w:sz w:val="32"/>
          <w:szCs w:val="32"/>
        </w:rPr>
        <w:t>、堤路结合</w:t>
      </w:r>
      <w:r>
        <w:rPr>
          <w:rFonts w:hint="default" w:ascii="Times New Roman" w:hAnsi="Times New Roman" w:eastAsia="方正仿宋_GBK" w:cs="Times New Roman"/>
          <w:sz w:val="32"/>
          <w:szCs w:val="32"/>
          <w:shd w:val="clear" w:color="auto" w:fill="FFFFFF"/>
        </w:rPr>
        <w:t>式</w:t>
      </w:r>
      <w:r>
        <w:rPr>
          <w:rFonts w:hint="default" w:ascii="Times New Roman" w:hAnsi="Times New Roman" w:eastAsia="方正仿宋_GBK" w:cs="Times New Roman"/>
          <w:sz w:val="32"/>
          <w:szCs w:val="32"/>
        </w:rPr>
        <w:t>堤防防御洪水，</w:t>
      </w:r>
      <w:r>
        <w:rPr>
          <w:rFonts w:hint="default" w:ascii="Times New Roman" w:hAnsi="Times New Roman" w:eastAsia="方正仿宋_GBK" w:cs="Times New Roman"/>
          <w:sz w:val="32"/>
          <w:szCs w:val="32"/>
          <w:shd w:val="clear" w:color="auto" w:fill="FFFFFF"/>
        </w:rPr>
        <w:t>见图2.1</w:t>
      </w:r>
      <w:r>
        <w:rPr>
          <w:rFonts w:hint="eastAsia" w:ascii="Times New Roman" w:eastAsia="方正仿宋_GBK" w:cs="Times New Roman"/>
          <w:sz w:val="32"/>
          <w:szCs w:val="32"/>
          <w:shd w:val="clear" w:color="auto" w:fill="FFFFFF"/>
          <w:lang w:eastAsia="zh-CN"/>
        </w:rPr>
        <w:t>—</w:t>
      </w:r>
      <w:r>
        <w:rPr>
          <w:rFonts w:hint="default" w:ascii="Times New Roman" w:hAnsi="Times New Roman" w:eastAsia="方正仿宋_GBK" w:cs="Times New Roman"/>
          <w:sz w:val="32"/>
          <w:szCs w:val="32"/>
          <w:shd w:val="clear" w:color="auto" w:fill="FFFFFF"/>
        </w:rPr>
        <w:t>1</w:t>
      </w:r>
      <w:r>
        <w:rPr>
          <w:rFonts w:hint="default" w:ascii="Times New Roman" w:hAnsi="Times New Roman" w:eastAsia="方正仿宋_GBK" w:cs="Times New Roman"/>
          <w:sz w:val="32"/>
          <w:szCs w:val="32"/>
        </w:rPr>
        <w:t>。主城区防洪保护区綦江干流两岸已建堤防护岸总长度约9.09km，主要在2008</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2012年和2015</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2017年期间修建，规划的堤防护岸均已兴建，但堤顶存在不同程度欠高，现状防洪能力达到20年一遇的堤段仅有3.46km。堤防护岸工程规划实施情况见表2.1</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1，已建工程分布情况见图2.1</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2。</w:t>
      </w:r>
    </w:p>
    <w:p>
      <w:pPr>
        <w:pStyle w:val="965"/>
        <w:spacing w:line="240" w:lineRule="auto"/>
        <w:rPr>
          <w:rFonts w:ascii="仿宋_GB2312" w:eastAsia="仿宋_GB2312"/>
          <w:szCs w:val="21"/>
        </w:rPr>
      </w:pPr>
      <w:r>
        <w:rPr>
          <w:rFonts w:ascii="仿宋_GB2312" w:eastAsia="仿宋_GB2312"/>
          <w:szCs w:val="21"/>
        </w:rPr>
        <w:drawing>
          <wp:inline distT="0" distB="0" distL="114300" distR="114300">
            <wp:extent cx="2700655" cy="1615440"/>
            <wp:effectExtent l="0" t="0" r="4445" b="3810"/>
            <wp:docPr id="67" name="图片 109" descr="北街小学下游渡口处左、右岸堤型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7" name="图片 109" descr="北街小学下游渡口处左、右岸堤型1"/>
                    <pic:cNvPicPr>
                      <a:picLocks noChangeAspect="true"/>
                    </pic:cNvPicPr>
                  </pic:nvPicPr>
                  <pic:blipFill>
                    <a:blip r:embed="rId106"/>
                    <a:srcRect b="19272"/>
                    <a:stretch>
                      <a:fillRect/>
                    </a:stretch>
                  </pic:blipFill>
                  <pic:spPr>
                    <a:xfrm>
                      <a:off x="0" y="0"/>
                      <a:ext cx="2700655" cy="1615440"/>
                    </a:xfrm>
                    <a:prstGeom prst="rect">
                      <a:avLst/>
                    </a:prstGeom>
                    <a:noFill/>
                    <a:ln>
                      <a:noFill/>
                    </a:ln>
                  </pic:spPr>
                </pic:pic>
              </a:graphicData>
            </a:graphic>
          </wp:inline>
        </w:drawing>
      </w:r>
      <w:r>
        <w:rPr>
          <w:rFonts w:ascii="仿宋_GB2312" w:eastAsia="仿宋_GB2312"/>
          <w:szCs w:val="21"/>
        </w:rPr>
        <w:t xml:space="preserve"> </w:t>
      </w:r>
      <w:r>
        <w:rPr>
          <w:rFonts w:ascii="仿宋_GB2312" w:eastAsia="仿宋_GB2312"/>
          <w:szCs w:val="21"/>
        </w:rPr>
        <w:drawing>
          <wp:inline distT="0" distB="0" distL="114300" distR="114300">
            <wp:extent cx="2700655" cy="1661795"/>
            <wp:effectExtent l="0" t="0" r="4445" b="14605"/>
            <wp:docPr id="68" name="图片 110" descr="彩虹桥上游堤防"/>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8" name="图片 110" descr="彩虹桥上游堤防"/>
                    <pic:cNvPicPr>
                      <a:picLocks noChangeAspect="true"/>
                    </pic:cNvPicPr>
                  </pic:nvPicPr>
                  <pic:blipFill>
                    <a:blip r:embed="rId107"/>
                    <a:srcRect b="15012"/>
                    <a:stretch>
                      <a:fillRect/>
                    </a:stretch>
                  </pic:blipFill>
                  <pic:spPr>
                    <a:xfrm>
                      <a:off x="0" y="0"/>
                      <a:ext cx="2700655" cy="1661795"/>
                    </a:xfrm>
                    <a:prstGeom prst="rect">
                      <a:avLst/>
                    </a:prstGeom>
                    <a:noFill/>
                    <a:ln>
                      <a:noFill/>
                    </a:ln>
                  </pic:spPr>
                </pic:pic>
              </a:graphicData>
            </a:graphic>
          </wp:inline>
        </w:drawing>
      </w:r>
    </w:p>
    <w:p>
      <w:pPr>
        <w:pStyle w:val="965"/>
        <w:spacing w:line="240" w:lineRule="exact"/>
        <w:rPr>
          <w:rFonts w:ascii="仿宋_GB2312" w:eastAsia="仿宋_GB2312"/>
          <w:szCs w:val="21"/>
        </w:rPr>
      </w:pPr>
      <w:r>
        <w:rPr>
          <w:rFonts w:hint="eastAsia"/>
          <w:szCs w:val="21"/>
        </w:rPr>
        <w:t xml:space="preserve">（a） 滨江公园处左、右岸堤型 </w:t>
      </w:r>
      <w:r>
        <w:rPr>
          <w:szCs w:val="21"/>
        </w:rPr>
        <w:t xml:space="preserve">             </w:t>
      </w:r>
      <w:r>
        <w:rPr>
          <w:rFonts w:hint="eastAsia"/>
          <w:szCs w:val="21"/>
        </w:rPr>
        <w:t>（</w:t>
      </w:r>
      <w:r>
        <w:rPr>
          <w:szCs w:val="21"/>
        </w:rPr>
        <w:t>b</w:t>
      </w:r>
      <w:r>
        <w:rPr>
          <w:rFonts w:hint="eastAsia"/>
          <w:szCs w:val="21"/>
        </w:rPr>
        <w:t>） 沱湾半山公寓公交站</w:t>
      </w:r>
      <w:r>
        <w:rPr>
          <w:szCs w:val="21"/>
        </w:rPr>
        <w:t>至</w:t>
      </w:r>
      <w:r>
        <w:rPr>
          <w:rFonts w:hint="eastAsia"/>
          <w:szCs w:val="21"/>
        </w:rPr>
        <w:t>彩虹桥段堤型</w:t>
      </w:r>
    </w:p>
    <w:p>
      <w:pPr>
        <w:pStyle w:val="2886"/>
        <w:rPr>
          <w:rFonts w:hint="default" w:ascii="Times New Roman" w:hAnsi="Times New Roman" w:eastAsia="方正黑体_GBK" w:cs="Times New Roman"/>
        </w:rPr>
      </w:pPr>
      <w:r>
        <w:rPr>
          <w:rFonts w:hint="default" w:ascii="Times New Roman" w:hAnsi="Times New Roman" w:eastAsia="方正黑体_GBK" w:cs="Times New Roman"/>
        </w:rPr>
        <w:t>图2.1</w:t>
      </w:r>
      <w:r>
        <w:rPr>
          <w:rFonts w:hint="default" w:ascii="Times New Roman" w:hAnsi="Times New Roman" w:eastAsia="方正黑体_GBK" w:cs="Times New Roman"/>
          <w:lang w:eastAsia="zh-CN"/>
        </w:rPr>
        <w:t>—</w:t>
      </w:r>
      <w:r>
        <w:rPr>
          <w:rFonts w:hint="default" w:ascii="Times New Roman" w:hAnsi="Times New Roman" w:eastAsia="方正黑体_GBK" w:cs="Times New Roman"/>
        </w:rPr>
        <w:t>1  　綦江干流主城区段主要堤型</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eastAsia" w:ascii="Times New Roman" w:hAnsi="Times New Roman" w:eastAsia="方正仿宋_GBK" w:cs="Times New Roman"/>
          <w:sz w:val="32"/>
          <w:szCs w:val="32"/>
          <w:lang w:val="en-US" w:eastAsia="zh-CN"/>
        </w:rPr>
        <w:t>1.1.2</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rPr>
        <w:t>綦江支流通惠河堤防</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rPr>
        <w:t>綦江城区通惠河段自河口起至上游通惠派出所，两岸为滨河带状公园所建滨江步道，步道宽3m。上游花滩子跳蹬翻板闸至环保局两岸建有堤防，长约3</w:t>
      </w:r>
      <w:r>
        <w:rPr>
          <w:rFonts w:hint="default" w:ascii="Times New Roman" w:hAnsi="Times New Roman" w:eastAsia="方正仿宋_GBK" w:cs="Times New Roman"/>
          <w:sz w:val="32"/>
          <w:szCs w:val="32"/>
        </w:rPr>
        <w:t>.</w:t>
      </w:r>
      <w:r>
        <w:rPr>
          <w:rFonts w:hint="eastAsia" w:ascii="Times New Roman" w:hAnsi="Times New Roman" w:eastAsia="方正仿宋_GBK" w:cs="Times New Roman"/>
          <w:sz w:val="32"/>
          <w:szCs w:val="32"/>
        </w:rPr>
        <w:t>20</w:t>
      </w:r>
      <w:r>
        <w:rPr>
          <w:rFonts w:hint="default" w:ascii="Times New Roman" w:hAnsi="Times New Roman" w:eastAsia="方正仿宋_GBK" w:cs="Times New Roman"/>
          <w:sz w:val="32"/>
          <w:szCs w:val="32"/>
        </w:rPr>
        <w:t>k</w:t>
      </w:r>
      <w:r>
        <w:rPr>
          <w:rFonts w:hint="eastAsia" w:ascii="Times New Roman" w:hAnsi="Times New Roman" w:eastAsia="方正仿宋_GBK" w:cs="Times New Roman"/>
          <w:sz w:val="32"/>
          <w:szCs w:val="32"/>
        </w:rPr>
        <w:t>m。</w:t>
      </w:r>
    </w:p>
    <w:p>
      <w:pPr>
        <w:pStyle w:val="2312"/>
        <w:ind w:firstLine="240"/>
        <w:rPr>
          <w:rFonts w:hint="default" w:ascii="Times New Roman" w:hAnsi="Times New Roman" w:eastAsia="方正黑体_GBK" w:cs="Times New Roman"/>
        </w:rPr>
      </w:pPr>
      <w:r>
        <w:rPr>
          <w:rFonts w:hint="default" w:ascii="Times New Roman" w:hAnsi="Times New Roman" w:eastAsia="方正黑体_GBK" w:cs="Times New Roman"/>
        </w:rPr>
        <w:t>表2.1</w:t>
      </w:r>
      <w:r>
        <w:rPr>
          <w:rFonts w:hint="default" w:ascii="Times New Roman" w:hAnsi="Times New Roman" w:eastAsia="方正黑体_GBK" w:cs="Times New Roman"/>
          <w:lang w:eastAsia="zh-CN"/>
        </w:rPr>
        <w:t>—</w:t>
      </w:r>
      <w:r>
        <w:rPr>
          <w:rFonts w:hint="default" w:ascii="Times New Roman" w:hAnsi="Times New Roman" w:eastAsia="方正黑体_GBK" w:cs="Times New Roman"/>
        </w:rPr>
        <w:t>1    綦江干流主城区段堤防护岸工程规划与现状实施情况对比表</w:t>
      </w:r>
    </w:p>
    <w:tbl>
      <w:tblPr>
        <w:tblStyle w:val="88"/>
        <w:tblW w:w="5000"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108" w:type="dxa"/>
          <w:bottom w:w="0" w:type="dxa"/>
          <w:right w:w="108" w:type="dxa"/>
        </w:tblCellMar>
      </w:tblPr>
      <w:tblGrid>
        <w:gridCol w:w="646"/>
        <w:gridCol w:w="2357"/>
        <w:gridCol w:w="1075"/>
        <w:gridCol w:w="1129"/>
        <w:gridCol w:w="996"/>
        <w:gridCol w:w="1529"/>
        <w:gridCol w:w="1555"/>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348" w:type="pct"/>
            <w:vMerge w:val="restart"/>
            <w:noWrap w:val="0"/>
            <w:vAlign w:val="center"/>
          </w:tcPr>
          <w:p>
            <w:pPr>
              <w:pStyle w:val="3013"/>
              <w:spacing w:line="240" w:lineRule="exact"/>
              <w:rPr>
                <w:rFonts w:hint="eastAsia"/>
              </w:rPr>
            </w:pPr>
            <w:r>
              <w:rPr>
                <w:rFonts w:hint="eastAsia"/>
              </w:rPr>
              <w:t>岸别</w:t>
            </w:r>
          </w:p>
        </w:tc>
        <w:tc>
          <w:tcPr>
            <w:tcW w:w="1269" w:type="pct"/>
            <w:vMerge w:val="restart"/>
            <w:noWrap w:val="0"/>
            <w:vAlign w:val="center"/>
          </w:tcPr>
          <w:p>
            <w:pPr>
              <w:pStyle w:val="3013"/>
              <w:spacing w:line="240" w:lineRule="exact"/>
              <w:rPr>
                <w:rFonts w:hint="eastAsia"/>
              </w:rPr>
            </w:pPr>
            <w:r>
              <w:rPr>
                <w:rFonts w:hint="eastAsia"/>
              </w:rPr>
              <w:t>堤段名称</w:t>
            </w:r>
          </w:p>
        </w:tc>
        <w:tc>
          <w:tcPr>
            <w:tcW w:w="1187" w:type="pct"/>
            <w:gridSpan w:val="2"/>
            <w:noWrap w:val="0"/>
            <w:vAlign w:val="center"/>
          </w:tcPr>
          <w:p>
            <w:pPr>
              <w:pStyle w:val="3013"/>
              <w:spacing w:line="240" w:lineRule="exact"/>
              <w:rPr>
                <w:rFonts w:hint="eastAsia"/>
              </w:rPr>
            </w:pPr>
            <w:r>
              <w:rPr>
                <w:rFonts w:hint="eastAsia"/>
              </w:rPr>
              <w:t>规划</w:t>
            </w:r>
          </w:p>
        </w:tc>
        <w:tc>
          <w:tcPr>
            <w:tcW w:w="2196" w:type="pct"/>
            <w:gridSpan w:val="3"/>
            <w:noWrap w:val="0"/>
            <w:vAlign w:val="center"/>
          </w:tcPr>
          <w:p>
            <w:pPr>
              <w:pStyle w:val="3013"/>
              <w:spacing w:line="240" w:lineRule="exact"/>
              <w:rPr>
                <w:rFonts w:hint="eastAsia"/>
              </w:rPr>
            </w:pPr>
            <w:r>
              <w:rPr>
                <w:rFonts w:hint="eastAsia"/>
              </w:rPr>
              <w:t>现状</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348" w:type="pct"/>
            <w:vMerge w:val="continue"/>
            <w:noWrap w:val="0"/>
            <w:vAlign w:val="center"/>
          </w:tcPr>
          <w:p>
            <w:pPr>
              <w:pStyle w:val="3013"/>
              <w:spacing w:line="240" w:lineRule="exact"/>
              <w:rPr>
                <w:rFonts w:hint="eastAsia"/>
              </w:rPr>
            </w:pPr>
          </w:p>
        </w:tc>
        <w:tc>
          <w:tcPr>
            <w:tcW w:w="1269" w:type="pct"/>
            <w:vMerge w:val="continue"/>
            <w:noWrap w:val="0"/>
            <w:vAlign w:val="center"/>
          </w:tcPr>
          <w:p>
            <w:pPr>
              <w:pStyle w:val="3013"/>
              <w:spacing w:line="240" w:lineRule="exact"/>
              <w:rPr>
                <w:rFonts w:hint="eastAsia"/>
              </w:rPr>
            </w:pPr>
          </w:p>
        </w:tc>
        <w:tc>
          <w:tcPr>
            <w:tcW w:w="579" w:type="pct"/>
            <w:noWrap w:val="0"/>
            <w:vAlign w:val="center"/>
          </w:tcPr>
          <w:p>
            <w:pPr>
              <w:pStyle w:val="3013"/>
              <w:spacing w:line="240" w:lineRule="exact"/>
              <w:rPr>
                <w:rFonts w:hint="eastAsia"/>
              </w:rPr>
            </w:pPr>
            <w:r>
              <w:rPr>
                <w:rFonts w:hint="eastAsia"/>
              </w:rPr>
              <w:t>堤防长度</w:t>
            </w:r>
          </w:p>
          <w:p>
            <w:pPr>
              <w:pStyle w:val="3013"/>
              <w:spacing w:line="240" w:lineRule="exact"/>
              <w:rPr>
                <w:rFonts w:hint="eastAsia"/>
              </w:rPr>
            </w:pPr>
            <w:r>
              <w:rPr>
                <w:rFonts w:hint="eastAsia"/>
              </w:rPr>
              <w:t>（km）</w:t>
            </w:r>
          </w:p>
        </w:tc>
        <w:tc>
          <w:tcPr>
            <w:tcW w:w="608" w:type="pct"/>
            <w:noWrap w:val="0"/>
            <w:vAlign w:val="center"/>
          </w:tcPr>
          <w:p>
            <w:pPr>
              <w:pStyle w:val="3013"/>
              <w:spacing w:line="240" w:lineRule="exact"/>
              <w:rPr>
                <w:rFonts w:hint="eastAsia"/>
              </w:rPr>
            </w:pPr>
            <w:r>
              <w:rPr>
                <w:rFonts w:hint="eastAsia"/>
              </w:rPr>
              <w:t>防洪标准</w:t>
            </w:r>
          </w:p>
        </w:tc>
        <w:tc>
          <w:tcPr>
            <w:tcW w:w="536" w:type="pct"/>
            <w:noWrap w:val="0"/>
            <w:vAlign w:val="center"/>
          </w:tcPr>
          <w:p>
            <w:pPr>
              <w:pStyle w:val="3013"/>
              <w:spacing w:line="240" w:lineRule="exact"/>
              <w:rPr>
                <w:rFonts w:hint="eastAsia"/>
              </w:rPr>
            </w:pPr>
            <w:r>
              <w:rPr>
                <w:rFonts w:hint="eastAsia"/>
              </w:rPr>
              <w:t>堤防长度</w:t>
            </w:r>
          </w:p>
          <w:p>
            <w:pPr>
              <w:pStyle w:val="3013"/>
              <w:spacing w:line="240" w:lineRule="exact"/>
              <w:rPr>
                <w:rFonts w:hint="eastAsia"/>
              </w:rPr>
            </w:pPr>
            <w:r>
              <w:rPr>
                <w:rFonts w:hint="eastAsia"/>
              </w:rPr>
              <w:t>（km）</w:t>
            </w:r>
          </w:p>
        </w:tc>
        <w:tc>
          <w:tcPr>
            <w:tcW w:w="823" w:type="pct"/>
            <w:noWrap w:val="0"/>
            <w:vAlign w:val="center"/>
          </w:tcPr>
          <w:p>
            <w:pPr>
              <w:pStyle w:val="3013"/>
              <w:spacing w:line="240" w:lineRule="exact"/>
              <w:rPr>
                <w:rFonts w:hint="eastAsia"/>
              </w:rPr>
            </w:pPr>
            <w:r>
              <w:rPr>
                <w:rFonts w:hint="eastAsia"/>
              </w:rPr>
              <w:t>防洪标准</w:t>
            </w:r>
          </w:p>
        </w:tc>
        <w:tc>
          <w:tcPr>
            <w:tcW w:w="837" w:type="pct"/>
            <w:noWrap w:val="0"/>
            <w:vAlign w:val="center"/>
          </w:tcPr>
          <w:p>
            <w:pPr>
              <w:pStyle w:val="3013"/>
              <w:spacing w:line="240" w:lineRule="exact"/>
              <w:rPr>
                <w:rFonts w:hint="eastAsia"/>
              </w:rPr>
            </w:pPr>
            <w:r>
              <w:rPr>
                <w:rFonts w:hint="eastAsia"/>
              </w:rPr>
              <w:t>堤防建设年份</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348" w:type="pct"/>
            <w:vMerge w:val="restart"/>
            <w:noWrap w:val="0"/>
            <w:vAlign w:val="center"/>
          </w:tcPr>
          <w:p>
            <w:pPr>
              <w:pStyle w:val="3013"/>
              <w:spacing w:line="240" w:lineRule="exact"/>
              <w:rPr>
                <w:rFonts w:hint="eastAsia"/>
              </w:rPr>
            </w:pPr>
            <w:r>
              <w:rPr>
                <w:rFonts w:hint="eastAsia"/>
              </w:rPr>
              <w:t>左岸</w:t>
            </w:r>
          </w:p>
        </w:tc>
        <w:tc>
          <w:tcPr>
            <w:tcW w:w="1269" w:type="pct"/>
            <w:noWrap w:val="0"/>
            <w:vAlign w:val="center"/>
          </w:tcPr>
          <w:p>
            <w:pPr>
              <w:pStyle w:val="3013"/>
              <w:spacing w:line="240" w:lineRule="exact"/>
              <w:rPr>
                <w:rFonts w:hint="eastAsia" w:eastAsia="楷体_GB2312"/>
                <w:lang w:eastAsia="zh-CN"/>
              </w:rPr>
            </w:pPr>
            <w:r>
              <w:rPr>
                <w:rFonts w:hint="eastAsia"/>
              </w:rPr>
              <w:t>綦江火车站</w:t>
            </w:r>
            <w:r>
              <w:rPr>
                <w:rFonts w:hint="eastAsia"/>
                <w:lang w:eastAsia="zh-CN"/>
              </w:rPr>
              <w:t>—</w:t>
            </w:r>
          </w:p>
          <w:p>
            <w:pPr>
              <w:pStyle w:val="3013"/>
              <w:spacing w:line="240" w:lineRule="exact"/>
              <w:rPr>
                <w:rFonts w:hint="eastAsia"/>
              </w:rPr>
            </w:pPr>
            <w:r>
              <w:rPr>
                <w:rFonts w:hint="eastAsia"/>
              </w:rPr>
              <w:t>沱湾半山公寓公交站</w:t>
            </w:r>
          </w:p>
        </w:tc>
        <w:tc>
          <w:tcPr>
            <w:tcW w:w="579" w:type="pct"/>
            <w:noWrap w:val="0"/>
            <w:vAlign w:val="center"/>
          </w:tcPr>
          <w:p>
            <w:pPr>
              <w:pStyle w:val="3013"/>
              <w:spacing w:line="240" w:lineRule="exact"/>
              <w:rPr>
                <w:rFonts w:hint="eastAsia"/>
              </w:rPr>
            </w:pPr>
            <w:r>
              <w:rPr>
                <w:rFonts w:hint="eastAsia"/>
              </w:rPr>
              <w:t>1.16</w:t>
            </w:r>
          </w:p>
        </w:tc>
        <w:tc>
          <w:tcPr>
            <w:tcW w:w="608" w:type="pct"/>
            <w:noWrap w:val="0"/>
            <w:vAlign w:val="center"/>
          </w:tcPr>
          <w:p>
            <w:pPr>
              <w:pStyle w:val="3013"/>
              <w:spacing w:line="240" w:lineRule="exact"/>
              <w:rPr>
                <w:rFonts w:hint="eastAsia"/>
              </w:rPr>
            </w:pPr>
            <w:r>
              <w:rPr>
                <w:rFonts w:hint="eastAsia"/>
              </w:rPr>
              <w:t>20年一遇</w:t>
            </w:r>
          </w:p>
        </w:tc>
        <w:tc>
          <w:tcPr>
            <w:tcW w:w="536" w:type="pct"/>
            <w:noWrap w:val="0"/>
            <w:vAlign w:val="center"/>
          </w:tcPr>
          <w:p>
            <w:pPr>
              <w:pStyle w:val="3013"/>
              <w:spacing w:line="240" w:lineRule="exact"/>
              <w:rPr>
                <w:rFonts w:hint="eastAsia"/>
              </w:rPr>
            </w:pPr>
            <w:r>
              <w:rPr>
                <w:rFonts w:hint="eastAsia"/>
              </w:rPr>
              <w:t>1.16</w:t>
            </w:r>
          </w:p>
        </w:tc>
        <w:tc>
          <w:tcPr>
            <w:tcW w:w="823" w:type="pct"/>
            <w:noWrap w:val="0"/>
            <w:vAlign w:val="center"/>
          </w:tcPr>
          <w:p>
            <w:pPr>
              <w:pStyle w:val="3013"/>
              <w:spacing w:line="240" w:lineRule="exact"/>
              <w:rPr>
                <w:rFonts w:hint="eastAsia"/>
              </w:rPr>
            </w:pPr>
            <w:r>
              <w:rPr>
                <w:rFonts w:hint="eastAsia"/>
              </w:rPr>
              <w:t>3</w:t>
            </w:r>
            <w:r>
              <w:rPr>
                <w:rFonts w:hint="eastAsia"/>
                <w:lang w:eastAsia="zh-CN"/>
              </w:rPr>
              <w:t>—</w:t>
            </w:r>
            <w:r>
              <w:rPr>
                <w:rFonts w:hint="eastAsia"/>
              </w:rPr>
              <w:t>10年一遇</w:t>
            </w:r>
          </w:p>
        </w:tc>
        <w:tc>
          <w:tcPr>
            <w:tcW w:w="837" w:type="pct"/>
            <w:noWrap w:val="0"/>
            <w:vAlign w:val="center"/>
          </w:tcPr>
          <w:p>
            <w:pPr>
              <w:pStyle w:val="3013"/>
              <w:spacing w:line="240" w:lineRule="exact"/>
              <w:rPr>
                <w:rFonts w:hint="eastAsia"/>
              </w:rPr>
            </w:pPr>
            <w:r>
              <w:rPr>
                <w:rFonts w:hint="eastAsia"/>
              </w:rPr>
              <w:t>2008</w:t>
            </w:r>
            <w:r>
              <w:rPr>
                <w:rFonts w:hint="eastAsia"/>
                <w:lang w:eastAsia="zh-CN"/>
              </w:rPr>
              <w:t>—</w:t>
            </w:r>
            <w:r>
              <w:rPr>
                <w:rFonts w:hint="eastAsia"/>
              </w:rPr>
              <w:t>2012</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348" w:type="pct"/>
            <w:vMerge w:val="continue"/>
            <w:noWrap w:val="0"/>
            <w:vAlign w:val="center"/>
          </w:tcPr>
          <w:p>
            <w:pPr>
              <w:pStyle w:val="3013"/>
              <w:spacing w:line="240" w:lineRule="exact"/>
              <w:rPr>
                <w:rFonts w:hint="eastAsia"/>
              </w:rPr>
            </w:pPr>
          </w:p>
        </w:tc>
        <w:tc>
          <w:tcPr>
            <w:tcW w:w="1269" w:type="pct"/>
            <w:noWrap w:val="0"/>
            <w:vAlign w:val="center"/>
          </w:tcPr>
          <w:p>
            <w:pPr>
              <w:pStyle w:val="3013"/>
              <w:spacing w:line="240" w:lineRule="exact"/>
              <w:rPr>
                <w:rFonts w:hint="eastAsia"/>
              </w:rPr>
            </w:pPr>
            <w:r>
              <w:rPr>
                <w:rFonts w:hint="eastAsia"/>
              </w:rPr>
              <w:t>沱湾半山公寓公交站</w:t>
            </w:r>
            <w:r>
              <w:rPr>
                <w:rFonts w:hint="eastAsia"/>
                <w:lang w:eastAsia="zh-CN"/>
              </w:rPr>
              <w:t>—</w:t>
            </w:r>
            <w:r>
              <w:rPr>
                <w:rFonts w:hint="eastAsia"/>
              </w:rPr>
              <w:t>彩虹桥</w:t>
            </w:r>
          </w:p>
        </w:tc>
        <w:tc>
          <w:tcPr>
            <w:tcW w:w="579" w:type="pct"/>
            <w:noWrap w:val="0"/>
            <w:vAlign w:val="center"/>
          </w:tcPr>
          <w:p>
            <w:pPr>
              <w:pStyle w:val="3013"/>
              <w:spacing w:line="240" w:lineRule="exact"/>
              <w:rPr>
                <w:rFonts w:hint="eastAsia"/>
              </w:rPr>
            </w:pPr>
            <w:r>
              <w:rPr>
                <w:rFonts w:hint="eastAsia"/>
              </w:rPr>
              <w:t>0.51</w:t>
            </w:r>
          </w:p>
        </w:tc>
        <w:tc>
          <w:tcPr>
            <w:tcW w:w="608" w:type="pct"/>
            <w:noWrap w:val="0"/>
            <w:vAlign w:val="center"/>
          </w:tcPr>
          <w:p>
            <w:pPr>
              <w:pStyle w:val="3013"/>
              <w:spacing w:line="240" w:lineRule="exact"/>
              <w:rPr>
                <w:rFonts w:hint="eastAsia"/>
              </w:rPr>
            </w:pPr>
            <w:r>
              <w:rPr>
                <w:rFonts w:hint="eastAsia"/>
              </w:rPr>
              <w:t>20年一遇</w:t>
            </w:r>
          </w:p>
        </w:tc>
        <w:tc>
          <w:tcPr>
            <w:tcW w:w="536" w:type="pct"/>
            <w:noWrap w:val="0"/>
            <w:vAlign w:val="center"/>
          </w:tcPr>
          <w:p>
            <w:pPr>
              <w:pStyle w:val="3013"/>
              <w:spacing w:line="240" w:lineRule="exact"/>
              <w:rPr>
                <w:rFonts w:hint="eastAsia"/>
              </w:rPr>
            </w:pPr>
            <w:r>
              <w:rPr>
                <w:rFonts w:hint="eastAsia"/>
              </w:rPr>
              <w:t>0.51</w:t>
            </w:r>
          </w:p>
        </w:tc>
        <w:tc>
          <w:tcPr>
            <w:tcW w:w="823" w:type="pct"/>
            <w:noWrap w:val="0"/>
            <w:vAlign w:val="center"/>
          </w:tcPr>
          <w:p>
            <w:pPr>
              <w:pStyle w:val="3013"/>
              <w:spacing w:line="240" w:lineRule="exact"/>
              <w:rPr>
                <w:rFonts w:hint="eastAsia"/>
              </w:rPr>
            </w:pPr>
            <w:r>
              <w:rPr>
                <w:rFonts w:hint="eastAsia"/>
              </w:rPr>
              <w:t>20年一遇</w:t>
            </w:r>
          </w:p>
        </w:tc>
        <w:tc>
          <w:tcPr>
            <w:tcW w:w="837" w:type="pct"/>
            <w:noWrap w:val="0"/>
            <w:vAlign w:val="center"/>
          </w:tcPr>
          <w:p>
            <w:pPr>
              <w:pStyle w:val="3013"/>
              <w:spacing w:line="240" w:lineRule="exact"/>
              <w:rPr>
                <w:rFonts w:hint="eastAsia"/>
              </w:rPr>
            </w:pPr>
            <w:r>
              <w:rPr>
                <w:rFonts w:hint="eastAsia"/>
              </w:rPr>
              <w:t>2008</w:t>
            </w:r>
            <w:r>
              <w:rPr>
                <w:rFonts w:hint="eastAsia"/>
                <w:lang w:eastAsia="zh-CN"/>
              </w:rPr>
              <w:t>—</w:t>
            </w:r>
            <w:r>
              <w:rPr>
                <w:rFonts w:hint="eastAsia"/>
              </w:rPr>
              <w:t>2012</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348" w:type="pct"/>
            <w:vMerge w:val="continue"/>
            <w:noWrap w:val="0"/>
            <w:vAlign w:val="center"/>
          </w:tcPr>
          <w:p>
            <w:pPr>
              <w:pStyle w:val="3013"/>
              <w:spacing w:line="240" w:lineRule="exact"/>
              <w:rPr>
                <w:rFonts w:hint="eastAsia"/>
              </w:rPr>
            </w:pPr>
          </w:p>
        </w:tc>
        <w:tc>
          <w:tcPr>
            <w:tcW w:w="1269" w:type="pct"/>
            <w:noWrap w:val="0"/>
            <w:vAlign w:val="center"/>
          </w:tcPr>
          <w:p>
            <w:pPr>
              <w:pStyle w:val="3013"/>
              <w:spacing w:line="240" w:lineRule="exact"/>
              <w:rPr>
                <w:rFonts w:hint="eastAsia"/>
              </w:rPr>
            </w:pPr>
            <w:r>
              <w:rPr>
                <w:rFonts w:hint="eastAsia"/>
              </w:rPr>
              <w:t>彩虹桥</w:t>
            </w:r>
            <w:r>
              <w:rPr>
                <w:rFonts w:hint="eastAsia"/>
                <w:lang w:eastAsia="zh-CN"/>
              </w:rPr>
              <w:t>—</w:t>
            </w:r>
            <w:r>
              <w:rPr>
                <w:rFonts w:hint="eastAsia"/>
              </w:rPr>
              <w:t>下北街菜市场</w:t>
            </w:r>
          </w:p>
        </w:tc>
        <w:tc>
          <w:tcPr>
            <w:tcW w:w="579" w:type="pct"/>
            <w:noWrap w:val="0"/>
            <w:vAlign w:val="center"/>
          </w:tcPr>
          <w:p>
            <w:pPr>
              <w:pStyle w:val="3013"/>
              <w:spacing w:line="240" w:lineRule="exact"/>
              <w:rPr>
                <w:rFonts w:hint="eastAsia"/>
              </w:rPr>
            </w:pPr>
            <w:r>
              <w:rPr>
                <w:rFonts w:hint="eastAsia"/>
              </w:rPr>
              <w:t>0.90</w:t>
            </w:r>
          </w:p>
        </w:tc>
        <w:tc>
          <w:tcPr>
            <w:tcW w:w="608" w:type="pct"/>
            <w:noWrap w:val="0"/>
            <w:vAlign w:val="center"/>
          </w:tcPr>
          <w:p>
            <w:pPr>
              <w:pStyle w:val="3013"/>
              <w:spacing w:line="240" w:lineRule="exact"/>
              <w:rPr>
                <w:rFonts w:hint="eastAsia"/>
              </w:rPr>
            </w:pPr>
            <w:r>
              <w:rPr>
                <w:rFonts w:hint="eastAsia"/>
              </w:rPr>
              <w:t>20年一遇</w:t>
            </w:r>
          </w:p>
        </w:tc>
        <w:tc>
          <w:tcPr>
            <w:tcW w:w="536" w:type="pct"/>
            <w:noWrap w:val="0"/>
            <w:vAlign w:val="center"/>
          </w:tcPr>
          <w:p>
            <w:pPr>
              <w:pStyle w:val="3013"/>
              <w:spacing w:line="240" w:lineRule="exact"/>
              <w:rPr>
                <w:rFonts w:hint="eastAsia"/>
              </w:rPr>
            </w:pPr>
            <w:r>
              <w:rPr>
                <w:rFonts w:hint="eastAsia"/>
              </w:rPr>
              <w:t>0.90</w:t>
            </w:r>
          </w:p>
        </w:tc>
        <w:tc>
          <w:tcPr>
            <w:tcW w:w="823" w:type="pct"/>
            <w:noWrap w:val="0"/>
            <w:vAlign w:val="center"/>
          </w:tcPr>
          <w:p>
            <w:pPr>
              <w:pStyle w:val="3013"/>
              <w:spacing w:line="240" w:lineRule="exact"/>
              <w:rPr>
                <w:rFonts w:hint="eastAsia"/>
              </w:rPr>
            </w:pPr>
            <w:r>
              <w:rPr>
                <w:rFonts w:hint="eastAsia"/>
              </w:rPr>
              <w:t>3</w:t>
            </w:r>
            <w:r>
              <w:rPr>
                <w:rFonts w:hint="eastAsia"/>
                <w:lang w:eastAsia="zh-CN"/>
              </w:rPr>
              <w:t>—</w:t>
            </w:r>
            <w:r>
              <w:rPr>
                <w:rFonts w:hint="eastAsia"/>
              </w:rPr>
              <w:t>10年一遇</w:t>
            </w:r>
          </w:p>
        </w:tc>
        <w:tc>
          <w:tcPr>
            <w:tcW w:w="837" w:type="pct"/>
            <w:noWrap w:val="0"/>
            <w:vAlign w:val="center"/>
          </w:tcPr>
          <w:p>
            <w:pPr>
              <w:pStyle w:val="3013"/>
              <w:spacing w:line="240" w:lineRule="exact"/>
              <w:rPr>
                <w:rFonts w:hint="eastAsia"/>
              </w:rPr>
            </w:pPr>
            <w:r>
              <w:rPr>
                <w:rFonts w:hint="eastAsia"/>
              </w:rPr>
              <w:t>2008</w:t>
            </w:r>
            <w:r>
              <w:rPr>
                <w:rFonts w:hint="eastAsia"/>
                <w:lang w:eastAsia="zh-CN"/>
              </w:rPr>
              <w:t>—</w:t>
            </w:r>
            <w:r>
              <w:rPr>
                <w:rFonts w:hint="eastAsia"/>
              </w:rPr>
              <w:t>2012</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348" w:type="pct"/>
            <w:vMerge w:val="continue"/>
            <w:noWrap w:val="0"/>
            <w:vAlign w:val="center"/>
          </w:tcPr>
          <w:p>
            <w:pPr>
              <w:pStyle w:val="3013"/>
              <w:spacing w:line="240" w:lineRule="exact"/>
              <w:rPr>
                <w:rFonts w:hint="eastAsia"/>
              </w:rPr>
            </w:pPr>
          </w:p>
        </w:tc>
        <w:tc>
          <w:tcPr>
            <w:tcW w:w="1269" w:type="pct"/>
            <w:noWrap w:val="0"/>
            <w:vAlign w:val="center"/>
          </w:tcPr>
          <w:p>
            <w:pPr>
              <w:pStyle w:val="3013"/>
              <w:spacing w:line="240" w:lineRule="exact"/>
              <w:rPr>
                <w:rFonts w:hint="eastAsia" w:eastAsia="楷体_GB2312"/>
                <w:lang w:eastAsia="zh-CN"/>
              </w:rPr>
            </w:pPr>
            <w:r>
              <w:rPr>
                <w:rFonts w:hint="eastAsia"/>
              </w:rPr>
              <w:t>下北街菜市场</w:t>
            </w:r>
            <w:r>
              <w:rPr>
                <w:rFonts w:hint="eastAsia"/>
                <w:lang w:eastAsia="zh-CN"/>
              </w:rPr>
              <w:t>—</w:t>
            </w:r>
          </w:p>
          <w:p>
            <w:pPr>
              <w:pStyle w:val="3013"/>
              <w:spacing w:line="240" w:lineRule="exact"/>
              <w:rPr>
                <w:rFonts w:hint="eastAsia"/>
              </w:rPr>
            </w:pPr>
            <w:r>
              <w:rPr>
                <w:rFonts w:hint="eastAsia"/>
              </w:rPr>
              <w:t>下关王码头</w:t>
            </w:r>
          </w:p>
        </w:tc>
        <w:tc>
          <w:tcPr>
            <w:tcW w:w="579" w:type="pct"/>
            <w:noWrap w:val="0"/>
            <w:vAlign w:val="center"/>
          </w:tcPr>
          <w:p>
            <w:pPr>
              <w:pStyle w:val="3013"/>
              <w:spacing w:line="240" w:lineRule="exact"/>
              <w:rPr>
                <w:rFonts w:hint="eastAsia"/>
              </w:rPr>
            </w:pPr>
            <w:r>
              <w:rPr>
                <w:rFonts w:hint="eastAsia"/>
              </w:rPr>
              <w:t>0.91</w:t>
            </w:r>
          </w:p>
        </w:tc>
        <w:tc>
          <w:tcPr>
            <w:tcW w:w="608" w:type="pct"/>
            <w:noWrap w:val="0"/>
            <w:vAlign w:val="center"/>
          </w:tcPr>
          <w:p>
            <w:pPr>
              <w:pStyle w:val="3013"/>
              <w:spacing w:line="240" w:lineRule="exact"/>
              <w:rPr>
                <w:rFonts w:hint="eastAsia"/>
              </w:rPr>
            </w:pPr>
            <w:r>
              <w:rPr>
                <w:rFonts w:hint="eastAsia"/>
              </w:rPr>
              <w:t>20年一遇</w:t>
            </w:r>
          </w:p>
        </w:tc>
        <w:tc>
          <w:tcPr>
            <w:tcW w:w="536" w:type="pct"/>
            <w:noWrap w:val="0"/>
            <w:vAlign w:val="center"/>
          </w:tcPr>
          <w:p>
            <w:pPr>
              <w:pStyle w:val="3013"/>
              <w:spacing w:line="240" w:lineRule="exact"/>
              <w:rPr>
                <w:rFonts w:hint="eastAsia"/>
              </w:rPr>
            </w:pPr>
            <w:r>
              <w:rPr>
                <w:rFonts w:hint="eastAsia"/>
              </w:rPr>
              <w:t>0.91</w:t>
            </w:r>
          </w:p>
        </w:tc>
        <w:tc>
          <w:tcPr>
            <w:tcW w:w="823" w:type="pct"/>
            <w:noWrap w:val="0"/>
            <w:vAlign w:val="center"/>
          </w:tcPr>
          <w:p>
            <w:pPr>
              <w:pStyle w:val="3013"/>
              <w:spacing w:line="240" w:lineRule="exact"/>
              <w:rPr>
                <w:rFonts w:hint="eastAsia"/>
              </w:rPr>
            </w:pPr>
            <w:r>
              <w:rPr>
                <w:rFonts w:hint="eastAsia"/>
              </w:rPr>
              <w:t>3年一遇</w:t>
            </w:r>
          </w:p>
        </w:tc>
        <w:tc>
          <w:tcPr>
            <w:tcW w:w="837" w:type="pct"/>
            <w:noWrap w:val="0"/>
            <w:vAlign w:val="center"/>
          </w:tcPr>
          <w:p>
            <w:pPr>
              <w:pStyle w:val="3013"/>
              <w:spacing w:line="240" w:lineRule="exact"/>
              <w:rPr>
                <w:rFonts w:hint="eastAsia"/>
              </w:rPr>
            </w:pPr>
            <w:r>
              <w:rPr>
                <w:rFonts w:hint="eastAsia"/>
              </w:rPr>
              <w:t>2015</w:t>
            </w:r>
            <w:r>
              <w:rPr>
                <w:rFonts w:hint="eastAsia"/>
                <w:lang w:eastAsia="zh-CN"/>
              </w:rPr>
              <w:t>—</w:t>
            </w:r>
            <w:r>
              <w:rPr>
                <w:rFonts w:hint="eastAsia"/>
              </w:rPr>
              <w:t>2016</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348" w:type="pct"/>
            <w:vMerge w:val="continue"/>
            <w:noWrap w:val="0"/>
            <w:vAlign w:val="center"/>
          </w:tcPr>
          <w:p>
            <w:pPr>
              <w:pStyle w:val="3013"/>
              <w:spacing w:line="240" w:lineRule="exact"/>
              <w:rPr>
                <w:rFonts w:hint="eastAsia"/>
              </w:rPr>
            </w:pPr>
          </w:p>
        </w:tc>
        <w:tc>
          <w:tcPr>
            <w:tcW w:w="1269" w:type="pct"/>
            <w:noWrap w:val="0"/>
            <w:vAlign w:val="center"/>
          </w:tcPr>
          <w:p>
            <w:pPr>
              <w:pStyle w:val="3013"/>
              <w:spacing w:line="240" w:lineRule="exact"/>
              <w:rPr>
                <w:rFonts w:hint="eastAsia"/>
              </w:rPr>
            </w:pPr>
            <w:r>
              <w:rPr>
                <w:rFonts w:hint="eastAsia"/>
              </w:rPr>
              <w:t>下关王码头</w:t>
            </w:r>
            <w:r>
              <w:rPr>
                <w:rFonts w:hint="eastAsia"/>
                <w:lang w:eastAsia="zh-CN"/>
              </w:rPr>
              <w:t>—</w:t>
            </w:r>
            <w:r>
              <w:rPr>
                <w:rFonts w:hint="eastAsia"/>
              </w:rPr>
              <w:t>古南中学</w:t>
            </w:r>
          </w:p>
        </w:tc>
        <w:tc>
          <w:tcPr>
            <w:tcW w:w="579" w:type="pct"/>
            <w:noWrap w:val="0"/>
            <w:vAlign w:val="center"/>
          </w:tcPr>
          <w:p>
            <w:pPr>
              <w:pStyle w:val="3013"/>
              <w:spacing w:line="240" w:lineRule="exact"/>
              <w:rPr>
                <w:rFonts w:hint="eastAsia"/>
              </w:rPr>
            </w:pPr>
            <w:r>
              <w:rPr>
                <w:rFonts w:hint="eastAsia"/>
              </w:rPr>
              <w:t>1.02</w:t>
            </w:r>
          </w:p>
        </w:tc>
        <w:tc>
          <w:tcPr>
            <w:tcW w:w="608" w:type="pct"/>
            <w:noWrap w:val="0"/>
            <w:vAlign w:val="center"/>
          </w:tcPr>
          <w:p>
            <w:pPr>
              <w:pStyle w:val="3013"/>
              <w:spacing w:line="240" w:lineRule="exact"/>
              <w:rPr>
                <w:rFonts w:hint="eastAsia"/>
              </w:rPr>
            </w:pPr>
            <w:r>
              <w:rPr>
                <w:rFonts w:hint="eastAsia"/>
              </w:rPr>
              <w:t>20年一遇</w:t>
            </w:r>
          </w:p>
        </w:tc>
        <w:tc>
          <w:tcPr>
            <w:tcW w:w="536" w:type="pct"/>
            <w:noWrap w:val="0"/>
            <w:vAlign w:val="center"/>
          </w:tcPr>
          <w:p>
            <w:pPr>
              <w:pStyle w:val="3013"/>
              <w:spacing w:line="240" w:lineRule="exact"/>
              <w:rPr>
                <w:rFonts w:hint="eastAsia"/>
              </w:rPr>
            </w:pPr>
            <w:r>
              <w:rPr>
                <w:rFonts w:hint="eastAsia"/>
              </w:rPr>
              <w:t>1.02</w:t>
            </w:r>
          </w:p>
        </w:tc>
        <w:tc>
          <w:tcPr>
            <w:tcW w:w="823" w:type="pct"/>
            <w:noWrap w:val="0"/>
            <w:vAlign w:val="center"/>
          </w:tcPr>
          <w:p>
            <w:pPr>
              <w:pStyle w:val="3013"/>
              <w:spacing w:line="240" w:lineRule="exact"/>
            </w:pPr>
            <w:r>
              <w:rPr>
                <w:rFonts w:hint="eastAsia"/>
              </w:rPr>
              <w:t>3年一遇，局部20年一遇</w:t>
            </w:r>
          </w:p>
        </w:tc>
        <w:tc>
          <w:tcPr>
            <w:tcW w:w="837" w:type="pct"/>
            <w:noWrap w:val="0"/>
            <w:vAlign w:val="center"/>
          </w:tcPr>
          <w:p>
            <w:pPr>
              <w:pStyle w:val="3013"/>
              <w:spacing w:line="240" w:lineRule="exact"/>
              <w:rPr>
                <w:rFonts w:hint="eastAsia"/>
              </w:rPr>
            </w:pPr>
            <w:r>
              <w:rPr>
                <w:rFonts w:hint="eastAsia"/>
              </w:rPr>
              <w:t>2008</w:t>
            </w:r>
            <w:r>
              <w:rPr>
                <w:rFonts w:hint="eastAsia"/>
                <w:lang w:eastAsia="zh-CN"/>
              </w:rPr>
              <w:t>—</w:t>
            </w:r>
            <w:r>
              <w:rPr>
                <w:rFonts w:hint="eastAsia"/>
              </w:rPr>
              <w:t>2012</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348" w:type="pct"/>
            <w:vMerge w:val="continue"/>
            <w:noWrap w:val="0"/>
            <w:vAlign w:val="center"/>
          </w:tcPr>
          <w:p>
            <w:pPr>
              <w:pStyle w:val="3013"/>
              <w:spacing w:line="240" w:lineRule="exact"/>
              <w:rPr>
                <w:rFonts w:hint="eastAsia"/>
              </w:rPr>
            </w:pPr>
          </w:p>
        </w:tc>
        <w:tc>
          <w:tcPr>
            <w:tcW w:w="1269" w:type="pct"/>
            <w:noWrap w:val="0"/>
            <w:vAlign w:val="center"/>
          </w:tcPr>
          <w:p>
            <w:pPr>
              <w:pStyle w:val="3013"/>
              <w:spacing w:line="240" w:lineRule="exact"/>
              <w:rPr>
                <w:rFonts w:hint="eastAsia"/>
              </w:rPr>
            </w:pPr>
            <w:r>
              <w:rPr>
                <w:rFonts w:hint="eastAsia"/>
              </w:rPr>
              <w:t>古南中学</w:t>
            </w:r>
            <w:r>
              <w:rPr>
                <w:rFonts w:hint="eastAsia"/>
                <w:lang w:eastAsia="zh-CN"/>
              </w:rPr>
              <w:t>—</w:t>
            </w:r>
            <w:r>
              <w:rPr>
                <w:rFonts w:hint="eastAsia"/>
              </w:rPr>
              <w:t>城北大桥</w:t>
            </w:r>
          </w:p>
        </w:tc>
        <w:tc>
          <w:tcPr>
            <w:tcW w:w="579" w:type="pct"/>
            <w:noWrap w:val="0"/>
            <w:vAlign w:val="center"/>
          </w:tcPr>
          <w:p>
            <w:pPr>
              <w:pStyle w:val="3013"/>
              <w:spacing w:line="240" w:lineRule="exact"/>
              <w:rPr>
                <w:rFonts w:hint="eastAsia"/>
              </w:rPr>
            </w:pPr>
            <w:r>
              <w:rPr>
                <w:rFonts w:hint="eastAsia"/>
              </w:rPr>
              <w:t>0.05</w:t>
            </w:r>
          </w:p>
        </w:tc>
        <w:tc>
          <w:tcPr>
            <w:tcW w:w="608" w:type="pct"/>
            <w:noWrap w:val="0"/>
            <w:vAlign w:val="center"/>
          </w:tcPr>
          <w:p>
            <w:pPr>
              <w:pStyle w:val="3013"/>
              <w:spacing w:line="240" w:lineRule="exact"/>
              <w:rPr>
                <w:rFonts w:hint="eastAsia"/>
              </w:rPr>
            </w:pPr>
            <w:r>
              <w:rPr>
                <w:rFonts w:hint="eastAsia"/>
              </w:rPr>
              <w:t>20年一遇</w:t>
            </w:r>
          </w:p>
        </w:tc>
        <w:tc>
          <w:tcPr>
            <w:tcW w:w="536" w:type="pct"/>
            <w:noWrap w:val="0"/>
            <w:vAlign w:val="center"/>
          </w:tcPr>
          <w:p>
            <w:pPr>
              <w:pStyle w:val="3013"/>
              <w:spacing w:line="240" w:lineRule="exact"/>
              <w:rPr>
                <w:rFonts w:hint="eastAsia"/>
              </w:rPr>
            </w:pPr>
            <w:r>
              <w:rPr>
                <w:rFonts w:hint="eastAsia"/>
              </w:rPr>
              <w:t>0.05</w:t>
            </w:r>
          </w:p>
        </w:tc>
        <w:tc>
          <w:tcPr>
            <w:tcW w:w="823" w:type="pct"/>
            <w:noWrap w:val="0"/>
            <w:vAlign w:val="center"/>
          </w:tcPr>
          <w:p>
            <w:pPr>
              <w:pStyle w:val="3013"/>
              <w:spacing w:line="240" w:lineRule="exact"/>
              <w:rPr>
                <w:rFonts w:hint="eastAsia"/>
              </w:rPr>
            </w:pPr>
            <w:r>
              <w:rPr>
                <w:rFonts w:hint="eastAsia"/>
              </w:rPr>
              <w:t>20年一遇</w:t>
            </w:r>
          </w:p>
        </w:tc>
        <w:tc>
          <w:tcPr>
            <w:tcW w:w="837" w:type="pct"/>
            <w:noWrap w:val="0"/>
            <w:vAlign w:val="center"/>
          </w:tcPr>
          <w:p>
            <w:pPr>
              <w:pStyle w:val="3013"/>
              <w:spacing w:line="240" w:lineRule="exact"/>
              <w:rPr>
                <w:rFonts w:hint="eastAsia"/>
              </w:rPr>
            </w:pPr>
            <w:r>
              <w:rPr>
                <w:rFonts w:hint="eastAsia"/>
              </w:rPr>
              <w:t>2008</w:t>
            </w:r>
            <w:r>
              <w:rPr>
                <w:rFonts w:hint="eastAsia"/>
                <w:lang w:eastAsia="zh-CN"/>
              </w:rPr>
              <w:t>—</w:t>
            </w:r>
            <w:r>
              <w:rPr>
                <w:rFonts w:hint="eastAsia"/>
              </w:rPr>
              <w:t>2012</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348" w:type="pct"/>
            <w:vMerge w:val="continue"/>
            <w:noWrap w:val="0"/>
            <w:vAlign w:val="center"/>
          </w:tcPr>
          <w:p>
            <w:pPr>
              <w:pStyle w:val="3013"/>
              <w:spacing w:line="240" w:lineRule="exact"/>
              <w:rPr>
                <w:rFonts w:hint="eastAsia"/>
              </w:rPr>
            </w:pPr>
          </w:p>
        </w:tc>
        <w:tc>
          <w:tcPr>
            <w:tcW w:w="1269" w:type="pct"/>
            <w:noWrap w:val="0"/>
            <w:vAlign w:val="center"/>
          </w:tcPr>
          <w:p>
            <w:pPr>
              <w:pStyle w:val="3013"/>
              <w:spacing w:line="240" w:lineRule="exact"/>
              <w:rPr>
                <w:rFonts w:hint="eastAsia"/>
              </w:rPr>
            </w:pPr>
            <w:r>
              <w:rPr>
                <w:rFonts w:hint="eastAsia"/>
              </w:rPr>
              <w:t>小计</w:t>
            </w:r>
          </w:p>
        </w:tc>
        <w:tc>
          <w:tcPr>
            <w:tcW w:w="579" w:type="pct"/>
            <w:noWrap w:val="0"/>
            <w:vAlign w:val="center"/>
          </w:tcPr>
          <w:p>
            <w:pPr>
              <w:pStyle w:val="3013"/>
              <w:spacing w:line="240" w:lineRule="exact"/>
              <w:rPr>
                <w:rFonts w:hint="eastAsia"/>
              </w:rPr>
            </w:pPr>
            <w:r>
              <w:rPr>
                <w:rFonts w:hint="eastAsia"/>
              </w:rPr>
              <w:t>4.55</w:t>
            </w:r>
          </w:p>
        </w:tc>
        <w:tc>
          <w:tcPr>
            <w:tcW w:w="608" w:type="pct"/>
            <w:noWrap w:val="0"/>
            <w:vAlign w:val="center"/>
          </w:tcPr>
          <w:p>
            <w:pPr>
              <w:pStyle w:val="3013"/>
              <w:spacing w:line="240" w:lineRule="exact"/>
              <w:rPr>
                <w:rFonts w:hint="eastAsia"/>
              </w:rPr>
            </w:pPr>
          </w:p>
        </w:tc>
        <w:tc>
          <w:tcPr>
            <w:tcW w:w="536" w:type="pct"/>
            <w:noWrap w:val="0"/>
            <w:vAlign w:val="center"/>
          </w:tcPr>
          <w:p>
            <w:pPr>
              <w:pStyle w:val="3013"/>
              <w:spacing w:line="240" w:lineRule="exact"/>
              <w:rPr>
                <w:rFonts w:hint="eastAsia"/>
              </w:rPr>
            </w:pPr>
            <w:r>
              <w:rPr>
                <w:rFonts w:hint="eastAsia"/>
              </w:rPr>
              <w:t>4.55</w:t>
            </w:r>
          </w:p>
        </w:tc>
        <w:tc>
          <w:tcPr>
            <w:tcW w:w="823" w:type="pct"/>
            <w:noWrap w:val="0"/>
            <w:vAlign w:val="center"/>
          </w:tcPr>
          <w:p>
            <w:pPr>
              <w:pStyle w:val="3013"/>
              <w:spacing w:line="240" w:lineRule="exact"/>
              <w:rPr>
                <w:rFonts w:hint="eastAsia"/>
              </w:rPr>
            </w:pPr>
          </w:p>
        </w:tc>
        <w:tc>
          <w:tcPr>
            <w:tcW w:w="837" w:type="pct"/>
            <w:noWrap w:val="0"/>
            <w:vAlign w:val="center"/>
          </w:tcPr>
          <w:p>
            <w:pPr>
              <w:pStyle w:val="3013"/>
              <w:spacing w:line="240" w:lineRule="exact"/>
              <w:rPr>
                <w:rFonts w:hint="eastAsia"/>
              </w:rPr>
            </w:pP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348" w:type="pct"/>
            <w:vMerge w:val="restart"/>
            <w:noWrap w:val="0"/>
            <w:vAlign w:val="center"/>
          </w:tcPr>
          <w:p>
            <w:pPr>
              <w:pStyle w:val="3013"/>
              <w:spacing w:line="240" w:lineRule="exact"/>
              <w:rPr>
                <w:rFonts w:hint="eastAsia"/>
              </w:rPr>
            </w:pPr>
            <w:r>
              <w:rPr>
                <w:rFonts w:hint="eastAsia"/>
              </w:rPr>
              <w:t>右岸</w:t>
            </w:r>
          </w:p>
        </w:tc>
        <w:tc>
          <w:tcPr>
            <w:tcW w:w="1269" w:type="pct"/>
            <w:noWrap w:val="0"/>
            <w:vAlign w:val="center"/>
          </w:tcPr>
          <w:p>
            <w:pPr>
              <w:pStyle w:val="3013"/>
              <w:spacing w:line="240" w:lineRule="exact"/>
              <w:rPr>
                <w:rFonts w:hint="eastAsia"/>
              </w:rPr>
            </w:pPr>
            <w:r>
              <w:rPr>
                <w:rFonts w:hint="eastAsia"/>
              </w:rPr>
              <w:t>綦江火车站</w:t>
            </w:r>
            <w:r>
              <w:rPr>
                <w:rFonts w:hint="eastAsia"/>
                <w:lang w:eastAsia="zh-CN"/>
              </w:rPr>
              <w:t>—</w:t>
            </w:r>
            <w:r>
              <w:rPr>
                <w:rFonts w:hint="eastAsia"/>
              </w:rPr>
              <w:t>綦江大桥</w:t>
            </w:r>
          </w:p>
        </w:tc>
        <w:tc>
          <w:tcPr>
            <w:tcW w:w="579" w:type="pct"/>
            <w:noWrap w:val="0"/>
            <w:vAlign w:val="center"/>
          </w:tcPr>
          <w:p>
            <w:pPr>
              <w:pStyle w:val="3013"/>
              <w:spacing w:line="240" w:lineRule="exact"/>
              <w:rPr>
                <w:rFonts w:hint="eastAsia"/>
              </w:rPr>
            </w:pPr>
            <w:r>
              <w:rPr>
                <w:rFonts w:hint="eastAsia"/>
              </w:rPr>
              <w:t>2.05</w:t>
            </w:r>
          </w:p>
        </w:tc>
        <w:tc>
          <w:tcPr>
            <w:tcW w:w="608" w:type="pct"/>
            <w:noWrap w:val="0"/>
            <w:vAlign w:val="center"/>
          </w:tcPr>
          <w:p>
            <w:pPr>
              <w:pStyle w:val="3013"/>
              <w:spacing w:line="240" w:lineRule="exact"/>
              <w:rPr>
                <w:rFonts w:hint="eastAsia"/>
              </w:rPr>
            </w:pPr>
            <w:r>
              <w:rPr>
                <w:rFonts w:hint="eastAsia"/>
              </w:rPr>
              <w:t>20年一遇</w:t>
            </w:r>
          </w:p>
        </w:tc>
        <w:tc>
          <w:tcPr>
            <w:tcW w:w="536" w:type="pct"/>
            <w:noWrap w:val="0"/>
            <w:vAlign w:val="center"/>
          </w:tcPr>
          <w:p>
            <w:pPr>
              <w:pStyle w:val="3013"/>
              <w:spacing w:line="240" w:lineRule="exact"/>
              <w:rPr>
                <w:rFonts w:hint="eastAsia"/>
              </w:rPr>
            </w:pPr>
            <w:r>
              <w:rPr>
                <w:rFonts w:hint="eastAsia"/>
              </w:rPr>
              <w:t>2.05</w:t>
            </w:r>
          </w:p>
        </w:tc>
        <w:tc>
          <w:tcPr>
            <w:tcW w:w="823" w:type="pct"/>
            <w:noWrap w:val="0"/>
            <w:vAlign w:val="center"/>
          </w:tcPr>
          <w:p>
            <w:pPr>
              <w:pStyle w:val="3013"/>
              <w:spacing w:line="240" w:lineRule="exact"/>
              <w:rPr>
                <w:rFonts w:hint="eastAsia"/>
              </w:rPr>
            </w:pPr>
            <w:r>
              <w:rPr>
                <w:rFonts w:hint="eastAsia"/>
              </w:rPr>
              <w:t>3</w:t>
            </w:r>
            <w:r>
              <w:rPr>
                <w:rFonts w:hint="eastAsia"/>
                <w:lang w:eastAsia="zh-CN"/>
              </w:rPr>
              <w:t>—</w:t>
            </w:r>
            <w:r>
              <w:rPr>
                <w:rFonts w:hint="eastAsia"/>
              </w:rPr>
              <w:t>10年一遇</w:t>
            </w:r>
          </w:p>
        </w:tc>
        <w:tc>
          <w:tcPr>
            <w:tcW w:w="837" w:type="pct"/>
            <w:noWrap w:val="0"/>
            <w:vAlign w:val="center"/>
          </w:tcPr>
          <w:p>
            <w:pPr>
              <w:pStyle w:val="3013"/>
              <w:spacing w:line="240" w:lineRule="exact"/>
              <w:rPr>
                <w:rFonts w:hint="eastAsia"/>
              </w:rPr>
            </w:pPr>
            <w:r>
              <w:rPr>
                <w:rFonts w:hint="eastAsia"/>
              </w:rPr>
              <w:t>2008</w:t>
            </w:r>
            <w:r>
              <w:rPr>
                <w:rFonts w:hint="eastAsia"/>
                <w:lang w:eastAsia="zh-CN"/>
              </w:rPr>
              <w:t>—</w:t>
            </w:r>
            <w:r>
              <w:rPr>
                <w:rFonts w:hint="eastAsia"/>
              </w:rPr>
              <w:t>2012</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348" w:type="pct"/>
            <w:vMerge w:val="continue"/>
            <w:noWrap w:val="0"/>
            <w:vAlign w:val="center"/>
          </w:tcPr>
          <w:p>
            <w:pPr>
              <w:pStyle w:val="3013"/>
              <w:spacing w:line="240" w:lineRule="exact"/>
              <w:rPr>
                <w:rFonts w:hint="eastAsia"/>
              </w:rPr>
            </w:pPr>
          </w:p>
        </w:tc>
        <w:tc>
          <w:tcPr>
            <w:tcW w:w="1269" w:type="pct"/>
            <w:noWrap w:val="0"/>
            <w:vAlign w:val="center"/>
          </w:tcPr>
          <w:p>
            <w:pPr>
              <w:pStyle w:val="3013"/>
              <w:spacing w:line="240" w:lineRule="exact"/>
              <w:rPr>
                <w:rFonts w:hint="eastAsia"/>
              </w:rPr>
            </w:pPr>
            <w:r>
              <w:rPr>
                <w:rFonts w:hint="eastAsia"/>
              </w:rPr>
              <w:t>綦江大桥</w:t>
            </w:r>
            <w:r>
              <w:rPr>
                <w:rFonts w:hint="eastAsia"/>
                <w:lang w:eastAsia="zh-CN"/>
              </w:rPr>
              <w:t>—</w:t>
            </w:r>
            <w:r>
              <w:rPr>
                <w:rFonts w:hint="eastAsia"/>
              </w:rPr>
              <w:t>北街小学</w:t>
            </w:r>
          </w:p>
        </w:tc>
        <w:tc>
          <w:tcPr>
            <w:tcW w:w="579" w:type="pct"/>
            <w:noWrap w:val="0"/>
            <w:vAlign w:val="center"/>
          </w:tcPr>
          <w:p>
            <w:pPr>
              <w:pStyle w:val="3013"/>
              <w:spacing w:line="240" w:lineRule="exact"/>
              <w:rPr>
                <w:rFonts w:hint="eastAsia"/>
              </w:rPr>
            </w:pPr>
            <w:r>
              <w:rPr>
                <w:rFonts w:hint="eastAsia"/>
              </w:rPr>
              <w:t>0.50</w:t>
            </w:r>
          </w:p>
        </w:tc>
        <w:tc>
          <w:tcPr>
            <w:tcW w:w="608" w:type="pct"/>
            <w:noWrap w:val="0"/>
            <w:vAlign w:val="center"/>
          </w:tcPr>
          <w:p>
            <w:pPr>
              <w:pStyle w:val="3013"/>
              <w:spacing w:line="240" w:lineRule="exact"/>
              <w:rPr>
                <w:rFonts w:hint="eastAsia"/>
              </w:rPr>
            </w:pPr>
            <w:r>
              <w:rPr>
                <w:rFonts w:hint="eastAsia"/>
              </w:rPr>
              <w:t>20年一遇</w:t>
            </w:r>
          </w:p>
        </w:tc>
        <w:tc>
          <w:tcPr>
            <w:tcW w:w="536" w:type="pct"/>
            <w:noWrap w:val="0"/>
            <w:vAlign w:val="center"/>
          </w:tcPr>
          <w:p>
            <w:pPr>
              <w:pStyle w:val="3013"/>
              <w:spacing w:line="240" w:lineRule="exact"/>
              <w:rPr>
                <w:rFonts w:hint="eastAsia"/>
              </w:rPr>
            </w:pPr>
            <w:r>
              <w:rPr>
                <w:rFonts w:hint="eastAsia"/>
              </w:rPr>
              <w:t>0.50</w:t>
            </w:r>
          </w:p>
        </w:tc>
        <w:tc>
          <w:tcPr>
            <w:tcW w:w="823" w:type="pct"/>
            <w:noWrap w:val="0"/>
            <w:vAlign w:val="center"/>
          </w:tcPr>
          <w:p>
            <w:pPr>
              <w:pStyle w:val="3013"/>
              <w:spacing w:line="240" w:lineRule="exact"/>
              <w:rPr>
                <w:rFonts w:hint="eastAsia"/>
              </w:rPr>
            </w:pPr>
            <w:r>
              <w:rPr>
                <w:rFonts w:hint="eastAsia"/>
              </w:rPr>
              <w:t>20年一遇</w:t>
            </w:r>
          </w:p>
        </w:tc>
        <w:tc>
          <w:tcPr>
            <w:tcW w:w="837" w:type="pct"/>
            <w:noWrap w:val="0"/>
            <w:vAlign w:val="center"/>
          </w:tcPr>
          <w:p>
            <w:pPr>
              <w:pStyle w:val="3013"/>
              <w:spacing w:line="240" w:lineRule="exact"/>
              <w:rPr>
                <w:rFonts w:hint="eastAsia"/>
              </w:rPr>
            </w:pPr>
            <w:r>
              <w:rPr>
                <w:rFonts w:hint="eastAsia"/>
              </w:rPr>
              <w:t>2015</w:t>
            </w:r>
            <w:r>
              <w:rPr>
                <w:rFonts w:hint="eastAsia"/>
                <w:lang w:eastAsia="zh-CN"/>
              </w:rPr>
              <w:t>—</w:t>
            </w:r>
            <w:r>
              <w:rPr>
                <w:rFonts w:hint="eastAsia"/>
              </w:rPr>
              <w:t>201</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348" w:type="pct"/>
            <w:vMerge w:val="continue"/>
            <w:noWrap w:val="0"/>
            <w:vAlign w:val="center"/>
          </w:tcPr>
          <w:p>
            <w:pPr>
              <w:pStyle w:val="3013"/>
              <w:spacing w:line="240" w:lineRule="exact"/>
              <w:rPr>
                <w:rFonts w:hint="eastAsia"/>
              </w:rPr>
            </w:pPr>
          </w:p>
        </w:tc>
        <w:tc>
          <w:tcPr>
            <w:tcW w:w="1269" w:type="pct"/>
            <w:noWrap w:val="0"/>
            <w:vAlign w:val="center"/>
          </w:tcPr>
          <w:p>
            <w:pPr>
              <w:pStyle w:val="3013"/>
              <w:spacing w:line="240" w:lineRule="exact"/>
              <w:rPr>
                <w:rFonts w:hint="eastAsia"/>
              </w:rPr>
            </w:pPr>
            <w:r>
              <w:rPr>
                <w:rFonts w:hint="eastAsia"/>
              </w:rPr>
              <w:t>北街小学</w:t>
            </w:r>
            <w:r>
              <w:rPr>
                <w:rFonts w:hint="eastAsia"/>
                <w:lang w:eastAsia="zh-CN"/>
              </w:rPr>
              <w:t>—</w:t>
            </w:r>
            <w:r>
              <w:rPr>
                <w:rFonts w:hint="eastAsia"/>
              </w:rPr>
              <w:t>城北大桥</w:t>
            </w:r>
          </w:p>
        </w:tc>
        <w:tc>
          <w:tcPr>
            <w:tcW w:w="579" w:type="pct"/>
            <w:noWrap w:val="0"/>
            <w:vAlign w:val="center"/>
          </w:tcPr>
          <w:p>
            <w:pPr>
              <w:pStyle w:val="3013"/>
              <w:spacing w:line="240" w:lineRule="exact"/>
              <w:rPr>
                <w:rFonts w:hint="eastAsia"/>
              </w:rPr>
            </w:pPr>
            <w:r>
              <w:rPr>
                <w:rFonts w:hint="eastAsia"/>
              </w:rPr>
              <w:t>1.99</w:t>
            </w:r>
          </w:p>
        </w:tc>
        <w:tc>
          <w:tcPr>
            <w:tcW w:w="608" w:type="pct"/>
            <w:noWrap w:val="0"/>
            <w:vAlign w:val="center"/>
          </w:tcPr>
          <w:p>
            <w:pPr>
              <w:pStyle w:val="3013"/>
              <w:spacing w:line="240" w:lineRule="exact"/>
              <w:rPr>
                <w:rFonts w:hint="eastAsia"/>
              </w:rPr>
            </w:pPr>
            <w:r>
              <w:rPr>
                <w:rFonts w:hint="eastAsia"/>
              </w:rPr>
              <w:t>20年一遇</w:t>
            </w:r>
          </w:p>
        </w:tc>
        <w:tc>
          <w:tcPr>
            <w:tcW w:w="536" w:type="pct"/>
            <w:noWrap w:val="0"/>
            <w:vAlign w:val="center"/>
          </w:tcPr>
          <w:p>
            <w:pPr>
              <w:pStyle w:val="3013"/>
              <w:spacing w:line="240" w:lineRule="exact"/>
              <w:rPr>
                <w:rFonts w:hint="eastAsia"/>
              </w:rPr>
            </w:pPr>
            <w:r>
              <w:rPr>
                <w:rFonts w:hint="eastAsia"/>
              </w:rPr>
              <w:t>1.99</w:t>
            </w:r>
          </w:p>
        </w:tc>
        <w:tc>
          <w:tcPr>
            <w:tcW w:w="823" w:type="pct"/>
            <w:noWrap w:val="0"/>
            <w:vAlign w:val="center"/>
          </w:tcPr>
          <w:p>
            <w:pPr>
              <w:pStyle w:val="3013"/>
              <w:spacing w:line="240" w:lineRule="exact"/>
              <w:rPr>
                <w:rFonts w:hint="eastAsia"/>
              </w:rPr>
            </w:pPr>
            <w:r>
              <w:rPr>
                <w:rFonts w:hint="eastAsia"/>
              </w:rPr>
              <w:t>20年一遇</w:t>
            </w:r>
          </w:p>
        </w:tc>
        <w:tc>
          <w:tcPr>
            <w:tcW w:w="837" w:type="pct"/>
            <w:noWrap w:val="0"/>
            <w:vAlign w:val="center"/>
          </w:tcPr>
          <w:p>
            <w:pPr>
              <w:pStyle w:val="3013"/>
              <w:spacing w:line="240" w:lineRule="exact"/>
              <w:rPr>
                <w:rFonts w:hint="eastAsia"/>
              </w:rPr>
            </w:pPr>
            <w:r>
              <w:rPr>
                <w:rFonts w:hint="eastAsia"/>
              </w:rPr>
              <w:t>2008</w:t>
            </w:r>
            <w:r>
              <w:rPr>
                <w:rFonts w:hint="eastAsia"/>
                <w:lang w:eastAsia="zh-CN"/>
              </w:rPr>
              <w:t>—</w:t>
            </w:r>
            <w:r>
              <w:rPr>
                <w:rFonts w:hint="eastAsia"/>
              </w:rPr>
              <w:t>2012</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348" w:type="pct"/>
            <w:vMerge w:val="continue"/>
            <w:noWrap w:val="0"/>
            <w:vAlign w:val="center"/>
          </w:tcPr>
          <w:p>
            <w:pPr>
              <w:pStyle w:val="3013"/>
              <w:spacing w:line="240" w:lineRule="exact"/>
              <w:rPr>
                <w:rFonts w:hint="eastAsia"/>
              </w:rPr>
            </w:pPr>
          </w:p>
        </w:tc>
        <w:tc>
          <w:tcPr>
            <w:tcW w:w="1269" w:type="pct"/>
            <w:noWrap w:val="0"/>
            <w:vAlign w:val="center"/>
          </w:tcPr>
          <w:p>
            <w:pPr>
              <w:pStyle w:val="3013"/>
              <w:spacing w:line="240" w:lineRule="exact"/>
              <w:rPr>
                <w:rFonts w:hint="eastAsia"/>
              </w:rPr>
            </w:pPr>
            <w:r>
              <w:rPr>
                <w:rFonts w:hint="eastAsia"/>
              </w:rPr>
              <w:t>小计</w:t>
            </w:r>
          </w:p>
        </w:tc>
        <w:tc>
          <w:tcPr>
            <w:tcW w:w="579" w:type="pct"/>
            <w:noWrap w:val="0"/>
            <w:vAlign w:val="center"/>
          </w:tcPr>
          <w:p>
            <w:pPr>
              <w:pStyle w:val="3013"/>
              <w:spacing w:line="240" w:lineRule="exact"/>
              <w:rPr>
                <w:rFonts w:hint="eastAsia"/>
              </w:rPr>
            </w:pPr>
            <w:r>
              <w:rPr>
                <w:rFonts w:hint="eastAsia"/>
              </w:rPr>
              <w:t>4.54</w:t>
            </w:r>
          </w:p>
        </w:tc>
        <w:tc>
          <w:tcPr>
            <w:tcW w:w="608" w:type="pct"/>
            <w:noWrap w:val="0"/>
            <w:vAlign w:val="center"/>
          </w:tcPr>
          <w:p>
            <w:pPr>
              <w:pStyle w:val="3013"/>
              <w:spacing w:line="240" w:lineRule="exact"/>
              <w:rPr>
                <w:rFonts w:hint="eastAsia"/>
              </w:rPr>
            </w:pPr>
          </w:p>
        </w:tc>
        <w:tc>
          <w:tcPr>
            <w:tcW w:w="536" w:type="pct"/>
            <w:noWrap w:val="0"/>
            <w:vAlign w:val="center"/>
          </w:tcPr>
          <w:p>
            <w:pPr>
              <w:pStyle w:val="3013"/>
              <w:spacing w:line="240" w:lineRule="exact"/>
              <w:rPr>
                <w:rFonts w:hint="eastAsia"/>
              </w:rPr>
            </w:pPr>
            <w:r>
              <w:rPr>
                <w:rFonts w:hint="eastAsia"/>
              </w:rPr>
              <w:t>4.54</w:t>
            </w:r>
          </w:p>
        </w:tc>
        <w:tc>
          <w:tcPr>
            <w:tcW w:w="823" w:type="pct"/>
            <w:noWrap w:val="0"/>
            <w:vAlign w:val="center"/>
          </w:tcPr>
          <w:p>
            <w:pPr>
              <w:pStyle w:val="3013"/>
              <w:spacing w:line="240" w:lineRule="exact"/>
              <w:rPr>
                <w:rFonts w:hint="eastAsia"/>
              </w:rPr>
            </w:pPr>
          </w:p>
        </w:tc>
        <w:tc>
          <w:tcPr>
            <w:tcW w:w="837" w:type="pct"/>
            <w:noWrap w:val="0"/>
            <w:vAlign w:val="center"/>
          </w:tcPr>
          <w:p>
            <w:pPr>
              <w:pStyle w:val="3013"/>
              <w:spacing w:line="240" w:lineRule="exact"/>
              <w:rPr>
                <w:rFonts w:hint="eastAsia"/>
              </w:rPr>
            </w:pP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1617" w:type="pct"/>
            <w:gridSpan w:val="2"/>
            <w:noWrap w:val="0"/>
            <w:vAlign w:val="center"/>
          </w:tcPr>
          <w:p>
            <w:pPr>
              <w:pStyle w:val="3013"/>
              <w:spacing w:line="240" w:lineRule="exact"/>
              <w:rPr>
                <w:rFonts w:hint="eastAsia"/>
              </w:rPr>
            </w:pPr>
            <w:r>
              <w:rPr>
                <w:rFonts w:hint="eastAsia"/>
              </w:rPr>
              <w:t>合计</w:t>
            </w:r>
          </w:p>
        </w:tc>
        <w:tc>
          <w:tcPr>
            <w:tcW w:w="579" w:type="pct"/>
            <w:noWrap w:val="0"/>
            <w:vAlign w:val="center"/>
          </w:tcPr>
          <w:p>
            <w:pPr>
              <w:pStyle w:val="3013"/>
              <w:spacing w:line="240" w:lineRule="exact"/>
              <w:rPr>
                <w:rFonts w:hint="eastAsia"/>
              </w:rPr>
            </w:pPr>
            <w:r>
              <w:rPr>
                <w:rFonts w:hint="eastAsia"/>
              </w:rPr>
              <w:t>9.09</w:t>
            </w:r>
          </w:p>
        </w:tc>
        <w:tc>
          <w:tcPr>
            <w:tcW w:w="608" w:type="pct"/>
            <w:noWrap w:val="0"/>
            <w:vAlign w:val="center"/>
          </w:tcPr>
          <w:p>
            <w:pPr>
              <w:pStyle w:val="3013"/>
              <w:spacing w:line="240" w:lineRule="exact"/>
              <w:rPr>
                <w:rFonts w:hint="eastAsia"/>
              </w:rPr>
            </w:pPr>
          </w:p>
        </w:tc>
        <w:tc>
          <w:tcPr>
            <w:tcW w:w="536" w:type="pct"/>
            <w:noWrap w:val="0"/>
            <w:vAlign w:val="center"/>
          </w:tcPr>
          <w:p>
            <w:pPr>
              <w:pStyle w:val="3013"/>
              <w:spacing w:line="240" w:lineRule="exact"/>
              <w:rPr>
                <w:rFonts w:hint="eastAsia"/>
              </w:rPr>
            </w:pPr>
            <w:r>
              <w:rPr>
                <w:rFonts w:hint="eastAsia"/>
              </w:rPr>
              <w:t>9.09</w:t>
            </w:r>
          </w:p>
        </w:tc>
        <w:tc>
          <w:tcPr>
            <w:tcW w:w="823" w:type="pct"/>
            <w:noWrap w:val="0"/>
            <w:vAlign w:val="center"/>
          </w:tcPr>
          <w:p>
            <w:pPr>
              <w:pStyle w:val="3013"/>
              <w:spacing w:line="240" w:lineRule="exact"/>
              <w:rPr>
                <w:rFonts w:hint="eastAsia"/>
              </w:rPr>
            </w:pPr>
          </w:p>
        </w:tc>
        <w:tc>
          <w:tcPr>
            <w:tcW w:w="837" w:type="pct"/>
            <w:noWrap w:val="0"/>
            <w:vAlign w:val="center"/>
          </w:tcPr>
          <w:p>
            <w:pPr>
              <w:pStyle w:val="3013"/>
              <w:spacing w:line="240" w:lineRule="exact"/>
              <w:rPr>
                <w:rFonts w:hint="eastAsia"/>
              </w:rPr>
            </w:pPr>
          </w:p>
        </w:tc>
      </w:tr>
    </w:tbl>
    <w:p>
      <w:pPr>
        <w:pStyle w:val="853"/>
        <w:spacing w:line="240" w:lineRule="auto"/>
        <w:ind w:firstLine="0" w:firstLineChars="0"/>
        <w:jc w:val="center"/>
        <w:rPr>
          <w:rFonts w:hint="eastAsia"/>
        </w:rPr>
      </w:pPr>
      <w:r>
        <w:rPr>
          <w:rFonts w:hint="eastAsia"/>
        </w:rPr>
        <w:drawing>
          <wp:inline distT="0" distB="0" distL="114300" distR="114300">
            <wp:extent cx="5572760" cy="3841115"/>
            <wp:effectExtent l="0" t="0" r="8890" b="6985"/>
            <wp:docPr id="69" name="图片 111" descr="图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9" name="图片 111" descr="图2"/>
                    <pic:cNvPicPr>
                      <a:picLocks noChangeAspect="true"/>
                    </pic:cNvPicPr>
                  </pic:nvPicPr>
                  <pic:blipFill>
                    <a:blip r:embed="rId108"/>
                    <a:stretch>
                      <a:fillRect/>
                    </a:stretch>
                  </pic:blipFill>
                  <pic:spPr>
                    <a:xfrm>
                      <a:off x="0" y="0"/>
                      <a:ext cx="5572760" cy="3841115"/>
                    </a:xfrm>
                    <a:prstGeom prst="rect">
                      <a:avLst/>
                    </a:prstGeom>
                    <a:noFill/>
                    <a:ln>
                      <a:noFill/>
                    </a:ln>
                  </pic:spPr>
                </pic:pic>
              </a:graphicData>
            </a:graphic>
          </wp:inline>
        </w:drawing>
      </w:r>
    </w:p>
    <w:p>
      <w:pPr>
        <w:pStyle w:val="2886"/>
        <w:rPr>
          <w:rFonts w:hint="default" w:ascii="Times New Roman" w:hAnsi="Times New Roman" w:eastAsia="方正黑体_GBK" w:cs="Times New Roman"/>
        </w:rPr>
      </w:pPr>
      <w:r>
        <w:rPr>
          <w:rFonts w:hint="default" w:ascii="Times New Roman" w:hAnsi="Times New Roman" w:eastAsia="方正黑体_GBK" w:cs="Times New Roman"/>
        </w:rPr>
        <w:t>图2.1</w:t>
      </w:r>
      <w:r>
        <w:rPr>
          <w:rFonts w:hint="default" w:ascii="Times New Roman" w:hAnsi="Times New Roman" w:eastAsia="方正黑体_GBK" w:cs="Times New Roman"/>
          <w:lang w:eastAsia="zh-CN"/>
        </w:rPr>
        <w:t>—</w:t>
      </w:r>
      <w:r>
        <w:rPr>
          <w:rFonts w:hint="default" w:ascii="Times New Roman" w:hAnsi="Times New Roman" w:eastAsia="方正黑体_GBK" w:cs="Times New Roman"/>
        </w:rPr>
        <w:t>2  　綦江干流主城区段已建堤防护岸工程分布图</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1.1.3</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en-US" w:eastAsia="zh-CN"/>
        </w:rPr>
        <w:t>綦江支流沙溪河堤防</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綦江城区沙溪河段河道两岸已建成堤防护岸工程约4.20km，自沙溪河入綦江河口处至上游马家槽河大桥处，堤顶高程在221.52</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239.5m之间。</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1.1.4</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en-US" w:eastAsia="zh-CN"/>
        </w:rPr>
        <w:t>綦江支流登瀛河堤防</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綦江城区内登瀛河段两岸已建堤防约1.30km，自登瀛场镇人行拱桥起至下游公路桥，其中左岸堤防长0.84km，堤顶高程为276.14m</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277.0m，多数不满足20年一遇防洪标准，右岸堤防长约0.35km，堤顶高程为275.30m</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277.0m，均满足20年一遇防洪标准。</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1.2</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en-US" w:eastAsia="zh-CN"/>
        </w:rPr>
        <w:t>三江街道</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綦江城区三江街道河段左岸从重钢四厂至三江污水处理站已建成堤防护岸工程约3.40km，重钢四厂至三江大桥下游200m段，长度约1.93km，堤顶高程在241.17</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248.50m之间，防洪标准高于20年一遇；三江大桥下游至三江人渡下游160m段，长度约1.45km，堤顶高程在237.75</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241.95m，防洪标准局部介于10</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20年一遇之间，大部分略低于10年一遇。右岸为蒲河河口上游有约0.60km长重庆吉恩冶炼公司堤防，三江老大桥以上0.40km堤段满足20年一遇防洪标准，三江老大桥至蒲河河口0.2km堤段不足20年一遇；蒲河河口至火车站为铁路路基，满足20年一遇洪水标准。三江街道已建堤防护岸工程分布情况见图2.1</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3。</w:t>
      </w:r>
    </w:p>
    <w:p>
      <w:pPr>
        <w:adjustRightInd w:val="0"/>
        <w:snapToGrid w:val="0"/>
        <w:spacing w:line="240" w:lineRule="auto"/>
        <w:ind w:firstLine="0" w:firstLineChars="0"/>
        <w:jc w:val="center"/>
        <w:rPr>
          <w:rFonts w:ascii="Times New Roman" w:eastAsia="宋体"/>
          <w:kern w:val="32"/>
          <w:sz w:val="24"/>
          <w:szCs w:val="21"/>
        </w:rPr>
      </w:pPr>
      <w:r>
        <w:rPr>
          <w:rFonts w:ascii="Times New Roman" w:eastAsia="宋体"/>
          <w:kern w:val="32"/>
          <w:sz w:val="24"/>
          <w:szCs w:val="21"/>
        </w:rPr>
        <w:drawing>
          <wp:inline distT="0" distB="0" distL="114300" distR="114300">
            <wp:extent cx="4673600" cy="2686685"/>
            <wp:effectExtent l="0" t="0" r="12700" b="18415"/>
            <wp:docPr id="70"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0" name="图片 2"/>
                    <pic:cNvPicPr>
                      <a:picLocks noChangeAspect="true"/>
                    </pic:cNvPicPr>
                  </pic:nvPicPr>
                  <pic:blipFill>
                    <a:blip r:embed="rId109"/>
                    <a:srcRect t="2618" b="7710"/>
                    <a:stretch>
                      <a:fillRect/>
                    </a:stretch>
                  </pic:blipFill>
                  <pic:spPr>
                    <a:xfrm>
                      <a:off x="0" y="0"/>
                      <a:ext cx="4673600" cy="2686685"/>
                    </a:xfrm>
                    <a:prstGeom prst="rect">
                      <a:avLst/>
                    </a:prstGeom>
                    <a:noFill/>
                    <a:ln>
                      <a:noFill/>
                    </a:ln>
                  </pic:spPr>
                </pic:pic>
              </a:graphicData>
            </a:graphic>
          </wp:inline>
        </w:drawing>
      </w:r>
    </w:p>
    <w:p>
      <w:pPr>
        <w:pStyle w:val="2886"/>
        <w:rPr>
          <w:rFonts w:hint="default" w:ascii="Times New Roman" w:hAnsi="Times New Roman" w:eastAsia="方正黑体_GBK" w:cs="Times New Roman"/>
        </w:rPr>
      </w:pPr>
      <w:r>
        <w:rPr>
          <w:rFonts w:hint="default" w:ascii="Times New Roman" w:hAnsi="Times New Roman" w:eastAsia="方正黑体_GBK" w:cs="Times New Roman"/>
        </w:rPr>
        <w:t>图2.1</w:t>
      </w:r>
      <w:r>
        <w:rPr>
          <w:rFonts w:hint="default" w:ascii="Times New Roman" w:hAnsi="Times New Roman" w:eastAsia="方正黑体_GBK" w:cs="Times New Roman"/>
          <w:lang w:eastAsia="zh-CN"/>
        </w:rPr>
        <w:t>—</w:t>
      </w:r>
      <w:r>
        <w:rPr>
          <w:rFonts w:hint="default" w:ascii="Times New Roman" w:hAnsi="Times New Roman" w:eastAsia="方正黑体_GBK" w:cs="Times New Roman"/>
        </w:rPr>
        <w:t>3 　 綦江城区三江街道河道堤防护岸设施分布示意图</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2</w:t>
      </w:r>
      <w:r>
        <w:rPr>
          <w:rFonts w:hint="eastAsia" w:ascii="Times New Roman" w:eastAsia="方正仿宋_GBK" w:cs="Times New Roman"/>
          <w:kern w:val="0"/>
          <w:sz w:val="32"/>
          <w:szCs w:val="32"/>
          <w:lang w:val="en-US" w:eastAsia="zh-CN"/>
        </w:rPr>
        <w:t>．</w:t>
      </w:r>
      <w:r>
        <w:rPr>
          <w:rFonts w:hint="eastAsia" w:ascii="Times New Roman" w:hAnsi="Times New Roman" w:eastAsia="方正仿宋_GBK" w:cs="Times New Roman"/>
          <w:sz w:val="32"/>
          <w:szCs w:val="32"/>
          <w:lang w:val="en-US" w:eastAsia="zh-CN"/>
        </w:rPr>
        <w:t>水库</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目前，綦江区城区城北大桥上游无控制性防洪工程，綦江支流已建水库120座，见图2.1</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4，汛期对綦江城区起一定的滞洪作用。</w:t>
      </w:r>
    </w:p>
    <w:p>
      <w:pPr>
        <w:adjustRightInd w:val="0"/>
        <w:snapToGrid w:val="0"/>
        <w:spacing w:line="400" w:lineRule="atLeast"/>
        <w:ind w:firstLine="0" w:firstLineChars="0"/>
        <w:jc w:val="center"/>
        <w:rPr>
          <w:rFonts w:hint="eastAsia"/>
          <w:spacing w:val="2"/>
        </w:rPr>
      </w:pPr>
      <w:r>
        <w:rPr>
          <w:rFonts w:hint="eastAsia"/>
          <w:spacing w:val="2"/>
        </w:rPr>
        <w:drawing>
          <wp:inline distT="0" distB="0" distL="114300" distR="114300">
            <wp:extent cx="5231130" cy="5701030"/>
            <wp:effectExtent l="9525" t="9525" r="17145" b="23495"/>
            <wp:docPr id="71" name="图片 124" descr="綦江城市上游已建水库_副本"/>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1" name="图片 124" descr="綦江城市上游已建水库_副本"/>
                    <pic:cNvPicPr>
                      <a:picLocks noChangeAspect="true"/>
                    </pic:cNvPicPr>
                  </pic:nvPicPr>
                  <pic:blipFill>
                    <a:blip r:embed="rId110"/>
                    <a:stretch>
                      <a:fillRect/>
                    </a:stretch>
                  </pic:blipFill>
                  <pic:spPr>
                    <a:xfrm>
                      <a:off x="0" y="0"/>
                      <a:ext cx="5231130" cy="5701030"/>
                    </a:xfrm>
                    <a:prstGeom prst="rect">
                      <a:avLst/>
                    </a:prstGeom>
                    <a:noFill/>
                    <a:ln w="9525" cap="flat" cmpd="sng">
                      <a:solidFill>
                        <a:srgbClr val="000000"/>
                      </a:solidFill>
                      <a:prstDash val="solid"/>
                      <a:miter/>
                      <a:headEnd type="none" w="med" len="med"/>
                      <a:tailEnd type="none" w="med" len="med"/>
                    </a:ln>
                  </pic:spPr>
                </pic:pic>
              </a:graphicData>
            </a:graphic>
          </wp:inline>
        </w:drawing>
      </w:r>
    </w:p>
    <w:p>
      <w:pPr>
        <w:pStyle w:val="2886"/>
        <w:rPr>
          <w:rFonts w:hint="default" w:ascii="Times New Roman" w:hAnsi="Times New Roman" w:eastAsia="方正黑体_GBK" w:cs="Times New Roman"/>
        </w:rPr>
      </w:pPr>
      <w:r>
        <w:rPr>
          <w:rFonts w:hint="default" w:ascii="Times New Roman" w:hAnsi="Times New Roman" w:eastAsia="方正黑体_GBK" w:cs="Times New Roman"/>
        </w:rPr>
        <w:t>图2.1</w:t>
      </w:r>
      <w:r>
        <w:rPr>
          <w:rFonts w:hint="default" w:ascii="Times New Roman" w:hAnsi="Times New Roman" w:eastAsia="方正黑体_GBK" w:cs="Times New Roman"/>
          <w:lang w:eastAsia="zh-CN"/>
        </w:rPr>
        <w:t>—</w:t>
      </w:r>
      <w:r>
        <w:rPr>
          <w:rFonts w:hint="default" w:ascii="Times New Roman" w:hAnsi="Times New Roman" w:eastAsia="方正黑体_GBK" w:cs="Times New Roman"/>
        </w:rPr>
        <w:t>4  　綦江城区上游已建水库分布示意图</w:t>
      </w:r>
    </w:p>
    <w:p>
      <w:pPr>
        <w:pStyle w:val="1795"/>
        <w:keepNext w:val="0"/>
        <w:keepLines w:val="0"/>
        <w:pageBreakBefore w:val="0"/>
        <w:widowControl w:val="0"/>
        <w:kinsoku/>
        <w:wordWrap/>
        <w:overflowPunct/>
        <w:topLinePunct w:val="0"/>
        <w:autoSpaceDE/>
        <w:autoSpaceDN/>
        <w:bidi w:val="0"/>
        <w:adjustRightInd/>
        <w:snapToGrid/>
        <w:spacing w:before="0" w:after="0"/>
        <w:ind w:firstLine="640" w:firstLineChars="200"/>
        <w:textAlignment w:val="auto"/>
        <w:rPr>
          <w:rFonts w:hint="eastAsia" w:ascii="方正楷体_GBK" w:hAnsi="方正楷体_GBK" w:eastAsia="方正楷体_GBK" w:cs="方正楷体_GBK"/>
          <w:sz w:val="32"/>
          <w:szCs w:val="32"/>
        </w:rPr>
      </w:pPr>
      <w:bookmarkStart w:id="51" w:name="_Toc71782068"/>
      <w:bookmarkStart w:id="52" w:name="_Toc9806"/>
      <w:bookmarkStart w:id="53" w:name="_Toc3767"/>
      <w:bookmarkStart w:id="54" w:name="_Toc71665851"/>
      <w:r>
        <w:rPr>
          <w:rFonts w:hint="eastAsia" w:ascii="方正楷体_GBK" w:hAnsi="方正楷体_GBK" w:eastAsia="方正楷体_GBK" w:cs="方正楷体_GBK"/>
          <w:sz w:val="32"/>
          <w:szCs w:val="32"/>
          <w:lang w:eastAsia="zh-CN"/>
        </w:rPr>
        <w:t>（</w:t>
      </w:r>
      <w:r>
        <w:rPr>
          <w:rFonts w:hint="eastAsia" w:ascii="方正楷体_GBK" w:hAnsi="方正楷体_GBK" w:eastAsia="方正楷体_GBK" w:cs="方正楷体_GBK"/>
          <w:sz w:val="32"/>
          <w:szCs w:val="32"/>
          <w:lang w:val="en-US" w:eastAsia="zh-CN"/>
        </w:rPr>
        <w:t>二</w:t>
      </w:r>
      <w:r>
        <w:rPr>
          <w:rFonts w:hint="eastAsia" w:ascii="方正楷体_GBK" w:hAnsi="方正楷体_GBK" w:eastAsia="方正楷体_GBK" w:cs="方正楷体_GBK"/>
          <w:sz w:val="32"/>
          <w:szCs w:val="32"/>
          <w:lang w:eastAsia="zh-CN"/>
        </w:rPr>
        <w:t>）</w:t>
      </w:r>
      <w:r>
        <w:rPr>
          <w:rFonts w:hint="eastAsia" w:ascii="方正楷体_GBK" w:hAnsi="方正楷体_GBK" w:eastAsia="方正楷体_GBK" w:cs="方正楷体_GBK"/>
          <w:sz w:val="32"/>
          <w:szCs w:val="32"/>
        </w:rPr>
        <w:t>防洪非工程措施现状</w:t>
      </w:r>
      <w:bookmarkEnd w:id="51"/>
      <w:bookmarkEnd w:id="52"/>
      <w:bookmarkEnd w:id="53"/>
      <w:bookmarkEnd w:id="54"/>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1</w:t>
      </w:r>
      <w:r>
        <w:rPr>
          <w:rFonts w:hint="eastAsia" w:ascii="Times New Roman" w:eastAsia="方正仿宋_GBK" w:cs="Times New Roman"/>
          <w:kern w:val="0"/>
          <w:sz w:val="32"/>
          <w:szCs w:val="32"/>
          <w:lang w:val="en-US" w:eastAsia="zh-CN"/>
        </w:rPr>
        <w:t>．</w:t>
      </w:r>
      <w:r>
        <w:rPr>
          <w:rFonts w:hint="eastAsia" w:ascii="Times New Roman" w:hAnsi="Times New Roman" w:eastAsia="方正仿宋_GBK" w:cs="Times New Roman"/>
          <w:sz w:val="32"/>
          <w:szCs w:val="32"/>
          <w:lang w:val="en-US" w:eastAsia="zh-CN"/>
        </w:rPr>
        <w:t>洪水监测预报预警</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区已（在）建山洪灾害监测预警系统、中小河流水雨情系统和洪旱灾害预警系统。其中，綦江区山洪灾害监测预警系统包括县级山洪灾害预警系统平台1套、自动水位站（含3个图像站）20个，雨量水位实时监测和自动预警；綦江中小河流水雨情系统（重庆水雨情应用系统）包括1个区级应用平台、7个水文站、119个自动雨量站、8个自动水位站、7个墒情站，可实时查询水位雨量数据。綦江区洪旱灾害预警系统包括洪旱灾害防御系统平台1套、监测设施设备15套（含水位雨量监测站3套、预警站12套），可智能分析各类水雨情数据和开展洪水预报。此外，重庆市防汛管理信息化系统（见图2.2</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1）也有效支撑了2020年綦江超标准洪水预报工作。</w:t>
      </w:r>
    </w:p>
    <w:p>
      <w:pPr>
        <w:adjustRightInd w:val="0"/>
        <w:snapToGrid w:val="0"/>
        <w:spacing w:line="400" w:lineRule="atLeast"/>
        <w:ind w:firstLine="0" w:firstLineChars="0"/>
        <w:jc w:val="center"/>
      </w:pPr>
      <w:r>
        <w:drawing>
          <wp:inline distT="0" distB="0" distL="114300" distR="114300">
            <wp:extent cx="5673090" cy="2568575"/>
            <wp:effectExtent l="0" t="0" r="3810" b="3175"/>
            <wp:docPr id="72"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2" name="图片 1"/>
                    <pic:cNvPicPr>
                      <a:picLocks noChangeAspect="true"/>
                    </pic:cNvPicPr>
                  </pic:nvPicPr>
                  <pic:blipFill>
                    <a:blip r:embed="rId111"/>
                    <a:stretch>
                      <a:fillRect/>
                    </a:stretch>
                  </pic:blipFill>
                  <pic:spPr>
                    <a:xfrm>
                      <a:off x="0" y="0"/>
                      <a:ext cx="5673090" cy="2568575"/>
                    </a:xfrm>
                    <a:prstGeom prst="rect">
                      <a:avLst/>
                    </a:prstGeom>
                    <a:noFill/>
                    <a:ln>
                      <a:noFill/>
                    </a:ln>
                  </pic:spPr>
                </pic:pic>
              </a:graphicData>
            </a:graphic>
          </wp:inline>
        </w:drawing>
      </w:r>
    </w:p>
    <w:p>
      <w:pPr>
        <w:pStyle w:val="2886"/>
        <w:rPr>
          <w:rFonts w:hint="default" w:ascii="Times New Roman" w:hAnsi="Times New Roman" w:eastAsia="方正黑体_GBK" w:cs="Times New Roman"/>
        </w:rPr>
      </w:pPr>
      <w:r>
        <w:rPr>
          <w:rFonts w:hint="default" w:ascii="Times New Roman" w:hAnsi="Times New Roman" w:eastAsia="方正黑体_GBK" w:cs="Times New Roman"/>
        </w:rPr>
        <w:t>图2.2</w:t>
      </w:r>
      <w:r>
        <w:rPr>
          <w:rFonts w:hint="default" w:ascii="Times New Roman" w:hAnsi="Times New Roman" w:eastAsia="方正黑体_GBK" w:cs="Times New Roman"/>
          <w:lang w:eastAsia="zh-CN"/>
        </w:rPr>
        <w:t>—</w:t>
      </w:r>
      <w:r>
        <w:rPr>
          <w:rFonts w:hint="default" w:ascii="Times New Roman" w:hAnsi="Times New Roman" w:eastAsia="方正黑体_GBK" w:cs="Times New Roman"/>
        </w:rPr>
        <w:t>1  重庆市防汛管理信息化系统服务重庆市水文监测总站綦江超标准洪水预报</w:t>
      </w:r>
    </w:p>
    <w:p>
      <w:pPr>
        <w:pStyle w:val="2948"/>
        <w:ind w:firstLine="560"/>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2</w:t>
      </w:r>
      <w:r>
        <w:rPr>
          <w:rFonts w:hint="eastAsia" w:ascii="Times New Roman" w:eastAsia="方正仿宋_GBK" w:cs="Times New Roman"/>
          <w:kern w:val="0"/>
          <w:sz w:val="32"/>
          <w:szCs w:val="32"/>
          <w:lang w:val="en-US" w:eastAsia="zh-CN"/>
        </w:rPr>
        <w:t>．</w:t>
      </w:r>
      <w:r>
        <w:rPr>
          <w:rFonts w:hint="eastAsia" w:ascii="Times New Roman" w:hAnsi="Times New Roman" w:eastAsia="方正仿宋_GBK" w:cs="Times New Roman"/>
          <w:kern w:val="2"/>
          <w:sz w:val="32"/>
          <w:szCs w:val="32"/>
          <w:lang w:val="en-US" w:eastAsia="zh-CN" w:bidi="ar-SA"/>
        </w:rPr>
        <w:t>方案预案体系</w:t>
      </w:r>
    </w:p>
    <w:p>
      <w:pPr>
        <w:ind w:firstLine="560"/>
        <w:rPr>
          <w:rFonts w:ascii="Times New Roman"/>
        </w:rPr>
      </w:pPr>
      <w:r>
        <w:rPr>
          <w:rFonts w:hint="eastAsia" w:ascii="Times New Roman" w:hAnsi="Times New Roman" w:eastAsia="方正仿宋_GBK" w:cs="Times New Roman"/>
          <w:kern w:val="2"/>
          <w:sz w:val="32"/>
          <w:szCs w:val="32"/>
          <w:lang w:val="en-US" w:eastAsia="zh-CN" w:bidi="ar-SA"/>
        </w:rPr>
        <w:t>结合防汛实践，编制了《重庆市綦江河流域防御洪水方案》《重庆市綦江区城区防汛应急预案》《重庆市綦江城区超标洪水防御预案》《重庆市綦江河洪水风险图编制成果报告》等一系列的防汛方案预案，形成了较为完整的方案预案体系。</w:t>
      </w:r>
    </w:p>
    <w:p>
      <w:pPr>
        <w:pStyle w:val="1795"/>
        <w:keepNext w:val="0"/>
        <w:keepLines w:val="0"/>
        <w:pageBreakBefore w:val="0"/>
        <w:widowControl w:val="0"/>
        <w:kinsoku/>
        <w:wordWrap/>
        <w:overflowPunct/>
        <w:topLinePunct w:val="0"/>
        <w:autoSpaceDE/>
        <w:autoSpaceDN/>
        <w:bidi w:val="0"/>
        <w:adjustRightInd/>
        <w:snapToGrid/>
        <w:spacing w:before="0" w:after="0"/>
        <w:ind w:firstLine="640" w:firstLineChars="200"/>
        <w:textAlignment w:val="auto"/>
        <w:rPr>
          <w:rFonts w:hint="eastAsia" w:ascii="方正楷体_GBK" w:hAnsi="方正楷体_GBK" w:eastAsia="方正楷体_GBK" w:cs="方正楷体_GBK"/>
        </w:rPr>
      </w:pPr>
      <w:bookmarkStart w:id="55" w:name="_Toc71665852"/>
      <w:bookmarkStart w:id="56" w:name="_Toc71782069"/>
      <w:bookmarkStart w:id="57" w:name="_Toc4909"/>
      <w:bookmarkStart w:id="58" w:name="_Toc21200"/>
      <w:r>
        <w:rPr>
          <w:rFonts w:hint="eastAsia" w:ascii="方正楷体_GBK" w:hAnsi="方正楷体_GBK" w:eastAsia="方正楷体_GBK" w:cs="方正楷体_GBK"/>
          <w:lang w:eastAsia="zh-CN"/>
        </w:rPr>
        <w:t>（</w:t>
      </w:r>
      <w:r>
        <w:rPr>
          <w:rFonts w:hint="eastAsia" w:ascii="方正楷体_GBK" w:hAnsi="方正楷体_GBK" w:eastAsia="方正楷体_GBK" w:cs="方正楷体_GBK"/>
          <w:sz w:val="32"/>
          <w:szCs w:val="32"/>
          <w:lang w:val="en-US" w:eastAsia="zh-CN"/>
        </w:rPr>
        <w:t>三</w:t>
      </w:r>
      <w:r>
        <w:rPr>
          <w:rFonts w:hint="eastAsia" w:ascii="方正楷体_GBK" w:hAnsi="方正楷体_GBK" w:eastAsia="方正楷体_GBK" w:cs="方正楷体_GBK"/>
          <w:sz w:val="32"/>
          <w:szCs w:val="32"/>
          <w:lang w:eastAsia="zh-CN"/>
        </w:rPr>
        <w:t>）</w:t>
      </w:r>
      <w:bookmarkEnd w:id="50"/>
      <w:r>
        <w:rPr>
          <w:rFonts w:hint="eastAsia" w:ascii="方正楷体_GBK" w:hAnsi="方正楷体_GBK" w:eastAsia="方正楷体_GBK" w:cs="方正楷体_GBK"/>
          <w:sz w:val="32"/>
          <w:szCs w:val="32"/>
          <w:lang w:eastAsia="zh-CN"/>
        </w:rPr>
        <w:t>防洪存在的主要问题</w:t>
      </w:r>
      <w:bookmarkEnd w:id="55"/>
      <w:bookmarkEnd w:id="56"/>
      <w:bookmarkEnd w:id="57"/>
      <w:bookmarkEnd w:id="58"/>
    </w:p>
    <w:p>
      <w:pPr>
        <w:pStyle w:val="2948"/>
        <w:ind w:firstLine="560"/>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1</w:t>
      </w:r>
      <w:r>
        <w:rPr>
          <w:rFonts w:hint="eastAsia" w:ascii="Times New Roman" w:eastAsia="方正仿宋_GBK" w:cs="Times New Roman"/>
          <w:kern w:val="0"/>
          <w:sz w:val="32"/>
          <w:szCs w:val="32"/>
          <w:lang w:val="en-US" w:eastAsia="zh-CN"/>
        </w:rPr>
        <w:t>．</w:t>
      </w:r>
      <w:r>
        <w:rPr>
          <w:rFonts w:hint="eastAsia" w:ascii="Times New Roman" w:hAnsi="Times New Roman" w:eastAsia="方正仿宋_GBK" w:cs="Times New Roman"/>
          <w:kern w:val="2"/>
          <w:sz w:val="32"/>
          <w:szCs w:val="32"/>
          <w:lang w:val="en-US" w:eastAsia="zh-CN" w:bidi="ar-SA"/>
        </w:rPr>
        <w:t>堤防建设未达标</w:t>
      </w:r>
    </w:p>
    <w:p>
      <w:pPr>
        <w:pStyle w:val="2948"/>
        <w:ind w:firstLine="560"/>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1.1 防洪能力评估</w:t>
      </w:r>
    </w:p>
    <w:p>
      <w:pPr>
        <w:pStyle w:val="2948"/>
        <w:ind w:firstLine="560"/>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根据《防洪标准》（</w:t>
      </w:r>
      <w:r>
        <w:rPr>
          <w:rFonts w:hint="eastAsia" w:ascii="Times New Roman" w:hAnsi="Times New Roman" w:eastAsia="方正仿宋_GBK" w:cs="Times New Roman"/>
          <w:kern w:val="2"/>
          <w:sz w:val="32"/>
          <w:szCs w:val="32"/>
          <w:lang w:val="zh-CN" w:eastAsia="zh-CN" w:bidi="ar-SA"/>
        </w:rPr>
        <w:t>GB 50201—2014</w:t>
      </w:r>
      <w:r>
        <w:rPr>
          <w:rFonts w:hint="eastAsia" w:ascii="Times New Roman" w:hAnsi="Times New Roman" w:eastAsia="方正仿宋_GBK" w:cs="Times New Roman"/>
          <w:kern w:val="2"/>
          <w:sz w:val="32"/>
          <w:szCs w:val="32"/>
          <w:lang w:val="en-US" w:eastAsia="zh-CN" w:bidi="ar-SA"/>
        </w:rPr>
        <w:t>）以及《重庆市綦江区城乡总体规划（2012—2020年）》、《綦江河流域防洪规划报告（2000—2020年）》和《綦江县县城防洪规划方案报告》（2007年）等有关规划，綦江城区的防洪标准为50年一遇，而现有堤防护岸工程尚未达到规划设计标准，其中菜坝片区防洪标准约3年一遇，滨江路防洪标准约2年一遇。</w:t>
      </w:r>
    </w:p>
    <w:p>
      <w:pPr>
        <w:pStyle w:val="2948"/>
        <w:ind w:firstLine="560"/>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1.1.1 綦江主城区</w:t>
      </w:r>
    </w:p>
    <w:p>
      <w:pPr>
        <w:pStyle w:val="2948"/>
        <w:ind w:firstLine="560"/>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①綦江干流</w:t>
      </w:r>
    </w:p>
    <w:p>
      <w:pPr>
        <w:pStyle w:val="2948"/>
        <w:ind w:firstLine="560"/>
        <w:rPr>
          <w:spacing w:val="-2"/>
        </w:rPr>
      </w:pPr>
      <w:r>
        <w:rPr>
          <w:rFonts w:hint="eastAsia" w:ascii="Times New Roman" w:hAnsi="Times New Roman" w:eastAsia="方正仿宋_GBK" w:cs="Times New Roman"/>
          <w:kern w:val="2"/>
          <w:sz w:val="32"/>
          <w:szCs w:val="32"/>
          <w:lang w:val="en-US" w:eastAsia="zh-CN" w:bidi="ar-SA"/>
        </w:rPr>
        <w:t>綦江主城区基本沿綦江干流两岸布置，两岸房屋密集，地势低洼，主要通过堤防护岸工程抵御洪水。比较綦江干流主城区段不同频率水面线与两岸堤防（高地）高程（堤防超高按1m考虑），现状防洪能力复核见表2.3—1、图2.3—1和图2.3—2。左、右岸堤防（含自然岸坡）总长9.96km，两岸堤防（高地）高程不足20年一遇的河段长6.50km，约占总岸线长度的65%。其中，两岸堤防（高地）高程不足5年一遇的河段长5.09km，占总岸线长度的51%，其中左岸2.84km，右岸2.25km；两岸堤防（高地）高程介于5—10年一遇的河段长度为1.03km，占总岸线长度的10%，其中左岸0.8km，右岸0.23km；两岸堤防（高地）高程介于10—20年一遇的河段长度为0.37km，均位于左岸，占总岸线长度的4%；两岸堤防（高地）高程高于20年一遇的河段长3.46km，占总岸线长度的35%，其中左岸0.90km，右岸2.57km。</w:t>
      </w:r>
    </w:p>
    <w:p>
      <w:pPr>
        <w:pStyle w:val="2312"/>
        <w:ind w:firstLine="240"/>
        <w:rPr>
          <w:rFonts w:hint="eastAsia" w:ascii="方正黑体_GBK" w:hAnsi="方正黑体_GBK" w:eastAsia="方正黑体_GBK" w:cs="方正黑体_GBK"/>
        </w:rPr>
      </w:pPr>
      <w:r>
        <w:rPr>
          <w:rFonts w:hint="default" w:ascii="Times New Roman" w:hAnsi="Times New Roman" w:cs="Times New Roman"/>
        </w:rPr>
        <w:t>表2.3</w:t>
      </w:r>
      <w:r>
        <w:rPr>
          <w:rFonts w:hint="default" w:ascii="Times New Roman" w:hAnsi="Times New Roman" w:cs="Times New Roman"/>
          <w:lang w:eastAsia="zh-CN"/>
        </w:rPr>
        <w:t>—</w:t>
      </w:r>
      <w:r>
        <w:rPr>
          <w:rFonts w:hint="default" w:ascii="Times New Roman" w:hAnsi="Times New Roman" w:cs="Times New Roman"/>
        </w:rPr>
        <w:t xml:space="preserve">1 </w:t>
      </w:r>
      <w:r>
        <w:rPr>
          <w:rFonts w:hint="eastAsia"/>
        </w:rPr>
        <w:t xml:space="preserve">  </w:t>
      </w:r>
      <w:r>
        <w:t xml:space="preserve"> </w:t>
      </w:r>
      <w:r>
        <w:rPr>
          <w:rFonts w:hint="eastAsia"/>
        </w:rPr>
        <w:t xml:space="preserve">  </w:t>
      </w:r>
      <w:r>
        <w:rPr>
          <w:rFonts w:hint="eastAsia" w:ascii="方正黑体_GBK" w:hAnsi="方正黑体_GBK" w:eastAsia="方正黑体_GBK" w:cs="方正黑体_GBK"/>
        </w:rPr>
        <w:t>綦江干流主城区段现状两岸堤防（高地）防洪能力复核表</w:t>
      </w:r>
    </w:p>
    <w:tbl>
      <w:tblPr>
        <w:tblStyle w:val="88"/>
        <w:tblW w:w="5000"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108" w:type="dxa"/>
          <w:bottom w:w="0" w:type="dxa"/>
          <w:right w:w="108" w:type="dxa"/>
        </w:tblCellMar>
      </w:tblPr>
      <w:tblGrid>
        <w:gridCol w:w="802"/>
        <w:gridCol w:w="936"/>
        <w:gridCol w:w="936"/>
        <w:gridCol w:w="966"/>
        <w:gridCol w:w="966"/>
        <w:gridCol w:w="936"/>
        <w:gridCol w:w="936"/>
        <w:gridCol w:w="936"/>
        <w:gridCol w:w="936"/>
        <w:gridCol w:w="937"/>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32" w:type="pct"/>
            <w:vMerge w:val="restart"/>
            <w:noWrap/>
            <w:vAlign w:val="center"/>
          </w:tcPr>
          <w:p>
            <w:pPr>
              <w:pStyle w:val="3013"/>
              <w:rPr>
                <w:rFonts w:hint="eastAsia"/>
              </w:rPr>
            </w:pPr>
            <w:r>
              <w:rPr>
                <w:rFonts w:hint="eastAsia"/>
              </w:rPr>
              <w:t>岸别</w:t>
            </w:r>
          </w:p>
        </w:tc>
        <w:tc>
          <w:tcPr>
            <w:tcW w:w="1008" w:type="pct"/>
            <w:gridSpan w:val="2"/>
            <w:noWrap/>
            <w:vAlign w:val="center"/>
          </w:tcPr>
          <w:p>
            <w:pPr>
              <w:pStyle w:val="3013"/>
              <w:rPr>
                <w:rFonts w:hint="eastAsia"/>
              </w:rPr>
            </w:pPr>
            <w:r>
              <w:rPr>
                <w:rFonts w:hint="eastAsia"/>
              </w:rPr>
              <w:t>20年一遇</w:t>
            </w:r>
          </w:p>
        </w:tc>
        <w:tc>
          <w:tcPr>
            <w:tcW w:w="1040" w:type="pct"/>
            <w:gridSpan w:val="2"/>
            <w:noWrap/>
            <w:vAlign w:val="center"/>
          </w:tcPr>
          <w:p>
            <w:pPr>
              <w:pStyle w:val="3013"/>
              <w:rPr>
                <w:rFonts w:hint="eastAsia"/>
              </w:rPr>
            </w:pPr>
            <w:r>
              <w:rPr>
                <w:rFonts w:hint="eastAsia"/>
              </w:rPr>
              <w:t>10</w:t>
            </w:r>
            <w:r>
              <w:rPr>
                <w:rFonts w:hint="eastAsia"/>
                <w:lang w:eastAsia="zh-CN"/>
              </w:rPr>
              <w:t>—</w:t>
            </w:r>
            <w:r>
              <w:rPr>
                <w:rFonts w:hint="eastAsia"/>
              </w:rPr>
              <w:t>20年一遇</w:t>
            </w:r>
          </w:p>
        </w:tc>
        <w:tc>
          <w:tcPr>
            <w:tcW w:w="1008" w:type="pct"/>
            <w:gridSpan w:val="2"/>
            <w:noWrap/>
            <w:vAlign w:val="center"/>
          </w:tcPr>
          <w:p>
            <w:pPr>
              <w:pStyle w:val="3013"/>
              <w:rPr>
                <w:rFonts w:hint="eastAsia"/>
              </w:rPr>
            </w:pPr>
            <w:r>
              <w:rPr>
                <w:rFonts w:hint="eastAsia"/>
              </w:rPr>
              <w:t>5</w:t>
            </w:r>
            <w:r>
              <w:rPr>
                <w:rFonts w:hint="eastAsia"/>
                <w:lang w:eastAsia="zh-CN"/>
              </w:rPr>
              <w:t>—</w:t>
            </w:r>
            <w:r>
              <w:rPr>
                <w:rFonts w:hint="eastAsia"/>
              </w:rPr>
              <w:t>10年一遇</w:t>
            </w:r>
          </w:p>
        </w:tc>
        <w:tc>
          <w:tcPr>
            <w:tcW w:w="1008" w:type="pct"/>
            <w:gridSpan w:val="2"/>
            <w:noWrap/>
            <w:vAlign w:val="center"/>
          </w:tcPr>
          <w:p>
            <w:pPr>
              <w:pStyle w:val="3013"/>
              <w:rPr>
                <w:rFonts w:hint="eastAsia"/>
              </w:rPr>
            </w:pPr>
            <w:r>
              <w:rPr>
                <w:rFonts w:hint="eastAsia"/>
              </w:rPr>
              <w:t>不足5年一遇</w:t>
            </w:r>
          </w:p>
        </w:tc>
        <w:tc>
          <w:tcPr>
            <w:tcW w:w="504" w:type="pct"/>
            <w:vMerge w:val="restart"/>
            <w:noWrap/>
            <w:vAlign w:val="center"/>
          </w:tcPr>
          <w:p>
            <w:pPr>
              <w:pStyle w:val="3013"/>
              <w:rPr>
                <w:rFonts w:hint="eastAsia"/>
              </w:rPr>
            </w:pPr>
            <w:r>
              <w:rPr>
                <w:rFonts w:hint="eastAsia"/>
              </w:rPr>
              <w:t>小计</w:t>
            </w:r>
          </w:p>
          <w:p>
            <w:pPr>
              <w:pStyle w:val="3013"/>
              <w:rPr>
                <w:rFonts w:hint="eastAsia"/>
              </w:rPr>
            </w:pPr>
            <w:r>
              <w:rPr>
                <w:rFonts w:hint="eastAsia"/>
              </w:rPr>
              <w:t>（m）</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32" w:type="pct"/>
            <w:vMerge w:val="continue"/>
            <w:noWrap/>
            <w:vAlign w:val="center"/>
          </w:tcPr>
          <w:p>
            <w:pPr>
              <w:pStyle w:val="3013"/>
              <w:rPr>
                <w:rFonts w:hint="eastAsia"/>
              </w:rPr>
            </w:pPr>
          </w:p>
        </w:tc>
        <w:tc>
          <w:tcPr>
            <w:tcW w:w="504" w:type="pct"/>
            <w:noWrap/>
            <w:vAlign w:val="center"/>
          </w:tcPr>
          <w:p>
            <w:pPr>
              <w:pStyle w:val="3013"/>
              <w:rPr>
                <w:rFonts w:hint="eastAsia"/>
              </w:rPr>
            </w:pPr>
            <w:r>
              <w:rPr>
                <w:rFonts w:hint="eastAsia"/>
              </w:rPr>
              <w:t>长度</w:t>
            </w:r>
          </w:p>
          <w:p>
            <w:pPr>
              <w:pStyle w:val="3013"/>
              <w:rPr>
                <w:rFonts w:hint="eastAsia"/>
              </w:rPr>
            </w:pPr>
            <w:r>
              <w:rPr>
                <w:rFonts w:hint="eastAsia"/>
              </w:rPr>
              <w:t>（m）</w:t>
            </w:r>
          </w:p>
        </w:tc>
        <w:tc>
          <w:tcPr>
            <w:tcW w:w="504" w:type="pct"/>
            <w:noWrap w:val="0"/>
            <w:vAlign w:val="center"/>
          </w:tcPr>
          <w:p>
            <w:pPr>
              <w:pStyle w:val="3013"/>
              <w:rPr>
                <w:rFonts w:hint="eastAsia"/>
              </w:rPr>
            </w:pPr>
            <w:r>
              <w:rPr>
                <w:rFonts w:hint="eastAsia"/>
              </w:rPr>
              <w:t>占比</w:t>
            </w:r>
          </w:p>
          <w:p>
            <w:pPr>
              <w:pStyle w:val="3013"/>
              <w:rPr>
                <w:rFonts w:hint="eastAsia"/>
              </w:rPr>
            </w:pPr>
            <w:r>
              <w:rPr>
                <w:rFonts w:hint="eastAsia"/>
              </w:rPr>
              <w:t>（%）</w:t>
            </w:r>
          </w:p>
        </w:tc>
        <w:tc>
          <w:tcPr>
            <w:tcW w:w="520" w:type="pct"/>
            <w:noWrap/>
            <w:vAlign w:val="center"/>
          </w:tcPr>
          <w:p>
            <w:pPr>
              <w:pStyle w:val="3013"/>
              <w:rPr>
                <w:rFonts w:hint="eastAsia"/>
              </w:rPr>
            </w:pPr>
            <w:r>
              <w:rPr>
                <w:rFonts w:hint="eastAsia"/>
              </w:rPr>
              <w:t>长度</w:t>
            </w:r>
          </w:p>
          <w:p>
            <w:pPr>
              <w:pStyle w:val="3013"/>
              <w:rPr>
                <w:rFonts w:hint="eastAsia"/>
              </w:rPr>
            </w:pPr>
            <w:r>
              <w:rPr>
                <w:rFonts w:hint="eastAsia"/>
              </w:rPr>
              <w:t>（m）</w:t>
            </w:r>
          </w:p>
        </w:tc>
        <w:tc>
          <w:tcPr>
            <w:tcW w:w="520" w:type="pct"/>
            <w:noWrap w:val="0"/>
            <w:vAlign w:val="center"/>
          </w:tcPr>
          <w:p>
            <w:pPr>
              <w:pStyle w:val="3013"/>
              <w:rPr>
                <w:rFonts w:hint="eastAsia"/>
              </w:rPr>
            </w:pPr>
            <w:r>
              <w:rPr>
                <w:rFonts w:hint="eastAsia"/>
              </w:rPr>
              <w:t>占比</w:t>
            </w:r>
          </w:p>
          <w:p>
            <w:pPr>
              <w:pStyle w:val="3013"/>
              <w:rPr>
                <w:rFonts w:hint="eastAsia"/>
              </w:rPr>
            </w:pPr>
            <w:r>
              <w:rPr>
                <w:rFonts w:hint="eastAsia"/>
              </w:rPr>
              <w:t>（%）</w:t>
            </w:r>
          </w:p>
        </w:tc>
        <w:tc>
          <w:tcPr>
            <w:tcW w:w="504" w:type="pct"/>
            <w:noWrap/>
            <w:vAlign w:val="center"/>
          </w:tcPr>
          <w:p>
            <w:pPr>
              <w:pStyle w:val="3013"/>
              <w:rPr>
                <w:rFonts w:hint="eastAsia"/>
              </w:rPr>
            </w:pPr>
            <w:r>
              <w:rPr>
                <w:rFonts w:hint="eastAsia"/>
              </w:rPr>
              <w:t>长度</w:t>
            </w:r>
          </w:p>
          <w:p>
            <w:pPr>
              <w:pStyle w:val="3013"/>
              <w:rPr>
                <w:rFonts w:hint="eastAsia"/>
              </w:rPr>
            </w:pPr>
            <w:r>
              <w:rPr>
                <w:rFonts w:hint="eastAsia"/>
              </w:rPr>
              <w:t>（m）</w:t>
            </w:r>
          </w:p>
        </w:tc>
        <w:tc>
          <w:tcPr>
            <w:tcW w:w="504" w:type="pct"/>
            <w:noWrap w:val="0"/>
            <w:vAlign w:val="center"/>
          </w:tcPr>
          <w:p>
            <w:pPr>
              <w:pStyle w:val="3013"/>
              <w:rPr>
                <w:rFonts w:hint="eastAsia"/>
              </w:rPr>
            </w:pPr>
            <w:r>
              <w:rPr>
                <w:rFonts w:hint="eastAsia"/>
              </w:rPr>
              <w:t>占比</w:t>
            </w:r>
          </w:p>
          <w:p>
            <w:pPr>
              <w:pStyle w:val="3013"/>
              <w:rPr>
                <w:rFonts w:hint="eastAsia"/>
              </w:rPr>
            </w:pPr>
            <w:r>
              <w:rPr>
                <w:rFonts w:hint="eastAsia"/>
              </w:rPr>
              <w:t>（%）</w:t>
            </w:r>
          </w:p>
        </w:tc>
        <w:tc>
          <w:tcPr>
            <w:tcW w:w="504" w:type="pct"/>
            <w:noWrap/>
            <w:vAlign w:val="center"/>
          </w:tcPr>
          <w:p>
            <w:pPr>
              <w:pStyle w:val="3013"/>
              <w:rPr>
                <w:rFonts w:hint="eastAsia"/>
              </w:rPr>
            </w:pPr>
            <w:r>
              <w:rPr>
                <w:rFonts w:hint="eastAsia"/>
              </w:rPr>
              <w:t>长度</w:t>
            </w:r>
          </w:p>
          <w:p>
            <w:pPr>
              <w:pStyle w:val="3013"/>
              <w:rPr>
                <w:rFonts w:hint="eastAsia"/>
              </w:rPr>
            </w:pPr>
            <w:r>
              <w:rPr>
                <w:rFonts w:hint="eastAsia"/>
              </w:rPr>
              <w:t>（m）</w:t>
            </w:r>
          </w:p>
        </w:tc>
        <w:tc>
          <w:tcPr>
            <w:tcW w:w="504" w:type="pct"/>
            <w:noWrap w:val="0"/>
            <w:vAlign w:val="center"/>
          </w:tcPr>
          <w:p>
            <w:pPr>
              <w:pStyle w:val="3013"/>
              <w:rPr>
                <w:rFonts w:hint="eastAsia"/>
              </w:rPr>
            </w:pPr>
            <w:r>
              <w:rPr>
                <w:rFonts w:hint="eastAsia"/>
              </w:rPr>
              <w:t>占比</w:t>
            </w:r>
          </w:p>
          <w:p>
            <w:pPr>
              <w:pStyle w:val="3013"/>
              <w:rPr>
                <w:rFonts w:hint="eastAsia"/>
              </w:rPr>
            </w:pPr>
            <w:r>
              <w:rPr>
                <w:rFonts w:hint="eastAsia"/>
              </w:rPr>
              <w:t>（%）</w:t>
            </w:r>
          </w:p>
        </w:tc>
        <w:tc>
          <w:tcPr>
            <w:tcW w:w="504" w:type="pct"/>
            <w:vMerge w:val="continue"/>
            <w:noWrap/>
            <w:vAlign w:val="center"/>
          </w:tcPr>
          <w:p>
            <w:pPr>
              <w:pStyle w:val="3013"/>
              <w:rPr>
                <w:rFonts w:hint="eastAsia"/>
              </w:rPr>
            </w:pP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32" w:type="pct"/>
            <w:noWrap/>
            <w:vAlign w:val="center"/>
          </w:tcPr>
          <w:p>
            <w:pPr>
              <w:pStyle w:val="3013"/>
              <w:rPr>
                <w:rFonts w:hint="eastAsia"/>
              </w:rPr>
            </w:pPr>
            <w:r>
              <w:rPr>
                <w:rFonts w:hint="eastAsia"/>
              </w:rPr>
              <w:t>左岸</w:t>
            </w:r>
          </w:p>
        </w:tc>
        <w:tc>
          <w:tcPr>
            <w:tcW w:w="504" w:type="pct"/>
            <w:noWrap/>
            <w:vAlign w:val="center"/>
          </w:tcPr>
          <w:p>
            <w:pPr>
              <w:pStyle w:val="3013"/>
              <w:rPr>
                <w:rFonts w:hint="eastAsia"/>
              </w:rPr>
            </w:pPr>
            <w:r>
              <w:rPr>
                <w:rFonts w:hint="eastAsia"/>
              </w:rPr>
              <w:t>895</w:t>
            </w:r>
          </w:p>
        </w:tc>
        <w:tc>
          <w:tcPr>
            <w:tcW w:w="504" w:type="pct"/>
            <w:noWrap w:val="0"/>
            <w:vAlign w:val="center"/>
          </w:tcPr>
          <w:p>
            <w:pPr>
              <w:pStyle w:val="3013"/>
              <w:rPr>
                <w:rFonts w:hint="eastAsia"/>
              </w:rPr>
            </w:pPr>
            <w:r>
              <w:rPr>
                <w:rFonts w:hint="eastAsia"/>
              </w:rPr>
              <w:t>18.22</w:t>
            </w:r>
          </w:p>
        </w:tc>
        <w:tc>
          <w:tcPr>
            <w:tcW w:w="520" w:type="pct"/>
            <w:noWrap/>
            <w:vAlign w:val="center"/>
          </w:tcPr>
          <w:p>
            <w:pPr>
              <w:pStyle w:val="3013"/>
              <w:rPr>
                <w:rFonts w:hint="eastAsia"/>
              </w:rPr>
            </w:pPr>
            <w:r>
              <w:rPr>
                <w:rFonts w:hint="eastAsia"/>
              </w:rPr>
              <w:t>374</w:t>
            </w:r>
          </w:p>
        </w:tc>
        <w:tc>
          <w:tcPr>
            <w:tcW w:w="520" w:type="pct"/>
            <w:noWrap w:val="0"/>
            <w:vAlign w:val="center"/>
          </w:tcPr>
          <w:p>
            <w:pPr>
              <w:pStyle w:val="3013"/>
              <w:rPr>
                <w:rFonts w:hint="eastAsia"/>
              </w:rPr>
            </w:pPr>
            <w:r>
              <w:rPr>
                <w:rFonts w:hint="eastAsia"/>
              </w:rPr>
              <w:t>7.61</w:t>
            </w:r>
          </w:p>
        </w:tc>
        <w:tc>
          <w:tcPr>
            <w:tcW w:w="504" w:type="pct"/>
            <w:noWrap/>
            <w:vAlign w:val="center"/>
          </w:tcPr>
          <w:p>
            <w:pPr>
              <w:pStyle w:val="3013"/>
              <w:rPr>
                <w:rFonts w:hint="eastAsia"/>
              </w:rPr>
            </w:pPr>
            <w:r>
              <w:rPr>
                <w:rFonts w:hint="eastAsia"/>
              </w:rPr>
              <w:t>800</w:t>
            </w:r>
          </w:p>
        </w:tc>
        <w:tc>
          <w:tcPr>
            <w:tcW w:w="504" w:type="pct"/>
            <w:noWrap w:val="0"/>
            <w:vAlign w:val="center"/>
          </w:tcPr>
          <w:p>
            <w:pPr>
              <w:pStyle w:val="3013"/>
              <w:rPr>
                <w:rFonts w:hint="eastAsia"/>
              </w:rPr>
            </w:pPr>
            <w:r>
              <w:rPr>
                <w:rFonts w:hint="eastAsia"/>
              </w:rPr>
              <w:t>16.28</w:t>
            </w:r>
          </w:p>
        </w:tc>
        <w:tc>
          <w:tcPr>
            <w:tcW w:w="504" w:type="pct"/>
            <w:noWrap/>
            <w:vAlign w:val="center"/>
          </w:tcPr>
          <w:p>
            <w:pPr>
              <w:pStyle w:val="3013"/>
              <w:rPr>
                <w:rFonts w:hint="eastAsia"/>
              </w:rPr>
            </w:pPr>
            <w:r>
              <w:rPr>
                <w:rFonts w:hint="eastAsia"/>
              </w:rPr>
              <w:t>2844</w:t>
            </w:r>
          </w:p>
        </w:tc>
        <w:tc>
          <w:tcPr>
            <w:tcW w:w="504" w:type="pct"/>
            <w:noWrap w:val="0"/>
            <w:vAlign w:val="center"/>
          </w:tcPr>
          <w:p>
            <w:pPr>
              <w:pStyle w:val="3013"/>
              <w:rPr>
                <w:rFonts w:hint="eastAsia"/>
              </w:rPr>
            </w:pPr>
            <w:r>
              <w:rPr>
                <w:rFonts w:hint="eastAsia"/>
              </w:rPr>
              <w:t>57.89</w:t>
            </w:r>
          </w:p>
        </w:tc>
        <w:tc>
          <w:tcPr>
            <w:tcW w:w="504" w:type="pct"/>
            <w:noWrap/>
            <w:vAlign w:val="center"/>
          </w:tcPr>
          <w:p>
            <w:pPr>
              <w:pStyle w:val="3013"/>
              <w:rPr>
                <w:rFonts w:hint="eastAsia"/>
              </w:rPr>
            </w:pPr>
            <w:r>
              <w:rPr>
                <w:rFonts w:hint="eastAsia"/>
              </w:rPr>
              <w:t>4913</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32" w:type="pct"/>
            <w:noWrap/>
            <w:vAlign w:val="center"/>
          </w:tcPr>
          <w:p>
            <w:pPr>
              <w:pStyle w:val="3013"/>
              <w:rPr>
                <w:rFonts w:hint="eastAsia"/>
              </w:rPr>
            </w:pPr>
            <w:r>
              <w:rPr>
                <w:rFonts w:hint="eastAsia"/>
              </w:rPr>
              <w:t>右岸</w:t>
            </w:r>
          </w:p>
        </w:tc>
        <w:tc>
          <w:tcPr>
            <w:tcW w:w="504" w:type="pct"/>
            <w:noWrap/>
            <w:vAlign w:val="center"/>
          </w:tcPr>
          <w:p>
            <w:pPr>
              <w:pStyle w:val="3013"/>
              <w:rPr>
                <w:rFonts w:hint="eastAsia"/>
              </w:rPr>
            </w:pPr>
            <w:r>
              <w:rPr>
                <w:rFonts w:hint="eastAsia"/>
              </w:rPr>
              <w:t>2568</w:t>
            </w:r>
          </w:p>
        </w:tc>
        <w:tc>
          <w:tcPr>
            <w:tcW w:w="504" w:type="pct"/>
            <w:noWrap w:val="0"/>
            <w:vAlign w:val="center"/>
          </w:tcPr>
          <w:p>
            <w:pPr>
              <w:pStyle w:val="3013"/>
              <w:rPr>
                <w:rFonts w:hint="eastAsia"/>
              </w:rPr>
            </w:pPr>
            <w:r>
              <w:rPr>
                <w:rFonts w:hint="eastAsia"/>
              </w:rPr>
              <w:t>50.86</w:t>
            </w:r>
          </w:p>
        </w:tc>
        <w:tc>
          <w:tcPr>
            <w:tcW w:w="520" w:type="pct"/>
            <w:noWrap/>
            <w:vAlign w:val="center"/>
          </w:tcPr>
          <w:p>
            <w:pPr>
              <w:pStyle w:val="3013"/>
              <w:rPr>
                <w:rFonts w:hint="eastAsia"/>
              </w:rPr>
            </w:pPr>
          </w:p>
        </w:tc>
        <w:tc>
          <w:tcPr>
            <w:tcW w:w="520" w:type="pct"/>
            <w:noWrap w:val="0"/>
            <w:vAlign w:val="center"/>
          </w:tcPr>
          <w:p>
            <w:pPr>
              <w:pStyle w:val="3013"/>
              <w:rPr>
                <w:rFonts w:hint="eastAsia"/>
              </w:rPr>
            </w:pPr>
          </w:p>
        </w:tc>
        <w:tc>
          <w:tcPr>
            <w:tcW w:w="504" w:type="pct"/>
            <w:noWrap/>
            <w:vAlign w:val="center"/>
          </w:tcPr>
          <w:p>
            <w:pPr>
              <w:pStyle w:val="3013"/>
              <w:rPr>
                <w:rFonts w:hint="eastAsia"/>
              </w:rPr>
            </w:pPr>
            <w:r>
              <w:rPr>
                <w:rFonts w:hint="eastAsia"/>
              </w:rPr>
              <w:t>232</w:t>
            </w:r>
          </w:p>
        </w:tc>
        <w:tc>
          <w:tcPr>
            <w:tcW w:w="504" w:type="pct"/>
            <w:noWrap w:val="0"/>
            <w:vAlign w:val="center"/>
          </w:tcPr>
          <w:p>
            <w:pPr>
              <w:pStyle w:val="3013"/>
              <w:rPr>
                <w:rFonts w:hint="eastAsia"/>
              </w:rPr>
            </w:pPr>
            <w:r>
              <w:rPr>
                <w:rFonts w:hint="eastAsia"/>
              </w:rPr>
              <w:t>4.59</w:t>
            </w:r>
          </w:p>
        </w:tc>
        <w:tc>
          <w:tcPr>
            <w:tcW w:w="504" w:type="pct"/>
            <w:noWrap/>
            <w:vAlign w:val="center"/>
          </w:tcPr>
          <w:p>
            <w:pPr>
              <w:pStyle w:val="3013"/>
              <w:rPr>
                <w:rFonts w:hint="eastAsia"/>
              </w:rPr>
            </w:pPr>
            <w:r>
              <w:rPr>
                <w:rFonts w:hint="eastAsia"/>
              </w:rPr>
              <w:t>2249</w:t>
            </w:r>
          </w:p>
        </w:tc>
        <w:tc>
          <w:tcPr>
            <w:tcW w:w="504" w:type="pct"/>
            <w:noWrap w:val="0"/>
            <w:vAlign w:val="center"/>
          </w:tcPr>
          <w:p>
            <w:pPr>
              <w:pStyle w:val="3013"/>
              <w:rPr>
                <w:rFonts w:hint="eastAsia"/>
              </w:rPr>
            </w:pPr>
            <w:r>
              <w:rPr>
                <w:rFonts w:hint="eastAsia"/>
              </w:rPr>
              <w:t>44.54</w:t>
            </w:r>
          </w:p>
        </w:tc>
        <w:tc>
          <w:tcPr>
            <w:tcW w:w="504" w:type="pct"/>
            <w:noWrap/>
            <w:vAlign w:val="center"/>
          </w:tcPr>
          <w:p>
            <w:pPr>
              <w:pStyle w:val="3013"/>
              <w:rPr>
                <w:rFonts w:hint="eastAsia"/>
              </w:rPr>
            </w:pPr>
            <w:r>
              <w:rPr>
                <w:rFonts w:hint="eastAsia"/>
              </w:rPr>
              <w:t>5049</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32" w:type="pct"/>
            <w:noWrap/>
            <w:vAlign w:val="center"/>
          </w:tcPr>
          <w:p>
            <w:pPr>
              <w:pStyle w:val="3013"/>
              <w:rPr>
                <w:rFonts w:hint="eastAsia"/>
              </w:rPr>
            </w:pPr>
            <w:r>
              <w:rPr>
                <w:rFonts w:hint="eastAsia"/>
              </w:rPr>
              <w:t>合计</w:t>
            </w:r>
          </w:p>
        </w:tc>
        <w:tc>
          <w:tcPr>
            <w:tcW w:w="504" w:type="pct"/>
            <w:noWrap/>
            <w:vAlign w:val="center"/>
          </w:tcPr>
          <w:p>
            <w:pPr>
              <w:pStyle w:val="3013"/>
              <w:rPr>
                <w:rFonts w:hint="eastAsia"/>
              </w:rPr>
            </w:pPr>
            <w:r>
              <w:rPr>
                <w:rFonts w:hint="eastAsia"/>
              </w:rPr>
              <w:t>3463</w:t>
            </w:r>
          </w:p>
        </w:tc>
        <w:tc>
          <w:tcPr>
            <w:tcW w:w="504" w:type="pct"/>
            <w:noWrap w:val="0"/>
            <w:vAlign w:val="center"/>
          </w:tcPr>
          <w:p>
            <w:pPr>
              <w:pStyle w:val="3013"/>
              <w:rPr>
                <w:rFonts w:hint="eastAsia"/>
              </w:rPr>
            </w:pPr>
            <w:r>
              <w:rPr>
                <w:rFonts w:hint="eastAsia"/>
              </w:rPr>
              <w:t>34.76</w:t>
            </w:r>
          </w:p>
        </w:tc>
        <w:tc>
          <w:tcPr>
            <w:tcW w:w="520" w:type="pct"/>
            <w:noWrap/>
            <w:vAlign w:val="center"/>
          </w:tcPr>
          <w:p>
            <w:pPr>
              <w:pStyle w:val="3013"/>
              <w:rPr>
                <w:rFonts w:hint="eastAsia"/>
              </w:rPr>
            </w:pPr>
            <w:r>
              <w:rPr>
                <w:rFonts w:hint="eastAsia"/>
              </w:rPr>
              <w:t>374</w:t>
            </w:r>
          </w:p>
        </w:tc>
        <w:tc>
          <w:tcPr>
            <w:tcW w:w="520" w:type="pct"/>
            <w:noWrap w:val="0"/>
            <w:vAlign w:val="center"/>
          </w:tcPr>
          <w:p>
            <w:pPr>
              <w:pStyle w:val="3013"/>
              <w:rPr>
                <w:rFonts w:hint="eastAsia"/>
              </w:rPr>
            </w:pPr>
            <w:r>
              <w:rPr>
                <w:rFonts w:hint="eastAsia"/>
              </w:rPr>
              <w:t>3.75</w:t>
            </w:r>
          </w:p>
        </w:tc>
        <w:tc>
          <w:tcPr>
            <w:tcW w:w="504" w:type="pct"/>
            <w:noWrap/>
            <w:vAlign w:val="center"/>
          </w:tcPr>
          <w:p>
            <w:pPr>
              <w:pStyle w:val="3013"/>
              <w:rPr>
                <w:rFonts w:hint="eastAsia"/>
              </w:rPr>
            </w:pPr>
            <w:r>
              <w:rPr>
                <w:rFonts w:hint="eastAsia"/>
              </w:rPr>
              <w:t>1032</w:t>
            </w:r>
          </w:p>
        </w:tc>
        <w:tc>
          <w:tcPr>
            <w:tcW w:w="504" w:type="pct"/>
            <w:noWrap w:val="0"/>
            <w:vAlign w:val="center"/>
          </w:tcPr>
          <w:p>
            <w:pPr>
              <w:pStyle w:val="3013"/>
              <w:rPr>
                <w:rFonts w:hint="eastAsia"/>
              </w:rPr>
            </w:pPr>
            <w:r>
              <w:rPr>
                <w:rFonts w:hint="eastAsia"/>
              </w:rPr>
              <w:t>10.36</w:t>
            </w:r>
          </w:p>
        </w:tc>
        <w:tc>
          <w:tcPr>
            <w:tcW w:w="504" w:type="pct"/>
            <w:noWrap/>
            <w:vAlign w:val="center"/>
          </w:tcPr>
          <w:p>
            <w:pPr>
              <w:pStyle w:val="3013"/>
              <w:rPr>
                <w:rFonts w:hint="eastAsia"/>
              </w:rPr>
            </w:pPr>
            <w:r>
              <w:rPr>
                <w:rFonts w:hint="eastAsia"/>
              </w:rPr>
              <w:t>5093</w:t>
            </w:r>
          </w:p>
        </w:tc>
        <w:tc>
          <w:tcPr>
            <w:tcW w:w="504" w:type="pct"/>
            <w:noWrap w:val="0"/>
            <w:vAlign w:val="center"/>
          </w:tcPr>
          <w:p>
            <w:pPr>
              <w:pStyle w:val="3013"/>
              <w:rPr>
                <w:rFonts w:hint="eastAsia"/>
              </w:rPr>
            </w:pPr>
            <w:r>
              <w:rPr>
                <w:rFonts w:hint="eastAsia"/>
              </w:rPr>
              <w:t>51.12</w:t>
            </w:r>
          </w:p>
        </w:tc>
        <w:tc>
          <w:tcPr>
            <w:tcW w:w="504" w:type="pct"/>
            <w:noWrap/>
            <w:vAlign w:val="center"/>
          </w:tcPr>
          <w:p>
            <w:pPr>
              <w:pStyle w:val="3013"/>
              <w:rPr>
                <w:rFonts w:hint="eastAsia"/>
              </w:rPr>
            </w:pPr>
            <w:r>
              <w:rPr>
                <w:rFonts w:hint="eastAsia"/>
              </w:rPr>
              <w:t>9962</w:t>
            </w:r>
          </w:p>
        </w:tc>
      </w:tr>
    </w:tbl>
    <w:p>
      <w:pPr>
        <w:pStyle w:val="2886"/>
        <w:outlineLvl w:val="9"/>
        <w:rPr>
          <w:rFonts w:hint="eastAsia" w:ascii="仿宋_GB2312" w:eastAsia="仿宋_GB2312"/>
        </w:rPr>
        <w:sectPr>
          <w:headerReference r:id="rId15" w:type="default"/>
          <w:headerReference r:id="rId16" w:type="even"/>
          <w:pgSz w:w="11907" w:h="16840"/>
          <w:pgMar w:top="1616" w:right="1418" w:bottom="1616" w:left="1418" w:header="851" w:footer="1304" w:gutter="0"/>
          <w:pgBorders>
            <w:top w:val="none" w:sz="0" w:space="0"/>
            <w:left w:val="none" w:sz="0" w:space="0"/>
            <w:bottom w:val="none" w:sz="0" w:space="0"/>
            <w:right w:val="none" w:sz="0" w:space="0"/>
          </w:pgBorders>
          <w:pgNumType w:fmt="decimal"/>
          <w:cols w:space="720" w:num="1"/>
          <w:docGrid w:type="lines" w:linePitch="381" w:charSpace="0"/>
        </w:sectPr>
      </w:pPr>
    </w:p>
    <w:p>
      <w:pPr>
        <w:pStyle w:val="2886"/>
        <w:outlineLvl w:val="9"/>
        <w:rPr>
          <w:rFonts w:hint="eastAsia" w:ascii="仿宋_GB2312" w:eastAsia="仿宋_GB2312"/>
        </w:rPr>
      </w:pPr>
      <w:r>
        <w:rPr>
          <w:rFonts w:hint="eastAsia" w:ascii="仿宋_GB2312" w:eastAsia="仿宋_GB2312"/>
        </w:rPr>
        <w:drawing>
          <wp:inline distT="0" distB="0" distL="114300" distR="114300">
            <wp:extent cx="7472045" cy="5288915"/>
            <wp:effectExtent l="0" t="0" r="14605" b="6985"/>
            <wp:docPr id="73" name="图片 245" descr="图2.3-1 　 綦江主城区两岸堤防（高地）现状防洪能力"/>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3" name="图片 245" descr="图2.3-1 　 綦江主城区两岸堤防（高地）现状防洪能力"/>
                    <pic:cNvPicPr>
                      <a:picLocks noChangeAspect="true"/>
                    </pic:cNvPicPr>
                  </pic:nvPicPr>
                  <pic:blipFill>
                    <a:blip r:embed="rId112"/>
                    <a:stretch>
                      <a:fillRect/>
                    </a:stretch>
                  </pic:blipFill>
                  <pic:spPr>
                    <a:xfrm>
                      <a:off x="0" y="0"/>
                      <a:ext cx="7472045" cy="5288915"/>
                    </a:xfrm>
                    <a:prstGeom prst="rect">
                      <a:avLst/>
                    </a:prstGeom>
                    <a:noFill/>
                    <a:ln>
                      <a:noFill/>
                    </a:ln>
                  </pic:spPr>
                </pic:pic>
              </a:graphicData>
            </a:graphic>
          </wp:inline>
        </w:drawing>
      </w:r>
    </w:p>
    <w:p>
      <w:pPr>
        <w:pStyle w:val="2886"/>
        <w:rPr>
          <w:rFonts w:hint="default" w:ascii="Times New Roman" w:hAnsi="Times New Roman" w:eastAsia="方正黑体_GBK" w:cs="Times New Roman"/>
        </w:rPr>
      </w:pPr>
      <w:r>
        <w:rPr>
          <w:rFonts w:hint="default" w:ascii="Times New Roman" w:hAnsi="Times New Roman" w:eastAsia="方正黑体_GBK" w:cs="Times New Roman"/>
        </w:rPr>
        <w:t>图2.3</w:t>
      </w:r>
      <w:r>
        <w:rPr>
          <w:rFonts w:hint="default" w:ascii="Times New Roman" w:hAnsi="Times New Roman" w:eastAsia="方正黑体_GBK" w:cs="Times New Roman"/>
          <w:lang w:eastAsia="zh-CN"/>
        </w:rPr>
        <w:t>—</w:t>
      </w:r>
      <w:r>
        <w:rPr>
          <w:rFonts w:hint="default" w:ascii="Times New Roman" w:hAnsi="Times New Roman" w:eastAsia="方正黑体_GBK" w:cs="Times New Roman"/>
        </w:rPr>
        <w:t>1 　 綦江主城区两岸堤防（高地）现状防洪能力</w:t>
      </w:r>
    </w:p>
    <w:p>
      <w:pPr>
        <w:pStyle w:val="2953"/>
        <w:ind w:firstLine="560"/>
        <w:rPr>
          <w:rFonts w:hint="default" w:ascii="Times New Roman" w:hAnsi="Times New Roman" w:eastAsia="方正黑体_GBK" w:cs="Times New Roman"/>
        </w:rPr>
        <w:sectPr>
          <w:headerReference r:id="rId17" w:type="default"/>
          <w:pgSz w:w="16840" w:h="11907" w:orient="landscape"/>
          <w:pgMar w:top="1418" w:right="1616" w:bottom="1418" w:left="1616" w:header="851" w:footer="1304" w:gutter="0"/>
          <w:pgBorders>
            <w:top w:val="none" w:sz="0" w:space="0"/>
            <w:left w:val="none" w:sz="0" w:space="0"/>
            <w:bottom w:val="none" w:sz="0" w:space="0"/>
            <w:right w:val="none" w:sz="0" w:space="0"/>
          </w:pgBorders>
          <w:pgNumType w:fmt="decimal"/>
          <w:cols w:space="720" w:num="1"/>
          <w:docGrid w:type="lines" w:linePitch="381" w:charSpace="0"/>
        </w:sectPr>
      </w:pPr>
    </w:p>
    <w:p>
      <w:pPr>
        <w:pStyle w:val="2953"/>
        <w:ind w:firstLine="560"/>
        <w:rPr>
          <w:rFonts w:hint="eastAsia"/>
        </w:rPr>
      </w:pPr>
      <w:r>
        <w:rPr>
          <w:rFonts w:hint="eastAsia" w:ascii="Times New Roman" w:hAnsi="Times New Roman" w:eastAsia="方正仿宋_GBK" w:cs="Times New Roman"/>
          <w:kern w:val="2"/>
          <w:sz w:val="32"/>
          <w:szCs w:val="32"/>
          <w:lang w:val="en-US" w:eastAsia="zh-CN" w:bidi="ar-SA"/>
        </w:rPr>
        <w:t>綦江主城区左右岸堤防（高地）欠高情况分别见图2.3</w:t>
      </w:r>
      <w:r>
        <w:rPr>
          <w:rFonts w:hint="eastAsia" w:ascii="Times New Roman" w:eastAsia="方正仿宋_GBK" w:cs="Times New Roman"/>
          <w:kern w:val="2"/>
          <w:sz w:val="32"/>
          <w:szCs w:val="32"/>
          <w:lang w:val="en-US" w:eastAsia="zh-CN" w:bidi="ar-SA"/>
        </w:rPr>
        <w:t>—</w:t>
      </w:r>
      <w:r>
        <w:rPr>
          <w:rFonts w:hint="eastAsia" w:ascii="Times New Roman" w:hAnsi="Times New Roman" w:eastAsia="方正仿宋_GBK" w:cs="Times New Roman"/>
          <w:kern w:val="2"/>
          <w:sz w:val="32"/>
          <w:szCs w:val="32"/>
          <w:lang w:val="en-US" w:eastAsia="zh-CN" w:bidi="ar-SA"/>
        </w:rPr>
        <w:t>2。</w:t>
      </w:r>
    </w:p>
    <w:p>
      <w:pPr>
        <w:pStyle w:val="2886"/>
        <w:spacing w:line="360" w:lineRule="auto"/>
        <w:outlineLvl w:val="9"/>
        <w:rPr>
          <w:rFonts w:hint="eastAsia" w:ascii="仿宋_GB2312" w:eastAsia="仿宋_GB2312"/>
        </w:rPr>
      </w:pPr>
      <w:r>
        <w:rPr>
          <w:rFonts w:hint="eastAsia" w:ascii="仿宋_GB2312" w:eastAsia="仿宋_GB2312"/>
        </w:rPr>
        <w:drawing>
          <wp:inline distT="0" distB="0" distL="114300" distR="114300">
            <wp:extent cx="5638165" cy="6869430"/>
            <wp:effectExtent l="0" t="0" r="635" b="7620"/>
            <wp:docPr id="74" name="图片 247" descr="图2.3-2 　 綦江主城区左右岸堤防（高地）欠高分布图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4" name="图片 247" descr="图2.3-2 　 綦江主城区左右岸堤防（高地）欠高分布图1"/>
                    <pic:cNvPicPr>
                      <a:picLocks noChangeAspect="true"/>
                    </pic:cNvPicPr>
                  </pic:nvPicPr>
                  <pic:blipFill>
                    <a:blip r:embed="rId113"/>
                    <a:srcRect l="2701"/>
                    <a:stretch>
                      <a:fillRect/>
                    </a:stretch>
                  </pic:blipFill>
                  <pic:spPr>
                    <a:xfrm>
                      <a:off x="0" y="0"/>
                      <a:ext cx="5638165" cy="6869430"/>
                    </a:xfrm>
                    <a:prstGeom prst="rect">
                      <a:avLst/>
                    </a:prstGeom>
                    <a:noFill/>
                    <a:ln>
                      <a:noFill/>
                    </a:ln>
                  </pic:spPr>
                </pic:pic>
              </a:graphicData>
            </a:graphic>
          </wp:inline>
        </w:drawing>
      </w:r>
    </w:p>
    <w:p>
      <w:pPr>
        <w:pStyle w:val="2886"/>
        <w:rPr>
          <w:rFonts w:hint="default" w:ascii="Times New Roman" w:hAnsi="Times New Roman" w:eastAsia="方正黑体_GBK" w:cs="Times New Roman"/>
          <w:kern w:val="0"/>
        </w:rPr>
      </w:pPr>
      <w:r>
        <w:rPr>
          <w:rFonts w:hint="default" w:ascii="Times New Roman" w:hAnsi="Times New Roman" w:eastAsia="方正黑体_GBK" w:cs="Times New Roman"/>
        </w:rPr>
        <w:t>图2.3</w:t>
      </w:r>
      <w:r>
        <w:rPr>
          <w:rFonts w:hint="default" w:ascii="Times New Roman" w:hAnsi="Times New Roman" w:eastAsia="方正黑体_GBK" w:cs="Times New Roman"/>
          <w:lang w:eastAsia="zh-CN"/>
        </w:rPr>
        <w:t>—</w:t>
      </w:r>
      <w:r>
        <w:rPr>
          <w:rFonts w:hint="default" w:ascii="Times New Roman" w:hAnsi="Times New Roman" w:eastAsia="方正黑体_GBK" w:cs="Times New Roman"/>
        </w:rPr>
        <w:t>2 　 綦江主城区左右岸堤防（高地）欠高分布图</w:t>
      </w:r>
    </w:p>
    <w:p>
      <w:pPr>
        <w:pStyle w:val="2953"/>
        <w:ind w:firstLine="560"/>
        <w:rPr>
          <w:rFonts w:hint="eastAsia" w:ascii="Times New Roman" w:hAnsi="Times New Roman" w:eastAsia="方正仿宋_GBK" w:cs="Times New Roman"/>
          <w:kern w:val="2"/>
          <w:sz w:val="32"/>
          <w:szCs w:val="32"/>
          <w:lang w:val="en-US" w:eastAsia="zh-CN" w:bidi="ar-SA"/>
        </w:rPr>
      </w:pPr>
      <w:r>
        <w:br w:type="page"/>
      </w:r>
      <w:r>
        <w:rPr>
          <w:rFonts w:hint="eastAsia" w:ascii="Times New Roman" w:hAnsi="Times New Roman" w:eastAsia="方正仿宋_GBK" w:cs="Times New Roman"/>
          <w:kern w:val="2"/>
          <w:sz w:val="32"/>
          <w:szCs w:val="32"/>
          <w:lang w:val="en-US" w:eastAsia="zh-CN" w:bidi="ar-SA"/>
        </w:rPr>
        <w:t>②綦江支流</w:t>
      </w:r>
    </w:p>
    <w:p>
      <w:pPr>
        <w:pStyle w:val="2953"/>
        <w:ind w:firstLine="560"/>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綦江城区通惠河段自河口起至上游通惠派出所约5.4km河段防洪能力不足20年一遇，上游花滩子跳蹬翻板闸至环保局两岸3.20km堤防现状防洪能力不足20年一遇；沙溪河段大部分达到20年一遇防洪标准；登瀛河登瀛场镇人行拱桥起至公路桥段左岸0.84km堤防防洪能力不足20年一遇。</w:t>
      </w:r>
    </w:p>
    <w:p>
      <w:pPr>
        <w:pStyle w:val="2953"/>
        <w:ind w:firstLine="560"/>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1.1.2</w:t>
      </w:r>
      <w:r>
        <w:rPr>
          <w:rFonts w:hint="eastAsia" w:ascii="Times New Roman" w:eastAsia="方正仿宋_GBK" w:cs="Times New Roman"/>
          <w:kern w:val="2"/>
          <w:sz w:val="32"/>
          <w:szCs w:val="32"/>
          <w:lang w:val="en-US" w:eastAsia="zh-CN" w:bidi="ar-SA"/>
        </w:rPr>
        <w:t xml:space="preserve"> </w:t>
      </w:r>
      <w:r>
        <w:rPr>
          <w:rFonts w:hint="eastAsia" w:ascii="Times New Roman" w:hAnsi="Times New Roman" w:eastAsia="方正仿宋_GBK" w:cs="Times New Roman"/>
          <w:kern w:val="2"/>
          <w:sz w:val="32"/>
          <w:szCs w:val="32"/>
          <w:lang w:val="en-US" w:eastAsia="zh-CN" w:bidi="ar-SA"/>
        </w:rPr>
        <w:t>三江街道</w:t>
      </w:r>
    </w:p>
    <w:p>
      <w:pPr>
        <w:pStyle w:val="2953"/>
        <w:ind w:firstLine="560"/>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綦江城区三江街道河段左岸重钢四厂至三江大桥下游200m段1.93km堤防护岸防洪标准高于20年一遇；三江大桥下游</w:t>
      </w:r>
      <w:bookmarkStart w:id="59" w:name="_Hlk92186187"/>
      <w:r>
        <w:rPr>
          <w:rFonts w:hint="eastAsia" w:ascii="Times New Roman" w:hAnsi="Times New Roman" w:eastAsia="方正仿宋_GBK" w:cs="Times New Roman"/>
          <w:kern w:val="2"/>
          <w:sz w:val="32"/>
          <w:szCs w:val="32"/>
          <w:lang w:val="en-US" w:eastAsia="zh-CN" w:bidi="ar-SA"/>
        </w:rPr>
        <w:t>至三江</w:t>
      </w:r>
      <w:bookmarkEnd w:id="59"/>
      <w:r>
        <w:rPr>
          <w:rFonts w:hint="eastAsia" w:ascii="Times New Roman" w:hAnsi="Times New Roman" w:eastAsia="方正仿宋_GBK" w:cs="Times New Roman"/>
          <w:kern w:val="2"/>
          <w:sz w:val="32"/>
          <w:szCs w:val="32"/>
          <w:lang w:val="en-US" w:eastAsia="zh-CN" w:bidi="ar-SA"/>
        </w:rPr>
        <w:t>人渡下游160m段1.45km堤防护岸防洪标准局部介于10</w:t>
      </w:r>
      <w:r>
        <w:rPr>
          <w:rFonts w:hint="eastAsia" w:ascii="Times New Roman" w:eastAsia="方正仿宋_GBK" w:cs="Times New Roman"/>
          <w:kern w:val="2"/>
          <w:sz w:val="32"/>
          <w:szCs w:val="32"/>
          <w:lang w:val="en-US" w:eastAsia="zh-CN" w:bidi="ar-SA"/>
        </w:rPr>
        <w:t>—</w:t>
      </w:r>
      <w:r>
        <w:rPr>
          <w:rFonts w:hint="eastAsia" w:ascii="Times New Roman" w:hAnsi="Times New Roman" w:eastAsia="方正仿宋_GBK" w:cs="Times New Roman"/>
          <w:kern w:val="2"/>
          <w:sz w:val="32"/>
          <w:szCs w:val="32"/>
          <w:lang w:val="en-US" w:eastAsia="zh-CN" w:bidi="ar-SA"/>
        </w:rPr>
        <w:t>20年一遇之间，大部分略低于10年一遇。右岸三江老大桥至蒲河河口段不足20年一遇防洪标准。</w:t>
      </w:r>
    </w:p>
    <w:p>
      <w:pPr>
        <w:pStyle w:val="2953"/>
        <w:ind w:firstLine="560"/>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1.2</w:t>
      </w:r>
      <w:r>
        <w:rPr>
          <w:rFonts w:hint="eastAsia" w:ascii="Times New Roman" w:eastAsia="方正仿宋_GBK" w:cs="Times New Roman"/>
          <w:kern w:val="2"/>
          <w:sz w:val="32"/>
          <w:szCs w:val="32"/>
          <w:lang w:val="en-US" w:eastAsia="zh-CN" w:bidi="ar-SA"/>
        </w:rPr>
        <w:t xml:space="preserve"> </w:t>
      </w:r>
      <w:r>
        <w:rPr>
          <w:rFonts w:hint="eastAsia" w:ascii="Times New Roman" w:hAnsi="Times New Roman" w:eastAsia="方正仿宋_GBK" w:cs="Times New Roman"/>
          <w:kern w:val="2"/>
          <w:sz w:val="32"/>
          <w:szCs w:val="32"/>
          <w:lang w:val="en-US" w:eastAsia="zh-CN" w:bidi="ar-SA"/>
        </w:rPr>
        <w:t>洪水淹没范围</w:t>
      </w:r>
    </w:p>
    <w:p>
      <w:pPr>
        <w:pStyle w:val="2953"/>
        <w:ind w:firstLine="560"/>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1.2.1</w:t>
      </w:r>
      <w:r>
        <w:rPr>
          <w:rFonts w:hint="eastAsia" w:ascii="Times New Roman" w:eastAsia="方正仿宋_GBK" w:cs="Times New Roman"/>
          <w:kern w:val="2"/>
          <w:sz w:val="32"/>
          <w:szCs w:val="32"/>
          <w:lang w:val="en-US" w:eastAsia="zh-CN" w:bidi="ar-SA"/>
        </w:rPr>
        <w:t xml:space="preserve"> </w:t>
      </w:r>
      <w:r>
        <w:rPr>
          <w:rFonts w:hint="eastAsia" w:ascii="Times New Roman" w:hAnsi="Times New Roman" w:eastAsia="方正仿宋_GBK" w:cs="Times New Roman"/>
          <w:kern w:val="2"/>
          <w:sz w:val="32"/>
          <w:szCs w:val="32"/>
          <w:lang w:val="en-US" w:eastAsia="zh-CN" w:bidi="ar-SA"/>
        </w:rPr>
        <w:t>綦江主城区</w:t>
      </w:r>
    </w:p>
    <w:p>
      <w:pPr>
        <w:pStyle w:val="2953"/>
        <w:ind w:firstLine="560"/>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根据綦江干流一维水动力学模型模拟结果，綦江主城区（不含北渡场）20年一遇洪水淹没面积约31万m</w:t>
      </w:r>
      <w:r>
        <w:rPr>
          <w:rFonts w:hint="eastAsia" w:ascii="Times New Roman" w:hAnsi="Times New Roman" w:eastAsia="方正仿宋_GBK" w:cs="Times New Roman"/>
          <w:kern w:val="2"/>
          <w:sz w:val="32"/>
          <w:szCs w:val="32"/>
          <w:vertAlign w:val="superscript"/>
          <w:lang w:val="en-US" w:eastAsia="zh-CN" w:bidi="ar-SA"/>
        </w:rPr>
        <w:t>2</w:t>
      </w:r>
      <w:r>
        <w:rPr>
          <w:rFonts w:hint="eastAsia" w:ascii="Times New Roman" w:hAnsi="Times New Roman" w:eastAsia="方正仿宋_GBK" w:cs="Times New Roman"/>
          <w:kern w:val="2"/>
          <w:sz w:val="32"/>
          <w:szCs w:val="32"/>
          <w:lang w:val="en-US" w:eastAsia="zh-CN" w:bidi="ar-SA"/>
        </w:rPr>
        <w:t>，见图2.3</w:t>
      </w:r>
      <w:r>
        <w:rPr>
          <w:rFonts w:hint="eastAsia" w:ascii="Times New Roman" w:eastAsia="方正仿宋_GBK" w:cs="Times New Roman"/>
          <w:kern w:val="2"/>
          <w:sz w:val="32"/>
          <w:szCs w:val="32"/>
          <w:lang w:val="en-US" w:eastAsia="zh-CN" w:bidi="ar-SA"/>
        </w:rPr>
        <w:t>—3</w:t>
      </w:r>
      <w:r>
        <w:rPr>
          <w:rFonts w:hint="eastAsia" w:ascii="Times New Roman" w:hAnsi="Times New Roman" w:eastAsia="方正仿宋_GBK" w:cs="Times New Roman"/>
          <w:kern w:val="2"/>
          <w:sz w:val="32"/>
          <w:szCs w:val="32"/>
          <w:lang w:val="en-US" w:eastAsia="zh-CN" w:bidi="ar-SA"/>
        </w:rPr>
        <w:t>，其中淹没范围最大、淹没对象最重要的为左岸的下北街片区（见图2.3</w:t>
      </w:r>
      <w:r>
        <w:rPr>
          <w:rFonts w:hint="eastAsia" w:ascii="Times New Roman" w:eastAsia="方正仿宋_GBK" w:cs="Times New Roman"/>
          <w:kern w:val="2"/>
          <w:sz w:val="32"/>
          <w:szCs w:val="32"/>
          <w:lang w:val="en-US" w:eastAsia="zh-CN" w:bidi="ar-SA"/>
        </w:rPr>
        <w:t>—4</w:t>
      </w:r>
      <w:r>
        <w:rPr>
          <w:rFonts w:hint="eastAsia" w:ascii="Times New Roman" w:hAnsi="Times New Roman" w:eastAsia="方正仿宋_GBK" w:cs="Times New Roman"/>
          <w:kern w:val="2"/>
          <w:sz w:val="32"/>
          <w:szCs w:val="32"/>
          <w:lang w:val="en-US" w:eastAsia="zh-CN" w:bidi="ar-SA"/>
        </w:rPr>
        <w:t>）和右岸的菜坝片区（见图2.3</w:t>
      </w:r>
      <w:r>
        <w:rPr>
          <w:rFonts w:hint="eastAsia" w:ascii="Times New Roman" w:eastAsia="方正仿宋_GBK" w:cs="Times New Roman"/>
          <w:kern w:val="2"/>
          <w:sz w:val="32"/>
          <w:szCs w:val="32"/>
          <w:lang w:val="en-US" w:eastAsia="zh-CN" w:bidi="ar-SA"/>
        </w:rPr>
        <w:t>—5</w:t>
      </w:r>
      <w:r>
        <w:rPr>
          <w:rFonts w:hint="eastAsia" w:ascii="Times New Roman" w:hAnsi="Times New Roman" w:eastAsia="方正仿宋_GBK" w:cs="Times New Roman"/>
          <w:kern w:val="2"/>
          <w:sz w:val="32"/>
          <w:szCs w:val="32"/>
          <w:lang w:val="en-US" w:eastAsia="zh-CN" w:bidi="ar-SA"/>
        </w:rPr>
        <w:t>）两处低洼地带，现状防洪能力不足5年一遇。在20年一遇洪水条件下，左岸下北街片区的北街小学、綦江区公安局、大量房屋、滨江公园和210国道（交通干线长约0.84km）受淹，洪水淹没面积约8.47万m</w:t>
      </w:r>
      <w:r>
        <w:rPr>
          <w:rFonts w:hint="eastAsia" w:ascii="Times New Roman" w:hAnsi="Times New Roman" w:eastAsia="方正仿宋_GBK" w:cs="Times New Roman"/>
          <w:kern w:val="2"/>
          <w:sz w:val="32"/>
          <w:szCs w:val="32"/>
          <w:vertAlign w:val="superscript"/>
          <w:lang w:val="en-US" w:eastAsia="zh-CN" w:bidi="ar-SA"/>
        </w:rPr>
        <w:t>2</w:t>
      </w:r>
      <w:r>
        <w:rPr>
          <w:rFonts w:hint="eastAsia" w:ascii="Times New Roman" w:hAnsi="Times New Roman" w:eastAsia="方正仿宋_GBK" w:cs="Times New Roman"/>
          <w:kern w:val="2"/>
          <w:sz w:val="32"/>
          <w:szCs w:val="32"/>
          <w:lang w:val="en-US" w:eastAsia="zh-CN" w:bidi="ar-SA"/>
        </w:rPr>
        <w:t>，现状最低地面高程（225.47</w:t>
      </w:r>
      <w:r>
        <w:rPr>
          <w:rFonts w:hint="eastAsia" w:ascii="Times New Roman" w:eastAsia="方正仿宋_GBK" w:cs="Times New Roman"/>
          <w:kern w:val="2"/>
          <w:sz w:val="32"/>
          <w:szCs w:val="32"/>
          <w:lang w:val="en-US" w:eastAsia="zh-CN" w:bidi="ar-SA"/>
        </w:rPr>
        <w:t>—</w:t>
      </w:r>
      <w:r>
        <w:rPr>
          <w:rFonts w:hint="eastAsia" w:ascii="Times New Roman" w:hAnsi="Times New Roman" w:eastAsia="方正仿宋_GBK" w:cs="Times New Roman"/>
          <w:kern w:val="2"/>
          <w:sz w:val="32"/>
          <w:szCs w:val="32"/>
          <w:lang w:val="en-US" w:eastAsia="zh-CN" w:bidi="ar-SA"/>
        </w:rPr>
        <w:t>220.21m）低于20年一遇水位（227.19</w:t>
      </w:r>
      <w:r>
        <w:rPr>
          <w:rFonts w:hint="eastAsia" w:ascii="Times New Roman" w:eastAsia="方正仿宋_GBK" w:cs="Times New Roman"/>
          <w:kern w:val="2"/>
          <w:sz w:val="32"/>
          <w:szCs w:val="32"/>
          <w:lang w:val="en-US" w:eastAsia="zh-CN" w:bidi="ar-SA"/>
        </w:rPr>
        <w:t>—</w:t>
      </w:r>
      <w:r>
        <w:rPr>
          <w:rFonts w:hint="eastAsia" w:ascii="Times New Roman" w:hAnsi="Times New Roman" w:eastAsia="方正仿宋_GBK" w:cs="Times New Roman"/>
          <w:kern w:val="2"/>
          <w:sz w:val="32"/>
          <w:szCs w:val="32"/>
          <w:lang w:val="en-US" w:eastAsia="zh-CN" w:bidi="ar-SA"/>
        </w:rPr>
        <w:t>225.81m）1.05</w:t>
      </w:r>
      <w:r>
        <w:rPr>
          <w:rFonts w:hint="eastAsia" w:ascii="Times New Roman" w:eastAsia="方正仿宋_GBK" w:cs="Times New Roman"/>
          <w:kern w:val="2"/>
          <w:sz w:val="32"/>
          <w:szCs w:val="32"/>
          <w:lang w:val="en-US" w:eastAsia="zh-CN" w:bidi="ar-SA"/>
        </w:rPr>
        <w:t>—</w:t>
      </w:r>
      <w:r>
        <w:rPr>
          <w:rFonts w:hint="eastAsia" w:ascii="Times New Roman" w:hAnsi="Times New Roman" w:eastAsia="方正仿宋_GBK" w:cs="Times New Roman"/>
          <w:kern w:val="2"/>
          <w:sz w:val="32"/>
          <w:szCs w:val="32"/>
          <w:lang w:val="en-US" w:eastAsia="zh-CN" w:bidi="ar-SA"/>
        </w:rPr>
        <w:t>6.45m；右岸菜坝片区的区交警大队、区林业局、区城市管理局、中共綦江区委党校、南州小学、大量房屋和滨河路（交通干线长约1.04km）受淹，20年一遇洪水淹没面积约8.75万m</w:t>
      </w:r>
      <w:r>
        <w:rPr>
          <w:rFonts w:hint="eastAsia" w:ascii="Times New Roman" w:hAnsi="Times New Roman" w:eastAsia="方正仿宋_GBK" w:cs="Times New Roman"/>
          <w:kern w:val="2"/>
          <w:sz w:val="32"/>
          <w:szCs w:val="32"/>
          <w:vertAlign w:val="superscript"/>
          <w:lang w:val="en-US" w:eastAsia="zh-CN" w:bidi="ar-SA"/>
        </w:rPr>
        <w:t>2</w:t>
      </w:r>
      <w:r>
        <w:rPr>
          <w:rFonts w:hint="eastAsia" w:ascii="Times New Roman" w:hAnsi="Times New Roman" w:eastAsia="方正仿宋_GBK" w:cs="Times New Roman"/>
          <w:kern w:val="2"/>
          <w:sz w:val="32"/>
          <w:szCs w:val="32"/>
          <w:lang w:val="en-US" w:eastAsia="zh-CN" w:bidi="ar-SA"/>
        </w:rPr>
        <w:t>，现状最低地面高程（223.98</w:t>
      </w:r>
      <w:r>
        <w:rPr>
          <w:rFonts w:hint="eastAsia" w:ascii="Times New Roman" w:eastAsia="方正仿宋_GBK" w:cs="Times New Roman"/>
          <w:kern w:val="2"/>
          <w:sz w:val="32"/>
          <w:szCs w:val="32"/>
          <w:lang w:val="en-US" w:eastAsia="zh-CN" w:bidi="ar-SA"/>
        </w:rPr>
        <w:t>—</w:t>
      </w:r>
      <w:r>
        <w:rPr>
          <w:rFonts w:hint="eastAsia" w:ascii="Times New Roman" w:hAnsi="Times New Roman" w:eastAsia="方正仿宋_GBK" w:cs="Times New Roman"/>
          <w:kern w:val="2"/>
          <w:sz w:val="32"/>
          <w:szCs w:val="32"/>
          <w:lang w:val="en-US" w:eastAsia="zh-CN" w:bidi="ar-SA"/>
        </w:rPr>
        <w:t>222.00m），低于20年一遇水位（227.32</w:t>
      </w:r>
      <w:r>
        <w:rPr>
          <w:rFonts w:hint="eastAsia" w:ascii="Times New Roman" w:eastAsia="方正仿宋_GBK" w:cs="Times New Roman"/>
          <w:kern w:val="2"/>
          <w:sz w:val="32"/>
          <w:szCs w:val="32"/>
          <w:lang w:val="en-US" w:eastAsia="zh-CN" w:bidi="ar-SA"/>
        </w:rPr>
        <w:t>—</w:t>
      </w:r>
      <w:r>
        <w:rPr>
          <w:rFonts w:hint="eastAsia" w:ascii="Times New Roman" w:hAnsi="Times New Roman" w:eastAsia="方正仿宋_GBK" w:cs="Times New Roman"/>
          <w:kern w:val="2"/>
          <w:sz w:val="32"/>
          <w:szCs w:val="32"/>
          <w:lang w:val="en-US" w:eastAsia="zh-CN" w:bidi="ar-SA"/>
        </w:rPr>
        <w:t>227.03m）3.07</w:t>
      </w:r>
      <w:r>
        <w:rPr>
          <w:rFonts w:hint="eastAsia" w:ascii="Times New Roman" w:eastAsia="方正仿宋_GBK" w:cs="Times New Roman"/>
          <w:kern w:val="2"/>
          <w:sz w:val="32"/>
          <w:szCs w:val="32"/>
          <w:lang w:val="en-US" w:eastAsia="zh-CN" w:bidi="ar-SA"/>
        </w:rPr>
        <w:t>—</w:t>
      </w:r>
      <w:r>
        <w:rPr>
          <w:rFonts w:hint="eastAsia" w:ascii="Times New Roman" w:hAnsi="Times New Roman" w:eastAsia="方正仿宋_GBK" w:cs="Times New Roman"/>
          <w:kern w:val="2"/>
          <w:sz w:val="32"/>
          <w:szCs w:val="32"/>
          <w:lang w:val="en-US" w:eastAsia="zh-CN" w:bidi="ar-SA"/>
        </w:rPr>
        <w:t>5.14m。</w:t>
      </w:r>
    </w:p>
    <w:p>
      <w:pPr>
        <w:pStyle w:val="853"/>
        <w:spacing w:line="240" w:lineRule="auto"/>
        <w:ind w:firstLine="0" w:firstLineChars="0"/>
        <w:jc w:val="center"/>
      </w:pPr>
      <w:r>
        <w:drawing>
          <wp:inline distT="0" distB="0" distL="114300" distR="114300">
            <wp:extent cx="5374005" cy="4563745"/>
            <wp:effectExtent l="0" t="0" r="17145" b="8255"/>
            <wp:docPr id="75" name="图片 114" descr="图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5" name="图片 114" descr="图2"/>
                    <pic:cNvPicPr>
                      <a:picLocks noChangeAspect="true"/>
                    </pic:cNvPicPr>
                  </pic:nvPicPr>
                  <pic:blipFill>
                    <a:blip r:embed="rId114"/>
                    <a:stretch>
                      <a:fillRect/>
                    </a:stretch>
                  </pic:blipFill>
                  <pic:spPr>
                    <a:xfrm>
                      <a:off x="0" y="0"/>
                      <a:ext cx="5374005" cy="4563745"/>
                    </a:xfrm>
                    <a:prstGeom prst="rect">
                      <a:avLst/>
                    </a:prstGeom>
                    <a:noFill/>
                    <a:ln>
                      <a:noFill/>
                    </a:ln>
                  </pic:spPr>
                </pic:pic>
              </a:graphicData>
            </a:graphic>
          </wp:inline>
        </w:drawing>
      </w:r>
    </w:p>
    <w:p>
      <w:pPr>
        <w:pStyle w:val="2886"/>
        <w:rPr>
          <w:rFonts w:hint="default" w:ascii="Times New Roman" w:hAnsi="Times New Roman" w:eastAsia="方正黑体_GBK" w:cs="Times New Roman"/>
        </w:rPr>
      </w:pPr>
      <w:r>
        <w:rPr>
          <w:rFonts w:hint="default" w:ascii="Times New Roman" w:hAnsi="Times New Roman" w:eastAsia="方正黑体_GBK" w:cs="Times New Roman"/>
        </w:rPr>
        <w:t>图2.3</w:t>
      </w:r>
      <w:r>
        <w:rPr>
          <w:rFonts w:hint="default" w:ascii="Times New Roman" w:hAnsi="Times New Roman" w:eastAsia="方正黑体_GBK" w:cs="Times New Roman"/>
          <w:lang w:eastAsia="zh-CN"/>
        </w:rPr>
        <w:t>—</w:t>
      </w:r>
      <w:r>
        <w:rPr>
          <w:rFonts w:hint="default" w:ascii="Times New Roman" w:hAnsi="Times New Roman" w:eastAsia="方正黑体_GBK" w:cs="Times New Roman"/>
        </w:rPr>
        <w:t>3  　綦江主城区20年一遇洪水淹没范围图</w:t>
      </w:r>
    </w:p>
    <w:p>
      <w:pPr>
        <w:pStyle w:val="2886"/>
        <w:outlineLvl w:val="9"/>
        <w:rPr>
          <w:rFonts w:hint="eastAsia" w:ascii="仿宋_GB2312" w:eastAsia="仿宋_GB2312"/>
        </w:rPr>
      </w:pPr>
      <w:r>
        <w:rPr>
          <w:rFonts w:ascii="仿宋_GB2312" w:eastAsia="仿宋_GB2312"/>
        </w:rPr>
        <w:drawing>
          <wp:inline distT="0" distB="0" distL="114300" distR="114300">
            <wp:extent cx="5269230" cy="2346960"/>
            <wp:effectExtent l="0" t="0" r="7620" b="15240"/>
            <wp:docPr id="76" name="图片 115" descr="27下北街"/>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6" name="图片 115" descr="27下北街"/>
                    <pic:cNvPicPr>
                      <a:picLocks noChangeAspect="true"/>
                    </pic:cNvPicPr>
                  </pic:nvPicPr>
                  <pic:blipFill>
                    <a:blip r:embed="rId115"/>
                    <a:stretch>
                      <a:fillRect/>
                    </a:stretch>
                  </pic:blipFill>
                  <pic:spPr>
                    <a:xfrm>
                      <a:off x="0" y="0"/>
                      <a:ext cx="5269230" cy="2346960"/>
                    </a:xfrm>
                    <a:prstGeom prst="rect">
                      <a:avLst/>
                    </a:prstGeom>
                    <a:noFill/>
                    <a:ln>
                      <a:noFill/>
                    </a:ln>
                  </pic:spPr>
                </pic:pic>
              </a:graphicData>
            </a:graphic>
          </wp:inline>
        </w:drawing>
      </w:r>
    </w:p>
    <w:p>
      <w:pPr>
        <w:pStyle w:val="2886"/>
        <w:rPr>
          <w:rFonts w:hint="default" w:ascii="Times New Roman" w:hAnsi="Times New Roman" w:eastAsia="方正黑体_GBK" w:cs="Times New Roman"/>
        </w:rPr>
      </w:pPr>
      <w:r>
        <w:rPr>
          <w:rFonts w:hint="default" w:ascii="Times New Roman" w:hAnsi="Times New Roman" w:eastAsia="方正黑体_GBK" w:cs="Times New Roman"/>
        </w:rPr>
        <w:t>图2.3</w:t>
      </w:r>
      <w:r>
        <w:rPr>
          <w:rFonts w:hint="default" w:ascii="Times New Roman" w:hAnsi="Times New Roman" w:eastAsia="方正黑体_GBK" w:cs="Times New Roman"/>
          <w:lang w:eastAsia="zh-CN"/>
        </w:rPr>
        <w:t>—</w:t>
      </w:r>
      <w:r>
        <w:rPr>
          <w:rFonts w:hint="default" w:ascii="Times New Roman" w:hAnsi="Times New Roman" w:eastAsia="方正黑体_GBK" w:cs="Times New Roman"/>
        </w:rPr>
        <w:t>4 　 左岸下北街片区20年一遇洪水淹没图</w:t>
      </w:r>
    </w:p>
    <w:p>
      <w:pPr>
        <w:pStyle w:val="2886"/>
        <w:outlineLvl w:val="9"/>
        <w:rPr>
          <w:rFonts w:hint="eastAsia" w:ascii="仿宋_GB2312" w:eastAsia="仿宋_GB2312"/>
        </w:rPr>
      </w:pPr>
      <w:r>
        <w:rPr>
          <w:rFonts w:ascii="仿宋_GB2312" w:eastAsia="仿宋_GB2312"/>
        </w:rPr>
        <w:drawing>
          <wp:inline distT="0" distB="0" distL="114300" distR="114300">
            <wp:extent cx="5122545" cy="6217920"/>
            <wp:effectExtent l="0" t="0" r="1905" b="11430"/>
            <wp:docPr id="77" name="图片 116" descr="28菜坝片区"/>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7" name="图片 116" descr="28菜坝片区"/>
                    <pic:cNvPicPr>
                      <a:picLocks noChangeAspect="true"/>
                    </pic:cNvPicPr>
                  </pic:nvPicPr>
                  <pic:blipFill>
                    <a:blip r:embed="rId116"/>
                    <a:stretch>
                      <a:fillRect/>
                    </a:stretch>
                  </pic:blipFill>
                  <pic:spPr>
                    <a:xfrm>
                      <a:off x="0" y="0"/>
                      <a:ext cx="5122545" cy="6217920"/>
                    </a:xfrm>
                    <a:prstGeom prst="rect">
                      <a:avLst/>
                    </a:prstGeom>
                    <a:noFill/>
                    <a:ln>
                      <a:noFill/>
                    </a:ln>
                  </pic:spPr>
                </pic:pic>
              </a:graphicData>
            </a:graphic>
          </wp:inline>
        </w:drawing>
      </w:r>
    </w:p>
    <w:p>
      <w:pPr>
        <w:pStyle w:val="2886"/>
        <w:rPr>
          <w:rFonts w:hint="default" w:ascii="Times New Roman" w:hAnsi="Times New Roman" w:eastAsia="方正黑体_GBK" w:cs="Times New Roman"/>
        </w:rPr>
      </w:pPr>
      <w:r>
        <w:rPr>
          <w:rFonts w:hint="default" w:ascii="Times New Roman" w:hAnsi="Times New Roman" w:eastAsia="方正黑体_GBK" w:cs="Times New Roman"/>
        </w:rPr>
        <w:t>图2.3</w:t>
      </w:r>
      <w:r>
        <w:rPr>
          <w:rFonts w:hint="default" w:ascii="Times New Roman" w:hAnsi="Times New Roman" w:eastAsia="方正黑体_GBK" w:cs="Times New Roman"/>
          <w:lang w:eastAsia="zh-CN"/>
        </w:rPr>
        <w:t>—</w:t>
      </w:r>
      <w:r>
        <w:rPr>
          <w:rFonts w:hint="default" w:ascii="Times New Roman" w:hAnsi="Times New Roman" w:eastAsia="方正黑体_GBK" w:cs="Times New Roman"/>
        </w:rPr>
        <w:t>5  　右岸菜坝片区20年一遇洪水淹没图</w:t>
      </w:r>
    </w:p>
    <w:p>
      <w:pPr>
        <w:pStyle w:val="2953"/>
        <w:ind w:firstLine="560"/>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根据綦江府办</w:t>
      </w:r>
      <w:r>
        <w:rPr>
          <w:rFonts w:hint="default" w:ascii="Times New Roman" w:hAnsi="Times New Roman" w:eastAsia="方正仿宋_GBK" w:cs="Times New Roman"/>
          <w:kern w:val="2"/>
          <w:sz w:val="32"/>
          <w:szCs w:val="32"/>
          <w:lang w:val="en-US" w:eastAsia="zh-CN" w:bidi="ar-SA"/>
        </w:rPr>
        <w:t>发〔2020〕</w:t>
      </w:r>
      <w:r>
        <w:rPr>
          <w:rFonts w:hint="eastAsia" w:ascii="Times New Roman" w:hAnsi="Times New Roman" w:eastAsia="方正仿宋_GBK" w:cs="Times New Roman"/>
          <w:kern w:val="2"/>
          <w:sz w:val="32"/>
          <w:szCs w:val="32"/>
          <w:lang w:val="en-US" w:eastAsia="zh-CN" w:bidi="ar-SA"/>
        </w:rPr>
        <w:t>30号文《重庆市綦江区城区防汛应急预案》（2020年），綦江主城区防洪控制断面为彩虹桥，20年一遇以内洪水不同水位下的淹没范围见表2.3</w:t>
      </w:r>
      <w:r>
        <w:rPr>
          <w:rFonts w:hint="eastAsia" w:ascii="Times New Roman" w:eastAsia="方正仿宋_GBK" w:cs="Times New Roman"/>
          <w:kern w:val="2"/>
          <w:sz w:val="32"/>
          <w:szCs w:val="32"/>
          <w:lang w:val="en-US" w:eastAsia="zh-CN" w:bidi="ar-SA"/>
        </w:rPr>
        <w:t>—</w:t>
      </w:r>
      <w:r>
        <w:rPr>
          <w:rFonts w:hint="eastAsia" w:ascii="Times New Roman" w:hAnsi="Times New Roman" w:eastAsia="方正仿宋_GBK" w:cs="Times New Roman"/>
          <w:kern w:val="2"/>
          <w:sz w:val="32"/>
          <w:szCs w:val="32"/>
          <w:lang w:val="en-US" w:eastAsia="zh-CN" w:bidi="ar-SA"/>
        </w:rPr>
        <w:t>2。根据綦江府办发</w:t>
      </w:r>
      <w:r>
        <w:rPr>
          <w:rFonts w:hint="default" w:ascii="Times New Roman" w:hAnsi="Times New Roman" w:eastAsia="方正仿宋_GBK" w:cs="Times New Roman"/>
          <w:kern w:val="2"/>
          <w:sz w:val="32"/>
          <w:szCs w:val="32"/>
          <w:lang w:val="en-US" w:eastAsia="zh-CN" w:bidi="ar-SA"/>
        </w:rPr>
        <w:t>〔2020〕</w:t>
      </w:r>
      <w:r>
        <w:rPr>
          <w:rFonts w:hint="eastAsia" w:ascii="Times New Roman" w:hAnsi="Times New Roman" w:eastAsia="方正仿宋_GBK" w:cs="Times New Roman"/>
          <w:kern w:val="2"/>
          <w:sz w:val="32"/>
          <w:szCs w:val="32"/>
          <w:lang w:val="en-US" w:eastAsia="zh-CN" w:bidi="ar-SA"/>
        </w:rPr>
        <w:t>31号文《重庆市綦江城区超标洪水防御预案》（2020年），綦江主城区20年一遇和50年一遇洪水受影响范围简述见表2.3</w:t>
      </w:r>
      <w:r>
        <w:rPr>
          <w:rFonts w:hint="eastAsia" w:ascii="Times New Roman" w:eastAsia="方正仿宋_GBK" w:cs="Times New Roman"/>
          <w:kern w:val="2"/>
          <w:sz w:val="32"/>
          <w:szCs w:val="32"/>
          <w:lang w:val="en-US" w:eastAsia="zh-CN" w:bidi="ar-SA"/>
        </w:rPr>
        <w:t>—</w:t>
      </w:r>
      <w:r>
        <w:rPr>
          <w:rFonts w:hint="eastAsia" w:ascii="Times New Roman" w:hAnsi="Times New Roman" w:eastAsia="方正仿宋_GBK" w:cs="Times New Roman"/>
          <w:kern w:val="2"/>
          <w:sz w:val="32"/>
          <w:szCs w:val="32"/>
          <w:lang w:val="en-US" w:eastAsia="zh-CN" w:bidi="ar-SA"/>
        </w:rPr>
        <w:t>3和附图6</w:t>
      </w:r>
      <w:r>
        <w:rPr>
          <w:rFonts w:hint="eastAsia" w:ascii="Times New Roman" w:eastAsia="方正仿宋_GBK" w:cs="Times New Roman"/>
          <w:kern w:val="2"/>
          <w:sz w:val="32"/>
          <w:szCs w:val="32"/>
          <w:lang w:val="en-US" w:eastAsia="zh-CN" w:bidi="ar-SA"/>
        </w:rPr>
        <w:t>—</w:t>
      </w:r>
      <w:r>
        <w:rPr>
          <w:rFonts w:hint="eastAsia" w:ascii="Times New Roman" w:hAnsi="Times New Roman" w:eastAsia="方正仿宋_GBK" w:cs="Times New Roman"/>
          <w:kern w:val="2"/>
          <w:sz w:val="32"/>
          <w:szCs w:val="32"/>
          <w:lang w:val="en-US" w:eastAsia="zh-CN" w:bidi="ar-SA"/>
        </w:rPr>
        <w:t>附图9、附图15</w:t>
      </w:r>
      <w:r>
        <w:rPr>
          <w:rFonts w:hint="eastAsia" w:ascii="Times New Roman" w:eastAsia="方正仿宋_GBK" w:cs="Times New Roman"/>
          <w:kern w:val="2"/>
          <w:sz w:val="32"/>
          <w:szCs w:val="32"/>
          <w:lang w:val="en-US" w:eastAsia="zh-CN" w:bidi="ar-SA"/>
        </w:rPr>
        <w:t>—</w:t>
      </w:r>
      <w:r>
        <w:rPr>
          <w:rFonts w:hint="eastAsia" w:ascii="Times New Roman" w:hAnsi="Times New Roman" w:eastAsia="方正仿宋_GBK" w:cs="Times New Roman"/>
          <w:kern w:val="2"/>
          <w:sz w:val="32"/>
          <w:szCs w:val="32"/>
          <w:lang w:val="en-US" w:eastAsia="zh-CN" w:bidi="ar-SA"/>
        </w:rPr>
        <w:t>附图20。</w:t>
      </w:r>
    </w:p>
    <w:p>
      <w:pPr>
        <w:pStyle w:val="2312"/>
        <w:ind w:firstLine="240"/>
        <w:rPr>
          <w:rFonts w:hint="default" w:ascii="Times New Roman" w:hAnsi="Times New Roman" w:eastAsia="方正黑体_GBK" w:cs="Times New Roman"/>
        </w:rPr>
      </w:pPr>
      <w:r>
        <w:rPr>
          <w:rFonts w:hint="default" w:ascii="Times New Roman" w:hAnsi="Times New Roman" w:eastAsia="方正黑体_GBK" w:cs="Times New Roman"/>
        </w:rPr>
        <w:t>表2.3</w:t>
      </w:r>
      <w:r>
        <w:rPr>
          <w:rFonts w:hint="default" w:ascii="Times New Roman" w:hAnsi="Times New Roman" w:eastAsia="方正黑体_GBK" w:cs="Times New Roman"/>
          <w:lang w:eastAsia="zh-CN"/>
        </w:rPr>
        <w:t>—</w:t>
      </w:r>
      <w:r>
        <w:rPr>
          <w:rFonts w:hint="default" w:ascii="Times New Roman" w:hAnsi="Times New Roman" w:eastAsia="方正黑体_GBK" w:cs="Times New Roman"/>
        </w:rPr>
        <w:t>2     綦江主城区防洪控制断面不同水位下的对应淹没范围统计表</w:t>
      </w:r>
    </w:p>
    <w:tbl>
      <w:tblPr>
        <w:tblStyle w:val="88"/>
        <w:tblW w:w="4979"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fixed"/>
        <w:tblCellMar>
          <w:top w:w="0" w:type="dxa"/>
          <w:left w:w="0" w:type="dxa"/>
          <w:bottom w:w="0" w:type="dxa"/>
          <w:right w:w="0" w:type="dxa"/>
        </w:tblCellMar>
      </w:tblPr>
      <w:tblGrid>
        <w:gridCol w:w="708"/>
        <w:gridCol w:w="899"/>
        <w:gridCol w:w="831"/>
        <w:gridCol w:w="1770"/>
        <w:gridCol w:w="4841"/>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391" w:type="pct"/>
            <w:noWrap/>
            <w:vAlign w:val="center"/>
          </w:tcPr>
          <w:p>
            <w:pPr>
              <w:pStyle w:val="3013"/>
              <w:rPr>
                <w:rFonts w:hint="eastAsia" w:ascii="方正黑体_GBK" w:hAnsi="方正黑体_GBK" w:eastAsia="方正黑体_GBK" w:cs="方正黑体_GBK"/>
              </w:rPr>
            </w:pPr>
            <w:r>
              <w:rPr>
                <w:rFonts w:hint="eastAsia" w:ascii="方正黑体_GBK" w:hAnsi="方正黑体_GBK" w:eastAsia="方正黑体_GBK" w:cs="方正黑体_GBK"/>
              </w:rPr>
              <w:t>保护</w:t>
            </w:r>
          </w:p>
          <w:p>
            <w:pPr>
              <w:pStyle w:val="3013"/>
              <w:rPr>
                <w:rFonts w:hint="eastAsia" w:ascii="方正黑体_GBK" w:hAnsi="方正黑体_GBK" w:eastAsia="方正黑体_GBK" w:cs="方正黑体_GBK"/>
              </w:rPr>
            </w:pPr>
            <w:r>
              <w:rPr>
                <w:rFonts w:hint="eastAsia" w:ascii="方正黑体_GBK" w:hAnsi="方正黑体_GBK" w:eastAsia="方正黑体_GBK" w:cs="方正黑体_GBK"/>
              </w:rPr>
              <w:t>对象</w:t>
            </w:r>
          </w:p>
        </w:tc>
        <w:tc>
          <w:tcPr>
            <w:tcW w:w="497" w:type="pct"/>
            <w:noWrap/>
            <w:vAlign w:val="center"/>
          </w:tcPr>
          <w:p>
            <w:pPr>
              <w:pStyle w:val="3013"/>
              <w:rPr>
                <w:rFonts w:hint="eastAsia" w:ascii="方正黑体_GBK" w:hAnsi="方正黑体_GBK" w:eastAsia="方正黑体_GBK" w:cs="方正黑体_GBK"/>
              </w:rPr>
            </w:pPr>
            <w:r>
              <w:rPr>
                <w:rFonts w:hint="eastAsia" w:ascii="方正黑体_GBK" w:hAnsi="方正黑体_GBK" w:eastAsia="方正黑体_GBK" w:cs="方正黑体_GBK"/>
              </w:rPr>
              <w:t>防洪控制断面</w:t>
            </w:r>
          </w:p>
        </w:tc>
        <w:tc>
          <w:tcPr>
            <w:tcW w:w="459" w:type="pct"/>
            <w:noWrap w:val="0"/>
            <w:vAlign w:val="center"/>
          </w:tcPr>
          <w:p>
            <w:pPr>
              <w:pStyle w:val="3013"/>
              <w:rPr>
                <w:rFonts w:hint="eastAsia" w:ascii="方正黑体_GBK" w:hAnsi="方正黑体_GBK" w:eastAsia="方正黑体_GBK" w:cs="方正黑体_GBK"/>
              </w:rPr>
            </w:pPr>
            <w:r>
              <w:rPr>
                <w:rFonts w:hint="eastAsia" w:ascii="方正黑体_GBK" w:hAnsi="方正黑体_GBK" w:eastAsia="方正黑体_GBK" w:cs="方正黑体_GBK"/>
              </w:rPr>
              <w:t>应急响应等级</w:t>
            </w:r>
          </w:p>
        </w:tc>
        <w:tc>
          <w:tcPr>
            <w:tcW w:w="978" w:type="pct"/>
            <w:noWrap w:val="0"/>
            <w:vAlign w:val="center"/>
          </w:tcPr>
          <w:p>
            <w:pPr>
              <w:pStyle w:val="3013"/>
              <w:rPr>
                <w:rFonts w:hint="eastAsia" w:ascii="方正黑体_GBK" w:hAnsi="方正黑体_GBK" w:eastAsia="方正黑体_GBK" w:cs="方正黑体_GBK"/>
              </w:rPr>
            </w:pPr>
            <w:r>
              <w:rPr>
                <w:rFonts w:hint="eastAsia" w:ascii="方正黑体_GBK" w:hAnsi="方正黑体_GBK" w:eastAsia="方正黑体_GBK" w:cs="方正黑体_GBK"/>
              </w:rPr>
              <w:t>水位</w:t>
            </w:r>
          </w:p>
        </w:tc>
        <w:tc>
          <w:tcPr>
            <w:tcW w:w="2675" w:type="pct"/>
            <w:noWrap/>
            <w:vAlign w:val="center"/>
          </w:tcPr>
          <w:p>
            <w:pPr>
              <w:pStyle w:val="3013"/>
              <w:rPr>
                <w:rFonts w:hint="eastAsia" w:ascii="方正黑体_GBK" w:hAnsi="方正黑体_GBK" w:eastAsia="方正黑体_GBK" w:cs="方正黑体_GBK"/>
              </w:rPr>
            </w:pPr>
            <w:r>
              <w:rPr>
                <w:rFonts w:hint="eastAsia" w:ascii="方正黑体_GBK" w:hAnsi="方正黑体_GBK" w:eastAsia="方正黑体_GBK" w:cs="方正黑体_GBK"/>
              </w:rPr>
              <w:t>淹没范围</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391" w:type="pct"/>
            <w:vMerge w:val="restart"/>
            <w:noWrap/>
            <w:vAlign w:val="center"/>
          </w:tcPr>
          <w:p>
            <w:pPr>
              <w:pStyle w:val="3013"/>
              <w:rPr>
                <w:rFonts w:hint="default" w:ascii="Times New Roman" w:hAnsi="Times New Roman" w:eastAsia="方正仿宋_GBK" w:cs="Times New Roman"/>
              </w:rPr>
            </w:pPr>
            <w:r>
              <w:rPr>
                <w:rFonts w:hint="default" w:ascii="Times New Roman" w:hAnsi="Times New Roman" w:eastAsia="方正仿宋_GBK" w:cs="Times New Roman"/>
              </w:rPr>
              <w:t>綦江</w:t>
            </w:r>
          </w:p>
          <w:p>
            <w:pPr>
              <w:pStyle w:val="3013"/>
              <w:rPr>
                <w:rFonts w:hint="default" w:ascii="Times New Roman" w:hAnsi="Times New Roman" w:eastAsia="方正仿宋_GBK" w:cs="Times New Roman"/>
              </w:rPr>
            </w:pPr>
            <w:r>
              <w:rPr>
                <w:rFonts w:hint="default" w:ascii="Times New Roman" w:hAnsi="Times New Roman" w:eastAsia="方正仿宋_GBK" w:cs="Times New Roman"/>
              </w:rPr>
              <w:t>主城区</w:t>
            </w:r>
          </w:p>
        </w:tc>
        <w:tc>
          <w:tcPr>
            <w:tcW w:w="497" w:type="pct"/>
            <w:vMerge w:val="restart"/>
            <w:noWrap/>
            <w:vAlign w:val="center"/>
          </w:tcPr>
          <w:p>
            <w:pPr>
              <w:pStyle w:val="3013"/>
              <w:rPr>
                <w:rFonts w:hint="default" w:ascii="Times New Roman" w:hAnsi="Times New Roman" w:eastAsia="方正仿宋_GBK" w:cs="Times New Roman"/>
              </w:rPr>
            </w:pPr>
            <w:r>
              <w:rPr>
                <w:rFonts w:hint="default" w:ascii="Times New Roman" w:hAnsi="Times New Roman" w:eastAsia="方正仿宋_GBK" w:cs="Times New Roman"/>
              </w:rPr>
              <w:t>新虹桥</w:t>
            </w:r>
          </w:p>
        </w:tc>
        <w:tc>
          <w:tcPr>
            <w:tcW w:w="459" w:type="pct"/>
            <w:noWrap w:val="0"/>
            <w:vAlign w:val="center"/>
          </w:tcPr>
          <w:p>
            <w:pPr>
              <w:pStyle w:val="3013"/>
              <w:rPr>
                <w:rFonts w:hint="default" w:ascii="Times New Roman" w:hAnsi="Times New Roman" w:eastAsia="方正仿宋_GBK" w:cs="Times New Roman"/>
              </w:rPr>
            </w:pPr>
            <w:r>
              <w:rPr>
                <w:rFonts w:hint="default" w:ascii="Times New Roman" w:hAnsi="Times New Roman" w:eastAsia="方正仿宋_GBK" w:cs="Times New Roman"/>
              </w:rPr>
              <w:t>IV级</w:t>
            </w:r>
          </w:p>
        </w:tc>
        <w:tc>
          <w:tcPr>
            <w:tcW w:w="978" w:type="pct"/>
            <w:noWrap w:val="0"/>
            <w:vAlign w:val="center"/>
          </w:tcPr>
          <w:p>
            <w:pPr>
              <w:pStyle w:val="3013"/>
              <w:rPr>
                <w:rFonts w:hint="default" w:ascii="Times New Roman" w:hAnsi="Times New Roman" w:eastAsia="方正仿宋_GBK" w:cs="Times New Roman"/>
              </w:rPr>
            </w:pPr>
            <w:r>
              <w:rPr>
                <w:rFonts w:hint="default" w:ascii="Times New Roman" w:hAnsi="Times New Roman" w:eastAsia="方正仿宋_GBK" w:cs="Times New Roman"/>
              </w:rPr>
              <w:t>220.5m（警戒水位）</w:t>
            </w:r>
          </w:p>
          <w:p>
            <w:pPr>
              <w:pStyle w:val="3013"/>
              <w:rPr>
                <w:rFonts w:hint="default" w:ascii="Times New Roman" w:hAnsi="Times New Roman" w:eastAsia="方正仿宋_GBK" w:cs="Times New Roman"/>
              </w:rPr>
            </w:pPr>
            <w:r>
              <w:rPr>
                <w:rFonts w:hint="default" w:ascii="Times New Roman" w:hAnsi="Times New Roman" w:eastAsia="方正仿宋_GBK" w:cs="Times New Roman"/>
              </w:rPr>
              <w:t>221.5m</w:t>
            </w:r>
          </w:p>
          <w:p>
            <w:pPr>
              <w:pStyle w:val="3013"/>
              <w:rPr>
                <w:rFonts w:hint="default" w:ascii="Times New Roman" w:hAnsi="Times New Roman" w:eastAsia="方正仿宋_GBK" w:cs="Times New Roman"/>
              </w:rPr>
            </w:pPr>
            <w:r>
              <w:rPr>
                <w:rFonts w:hint="default" w:ascii="Times New Roman" w:hAnsi="Times New Roman" w:eastAsia="方正仿宋_GBK" w:cs="Times New Roman"/>
              </w:rPr>
              <w:t>222.2m</w:t>
            </w:r>
          </w:p>
        </w:tc>
        <w:tc>
          <w:tcPr>
            <w:tcW w:w="2675" w:type="pct"/>
            <w:noWrap/>
            <w:vAlign w:val="center"/>
          </w:tcPr>
          <w:p>
            <w:pPr>
              <w:pStyle w:val="3013"/>
              <w:jc w:val="left"/>
              <w:rPr>
                <w:rFonts w:hint="default" w:ascii="Times New Roman" w:hAnsi="Times New Roman" w:eastAsia="方正仿宋_GBK" w:cs="Times New Roman"/>
              </w:rPr>
            </w:pPr>
            <w:r>
              <w:rPr>
                <w:rFonts w:hint="default" w:ascii="Times New Roman" w:hAnsi="Times New Roman" w:eastAsia="方正仿宋_GBK" w:cs="Times New Roman"/>
              </w:rPr>
              <w:t>虹桥公园的临河步道</w:t>
            </w:r>
          </w:p>
          <w:p>
            <w:pPr>
              <w:pStyle w:val="3013"/>
              <w:jc w:val="left"/>
              <w:rPr>
                <w:rFonts w:hint="default" w:ascii="Times New Roman" w:hAnsi="Times New Roman" w:eastAsia="方正仿宋_GBK" w:cs="Times New Roman"/>
              </w:rPr>
            </w:pPr>
            <w:r>
              <w:rPr>
                <w:rFonts w:hint="default" w:ascii="Times New Roman" w:hAnsi="Times New Roman" w:eastAsia="方正仿宋_GBK" w:cs="Times New Roman"/>
              </w:rPr>
              <w:t>被淹没区域增加下北街农贸市场</w:t>
            </w:r>
          </w:p>
          <w:p>
            <w:pPr>
              <w:pStyle w:val="3013"/>
              <w:jc w:val="left"/>
              <w:rPr>
                <w:rFonts w:hint="default" w:ascii="Times New Roman" w:hAnsi="Times New Roman" w:eastAsia="方正仿宋_GBK" w:cs="Times New Roman"/>
              </w:rPr>
            </w:pPr>
            <w:r>
              <w:rPr>
                <w:rFonts w:hint="default" w:ascii="Times New Roman" w:hAnsi="Times New Roman" w:eastAsia="方正仿宋_GBK" w:cs="Times New Roman"/>
              </w:rPr>
              <w:t>被淹没区域增加古南街道南门滨江路段</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391" w:type="pct"/>
            <w:vMerge w:val="continue"/>
            <w:noWrap/>
            <w:vAlign w:val="center"/>
          </w:tcPr>
          <w:p>
            <w:pPr>
              <w:pStyle w:val="3013"/>
              <w:rPr>
                <w:rFonts w:hint="default" w:ascii="Times New Roman" w:hAnsi="Times New Roman" w:eastAsia="方正仿宋_GBK" w:cs="Times New Roman"/>
              </w:rPr>
            </w:pPr>
          </w:p>
        </w:tc>
        <w:tc>
          <w:tcPr>
            <w:tcW w:w="497" w:type="pct"/>
            <w:vMerge w:val="continue"/>
            <w:noWrap/>
            <w:vAlign w:val="center"/>
          </w:tcPr>
          <w:p>
            <w:pPr>
              <w:pStyle w:val="3013"/>
              <w:rPr>
                <w:rFonts w:hint="default" w:ascii="Times New Roman" w:hAnsi="Times New Roman" w:eastAsia="方正仿宋_GBK" w:cs="Times New Roman"/>
              </w:rPr>
            </w:pPr>
          </w:p>
        </w:tc>
        <w:tc>
          <w:tcPr>
            <w:tcW w:w="459" w:type="pct"/>
            <w:vMerge w:val="restart"/>
            <w:noWrap w:val="0"/>
            <w:vAlign w:val="center"/>
          </w:tcPr>
          <w:p>
            <w:pPr>
              <w:pStyle w:val="3013"/>
              <w:rPr>
                <w:rFonts w:hint="default" w:ascii="Times New Roman" w:hAnsi="Times New Roman" w:eastAsia="方正仿宋_GBK" w:cs="Times New Roman"/>
              </w:rPr>
            </w:pPr>
            <w:r>
              <w:rPr>
                <w:rFonts w:hint="default" w:ascii="Times New Roman" w:hAnsi="Times New Roman" w:eastAsia="方正仿宋_GBK" w:cs="Times New Roman"/>
              </w:rPr>
              <w:t>III级</w:t>
            </w:r>
          </w:p>
        </w:tc>
        <w:tc>
          <w:tcPr>
            <w:tcW w:w="978" w:type="pct"/>
            <w:noWrap w:val="0"/>
            <w:vAlign w:val="center"/>
          </w:tcPr>
          <w:p>
            <w:pPr>
              <w:pStyle w:val="3013"/>
              <w:rPr>
                <w:rFonts w:hint="default" w:ascii="Times New Roman" w:hAnsi="Times New Roman" w:eastAsia="方正仿宋_GBK" w:cs="Times New Roman"/>
              </w:rPr>
            </w:pPr>
            <w:r>
              <w:rPr>
                <w:rFonts w:hint="default" w:ascii="Times New Roman" w:hAnsi="Times New Roman" w:eastAsia="方正仿宋_GBK" w:cs="Times New Roman"/>
              </w:rPr>
              <w:t>222.5m（保证水位）</w:t>
            </w:r>
          </w:p>
        </w:tc>
        <w:tc>
          <w:tcPr>
            <w:tcW w:w="2675" w:type="pct"/>
            <w:noWrap/>
            <w:vAlign w:val="center"/>
          </w:tcPr>
          <w:p>
            <w:pPr>
              <w:pStyle w:val="3013"/>
              <w:jc w:val="left"/>
              <w:rPr>
                <w:rFonts w:hint="default" w:ascii="Times New Roman" w:hAnsi="Times New Roman" w:eastAsia="方正仿宋_GBK" w:cs="Times New Roman"/>
              </w:rPr>
            </w:pPr>
            <w:r>
              <w:rPr>
                <w:rFonts w:hint="default" w:ascii="Times New Roman" w:hAnsi="Times New Roman" w:eastAsia="方正仿宋_GBK" w:cs="Times New Roman"/>
              </w:rPr>
              <w:t>新街子的火车站码头观景台段、孟家院的千山水岸文化亭底层、菜坝的虹桥路、石佛岗的龙角桥、代家岗的大石支路6号25号、孟家院社虹桥路30号、文昌宫社区、遇仙桥社区滨江公路、下北街的农贸市场沿河部分</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391" w:type="pct"/>
            <w:vMerge w:val="continue"/>
            <w:noWrap/>
            <w:vAlign w:val="center"/>
          </w:tcPr>
          <w:p>
            <w:pPr>
              <w:pStyle w:val="3013"/>
              <w:rPr>
                <w:rFonts w:hint="default" w:ascii="Times New Roman" w:hAnsi="Times New Roman" w:eastAsia="方正仿宋_GBK" w:cs="Times New Roman"/>
              </w:rPr>
            </w:pPr>
          </w:p>
        </w:tc>
        <w:tc>
          <w:tcPr>
            <w:tcW w:w="497" w:type="pct"/>
            <w:vMerge w:val="continue"/>
            <w:noWrap/>
            <w:vAlign w:val="center"/>
          </w:tcPr>
          <w:p>
            <w:pPr>
              <w:pStyle w:val="3013"/>
              <w:rPr>
                <w:rFonts w:hint="default" w:ascii="Times New Roman" w:hAnsi="Times New Roman" w:eastAsia="方正仿宋_GBK" w:cs="Times New Roman"/>
              </w:rPr>
            </w:pPr>
          </w:p>
        </w:tc>
        <w:tc>
          <w:tcPr>
            <w:tcW w:w="459" w:type="pct"/>
            <w:vMerge w:val="continue"/>
            <w:noWrap w:val="0"/>
            <w:vAlign w:val="center"/>
          </w:tcPr>
          <w:p>
            <w:pPr>
              <w:pStyle w:val="3013"/>
              <w:rPr>
                <w:rFonts w:hint="default" w:ascii="Times New Roman" w:hAnsi="Times New Roman" w:eastAsia="方正仿宋_GBK" w:cs="Times New Roman"/>
              </w:rPr>
            </w:pPr>
          </w:p>
        </w:tc>
        <w:tc>
          <w:tcPr>
            <w:tcW w:w="978" w:type="pct"/>
            <w:noWrap w:val="0"/>
            <w:vAlign w:val="center"/>
          </w:tcPr>
          <w:p>
            <w:pPr>
              <w:pStyle w:val="3013"/>
              <w:rPr>
                <w:rFonts w:hint="default" w:ascii="Times New Roman" w:hAnsi="Times New Roman" w:eastAsia="方正仿宋_GBK" w:cs="Times New Roman"/>
              </w:rPr>
            </w:pPr>
            <w:r>
              <w:rPr>
                <w:rFonts w:hint="default" w:ascii="Times New Roman" w:hAnsi="Times New Roman" w:eastAsia="方正仿宋_GBK" w:cs="Times New Roman"/>
              </w:rPr>
              <w:t>225m</w:t>
            </w:r>
          </w:p>
        </w:tc>
        <w:tc>
          <w:tcPr>
            <w:tcW w:w="2675" w:type="pct"/>
            <w:noWrap/>
            <w:vAlign w:val="center"/>
          </w:tcPr>
          <w:p>
            <w:pPr>
              <w:pStyle w:val="3013"/>
              <w:jc w:val="left"/>
              <w:rPr>
                <w:rFonts w:hint="default" w:ascii="Times New Roman" w:hAnsi="Times New Roman" w:eastAsia="方正仿宋_GBK" w:cs="Times New Roman"/>
              </w:rPr>
            </w:pPr>
            <w:r>
              <w:rPr>
                <w:rFonts w:hint="default" w:ascii="Times New Roman" w:hAnsi="Times New Roman" w:eastAsia="方正仿宋_GBK" w:cs="Times New Roman"/>
              </w:rPr>
              <w:t>被淹没区域增加南州小学、虹桥路30号、虹桥路31号、虹桥路33号、虹桥路34号、区经济信息委、区林业局、区城市管理局、区信访办接待中心、交警队办公楼、文昌宫滨江路2楼、北街小学、綦江区国税所2楼等</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391" w:type="pct"/>
            <w:vMerge w:val="continue"/>
            <w:noWrap/>
            <w:vAlign w:val="center"/>
          </w:tcPr>
          <w:p>
            <w:pPr>
              <w:pStyle w:val="3013"/>
              <w:rPr>
                <w:rFonts w:hint="default" w:ascii="Times New Roman" w:hAnsi="Times New Roman" w:eastAsia="方正仿宋_GBK" w:cs="Times New Roman"/>
              </w:rPr>
            </w:pPr>
          </w:p>
        </w:tc>
        <w:tc>
          <w:tcPr>
            <w:tcW w:w="497" w:type="pct"/>
            <w:vMerge w:val="continue"/>
            <w:noWrap/>
            <w:vAlign w:val="center"/>
          </w:tcPr>
          <w:p>
            <w:pPr>
              <w:pStyle w:val="3013"/>
              <w:rPr>
                <w:rFonts w:hint="default" w:ascii="Times New Roman" w:hAnsi="Times New Roman" w:eastAsia="方正仿宋_GBK" w:cs="Times New Roman"/>
              </w:rPr>
            </w:pPr>
          </w:p>
        </w:tc>
        <w:tc>
          <w:tcPr>
            <w:tcW w:w="459" w:type="pct"/>
            <w:vMerge w:val="restart"/>
            <w:noWrap w:val="0"/>
            <w:vAlign w:val="center"/>
          </w:tcPr>
          <w:p>
            <w:pPr>
              <w:pStyle w:val="3013"/>
              <w:rPr>
                <w:rFonts w:hint="default" w:ascii="Times New Roman" w:hAnsi="Times New Roman" w:eastAsia="方正仿宋_GBK" w:cs="Times New Roman"/>
              </w:rPr>
            </w:pPr>
            <w:r>
              <w:rPr>
                <w:rFonts w:hint="default" w:ascii="Times New Roman" w:hAnsi="Times New Roman" w:eastAsia="方正仿宋_GBK" w:cs="Times New Roman"/>
              </w:rPr>
              <w:t>II级</w:t>
            </w:r>
          </w:p>
        </w:tc>
        <w:tc>
          <w:tcPr>
            <w:tcW w:w="978" w:type="pct"/>
            <w:noWrap w:val="0"/>
            <w:vAlign w:val="center"/>
          </w:tcPr>
          <w:p>
            <w:pPr>
              <w:pStyle w:val="3013"/>
              <w:rPr>
                <w:rFonts w:hint="default" w:ascii="Times New Roman" w:hAnsi="Times New Roman" w:eastAsia="方正仿宋_GBK" w:cs="Times New Roman"/>
              </w:rPr>
            </w:pPr>
            <w:r>
              <w:rPr>
                <w:rFonts w:hint="default" w:ascii="Times New Roman" w:hAnsi="Times New Roman" w:eastAsia="方正仿宋_GBK" w:cs="Times New Roman"/>
              </w:rPr>
              <w:t>225.52m</w:t>
            </w:r>
          </w:p>
          <w:p>
            <w:pPr>
              <w:pStyle w:val="3013"/>
              <w:rPr>
                <w:rFonts w:hint="default" w:ascii="Times New Roman" w:hAnsi="Times New Roman" w:eastAsia="方正仿宋_GBK" w:cs="Times New Roman"/>
              </w:rPr>
            </w:pPr>
            <w:r>
              <w:rPr>
                <w:rFonts w:hint="default" w:ascii="Times New Roman" w:hAnsi="Times New Roman" w:eastAsia="方正仿宋_GBK" w:cs="Times New Roman"/>
              </w:rPr>
              <w:t>（约10年一遇）</w:t>
            </w:r>
          </w:p>
        </w:tc>
        <w:tc>
          <w:tcPr>
            <w:tcW w:w="2675" w:type="pct"/>
            <w:noWrap/>
            <w:vAlign w:val="center"/>
          </w:tcPr>
          <w:p>
            <w:pPr>
              <w:pStyle w:val="3013"/>
              <w:jc w:val="left"/>
              <w:rPr>
                <w:rFonts w:hint="default" w:ascii="Times New Roman" w:hAnsi="Times New Roman" w:eastAsia="方正仿宋_GBK" w:cs="Times New Roman"/>
              </w:rPr>
            </w:pPr>
            <w:r>
              <w:rPr>
                <w:rFonts w:hint="default" w:ascii="Times New Roman" w:hAnsi="Times New Roman" w:eastAsia="方正仿宋_GBK" w:cs="Times New Roman"/>
              </w:rPr>
              <w:t>新街子的火车站60号楼、孟家院的虹桥路34</w:t>
            </w:r>
            <w:r>
              <w:rPr>
                <w:rFonts w:hint="default" w:ascii="Times New Roman" w:hAnsi="Times New Roman" w:eastAsia="方正仿宋_GBK" w:cs="Times New Roman"/>
                <w:lang w:eastAsia="zh-CN"/>
              </w:rPr>
              <w:t>—</w:t>
            </w:r>
            <w:r>
              <w:rPr>
                <w:rFonts w:hint="default" w:ascii="Times New Roman" w:hAnsi="Times New Roman" w:eastAsia="方正仿宋_GBK" w:cs="Times New Roman"/>
              </w:rPr>
              <w:t>38号，菜坝的虹桥路1号</w:t>
            </w:r>
            <w:r>
              <w:rPr>
                <w:rFonts w:hint="default" w:ascii="Times New Roman" w:hAnsi="Times New Roman" w:eastAsia="方正仿宋_GBK" w:cs="Times New Roman"/>
                <w:lang w:eastAsia="zh-CN"/>
              </w:rPr>
              <w:t>—</w:t>
            </w:r>
            <w:r>
              <w:rPr>
                <w:rFonts w:hint="default" w:ascii="Times New Roman" w:hAnsi="Times New Roman" w:eastAsia="方正仿宋_GBK" w:cs="Times New Roman"/>
              </w:rPr>
              <w:t>27号1楼、石佛岗的农贸市场、下北街的农贸市场、文昌宫滨江路2楼、北街小学、綦江区国税所</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391" w:type="pct"/>
            <w:vMerge w:val="continue"/>
            <w:noWrap/>
            <w:vAlign w:val="center"/>
          </w:tcPr>
          <w:p>
            <w:pPr>
              <w:pStyle w:val="3013"/>
              <w:rPr>
                <w:rFonts w:hint="default" w:ascii="Times New Roman" w:hAnsi="Times New Roman" w:eastAsia="方正仿宋_GBK" w:cs="Times New Roman"/>
              </w:rPr>
            </w:pPr>
          </w:p>
        </w:tc>
        <w:tc>
          <w:tcPr>
            <w:tcW w:w="497" w:type="pct"/>
            <w:vMerge w:val="continue"/>
            <w:noWrap/>
            <w:vAlign w:val="center"/>
          </w:tcPr>
          <w:p>
            <w:pPr>
              <w:pStyle w:val="3013"/>
              <w:rPr>
                <w:rFonts w:hint="default" w:ascii="Times New Roman" w:hAnsi="Times New Roman" w:eastAsia="方正仿宋_GBK" w:cs="Times New Roman"/>
              </w:rPr>
            </w:pPr>
          </w:p>
        </w:tc>
        <w:tc>
          <w:tcPr>
            <w:tcW w:w="459" w:type="pct"/>
            <w:vMerge w:val="continue"/>
            <w:noWrap w:val="0"/>
            <w:vAlign w:val="center"/>
          </w:tcPr>
          <w:p>
            <w:pPr>
              <w:pStyle w:val="3013"/>
              <w:rPr>
                <w:rFonts w:hint="default" w:ascii="Times New Roman" w:hAnsi="Times New Roman" w:eastAsia="方正仿宋_GBK" w:cs="Times New Roman"/>
              </w:rPr>
            </w:pPr>
          </w:p>
        </w:tc>
        <w:tc>
          <w:tcPr>
            <w:tcW w:w="978" w:type="pct"/>
            <w:noWrap w:val="0"/>
            <w:vAlign w:val="center"/>
          </w:tcPr>
          <w:p>
            <w:pPr>
              <w:pStyle w:val="3013"/>
              <w:rPr>
                <w:rFonts w:hint="default" w:ascii="Times New Roman" w:hAnsi="Times New Roman" w:eastAsia="方正仿宋_GBK" w:cs="Times New Roman"/>
              </w:rPr>
            </w:pPr>
            <w:r>
              <w:rPr>
                <w:rFonts w:hint="default" w:ascii="Times New Roman" w:hAnsi="Times New Roman" w:eastAsia="方正仿宋_GBK" w:cs="Times New Roman"/>
              </w:rPr>
              <w:t>226.52m</w:t>
            </w:r>
          </w:p>
        </w:tc>
        <w:tc>
          <w:tcPr>
            <w:tcW w:w="2675" w:type="pct"/>
            <w:noWrap/>
            <w:vAlign w:val="center"/>
          </w:tcPr>
          <w:p>
            <w:pPr>
              <w:pStyle w:val="3013"/>
              <w:jc w:val="left"/>
              <w:rPr>
                <w:rFonts w:hint="default" w:ascii="Times New Roman" w:hAnsi="Times New Roman" w:eastAsia="方正仿宋_GBK" w:cs="Times New Roman"/>
              </w:rPr>
            </w:pPr>
            <w:r>
              <w:rPr>
                <w:rFonts w:hint="default" w:ascii="Times New Roman" w:hAnsi="Times New Roman" w:eastAsia="方正仿宋_GBK" w:cs="Times New Roman"/>
              </w:rPr>
              <w:t>增加被淹没区域为代家岗大石支路6号、石佛岗32号、文昌宫滨江路3楼、沱湾社区沿河门面以及北渡场镇老街10年一遇水位标高以下区域</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391" w:type="pct"/>
            <w:vMerge w:val="continue"/>
            <w:noWrap/>
            <w:vAlign w:val="center"/>
          </w:tcPr>
          <w:p>
            <w:pPr>
              <w:pStyle w:val="3013"/>
              <w:rPr>
                <w:rFonts w:hint="default" w:ascii="Times New Roman" w:hAnsi="Times New Roman" w:eastAsia="方正仿宋_GBK" w:cs="Times New Roman"/>
              </w:rPr>
            </w:pPr>
          </w:p>
        </w:tc>
        <w:tc>
          <w:tcPr>
            <w:tcW w:w="497" w:type="pct"/>
            <w:vMerge w:val="continue"/>
            <w:noWrap/>
            <w:vAlign w:val="center"/>
          </w:tcPr>
          <w:p>
            <w:pPr>
              <w:pStyle w:val="3013"/>
              <w:rPr>
                <w:rFonts w:hint="default" w:ascii="Times New Roman" w:hAnsi="Times New Roman" w:eastAsia="方正仿宋_GBK" w:cs="Times New Roman"/>
              </w:rPr>
            </w:pPr>
          </w:p>
        </w:tc>
        <w:tc>
          <w:tcPr>
            <w:tcW w:w="459" w:type="pct"/>
            <w:vMerge w:val="continue"/>
            <w:noWrap w:val="0"/>
            <w:vAlign w:val="center"/>
          </w:tcPr>
          <w:p>
            <w:pPr>
              <w:pStyle w:val="3013"/>
              <w:rPr>
                <w:rFonts w:hint="default" w:ascii="Times New Roman" w:hAnsi="Times New Roman" w:eastAsia="方正仿宋_GBK" w:cs="Times New Roman"/>
              </w:rPr>
            </w:pPr>
          </w:p>
        </w:tc>
        <w:tc>
          <w:tcPr>
            <w:tcW w:w="978" w:type="pct"/>
            <w:noWrap w:val="0"/>
            <w:vAlign w:val="center"/>
          </w:tcPr>
          <w:p>
            <w:pPr>
              <w:pStyle w:val="3013"/>
              <w:rPr>
                <w:rFonts w:hint="default" w:ascii="Times New Roman" w:hAnsi="Times New Roman" w:eastAsia="方正仿宋_GBK" w:cs="Times New Roman"/>
              </w:rPr>
            </w:pPr>
            <w:r>
              <w:rPr>
                <w:rFonts w:hint="default" w:ascii="Times New Roman" w:hAnsi="Times New Roman" w:eastAsia="方正仿宋_GBK" w:cs="Times New Roman"/>
              </w:rPr>
              <w:t>227.37m</w:t>
            </w:r>
          </w:p>
          <w:p>
            <w:pPr>
              <w:pStyle w:val="3013"/>
              <w:rPr>
                <w:rFonts w:hint="default" w:ascii="Times New Roman" w:hAnsi="Times New Roman" w:eastAsia="方正仿宋_GBK" w:cs="Times New Roman"/>
              </w:rPr>
            </w:pPr>
            <w:r>
              <w:rPr>
                <w:rFonts w:hint="default" w:ascii="Times New Roman" w:hAnsi="Times New Roman" w:eastAsia="方正仿宋_GBK" w:cs="Times New Roman"/>
              </w:rPr>
              <w:t>（约20年一遇）</w:t>
            </w:r>
          </w:p>
        </w:tc>
        <w:tc>
          <w:tcPr>
            <w:tcW w:w="2675" w:type="pct"/>
            <w:noWrap/>
            <w:vAlign w:val="center"/>
          </w:tcPr>
          <w:p>
            <w:pPr>
              <w:pStyle w:val="3013"/>
              <w:jc w:val="left"/>
              <w:rPr>
                <w:rFonts w:hint="default" w:ascii="Times New Roman" w:hAnsi="Times New Roman" w:eastAsia="方正仿宋_GBK" w:cs="Times New Roman"/>
              </w:rPr>
            </w:pPr>
            <w:r>
              <w:rPr>
                <w:rFonts w:hint="default" w:ascii="Times New Roman" w:hAnsi="Times New Roman" w:eastAsia="方正仿宋_GBK" w:cs="Times New Roman"/>
              </w:rPr>
              <w:t>淹没区增加菜坝的1号</w:t>
            </w:r>
            <w:r>
              <w:rPr>
                <w:rFonts w:hint="default" w:ascii="Times New Roman" w:hAnsi="Times New Roman" w:eastAsia="方正仿宋_GBK" w:cs="Times New Roman"/>
                <w:lang w:eastAsia="zh-CN"/>
              </w:rPr>
              <w:t>—</w:t>
            </w:r>
            <w:r>
              <w:rPr>
                <w:rFonts w:hint="default" w:ascii="Times New Roman" w:hAnsi="Times New Roman" w:eastAsia="方正仿宋_GBK" w:cs="Times New Roman"/>
              </w:rPr>
              <w:t>27号2楼、新街子66号、孟家院的虹桥路37号、虹桥路38号居民区、代家岗的名扬国际、文昌宫社区、新山村社区沿河楼房3层、沱湾社区沿河楼房2层，以及北渡老场镇222.09m及以下区域</w:t>
            </w:r>
          </w:p>
        </w:tc>
      </w:tr>
    </w:tbl>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1.2.2 三江街道</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三江街道20年一遇洪水淹没面积约7万m</w:t>
      </w:r>
      <w:r>
        <w:rPr>
          <w:rFonts w:hint="eastAsia" w:ascii="Times New Roman" w:hAnsi="Times New Roman" w:eastAsia="方正仿宋_GBK" w:cs="Times New Roman"/>
          <w:kern w:val="2"/>
          <w:sz w:val="32"/>
          <w:szCs w:val="32"/>
          <w:vertAlign w:val="superscript"/>
          <w:lang w:val="en-US" w:eastAsia="zh-CN" w:bidi="ar-SA"/>
        </w:rPr>
        <w:t>2</w:t>
      </w:r>
      <w:r>
        <w:rPr>
          <w:rFonts w:hint="eastAsia" w:ascii="Times New Roman" w:hAnsi="Times New Roman" w:eastAsia="方正仿宋_GBK" w:cs="Times New Roman"/>
          <w:kern w:val="2"/>
          <w:sz w:val="32"/>
          <w:szCs w:val="32"/>
          <w:lang w:val="en-US" w:eastAsia="zh-CN" w:bidi="ar-SA"/>
        </w:rPr>
        <w:t>，淹没房屋面积6万m</w:t>
      </w:r>
      <w:r>
        <w:rPr>
          <w:rFonts w:hint="eastAsia" w:ascii="Times New Roman" w:hAnsi="Times New Roman" w:eastAsia="方正仿宋_GBK" w:cs="Times New Roman"/>
          <w:kern w:val="2"/>
          <w:sz w:val="32"/>
          <w:szCs w:val="32"/>
          <w:vertAlign w:val="superscript"/>
          <w:lang w:val="en-US" w:eastAsia="zh-CN" w:bidi="ar-SA"/>
        </w:rPr>
        <w:t>2</w:t>
      </w:r>
      <w:r>
        <w:rPr>
          <w:rFonts w:hint="eastAsia" w:ascii="Times New Roman" w:hAnsi="Times New Roman" w:eastAsia="方正仿宋_GBK" w:cs="Times New Roman"/>
          <w:kern w:val="2"/>
          <w:sz w:val="32"/>
          <w:szCs w:val="32"/>
          <w:lang w:val="en-US" w:eastAsia="zh-CN" w:bidi="ar-SA"/>
        </w:rPr>
        <w:t>，受淹房屋150栋；50年一遇洪水淹没面积约10.7万m</w:t>
      </w:r>
      <w:r>
        <w:rPr>
          <w:rFonts w:hint="eastAsia" w:ascii="Times New Roman" w:hAnsi="Times New Roman" w:eastAsia="方正仿宋_GBK" w:cs="Times New Roman"/>
          <w:kern w:val="2"/>
          <w:sz w:val="32"/>
          <w:szCs w:val="32"/>
          <w:vertAlign w:val="superscript"/>
          <w:lang w:val="en-US" w:eastAsia="zh-CN" w:bidi="ar-SA"/>
        </w:rPr>
        <w:t>2</w:t>
      </w:r>
      <w:r>
        <w:rPr>
          <w:rFonts w:hint="eastAsia" w:ascii="Times New Roman" w:hAnsi="Times New Roman" w:eastAsia="方正仿宋_GBK" w:cs="Times New Roman"/>
          <w:kern w:val="2"/>
          <w:sz w:val="32"/>
          <w:szCs w:val="32"/>
          <w:lang w:val="en-US" w:eastAsia="zh-CN" w:bidi="ar-SA"/>
        </w:rPr>
        <w:t>，淹没房屋面积7.3万m</w:t>
      </w:r>
      <w:r>
        <w:rPr>
          <w:rFonts w:hint="eastAsia" w:ascii="Times New Roman" w:hAnsi="Times New Roman" w:eastAsia="方正仿宋_GBK" w:cs="Times New Roman"/>
          <w:kern w:val="2"/>
          <w:sz w:val="32"/>
          <w:szCs w:val="32"/>
          <w:vertAlign w:val="superscript"/>
          <w:lang w:val="en-US" w:eastAsia="zh-CN" w:bidi="ar-SA"/>
        </w:rPr>
        <w:t>2</w:t>
      </w:r>
      <w:r>
        <w:rPr>
          <w:rFonts w:hint="eastAsia" w:ascii="Times New Roman" w:hAnsi="Times New Roman" w:eastAsia="方正仿宋_GBK" w:cs="Times New Roman"/>
          <w:kern w:val="2"/>
          <w:sz w:val="32"/>
          <w:szCs w:val="32"/>
          <w:lang w:val="en-US" w:eastAsia="zh-CN" w:bidi="ar-SA"/>
        </w:rPr>
        <w:t>，受淹交通干线里程1.4km，受淹房屋200栋，见图2.3</w:t>
      </w:r>
      <w:r>
        <w:rPr>
          <w:rFonts w:hint="eastAsia" w:ascii="Times New Roman" w:eastAsia="方正仿宋_GBK" w:cs="Times New Roman"/>
          <w:kern w:val="2"/>
          <w:sz w:val="32"/>
          <w:szCs w:val="32"/>
          <w:lang w:val="en-US" w:eastAsia="zh-CN" w:bidi="ar-SA"/>
        </w:rPr>
        <w:t>—</w:t>
      </w:r>
      <w:r>
        <w:rPr>
          <w:rFonts w:hint="eastAsia" w:ascii="Times New Roman" w:hAnsi="Times New Roman" w:eastAsia="方正仿宋_GBK" w:cs="Times New Roman"/>
          <w:kern w:val="2"/>
          <w:sz w:val="32"/>
          <w:szCs w:val="32"/>
          <w:lang w:val="en-US" w:eastAsia="zh-CN" w:bidi="ar-SA"/>
        </w:rPr>
        <w:t>6。</w:t>
      </w:r>
    </w:p>
    <w:p>
      <w:pPr>
        <w:pStyle w:val="2312"/>
        <w:pageBreakBefore/>
        <w:ind w:firstLine="240"/>
        <w:rPr>
          <w:rFonts w:hint="default" w:ascii="Times New Roman" w:hAnsi="Times New Roman" w:eastAsia="方正黑体_GBK" w:cs="Times New Roman"/>
        </w:rPr>
      </w:pPr>
      <w:r>
        <w:rPr>
          <w:rFonts w:hint="default" w:ascii="Times New Roman" w:hAnsi="Times New Roman" w:eastAsia="方正黑体_GBK" w:cs="Times New Roman"/>
        </w:rPr>
        <w:t>表2.3</w:t>
      </w:r>
      <w:r>
        <w:rPr>
          <w:rFonts w:hint="default" w:ascii="Times New Roman" w:hAnsi="Times New Roman" w:eastAsia="方正黑体_GBK" w:cs="Times New Roman"/>
          <w:lang w:eastAsia="zh-CN"/>
        </w:rPr>
        <w:t>—</w:t>
      </w:r>
      <w:r>
        <w:rPr>
          <w:rFonts w:hint="default" w:ascii="Times New Roman" w:hAnsi="Times New Roman" w:eastAsia="方正黑体_GBK" w:cs="Times New Roman"/>
        </w:rPr>
        <w:t>3          綦江主城区20年和50年一遇淹没影响对象</w:t>
      </w:r>
    </w:p>
    <w:tbl>
      <w:tblPr>
        <w:tblStyle w:val="88"/>
        <w:tblW w:w="5000"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0" w:type="dxa"/>
          <w:bottom w:w="0" w:type="dxa"/>
          <w:right w:w="0" w:type="dxa"/>
        </w:tblCellMar>
      </w:tblPr>
      <w:tblGrid>
        <w:gridCol w:w="483"/>
        <w:gridCol w:w="1367"/>
        <w:gridCol w:w="2513"/>
        <w:gridCol w:w="1314"/>
        <w:gridCol w:w="3410"/>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266" w:type="pct"/>
            <w:vMerge w:val="restart"/>
            <w:noWrap w:val="0"/>
            <w:vAlign w:val="center"/>
          </w:tcPr>
          <w:p>
            <w:pPr>
              <w:pStyle w:val="3013"/>
              <w:rPr>
                <w:rFonts w:hint="default" w:ascii="Times New Roman" w:hAnsi="Times New Roman" w:eastAsia="方正黑体_GBK" w:cs="Times New Roman"/>
              </w:rPr>
            </w:pPr>
            <w:r>
              <w:rPr>
                <w:rFonts w:hint="default" w:ascii="Times New Roman" w:hAnsi="Times New Roman" w:eastAsia="方正黑体_GBK" w:cs="Times New Roman"/>
              </w:rPr>
              <w:t>涉及街道</w:t>
            </w:r>
          </w:p>
        </w:tc>
        <w:tc>
          <w:tcPr>
            <w:tcW w:w="2135" w:type="pct"/>
            <w:gridSpan w:val="2"/>
            <w:noWrap w:val="0"/>
            <w:vAlign w:val="center"/>
          </w:tcPr>
          <w:p>
            <w:pPr>
              <w:pStyle w:val="3013"/>
              <w:rPr>
                <w:rFonts w:hint="default" w:ascii="Times New Roman" w:hAnsi="Times New Roman" w:eastAsia="方正黑体_GBK" w:cs="Times New Roman"/>
              </w:rPr>
            </w:pPr>
            <w:r>
              <w:rPr>
                <w:rFonts w:hint="default" w:ascii="Times New Roman" w:hAnsi="Times New Roman" w:eastAsia="方正黑体_GBK" w:cs="Times New Roman"/>
              </w:rPr>
              <w:t>20年一遇</w:t>
            </w:r>
          </w:p>
        </w:tc>
        <w:tc>
          <w:tcPr>
            <w:tcW w:w="2599" w:type="pct"/>
            <w:gridSpan w:val="2"/>
            <w:noWrap w:val="0"/>
            <w:vAlign w:val="center"/>
          </w:tcPr>
          <w:p>
            <w:pPr>
              <w:pStyle w:val="3013"/>
              <w:rPr>
                <w:rFonts w:hint="default" w:ascii="Times New Roman" w:hAnsi="Times New Roman" w:eastAsia="方正黑体_GBK" w:cs="Times New Roman"/>
              </w:rPr>
            </w:pPr>
            <w:r>
              <w:rPr>
                <w:rFonts w:hint="default" w:ascii="Times New Roman" w:hAnsi="Times New Roman" w:eastAsia="方正黑体_GBK" w:cs="Times New Roman"/>
              </w:rPr>
              <w:t>50年一遇</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266" w:type="pct"/>
            <w:vMerge w:val="continue"/>
            <w:noWrap w:val="0"/>
            <w:vAlign w:val="center"/>
          </w:tcPr>
          <w:p>
            <w:pPr>
              <w:pStyle w:val="3013"/>
              <w:rPr>
                <w:rFonts w:hint="default" w:ascii="Times New Roman" w:hAnsi="Times New Roman" w:eastAsia="方正黑体_GBK" w:cs="Times New Roman"/>
              </w:rPr>
            </w:pPr>
          </w:p>
        </w:tc>
        <w:tc>
          <w:tcPr>
            <w:tcW w:w="752" w:type="pct"/>
            <w:noWrap w:val="0"/>
            <w:vAlign w:val="center"/>
          </w:tcPr>
          <w:p>
            <w:pPr>
              <w:pStyle w:val="3013"/>
              <w:rPr>
                <w:rFonts w:hint="default" w:ascii="Times New Roman" w:hAnsi="Times New Roman" w:eastAsia="方正黑体_GBK" w:cs="Times New Roman"/>
              </w:rPr>
            </w:pPr>
            <w:r>
              <w:rPr>
                <w:rFonts w:hint="default" w:ascii="Times New Roman" w:hAnsi="Times New Roman" w:eastAsia="方正黑体_GBK" w:cs="Times New Roman"/>
              </w:rPr>
              <w:t>转移启动条件</w:t>
            </w:r>
          </w:p>
        </w:tc>
        <w:tc>
          <w:tcPr>
            <w:tcW w:w="1383" w:type="pct"/>
            <w:noWrap w:val="0"/>
            <w:vAlign w:val="center"/>
          </w:tcPr>
          <w:p>
            <w:pPr>
              <w:pStyle w:val="3013"/>
              <w:rPr>
                <w:rFonts w:hint="default" w:ascii="Times New Roman" w:hAnsi="Times New Roman" w:eastAsia="方正黑体_GBK" w:cs="Times New Roman"/>
              </w:rPr>
            </w:pPr>
            <w:r>
              <w:rPr>
                <w:rFonts w:hint="default" w:ascii="Times New Roman" w:hAnsi="Times New Roman" w:eastAsia="方正黑体_GBK" w:cs="Times New Roman"/>
              </w:rPr>
              <w:t>受影响对象</w:t>
            </w:r>
          </w:p>
        </w:tc>
        <w:tc>
          <w:tcPr>
            <w:tcW w:w="723" w:type="pct"/>
            <w:noWrap w:val="0"/>
            <w:vAlign w:val="center"/>
          </w:tcPr>
          <w:p>
            <w:pPr>
              <w:pStyle w:val="3013"/>
              <w:rPr>
                <w:rFonts w:hint="default" w:ascii="Times New Roman" w:hAnsi="Times New Roman" w:eastAsia="方正黑体_GBK" w:cs="Times New Roman"/>
              </w:rPr>
            </w:pPr>
            <w:r>
              <w:rPr>
                <w:rFonts w:hint="default" w:ascii="Times New Roman" w:hAnsi="Times New Roman" w:eastAsia="方正黑体_GBK" w:cs="Times New Roman"/>
              </w:rPr>
              <w:t>转移启动条件</w:t>
            </w:r>
          </w:p>
        </w:tc>
        <w:tc>
          <w:tcPr>
            <w:tcW w:w="1876" w:type="pct"/>
            <w:noWrap w:val="0"/>
            <w:vAlign w:val="center"/>
          </w:tcPr>
          <w:p>
            <w:pPr>
              <w:pStyle w:val="3013"/>
              <w:rPr>
                <w:rFonts w:hint="default" w:ascii="Times New Roman" w:hAnsi="Times New Roman" w:eastAsia="方正黑体_GBK" w:cs="Times New Roman"/>
              </w:rPr>
            </w:pPr>
            <w:r>
              <w:rPr>
                <w:rFonts w:hint="default" w:ascii="Times New Roman" w:hAnsi="Times New Roman" w:eastAsia="方正黑体_GBK" w:cs="Times New Roman"/>
              </w:rPr>
              <w:t>受影响对象</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266" w:type="pct"/>
            <w:noWrap w:val="0"/>
            <w:vAlign w:val="center"/>
          </w:tcPr>
          <w:p>
            <w:pPr>
              <w:pStyle w:val="3013"/>
              <w:rPr>
                <w:rFonts w:hint="default" w:ascii="Times New Roman" w:hAnsi="Times New Roman" w:eastAsia="方正仿宋_GBK" w:cs="Times New Roman"/>
              </w:rPr>
            </w:pPr>
            <w:r>
              <w:rPr>
                <w:rFonts w:hint="default" w:ascii="Times New Roman" w:hAnsi="Times New Roman" w:eastAsia="方正仿宋_GBK" w:cs="Times New Roman"/>
              </w:rPr>
              <w:t>文龙街道</w:t>
            </w:r>
          </w:p>
        </w:tc>
        <w:tc>
          <w:tcPr>
            <w:tcW w:w="752" w:type="pct"/>
            <w:vMerge w:val="restart"/>
            <w:noWrap w:val="0"/>
            <w:vAlign w:val="center"/>
          </w:tcPr>
          <w:p>
            <w:pPr>
              <w:pStyle w:val="3013"/>
              <w:rPr>
                <w:rFonts w:hint="default" w:ascii="Times New Roman" w:hAnsi="Times New Roman" w:eastAsia="方正仿宋_GBK" w:cs="Times New Roman"/>
              </w:rPr>
            </w:pPr>
            <w:r>
              <w:rPr>
                <w:rFonts w:hint="default" w:ascii="Times New Roman" w:hAnsi="Times New Roman" w:eastAsia="方正仿宋_GBK" w:cs="Times New Roman"/>
              </w:rPr>
              <w:t>彩虹桥处水位可能达到或超过227.04m</w:t>
            </w:r>
          </w:p>
        </w:tc>
        <w:tc>
          <w:tcPr>
            <w:tcW w:w="1383" w:type="pct"/>
            <w:noWrap w:val="0"/>
            <w:vAlign w:val="center"/>
          </w:tcPr>
          <w:p>
            <w:pPr>
              <w:pStyle w:val="3013"/>
              <w:jc w:val="left"/>
              <w:rPr>
                <w:rFonts w:hint="default" w:ascii="Times New Roman" w:hAnsi="Times New Roman" w:eastAsia="方正仿宋_GBK" w:cs="Times New Roman"/>
              </w:rPr>
            </w:pPr>
            <w:r>
              <w:rPr>
                <w:rFonts w:hint="default" w:ascii="Times New Roman" w:hAnsi="Times New Roman" w:eastAsia="方正仿宋_GBK" w:cs="Times New Roman"/>
              </w:rPr>
              <w:t>綦江区人民医院（东城分院）、中国农业银行（綦江三农事业部）、河东市场、菜坝片区、虹桥小区、南洲小学、綦江区旅游局、鸿福洞藏酒窖、火车站临河片区、瀛溪村沿河居民等</w:t>
            </w:r>
          </w:p>
        </w:tc>
        <w:tc>
          <w:tcPr>
            <w:tcW w:w="723" w:type="pct"/>
            <w:vMerge w:val="restart"/>
            <w:noWrap w:val="0"/>
            <w:vAlign w:val="center"/>
          </w:tcPr>
          <w:p>
            <w:pPr>
              <w:pStyle w:val="3013"/>
              <w:rPr>
                <w:rFonts w:hint="default" w:ascii="Times New Roman" w:hAnsi="Times New Roman" w:eastAsia="方正仿宋_GBK" w:cs="Times New Roman"/>
              </w:rPr>
            </w:pPr>
            <w:r>
              <w:rPr>
                <w:rFonts w:hint="default" w:ascii="Times New Roman" w:hAnsi="Times New Roman" w:eastAsia="方正仿宋_GBK" w:cs="Times New Roman"/>
              </w:rPr>
              <w:t>彩虹桥处水位可能达到或超过228.67m</w:t>
            </w:r>
          </w:p>
        </w:tc>
        <w:tc>
          <w:tcPr>
            <w:tcW w:w="1876" w:type="pct"/>
            <w:noWrap w:val="0"/>
            <w:vAlign w:val="center"/>
          </w:tcPr>
          <w:p>
            <w:pPr>
              <w:pStyle w:val="3013"/>
              <w:jc w:val="left"/>
              <w:rPr>
                <w:rFonts w:hint="default" w:ascii="Times New Roman" w:hAnsi="Times New Roman" w:eastAsia="方正仿宋_GBK" w:cs="Times New Roman"/>
              </w:rPr>
            </w:pPr>
            <w:r>
              <w:rPr>
                <w:rFonts w:hint="default" w:ascii="Times New Roman" w:hAnsi="Times New Roman" w:eastAsia="方正仿宋_GBK" w:cs="Times New Roman"/>
              </w:rPr>
              <w:t>綦江区人民医院（东城分院）、中国农业银行（綦江三农事业部）、河东市场、菜坝片区、虹桥小区、南洲小学、綦江区旅游局、鸿福洞藏酒窖、火车站临河片区、瀛溪村沿河居民、桥亿汽车售后服务站、桥箱齿轮有限公司等</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266" w:type="pct"/>
            <w:noWrap w:val="0"/>
            <w:vAlign w:val="center"/>
          </w:tcPr>
          <w:p>
            <w:pPr>
              <w:pStyle w:val="3013"/>
              <w:rPr>
                <w:rFonts w:hint="default" w:ascii="Times New Roman" w:hAnsi="Times New Roman" w:eastAsia="方正仿宋_GBK" w:cs="Times New Roman"/>
              </w:rPr>
            </w:pPr>
            <w:r>
              <w:rPr>
                <w:rFonts w:hint="default" w:ascii="Times New Roman" w:hAnsi="Times New Roman" w:eastAsia="方正仿宋_GBK" w:cs="Times New Roman"/>
              </w:rPr>
              <w:t>古南街道</w:t>
            </w:r>
          </w:p>
        </w:tc>
        <w:tc>
          <w:tcPr>
            <w:tcW w:w="752" w:type="pct"/>
            <w:vMerge w:val="continue"/>
            <w:noWrap w:val="0"/>
            <w:vAlign w:val="center"/>
          </w:tcPr>
          <w:p>
            <w:pPr>
              <w:pStyle w:val="3013"/>
              <w:rPr>
                <w:rFonts w:hint="default" w:ascii="Times New Roman" w:hAnsi="Times New Roman" w:eastAsia="方正仿宋_GBK" w:cs="Times New Roman"/>
              </w:rPr>
            </w:pPr>
          </w:p>
        </w:tc>
        <w:tc>
          <w:tcPr>
            <w:tcW w:w="1383" w:type="pct"/>
            <w:noWrap w:val="0"/>
            <w:vAlign w:val="center"/>
          </w:tcPr>
          <w:p>
            <w:pPr>
              <w:pStyle w:val="3013"/>
              <w:jc w:val="left"/>
              <w:rPr>
                <w:rFonts w:hint="default" w:ascii="Times New Roman" w:hAnsi="Times New Roman" w:eastAsia="方正仿宋_GBK" w:cs="Times New Roman"/>
              </w:rPr>
            </w:pPr>
            <w:r>
              <w:rPr>
                <w:rFonts w:hint="default" w:ascii="Times New Roman" w:hAnsi="Times New Roman" w:eastAsia="方正仿宋_GBK" w:cs="Times New Roman"/>
              </w:rPr>
              <w:t>下北街菜市场、长德汽车修理厂、北街小学、綦江区公安局、桥河厂邻等</w:t>
            </w:r>
          </w:p>
        </w:tc>
        <w:tc>
          <w:tcPr>
            <w:tcW w:w="723" w:type="pct"/>
            <w:vMerge w:val="continue"/>
            <w:noWrap w:val="0"/>
            <w:vAlign w:val="center"/>
          </w:tcPr>
          <w:p>
            <w:pPr>
              <w:pStyle w:val="3013"/>
              <w:rPr>
                <w:rFonts w:hint="default" w:ascii="Times New Roman" w:hAnsi="Times New Roman" w:eastAsia="方正仿宋_GBK" w:cs="Times New Roman"/>
              </w:rPr>
            </w:pPr>
          </w:p>
        </w:tc>
        <w:tc>
          <w:tcPr>
            <w:tcW w:w="1876" w:type="pct"/>
            <w:noWrap w:val="0"/>
            <w:vAlign w:val="center"/>
          </w:tcPr>
          <w:p>
            <w:pPr>
              <w:pStyle w:val="3013"/>
              <w:jc w:val="left"/>
              <w:rPr>
                <w:rFonts w:hint="default" w:ascii="Times New Roman" w:hAnsi="Times New Roman" w:eastAsia="方正仿宋_GBK" w:cs="Times New Roman"/>
              </w:rPr>
            </w:pPr>
            <w:r>
              <w:rPr>
                <w:rFonts w:hint="default" w:ascii="Times New Roman" w:hAnsi="Times New Roman" w:eastAsia="方正仿宋_GBK" w:cs="Times New Roman"/>
              </w:rPr>
              <w:t>下北街菜市场、长德汽车修理厂、北街小学、綦江区公安局、桥河厂邻、古南中学初中部、城区污水处理厂、大常电站管理房、五桥路、古南文化幼儿园、綦江区住房保障局、綦江收藏协会活动所、微风广场、安格购物中心等</w:t>
            </w:r>
          </w:p>
        </w:tc>
      </w:tr>
    </w:tbl>
    <w:p>
      <w:pPr>
        <w:pStyle w:val="2886"/>
        <w:outlineLvl w:val="9"/>
        <w:rPr>
          <w:rFonts w:ascii="仿宋_GB2312" w:eastAsia="仿宋_GB2312"/>
        </w:rPr>
      </w:pPr>
      <w:r>
        <w:rPr>
          <w:rFonts w:ascii="仿宋_GB2312" w:eastAsia="仿宋_GB2312"/>
        </w:rPr>
        <w:drawing>
          <wp:inline distT="0" distB="0" distL="114300" distR="114300">
            <wp:extent cx="5743575" cy="3915410"/>
            <wp:effectExtent l="0" t="0" r="9525" b="8890"/>
            <wp:docPr id="78" name="图片 131" descr="ymfw_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8" name="图片 131" descr="ymfw_4"/>
                    <pic:cNvPicPr>
                      <a:picLocks noChangeAspect="true"/>
                    </pic:cNvPicPr>
                  </pic:nvPicPr>
                  <pic:blipFill>
                    <a:blip r:embed="rId117"/>
                    <a:srcRect l="5620" t="7477" r="3305" b="4672"/>
                    <a:stretch>
                      <a:fillRect/>
                    </a:stretch>
                  </pic:blipFill>
                  <pic:spPr>
                    <a:xfrm>
                      <a:off x="0" y="0"/>
                      <a:ext cx="5743575" cy="3915410"/>
                    </a:xfrm>
                    <a:prstGeom prst="rect">
                      <a:avLst/>
                    </a:prstGeom>
                    <a:noFill/>
                    <a:ln>
                      <a:noFill/>
                    </a:ln>
                  </pic:spPr>
                </pic:pic>
              </a:graphicData>
            </a:graphic>
          </wp:inline>
        </w:drawing>
      </w:r>
    </w:p>
    <w:p>
      <w:pPr>
        <w:pStyle w:val="2886"/>
        <w:rPr>
          <w:rFonts w:hint="default" w:ascii="Times New Roman" w:hAnsi="Times New Roman" w:eastAsia="方正黑体_GBK" w:cs="Times New Roman"/>
        </w:rPr>
      </w:pPr>
      <w:r>
        <w:rPr>
          <w:rFonts w:hint="default" w:ascii="Times New Roman" w:hAnsi="Times New Roman" w:eastAsia="方正黑体_GBK" w:cs="Times New Roman"/>
        </w:rPr>
        <w:t>图2.3</w:t>
      </w:r>
      <w:r>
        <w:rPr>
          <w:rFonts w:hint="default" w:ascii="Times New Roman" w:hAnsi="Times New Roman" w:eastAsia="方正黑体_GBK" w:cs="Times New Roman"/>
          <w:lang w:eastAsia="zh-CN"/>
        </w:rPr>
        <w:t>—</w:t>
      </w:r>
      <w:r>
        <w:rPr>
          <w:rFonts w:hint="default" w:ascii="Times New Roman" w:hAnsi="Times New Roman" w:eastAsia="方正黑体_GBK" w:cs="Times New Roman"/>
        </w:rPr>
        <w:t>6 　 三江街道洪水淹没范围示意图</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根据綦江府办发</w:t>
      </w:r>
      <w:r>
        <w:rPr>
          <w:rFonts w:hint="default" w:ascii="Times New Roman" w:hAnsi="Times New Roman" w:eastAsia="方正仿宋_GBK" w:cs="Times New Roman"/>
          <w:kern w:val="2"/>
          <w:sz w:val="32"/>
          <w:szCs w:val="32"/>
          <w:lang w:val="en-US" w:eastAsia="zh-CN" w:bidi="ar-SA"/>
        </w:rPr>
        <w:t>〔2020〕</w:t>
      </w:r>
      <w:r>
        <w:rPr>
          <w:rFonts w:hint="eastAsia" w:ascii="Times New Roman" w:hAnsi="Times New Roman" w:eastAsia="方正仿宋_GBK" w:cs="Times New Roman"/>
          <w:kern w:val="2"/>
          <w:sz w:val="32"/>
          <w:szCs w:val="32"/>
          <w:lang w:val="en-US" w:eastAsia="zh-CN" w:bidi="ar-SA"/>
        </w:rPr>
        <w:t>30号文《重庆市綦江区城区防汛应急预案》（2020年）、綦江府办发</w:t>
      </w:r>
      <w:r>
        <w:rPr>
          <w:rFonts w:hint="default" w:ascii="Times New Roman" w:hAnsi="Times New Roman" w:eastAsia="方正仿宋_GBK" w:cs="Times New Roman"/>
          <w:kern w:val="2"/>
          <w:sz w:val="32"/>
          <w:szCs w:val="32"/>
          <w:lang w:val="en-US" w:eastAsia="zh-CN" w:bidi="ar-SA"/>
        </w:rPr>
        <w:t>〔2020〕</w:t>
      </w:r>
      <w:r>
        <w:rPr>
          <w:rFonts w:hint="eastAsia" w:ascii="Times New Roman" w:hAnsi="Times New Roman" w:eastAsia="方正仿宋_GBK" w:cs="Times New Roman"/>
          <w:kern w:val="2"/>
          <w:sz w:val="32"/>
          <w:szCs w:val="32"/>
          <w:lang w:val="en-US" w:eastAsia="zh-CN" w:bidi="ar-SA"/>
        </w:rPr>
        <w:t>31号文《重庆市綦江城区超标洪水防御预案》（2020年），綦江城区三江街道防洪控制断面为三江老大桥，其不同水位下的淹没范围见表2.3</w:t>
      </w:r>
      <w:r>
        <w:rPr>
          <w:rFonts w:hint="eastAsia" w:ascii="Times New Roman" w:eastAsia="方正仿宋_GBK" w:cs="Times New Roman"/>
          <w:kern w:val="2"/>
          <w:sz w:val="32"/>
          <w:szCs w:val="32"/>
          <w:lang w:val="en-US" w:eastAsia="zh-CN" w:bidi="ar-SA"/>
        </w:rPr>
        <w:t>—</w:t>
      </w:r>
      <w:r>
        <w:rPr>
          <w:rFonts w:hint="eastAsia" w:ascii="Times New Roman" w:hAnsi="Times New Roman" w:eastAsia="方正仿宋_GBK" w:cs="Times New Roman"/>
          <w:kern w:val="2"/>
          <w:sz w:val="32"/>
          <w:szCs w:val="32"/>
          <w:lang w:val="en-US" w:eastAsia="zh-CN" w:bidi="ar-SA"/>
        </w:rPr>
        <w:t>4和附图10</w:t>
      </w:r>
      <w:r>
        <w:rPr>
          <w:rFonts w:hint="eastAsia" w:ascii="Times New Roman" w:eastAsia="方正仿宋_GBK" w:cs="Times New Roman"/>
          <w:kern w:val="2"/>
          <w:sz w:val="32"/>
          <w:szCs w:val="32"/>
          <w:lang w:val="en-US" w:eastAsia="zh-CN" w:bidi="ar-SA"/>
        </w:rPr>
        <w:t>—</w:t>
      </w:r>
      <w:r>
        <w:rPr>
          <w:rFonts w:hint="eastAsia" w:ascii="Times New Roman" w:hAnsi="Times New Roman" w:eastAsia="方正仿宋_GBK" w:cs="Times New Roman"/>
          <w:kern w:val="2"/>
          <w:sz w:val="32"/>
          <w:szCs w:val="32"/>
          <w:lang w:val="en-US" w:eastAsia="zh-CN" w:bidi="ar-SA"/>
        </w:rPr>
        <w:t>附图14。</w:t>
      </w:r>
    </w:p>
    <w:p>
      <w:pPr>
        <w:pStyle w:val="2312"/>
        <w:ind w:firstLine="240"/>
        <w:rPr>
          <w:rFonts w:hint="default" w:ascii="Times New Roman" w:hAnsi="Times New Roman" w:eastAsia="方正黑体_GBK" w:cs="Times New Roman"/>
        </w:rPr>
      </w:pPr>
      <w:r>
        <w:rPr>
          <w:rFonts w:hint="default" w:ascii="Times New Roman" w:hAnsi="Times New Roman" w:eastAsia="方正黑体_GBK" w:cs="Times New Roman"/>
        </w:rPr>
        <w:t>表2.3</w:t>
      </w:r>
      <w:r>
        <w:rPr>
          <w:rFonts w:hint="default" w:ascii="Times New Roman" w:hAnsi="Times New Roman" w:eastAsia="方正黑体_GBK" w:cs="Times New Roman"/>
          <w:lang w:eastAsia="zh-CN"/>
        </w:rPr>
        <w:t>—</w:t>
      </w:r>
      <w:r>
        <w:rPr>
          <w:rFonts w:hint="default" w:ascii="Times New Roman" w:hAnsi="Times New Roman" w:eastAsia="方正黑体_GBK" w:cs="Times New Roman"/>
        </w:rPr>
        <w:t>4      綦江城区防洪控制断面不同水位下的对应淹没范围统计表</w:t>
      </w:r>
    </w:p>
    <w:tbl>
      <w:tblPr>
        <w:tblStyle w:val="88"/>
        <w:tblW w:w="5000"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fixed"/>
        <w:tblCellMar>
          <w:top w:w="0" w:type="dxa"/>
          <w:left w:w="0" w:type="dxa"/>
          <w:bottom w:w="0" w:type="dxa"/>
          <w:right w:w="0" w:type="dxa"/>
        </w:tblCellMar>
      </w:tblPr>
      <w:tblGrid>
        <w:gridCol w:w="573"/>
        <w:gridCol w:w="849"/>
        <w:gridCol w:w="2415"/>
        <w:gridCol w:w="5250"/>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315" w:type="pct"/>
            <w:noWrap/>
            <w:vAlign w:val="center"/>
          </w:tcPr>
          <w:p>
            <w:pPr>
              <w:pStyle w:val="3013"/>
              <w:rPr>
                <w:rFonts w:hint="eastAsia" w:ascii="方正黑体_GBK" w:hAnsi="方正黑体_GBK" w:eastAsia="方正黑体_GBK" w:cs="方正黑体_GBK"/>
              </w:rPr>
            </w:pPr>
            <w:r>
              <w:rPr>
                <w:rFonts w:hint="eastAsia" w:ascii="方正黑体_GBK" w:hAnsi="方正黑体_GBK" w:eastAsia="方正黑体_GBK" w:cs="方正黑体_GBK"/>
              </w:rPr>
              <w:t>保护对象</w:t>
            </w:r>
          </w:p>
        </w:tc>
        <w:tc>
          <w:tcPr>
            <w:tcW w:w="467" w:type="pct"/>
            <w:noWrap/>
            <w:vAlign w:val="center"/>
          </w:tcPr>
          <w:p>
            <w:pPr>
              <w:pStyle w:val="3013"/>
              <w:rPr>
                <w:rFonts w:hint="eastAsia" w:ascii="方正黑体_GBK" w:hAnsi="方正黑体_GBK" w:eastAsia="方正黑体_GBK" w:cs="方正黑体_GBK"/>
              </w:rPr>
            </w:pPr>
            <w:r>
              <w:rPr>
                <w:rFonts w:hint="eastAsia" w:ascii="方正黑体_GBK" w:hAnsi="方正黑体_GBK" w:eastAsia="方正黑体_GBK" w:cs="方正黑体_GBK"/>
              </w:rPr>
              <w:t>防洪控制断面</w:t>
            </w:r>
          </w:p>
        </w:tc>
        <w:tc>
          <w:tcPr>
            <w:tcW w:w="1329" w:type="pct"/>
            <w:noWrap w:val="0"/>
            <w:vAlign w:val="center"/>
          </w:tcPr>
          <w:p>
            <w:pPr>
              <w:pStyle w:val="3013"/>
              <w:rPr>
                <w:rFonts w:hint="eastAsia" w:ascii="方正黑体_GBK" w:hAnsi="方正黑体_GBK" w:eastAsia="方正黑体_GBK" w:cs="方正黑体_GBK"/>
              </w:rPr>
            </w:pPr>
            <w:r>
              <w:rPr>
                <w:rFonts w:hint="eastAsia" w:ascii="方正黑体_GBK" w:hAnsi="方正黑体_GBK" w:eastAsia="方正黑体_GBK" w:cs="方正黑体_GBK"/>
              </w:rPr>
              <w:t>水位</w:t>
            </w:r>
          </w:p>
        </w:tc>
        <w:tc>
          <w:tcPr>
            <w:tcW w:w="2889" w:type="pct"/>
            <w:noWrap/>
            <w:vAlign w:val="center"/>
          </w:tcPr>
          <w:p>
            <w:pPr>
              <w:pStyle w:val="3013"/>
              <w:rPr>
                <w:rFonts w:hint="eastAsia" w:ascii="方正黑体_GBK" w:hAnsi="方正黑体_GBK" w:eastAsia="方正黑体_GBK" w:cs="方正黑体_GBK"/>
              </w:rPr>
            </w:pPr>
            <w:r>
              <w:rPr>
                <w:rFonts w:hint="eastAsia" w:ascii="方正黑体_GBK" w:hAnsi="方正黑体_GBK" w:eastAsia="方正黑体_GBK" w:cs="方正黑体_GBK"/>
              </w:rPr>
              <w:t>淹没范围</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315" w:type="pct"/>
            <w:vMerge w:val="restart"/>
            <w:noWrap/>
            <w:vAlign w:val="center"/>
          </w:tcPr>
          <w:p>
            <w:pPr>
              <w:pStyle w:val="3013"/>
              <w:rPr>
                <w:rFonts w:hint="default" w:ascii="Times New Roman" w:hAnsi="Times New Roman" w:eastAsia="方正仿宋_GBK" w:cs="Times New Roman"/>
              </w:rPr>
            </w:pPr>
            <w:r>
              <w:rPr>
                <w:rFonts w:hint="default" w:ascii="Times New Roman" w:hAnsi="Times New Roman" w:eastAsia="方正仿宋_GBK" w:cs="Times New Roman"/>
              </w:rPr>
              <w:t>三江街道</w:t>
            </w:r>
          </w:p>
        </w:tc>
        <w:tc>
          <w:tcPr>
            <w:tcW w:w="467" w:type="pct"/>
            <w:vMerge w:val="restart"/>
            <w:noWrap/>
            <w:vAlign w:val="center"/>
          </w:tcPr>
          <w:p>
            <w:pPr>
              <w:pStyle w:val="3013"/>
              <w:rPr>
                <w:rFonts w:hint="default" w:ascii="Times New Roman" w:hAnsi="Times New Roman" w:eastAsia="方正仿宋_GBK" w:cs="Times New Roman"/>
              </w:rPr>
            </w:pPr>
            <w:r>
              <w:rPr>
                <w:rFonts w:hint="default" w:ascii="Times New Roman" w:hAnsi="Times New Roman" w:eastAsia="方正仿宋_GBK" w:cs="Times New Roman"/>
              </w:rPr>
              <w:t>三江</w:t>
            </w:r>
          </w:p>
          <w:p>
            <w:pPr>
              <w:pStyle w:val="3013"/>
              <w:rPr>
                <w:rFonts w:hint="default" w:ascii="Times New Roman" w:hAnsi="Times New Roman" w:eastAsia="方正仿宋_GBK" w:cs="Times New Roman"/>
              </w:rPr>
            </w:pPr>
            <w:r>
              <w:rPr>
                <w:rFonts w:hint="default" w:ascii="Times New Roman" w:hAnsi="Times New Roman" w:eastAsia="方正仿宋_GBK" w:cs="Times New Roman"/>
              </w:rPr>
              <w:t>老大桥</w:t>
            </w:r>
          </w:p>
        </w:tc>
        <w:tc>
          <w:tcPr>
            <w:tcW w:w="1329" w:type="pct"/>
            <w:noWrap w:val="0"/>
            <w:vAlign w:val="center"/>
          </w:tcPr>
          <w:p>
            <w:pPr>
              <w:pStyle w:val="3013"/>
              <w:rPr>
                <w:rFonts w:hint="default" w:ascii="Times New Roman" w:hAnsi="Times New Roman" w:eastAsia="方正仿宋_GBK" w:cs="Times New Roman"/>
              </w:rPr>
            </w:pPr>
            <w:r>
              <w:rPr>
                <w:rFonts w:hint="default" w:ascii="Times New Roman" w:hAnsi="Times New Roman" w:eastAsia="方正仿宋_GBK" w:cs="Times New Roman"/>
              </w:rPr>
              <w:t>236.3m（约3年一遇）</w:t>
            </w:r>
          </w:p>
        </w:tc>
        <w:tc>
          <w:tcPr>
            <w:tcW w:w="2889" w:type="pct"/>
            <w:noWrap/>
            <w:vAlign w:val="center"/>
          </w:tcPr>
          <w:p>
            <w:pPr>
              <w:pStyle w:val="3013"/>
              <w:jc w:val="left"/>
              <w:rPr>
                <w:rFonts w:hint="default" w:ascii="Times New Roman" w:hAnsi="Times New Roman" w:eastAsia="方正仿宋_GBK" w:cs="Times New Roman"/>
              </w:rPr>
            </w:pPr>
            <w:r>
              <w:rPr>
                <w:rFonts w:hint="default" w:ascii="Times New Roman" w:hAnsi="Times New Roman" w:eastAsia="方正仿宋_GBK" w:cs="Times New Roman"/>
              </w:rPr>
              <w:t>三江街道老城区码头</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315" w:type="pct"/>
            <w:vMerge w:val="continue"/>
            <w:noWrap/>
            <w:vAlign w:val="center"/>
          </w:tcPr>
          <w:p>
            <w:pPr>
              <w:pStyle w:val="3013"/>
              <w:rPr>
                <w:rFonts w:hint="default" w:ascii="Times New Roman" w:hAnsi="Times New Roman" w:eastAsia="方正仿宋_GBK" w:cs="Times New Roman"/>
              </w:rPr>
            </w:pPr>
          </w:p>
        </w:tc>
        <w:tc>
          <w:tcPr>
            <w:tcW w:w="467" w:type="pct"/>
            <w:vMerge w:val="continue"/>
            <w:noWrap/>
            <w:vAlign w:val="center"/>
          </w:tcPr>
          <w:p>
            <w:pPr>
              <w:pStyle w:val="3013"/>
              <w:rPr>
                <w:rFonts w:hint="default" w:ascii="Times New Roman" w:hAnsi="Times New Roman" w:eastAsia="方正仿宋_GBK" w:cs="Times New Roman"/>
              </w:rPr>
            </w:pPr>
          </w:p>
        </w:tc>
        <w:tc>
          <w:tcPr>
            <w:tcW w:w="1329" w:type="pct"/>
            <w:noWrap w:val="0"/>
            <w:vAlign w:val="center"/>
          </w:tcPr>
          <w:p>
            <w:pPr>
              <w:pStyle w:val="3013"/>
              <w:rPr>
                <w:rFonts w:hint="default" w:ascii="Times New Roman" w:hAnsi="Times New Roman" w:eastAsia="方正仿宋_GBK" w:cs="Times New Roman"/>
              </w:rPr>
            </w:pPr>
            <w:r>
              <w:rPr>
                <w:rFonts w:hint="default" w:ascii="Times New Roman" w:hAnsi="Times New Roman" w:eastAsia="方正仿宋_GBK" w:cs="Times New Roman"/>
              </w:rPr>
              <w:t>238.9m（约10年一遇）</w:t>
            </w:r>
          </w:p>
        </w:tc>
        <w:tc>
          <w:tcPr>
            <w:tcW w:w="2889" w:type="pct"/>
            <w:noWrap/>
            <w:vAlign w:val="center"/>
          </w:tcPr>
          <w:p>
            <w:pPr>
              <w:pStyle w:val="3013"/>
              <w:jc w:val="left"/>
              <w:rPr>
                <w:rFonts w:hint="default" w:ascii="Times New Roman" w:hAnsi="Times New Roman" w:eastAsia="方正仿宋_GBK" w:cs="Times New Roman"/>
              </w:rPr>
            </w:pPr>
            <w:r>
              <w:rPr>
                <w:rFonts w:hint="default" w:ascii="Times New Roman" w:hAnsi="Times New Roman" w:eastAsia="方正仿宋_GBK" w:cs="Times New Roman"/>
              </w:rPr>
              <w:t>三江街道老城区码头、蒲河与綦江河交汇处附近民房、农贸市场、街道卫生院、三江火车站</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315" w:type="pct"/>
            <w:vMerge w:val="continue"/>
            <w:noWrap/>
            <w:vAlign w:val="center"/>
          </w:tcPr>
          <w:p>
            <w:pPr>
              <w:pStyle w:val="3013"/>
              <w:rPr>
                <w:rFonts w:hint="default" w:ascii="Times New Roman" w:hAnsi="Times New Roman" w:eastAsia="方正仿宋_GBK" w:cs="Times New Roman"/>
              </w:rPr>
            </w:pPr>
          </w:p>
        </w:tc>
        <w:tc>
          <w:tcPr>
            <w:tcW w:w="467" w:type="pct"/>
            <w:vMerge w:val="continue"/>
            <w:noWrap/>
            <w:vAlign w:val="center"/>
          </w:tcPr>
          <w:p>
            <w:pPr>
              <w:pStyle w:val="3013"/>
              <w:rPr>
                <w:rFonts w:hint="default" w:ascii="Times New Roman" w:hAnsi="Times New Roman" w:eastAsia="方正仿宋_GBK" w:cs="Times New Roman"/>
              </w:rPr>
            </w:pPr>
          </w:p>
        </w:tc>
        <w:tc>
          <w:tcPr>
            <w:tcW w:w="1329" w:type="pct"/>
            <w:noWrap w:val="0"/>
            <w:vAlign w:val="center"/>
          </w:tcPr>
          <w:p>
            <w:pPr>
              <w:pStyle w:val="3013"/>
              <w:rPr>
                <w:rFonts w:hint="default" w:ascii="Times New Roman" w:hAnsi="Times New Roman" w:eastAsia="方正仿宋_GBK" w:cs="Times New Roman"/>
              </w:rPr>
            </w:pPr>
            <w:r>
              <w:rPr>
                <w:rFonts w:hint="default" w:ascii="Times New Roman" w:hAnsi="Times New Roman" w:eastAsia="方正仿宋_GBK" w:cs="Times New Roman"/>
              </w:rPr>
              <w:t>240.10m（约20年一遇）</w:t>
            </w:r>
          </w:p>
        </w:tc>
        <w:tc>
          <w:tcPr>
            <w:tcW w:w="2889" w:type="pct"/>
            <w:noWrap/>
            <w:vAlign w:val="center"/>
          </w:tcPr>
          <w:p>
            <w:pPr>
              <w:pStyle w:val="3013"/>
              <w:jc w:val="left"/>
              <w:rPr>
                <w:rFonts w:hint="default" w:ascii="Times New Roman" w:hAnsi="Times New Roman" w:eastAsia="方正仿宋_GBK" w:cs="Times New Roman"/>
              </w:rPr>
            </w:pPr>
            <w:r>
              <w:rPr>
                <w:rFonts w:hint="default" w:ascii="Times New Roman" w:hAnsi="Times New Roman" w:eastAsia="方正仿宋_GBK" w:cs="Times New Roman"/>
              </w:rPr>
              <w:t>三江街道老城区码头、蒲河与綦江河交汇处附近民房、农贸市场、街道卫生院、三江火车站、新联片区、钢丝绳厂、钢丝绳厂影剧院、老大桥临河片区、蒲河河口片区、老街</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315" w:type="pct"/>
            <w:vMerge w:val="continue"/>
            <w:noWrap/>
            <w:vAlign w:val="center"/>
          </w:tcPr>
          <w:p>
            <w:pPr>
              <w:pStyle w:val="3013"/>
              <w:rPr>
                <w:rFonts w:hint="default" w:ascii="Times New Roman" w:hAnsi="Times New Roman" w:eastAsia="方正仿宋_GBK" w:cs="Times New Roman"/>
              </w:rPr>
            </w:pPr>
          </w:p>
        </w:tc>
        <w:tc>
          <w:tcPr>
            <w:tcW w:w="467" w:type="pct"/>
            <w:vMerge w:val="continue"/>
            <w:noWrap/>
            <w:vAlign w:val="center"/>
          </w:tcPr>
          <w:p>
            <w:pPr>
              <w:pStyle w:val="3013"/>
              <w:rPr>
                <w:rFonts w:hint="default" w:ascii="Times New Roman" w:hAnsi="Times New Roman" w:eastAsia="方正仿宋_GBK" w:cs="Times New Roman"/>
              </w:rPr>
            </w:pPr>
          </w:p>
        </w:tc>
        <w:tc>
          <w:tcPr>
            <w:tcW w:w="1329" w:type="pct"/>
            <w:noWrap w:val="0"/>
            <w:vAlign w:val="center"/>
          </w:tcPr>
          <w:p>
            <w:pPr>
              <w:pStyle w:val="3013"/>
              <w:rPr>
                <w:rFonts w:hint="default" w:ascii="Times New Roman" w:hAnsi="Times New Roman" w:eastAsia="方正仿宋_GBK" w:cs="Times New Roman"/>
              </w:rPr>
            </w:pPr>
            <w:r>
              <w:rPr>
                <w:rFonts w:hint="default" w:ascii="Times New Roman" w:hAnsi="Times New Roman" w:eastAsia="方正仿宋_GBK" w:cs="Times New Roman"/>
              </w:rPr>
              <w:t>241.68m（约50年一遇）</w:t>
            </w:r>
          </w:p>
        </w:tc>
        <w:tc>
          <w:tcPr>
            <w:tcW w:w="2889" w:type="pct"/>
            <w:noWrap/>
            <w:vAlign w:val="center"/>
          </w:tcPr>
          <w:p>
            <w:pPr>
              <w:pStyle w:val="3013"/>
              <w:jc w:val="left"/>
              <w:rPr>
                <w:rFonts w:hint="default" w:ascii="Times New Roman" w:hAnsi="Times New Roman" w:eastAsia="方正仿宋_GBK" w:cs="Times New Roman"/>
              </w:rPr>
            </w:pPr>
            <w:r>
              <w:rPr>
                <w:rFonts w:hint="default" w:ascii="Times New Roman" w:hAnsi="Times New Roman" w:eastAsia="方正仿宋_GBK" w:cs="Times New Roman"/>
              </w:rPr>
              <w:t>三江街道老城区码头、蒲河与綦江河交汇处附近民房、农贸市场、街道卫生院、三江火车站、新联片区、钢丝绳厂、钢丝绳厂影剧院、老大桥临河片区、蒲河河口片区、老街、创业园、场口菜市场、污水处理厂</w:t>
            </w:r>
          </w:p>
        </w:tc>
      </w:tr>
    </w:tbl>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2</w:t>
      </w:r>
      <w:r>
        <w:rPr>
          <w:rFonts w:hint="eastAsia" w:ascii="Times New Roman" w:eastAsia="方正仿宋_GBK" w:cs="Times New Roman"/>
          <w:kern w:val="0"/>
          <w:sz w:val="32"/>
          <w:szCs w:val="32"/>
          <w:lang w:val="en-US" w:eastAsia="zh-CN"/>
        </w:rPr>
        <w:t>．</w:t>
      </w:r>
      <w:r>
        <w:rPr>
          <w:rFonts w:hint="eastAsia" w:ascii="Times New Roman" w:hAnsi="Times New Roman" w:eastAsia="方正仿宋_GBK" w:cs="Times New Roman"/>
          <w:kern w:val="2"/>
          <w:sz w:val="32"/>
          <w:szCs w:val="32"/>
          <w:lang w:val="en-US" w:eastAsia="zh-CN" w:bidi="ar-SA"/>
        </w:rPr>
        <w:t>涉河建筑物阻水</w:t>
      </w:r>
    </w:p>
    <w:p>
      <w:pPr>
        <w:pStyle w:val="1280"/>
        <w:ind w:firstLine="560"/>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2.1 綦江干流建有多座航电梯级，部分梯级壅水严重</w:t>
      </w:r>
    </w:p>
    <w:p>
      <w:pPr>
        <w:pStyle w:val="2953"/>
        <w:ind w:firstLine="560"/>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据调查，綦江河干流现有9级航电枢纽和电站，多建于上世纪40年代，大坝多为混凝土溢流坝，坝高为4.3</w:t>
      </w:r>
      <w:r>
        <w:rPr>
          <w:rFonts w:hint="eastAsia" w:ascii="Times New Roman" w:eastAsia="方正仿宋_GBK" w:cs="Times New Roman"/>
          <w:kern w:val="2"/>
          <w:sz w:val="32"/>
          <w:szCs w:val="32"/>
          <w:lang w:val="en-US" w:eastAsia="zh-CN" w:bidi="ar-SA"/>
        </w:rPr>
        <w:t>—</w:t>
      </w:r>
      <w:r>
        <w:rPr>
          <w:rFonts w:hint="eastAsia" w:ascii="Times New Roman" w:hAnsi="Times New Roman" w:eastAsia="方正仿宋_GBK" w:cs="Times New Roman"/>
          <w:kern w:val="2"/>
          <w:sz w:val="32"/>
          <w:szCs w:val="32"/>
          <w:lang w:val="en-US" w:eastAsia="zh-CN" w:bidi="ar-SA"/>
        </w:rPr>
        <w:t>14.5m。各级航电枢纽将产生不同程度的壅水，回水影响距离为6.2</w:t>
      </w:r>
      <w:r>
        <w:rPr>
          <w:rFonts w:hint="eastAsia" w:ascii="Times New Roman" w:eastAsia="方正仿宋_GBK" w:cs="Times New Roman"/>
          <w:kern w:val="2"/>
          <w:sz w:val="32"/>
          <w:szCs w:val="32"/>
          <w:lang w:val="en-US" w:eastAsia="zh-CN" w:bidi="ar-SA"/>
        </w:rPr>
        <w:t>—</w:t>
      </w:r>
      <w:r>
        <w:rPr>
          <w:rFonts w:hint="eastAsia" w:ascii="Times New Roman" w:hAnsi="Times New Roman" w:eastAsia="方正仿宋_GBK" w:cs="Times New Roman"/>
          <w:kern w:val="2"/>
          <w:sz w:val="32"/>
          <w:szCs w:val="32"/>
          <w:lang w:val="en-US" w:eastAsia="zh-CN" w:bidi="ar-SA"/>
        </w:rPr>
        <w:t>15.2km，其中桥溪口枢纽、大常枢纽、桥河枢纽、石溪口枢纽等壅水在一定程度上影响了綦江的行洪能力，抬高了綦江的洪水位，增大了防洪压力。如大常枢纽在20年一遇防洪设计水位情况下阻水率达25%，客观上造成了綦江干流綦江城区段的水位壅高。</w:t>
      </w:r>
    </w:p>
    <w:p>
      <w:pPr>
        <w:pStyle w:val="1280"/>
        <w:ind w:firstLine="560"/>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2.2 綦江干流桥梁众多，部分桥梁有一定壅水、阻水作用</w:t>
      </w:r>
    </w:p>
    <w:p>
      <w:pPr>
        <w:pStyle w:val="2953"/>
        <w:ind w:firstLine="560"/>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据调查，綦江干流赶水至五福枢纽段共有桥梁15座。各类桥梁防洪标准多为50</w:t>
      </w:r>
      <w:r>
        <w:rPr>
          <w:rFonts w:hint="eastAsia" w:ascii="Times New Roman" w:eastAsia="方正仿宋_GBK" w:cs="Times New Roman"/>
          <w:kern w:val="2"/>
          <w:sz w:val="32"/>
          <w:szCs w:val="32"/>
          <w:lang w:val="en-US" w:eastAsia="zh-CN" w:bidi="ar-SA"/>
        </w:rPr>
        <w:t>—</w:t>
      </w:r>
      <w:r>
        <w:rPr>
          <w:rFonts w:hint="eastAsia" w:ascii="Times New Roman" w:hAnsi="Times New Roman" w:eastAsia="方正仿宋_GBK" w:cs="Times New Roman"/>
          <w:kern w:val="2"/>
          <w:sz w:val="32"/>
          <w:szCs w:val="32"/>
          <w:lang w:val="en-US" w:eastAsia="zh-CN" w:bidi="ar-SA"/>
        </w:rPr>
        <w:t>100年一遇，由于綦江洪水较大，部分桥梁依然会产生一定程度的壅水，但多数壅水高度较低，回水距离短，影响较小。经初步分析，城市规划区内壅水影响较大的主要为位于綦江主城区的城北大桥和綦江大桥。其中，綦江大桥为连续石拱桥，在20年一遇防洪设计水位情况下阻水率达20%，1998年綦江大桥洪痕（227.26m）距离桥梁底高（227.4m）仅差0.14m，2020年綦江大桥洪痕（227.00m）距离桥梁底高仅差0.40m。</w:t>
      </w:r>
    </w:p>
    <w:p>
      <w:pPr>
        <w:pStyle w:val="2260"/>
        <w:keepNext w:val="0"/>
        <w:keepLines w:val="0"/>
        <w:pageBreakBefore w:val="0"/>
        <w:widowControl w:val="0"/>
        <w:numPr>
          <w:ilvl w:val="0"/>
          <w:numId w:val="0"/>
        </w:numPr>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3.城市建设挤压行洪空间</w:t>
      </w:r>
    </w:p>
    <w:p>
      <w:pPr>
        <w:pStyle w:val="2953"/>
        <w:ind w:firstLine="560"/>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重庆直辖之前，綦江城区依河而生，集中发展，城区的发展受“山、水”地形地貌的影响较大，初期城市拓展用地主要集中于綦江两岸</w:t>
      </w:r>
      <w:r>
        <w:rPr>
          <w:rFonts w:hint="eastAsia" w:ascii="Times New Roman" w:hAnsi="Times New Roman" w:eastAsia="方正仿宋_GBK" w:cs="Times New Roman"/>
          <w:spacing w:val="6"/>
          <w:kern w:val="2"/>
          <w:sz w:val="32"/>
          <w:szCs w:val="32"/>
          <w:lang w:val="en-US" w:eastAsia="zh-CN" w:bidi="ar-SA"/>
        </w:rPr>
        <w:t>河谷地带，依托綦江天然之取势，城市结合地形，占据“几”字湾两岸发展，奠定了单中心发展的基本格局。1997</w:t>
      </w:r>
      <w:r>
        <w:rPr>
          <w:rFonts w:hint="eastAsia" w:ascii="Times New Roman" w:eastAsia="方正仿宋_GBK" w:cs="Times New Roman"/>
          <w:spacing w:val="6"/>
          <w:kern w:val="2"/>
          <w:sz w:val="32"/>
          <w:szCs w:val="32"/>
          <w:lang w:val="en-US" w:eastAsia="zh-CN" w:bidi="ar-SA"/>
        </w:rPr>
        <w:t>—</w:t>
      </w:r>
      <w:r>
        <w:rPr>
          <w:rFonts w:hint="eastAsia" w:ascii="Times New Roman" w:hAnsi="Times New Roman" w:eastAsia="方正仿宋_GBK" w:cs="Times New Roman"/>
          <w:kern w:val="2"/>
          <w:sz w:val="32"/>
          <w:szCs w:val="32"/>
          <w:lang w:val="en-US" w:eastAsia="zh-CN" w:bidi="ar-SA"/>
        </w:rPr>
        <w:t>2002年，依托渝黔高速带动，綦江城区向南北纵向发展，重点沿九龙大道向北展开布局，形成依托老城的单中心带形拓展格局。2003</w:t>
      </w:r>
      <w:r>
        <w:rPr>
          <w:rFonts w:hint="eastAsia" w:ascii="Times New Roman" w:eastAsia="方正仿宋_GBK" w:cs="Times New Roman"/>
          <w:kern w:val="2"/>
          <w:sz w:val="32"/>
          <w:szCs w:val="32"/>
          <w:lang w:val="en-US" w:eastAsia="zh-CN" w:bidi="ar-SA"/>
        </w:rPr>
        <w:t>—</w:t>
      </w:r>
      <w:r>
        <w:rPr>
          <w:rFonts w:hint="eastAsia" w:ascii="Times New Roman" w:hAnsi="Times New Roman" w:eastAsia="方正仿宋_GBK" w:cs="Times New Roman"/>
          <w:kern w:val="2"/>
          <w:sz w:val="32"/>
          <w:szCs w:val="32"/>
          <w:lang w:val="en-US" w:eastAsia="zh-CN" w:bidi="ar-SA"/>
        </w:rPr>
        <w:t>2012年，依托渝黔高速公路的带动，城市建设区主要在翠屏山西侧沿渝黔高速公路、綦江两侧南北纵向展开；受三环高速公路建设的带动，城市沿三环高速公路、通惠河两侧向东拓展，城区环翠屏山形成西侧老城、北侧通惠、南侧桥河工业园、三江共4个主要组团。2012年至今，綦江城区将依托现状发展格局、顺应地形格局，结合对接主城区、辐射区域的推动力，形成依托翠屏山生态绿心，同时向南北拓展的发展格局，构建多组团的城市形态。总体来看，綦江城区演变格局逐渐从沿河组团发展、沿路带形拓展转变为围绕翠屏山呈多中心环形拓展且向南北槽谷延伸的模式，见图2.3</w:t>
      </w:r>
      <w:r>
        <w:rPr>
          <w:rFonts w:hint="eastAsia" w:ascii="Times New Roman" w:eastAsia="方正仿宋_GBK" w:cs="Times New Roman"/>
          <w:kern w:val="2"/>
          <w:sz w:val="32"/>
          <w:szCs w:val="32"/>
          <w:lang w:val="en-US" w:eastAsia="zh-CN" w:bidi="ar-SA"/>
        </w:rPr>
        <w:t>—</w:t>
      </w:r>
      <w:r>
        <w:rPr>
          <w:rFonts w:hint="eastAsia" w:ascii="Times New Roman" w:hAnsi="Times New Roman" w:eastAsia="方正仿宋_GBK" w:cs="Times New Roman"/>
          <w:kern w:val="2"/>
          <w:sz w:val="32"/>
          <w:szCs w:val="32"/>
          <w:lang w:val="en-US" w:eastAsia="zh-CN" w:bidi="ar-SA"/>
        </w:rPr>
        <w:t>7。</w:t>
      </w:r>
    </w:p>
    <w:p>
      <w:pPr>
        <w:pStyle w:val="853"/>
        <w:spacing w:line="240" w:lineRule="auto"/>
        <w:ind w:firstLine="0" w:firstLineChars="0"/>
        <w:jc w:val="center"/>
      </w:pPr>
      <w:r>
        <w:drawing>
          <wp:inline distT="0" distB="0" distL="114300" distR="114300">
            <wp:extent cx="4142740" cy="2468880"/>
            <wp:effectExtent l="0" t="0" r="10160" b="7620"/>
            <wp:docPr id="79" name="图片 113" descr="綦江城区结构演变分析_副本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9" name="图片 113" descr="綦江城区结构演变分析_副本1"/>
                    <pic:cNvPicPr>
                      <a:picLocks noChangeAspect="true"/>
                    </pic:cNvPicPr>
                  </pic:nvPicPr>
                  <pic:blipFill>
                    <a:blip r:embed="rId118"/>
                    <a:stretch>
                      <a:fillRect/>
                    </a:stretch>
                  </pic:blipFill>
                  <pic:spPr>
                    <a:xfrm>
                      <a:off x="0" y="0"/>
                      <a:ext cx="4142740" cy="2468880"/>
                    </a:xfrm>
                    <a:prstGeom prst="rect">
                      <a:avLst/>
                    </a:prstGeom>
                    <a:noFill/>
                    <a:ln>
                      <a:noFill/>
                    </a:ln>
                  </pic:spPr>
                </pic:pic>
              </a:graphicData>
            </a:graphic>
          </wp:inline>
        </w:drawing>
      </w:r>
    </w:p>
    <w:p>
      <w:pPr>
        <w:pStyle w:val="2886"/>
      </w:pPr>
      <w:r>
        <w:rPr>
          <w:rFonts w:hint="default" w:ascii="Times New Roman" w:hAnsi="Times New Roman" w:cs="Times New Roman"/>
        </w:rPr>
        <w:t>图2.3</w:t>
      </w:r>
      <w:r>
        <w:rPr>
          <w:rFonts w:hint="default" w:ascii="Times New Roman" w:hAnsi="Times New Roman" w:cs="Times New Roman"/>
          <w:lang w:eastAsia="zh-CN"/>
        </w:rPr>
        <w:t>—</w:t>
      </w:r>
      <w:r>
        <w:rPr>
          <w:rFonts w:hint="default" w:ascii="Times New Roman" w:hAnsi="Times New Roman" w:cs="Times New Roman"/>
        </w:rPr>
        <w:t>7 　 綦</w:t>
      </w:r>
      <w:r>
        <w:rPr>
          <w:rFonts w:hint="eastAsia"/>
        </w:rPr>
        <w:t>江城区结构演变趋势</w:t>
      </w:r>
      <w:r>
        <w:t>图</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从图2.3—7可以看出，上世纪90年代以前，綦江城区主要为现在的文龙街道部分范围（綦江右岸与支流通惠河右岸交汇区域），綦江干流左右岸大多地区为农田，地势较低，常年受洪水侵袭，小水垦殖，大水行洪。重庆直辖后綦江大规模城市扩建，在綦江沿岸洪泛区新建了下北街片区（彩虹桥—大常枢纽段左岸）和菜坝片区（交警队—通惠河口右岸）等城区，致使洪水风险加剧，洪灾损失加大。经计算分析，綦江主城区菜坝片区和北街片区以及三江街道蒲河河口地区所在河段防洪标准仅为2—5年一遇，受洪水影响最为显著。</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由于缺乏有效管理，城市及周边建设过度挤占綦江河道行洪断面，人为造成河道卡口，致使河道行洪能力降低，从而造成水面壅高。綦江主城区上段綦江火车站至城区下游桥溪口枢纽河段，长14.29km，20年一遇洪水条件下平均水面宽度147m，其中卡口河段为綦江大桥、城北大桥、大常枢纽以及大岩门至北渡大桥河段，其中桩号5+438（城北大桥下游895m）行洪宽度110m，桩号5+790—7+196（北渡大桥）行洪宽度80—122m，见图2.3—8、图2.3—9和图2.3—10。彩虹桥、綦江大桥、北渡场等断面河底高程偏高，造成彩虹桥至城北大桥城区河段以及北渡场河段水位壅高，见图2.3—11。1998年“8.7”洪水流量与1968年大致相同，但水位却高出1.6m，这与河道行洪断面缩小、河床抬高直接相关。</w:t>
      </w:r>
    </w:p>
    <w:p>
      <w:pPr>
        <w:pStyle w:val="965"/>
        <w:rPr>
          <w:rFonts w:hint="eastAsia" w:ascii="仿宋_GB2312" w:eastAsia="仿宋_GB2312"/>
        </w:rPr>
      </w:pPr>
      <w:r>
        <w:rPr>
          <w:rFonts w:hint="eastAsia" w:ascii="仿宋_GB2312" w:eastAsia="仿宋_GB2312"/>
        </w:rPr>
        <w:drawing>
          <wp:inline distT="0" distB="0" distL="114300" distR="114300">
            <wp:extent cx="5096510" cy="2001520"/>
            <wp:effectExtent l="0" t="0" r="8890" b="17780"/>
            <wp:docPr id="80" name="图片 117" descr="卡口位置图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0" name="图片 117" descr="卡口位置图2"/>
                    <pic:cNvPicPr>
                      <a:picLocks noChangeAspect="true"/>
                    </pic:cNvPicPr>
                  </pic:nvPicPr>
                  <pic:blipFill>
                    <a:blip r:embed="rId119">
                      <a:lum bright="20001"/>
                    </a:blip>
                    <a:srcRect t="3848" b="6300"/>
                    <a:stretch>
                      <a:fillRect/>
                    </a:stretch>
                  </pic:blipFill>
                  <pic:spPr>
                    <a:xfrm>
                      <a:off x="0" y="0"/>
                      <a:ext cx="5096510" cy="2001520"/>
                    </a:xfrm>
                    <a:prstGeom prst="rect">
                      <a:avLst/>
                    </a:prstGeom>
                    <a:noFill/>
                    <a:ln>
                      <a:noFill/>
                    </a:ln>
                  </pic:spPr>
                </pic:pic>
              </a:graphicData>
            </a:graphic>
          </wp:inline>
        </w:drawing>
      </w:r>
    </w:p>
    <w:p>
      <w:pPr>
        <w:pStyle w:val="2886"/>
        <w:rPr>
          <w:rFonts w:hint="default" w:ascii="Times New Roman" w:hAnsi="Times New Roman" w:eastAsia="方正黑体_GBK" w:cs="Times New Roman"/>
        </w:rPr>
      </w:pPr>
      <w:r>
        <w:rPr>
          <w:rFonts w:hint="default" w:ascii="Times New Roman" w:hAnsi="Times New Roman" w:eastAsia="方正黑体_GBK" w:cs="Times New Roman"/>
        </w:rPr>
        <w:t>图2.3</w:t>
      </w:r>
      <w:r>
        <w:rPr>
          <w:rFonts w:hint="default" w:ascii="Times New Roman" w:hAnsi="Times New Roman" w:eastAsia="方正黑体_GBK" w:cs="Times New Roman"/>
          <w:lang w:eastAsia="zh-CN"/>
        </w:rPr>
        <w:t>—</w:t>
      </w:r>
      <w:r>
        <w:rPr>
          <w:rFonts w:hint="default" w:ascii="Times New Roman" w:hAnsi="Times New Roman" w:eastAsia="方正黑体_GBK" w:cs="Times New Roman"/>
        </w:rPr>
        <w:t>8 　 綦江干流主城区下游河段卡口位置示意图</w:t>
      </w:r>
    </w:p>
    <w:p>
      <w:pPr>
        <w:pStyle w:val="965"/>
      </w:pPr>
      <w:r>
        <w:drawing>
          <wp:inline distT="0" distB="0" distL="114300" distR="114300">
            <wp:extent cx="5688965" cy="2425700"/>
            <wp:effectExtent l="0" t="0" r="6985" b="12700"/>
            <wp:docPr id="81"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1" name="图片 6"/>
                    <pic:cNvPicPr>
                      <a:picLocks noChangeAspect="true"/>
                    </pic:cNvPicPr>
                  </pic:nvPicPr>
                  <pic:blipFill>
                    <a:blip r:embed="rId120"/>
                    <a:stretch>
                      <a:fillRect/>
                    </a:stretch>
                  </pic:blipFill>
                  <pic:spPr>
                    <a:xfrm>
                      <a:off x="0" y="0"/>
                      <a:ext cx="5688965" cy="2425700"/>
                    </a:xfrm>
                    <a:prstGeom prst="rect">
                      <a:avLst/>
                    </a:prstGeom>
                    <a:noFill/>
                    <a:ln>
                      <a:noFill/>
                    </a:ln>
                  </pic:spPr>
                </pic:pic>
              </a:graphicData>
            </a:graphic>
          </wp:inline>
        </w:drawing>
      </w:r>
    </w:p>
    <w:p>
      <w:pPr>
        <w:pStyle w:val="2886"/>
        <w:rPr>
          <w:rFonts w:hint="default" w:ascii="Times New Roman" w:hAnsi="Times New Roman" w:eastAsia="方正黑体_GBK" w:cs="Times New Roman"/>
        </w:rPr>
      </w:pPr>
      <w:r>
        <w:rPr>
          <w:rFonts w:hint="default" w:ascii="Times New Roman" w:hAnsi="Times New Roman" w:eastAsia="方正黑体_GBK" w:cs="Times New Roman"/>
        </w:rPr>
        <w:t>图2.3</w:t>
      </w:r>
      <w:r>
        <w:rPr>
          <w:rFonts w:hint="default" w:ascii="Times New Roman" w:hAnsi="Times New Roman" w:eastAsia="方正黑体_GBK" w:cs="Times New Roman"/>
          <w:lang w:eastAsia="zh-CN"/>
        </w:rPr>
        <w:t>—</w:t>
      </w:r>
      <w:r>
        <w:rPr>
          <w:rFonts w:hint="default" w:ascii="Times New Roman" w:hAnsi="Times New Roman" w:eastAsia="方正黑体_GBK" w:cs="Times New Roman"/>
        </w:rPr>
        <w:t>9 　 綦江火车站至桥溪口枢纽段的沿程行洪宽度和20年一遇水面线</w:t>
      </w:r>
    </w:p>
    <w:p>
      <w:pPr>
        <w:pStyle w:val="965"/>
      </w:pPr>
      <w:r>
        <w:drawing>
          <wp:inline distT="0" distB="0" distL="114300" distR="114300">
            <wp:extent cx="5722620" cy="2551430"/>
            <wp:effectExtent l="0" t="0" r="11430" b="1270"/>
            <wp:docPr id="82" name="图片 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2" name="图片 14"/>
                    <pic:cNvPicPr>
                      <a:picLocks noChangeAspect="true"/>
                    </pic:cNvPicPr>
                  </pic:nvPicPr>
                  <pic:blipFill>
                    <a:blip r:embed="rId121"/>
                    <a:stretch>
                      <a:fillRect/>
                    </a:stretch>
                  </pic:blipFill>
                  <pic:spPr>
                    <a:xfrm>
                      <a:off x="0" y="0"/>
                      <a:ext cx="5722620" cy="2551430"/>
                    </a:xfrm>
                    <a:prstGeom prst="rect">
                      <a:avLst/>
                    </a:prstGeom>
                    <a:noFill/>
                    <a:ln>
                      <a:noFill/>
                    </a:ln>
                  </pic:spPr>
                </pic:pic>
              </a:graphicData>
            </a:graphic>
          </wp:inline>
        </w:drawing>
      </w:r>
    </w:p>
    <w:p>
      <w:pPr>
        <w:pStyle w:val="2886"/>
        <w:rPr>
          <w:rFonts w:hint="default" w:ascii="Times New Roman" w:hAnsi="Times New Roman" w:eastAsia="方正黑体_GBK" w:cs="Times New Roman"/>
        </w:rPr>
      </w:pPr>
      <w:r>
        <w:rPr>
          <w:rFonts w:hint="default" w:ascii="Times New Roman" w:hAnsi="Times New Roman" w:eastAsia="方正黑体_GBK" w:cs="Times New Roman"/>
        </w:rPr>
        <w:t>图2.3</w:t>
      </w:r>
      <w:r>
        <w:rPr>
          <w:rFonts w:hint="default" w:ascii="Times New Roman" w:hAnsi="Times New Roman" w:eastAsia="方正黑体_GBK" w:cs="Times New Roman"/>
          <w:lang w:eastAsia="zh-CN"/>
        </w:rPr>
        <w:t>—</w:t>
      </w:r>
      <w:r>
        <w:rPr>
          <w:rFonts w:hint="default" w:ascii="Times New Roman" w:hAnsi="Times New Roman" w:eastAsia="方正黑体_GBK" w:cs="Times New Roman"/>
        </w:rPr>
        <w:t>10 　 綦江火车站至桥溪口枢纽段的沿程过洪面积和20年一遇水面线</w:t>
      </w:r>
    </w:p>
    <w:p>
      <w:pPr>
        <w:pStyle w:val="965"/>
        <w:rPr>
          <w:rFonts w:hint="eastAsia" w:ascii="仿宋_GB2312" w:eastAsia="仿宋_GB2312"/>
        </w:rPr>
      </w:pPr>
      <w:r>
        <w:drawing>
          <wp:inline distT="0" distB="0" distL="114300" distR="114300">
            <wp:extent cx="5678805" cy="2517775"/>
            <wp:effectExtent l="0" t="0" r="17145" b="15875"/>
            <wp:docPr id="83"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3" name="图片 6"/>
                    <pic:cNvPicPr>
                      <a:picLocks noChangeAspect="true"/>
                    </pic:cNvPicPr>
                  </pic:nvPicPr>
                  <pic:blipFill>
                    <a:blip r:embed="rId122"/>
                    <a:stretch>
                      <a:fillRect/>
                    </a:stretch>
                  </pic:blipFill>
                  <pic:spPr>
                    <a:xfrm>
                      <a:off x="0" y="0"/>
                      <a:ext cx="5678805" cy="2517775"/>
                    </a:xfrm>
                    <a:prstGeom prst="rect">
                      <a:avLst/>
                    </a:prstGeom>
                    <a:noFill/>
                    <a:ln>
                      <a:noFill/>
                    </a:ln>
                  </pic:spPr>
                </pic:pic>
              </a:graphicData>
            </a:graphic>
          </wp:inline>
        </w:drawing>
      </w:r>
    </w:p>
    <w:p>
      <w:pPr>
        <w:pStyle w:val="2886"/>
        <w:rPr>
          <w:rFonts w:hint="default" w:ascii="Times New Roman" w:hAnsi="Times New Roman" w:eastAsia="方正黑体_GBK" w:cs="Times New Roman"/>
        </w:rPr>
      </w:pPr>
      <w:r>
        <w:rPr>
          <w:rFonts w:hint="default" w:ascii="Times New Roman" w:hAnsi="Times New Roman" w:eastAsia="方正黑体_GBK" w:cs="Times New Roman"/>
        </w:rPr>
        <w:t>图2.3</w:t>
      </w:r>
      <w:r>
        <w:rPr>
          <w:rFonts w:hint="default" w:ascii="Times New Roman" w:hAnsi="Times New Roman" w:eastAsia="方正黑体_GBK" w:cs="Times New Roman"/>
          <w:lang w:eastAsia="zh-CN"/>
        </w:rPr>
        <w:t>—</w:t>
      </w:r>
      <w:r>
        <w:rPr>
          <w:rFonts w:hint="default" w:ascii="Times New Roman" w:hAnsi="Times New Roman" w:eastAsia="方正黑体_GBK" w:cs="Times New Roman"/>
        </w:rPr>
        <w:t>11 　 綦江火车站至桥溪口枢纽段的沿程河底高程和20年一遇水面线</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4</w:t>
      </w:r>
      <w:r>
        <w:rPr>
          <w:rFonts w:hint="eastAsia" w:ascii="Times New Roman" w:eastAsia="方正仿宋_GBK" w:cs="Times New Roman"/>
          <w:kern w:val="0"/>
          <w:sz w:val="32"/>
          <w:szCs w:val="32"/>
          <w:lang w:val="en-US" w:eastAsia="zh-CN"/>
        </w:rPr>
        <w:t>．</w:t>
      </w:r>
      <w:r>
        <w:rPr>
          <w:rFonts w:hint="eastAsia" w:ascii="Times New Roman" w:hAnsi="Times New Roman" w:eastAsia="方正仿宋_GBK" w:cs="Times New Roman"/>
          <w:kern w:val="2"/>
          <w:sz w:val="32"/>
          <w:szCs w:val="32"/>
          <w:lang w:val="en-US" w:eastAsia="zh-CN" w:bidi="ar-SA"/>
        </w:rPr>
        <w:t>无防洪控制性水库</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綦江城区上游无防洪控制性水库，已建水库均为小型水库，多以灌溉、供水为主，无防洪水库。</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5</w:t>
      </w:r>
      <w:r>
        <w:rPr>
          <w:rFonts w:hint="eastAsia" w:ascii="Times New Roman" w:eastAsia="方正仿宋_GBK" w:cs="Times New Roman"/>
          <w:kern w:val="0"/>
          <w:sz w:val="32"/>
          <w:szCs w:val="32"/>
          <w:lang w:val="en-US" w:eastAsia="zh-CN"/>
        </w:rPr>
        <w:t>．</w:t>
      </w:r>
      <w:r>
        <w:rPr>
          <w:rFonts w:hint="eastAsia" w:ascii="Times New Roman" w:hAnsi="Times New Roman" w:eastAsia="方正仿宋_GBK" w:cs="Times New Roman"/>
          <w:kern w:val="2"/>
          <w:sz w:val="32"/>
          <w:szCs w:val="32"/>
          <w:lang w:val="en-US" w:eastAsia="zh-CN" w:bidi="ar-SA"/>
        </w:rPr>
        <w:t>极端洪水监测能力不足</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5.1 监测存在盲区，站网布局有待优化。</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当前水雨情监测站网已基本满足防汛需求，但由于强降雨时空分布很不均匀，且受制于自然因素、技术手段等影响，少部分地区代表性仍显不足；由于綦江流域洪水地区组成与遭遇复杂，未控区间大，东溪站至城北大桥段仅支流蒲河有水文站控制，造成无水文观测站点的支流及干流重要河段无法进行有效洪水作业预报，对全区防洪决策形成了阻碍。</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5.2 大洪水监测手段尚待改进</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以往监测手段相对落后，主要采用接触式、人工作业居多，在发生流域大洪水时测洪能力不足，且存在一定的作业安全隐患，特大洪水具有极大的破坏性，往往会引起水情监测设施损毁、常规手段监测失效、信息传输不畅等问题，如“6·22”洪水造成綦江干流古南水文站测流设备损坏无法测报，支流藻渡河新炉站高洪测不到等问题，使綦江主城区得不到准确的水情信息；传统水文监测方法无法解决高洪监测问题，现阶段极端洪水监测需向非接触式、自动化测验方向发展。</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6</w:t>
      </w:r>
      <w:r>
        <w:rPr>
          <w:rFonts w:hint="eastAsia" w:ascii="Times New Roman" w:eastAsia="方正仿宋_GBK" w:cs="Times New Roman"/>
          <w:kern w:val="0"/>
          <w:sz w:val="32"/>
          <w:szCs w:val="32"/>
          <w:lang w:val="en-US" w:eastAsia="zh-CN"/>
        </w:rPr>
        <w:t>．</w:t>
      </w:r>
      <w:r>
        <w:rPr>
          <w:rFonts w:hint="eastAsia" w:ascii="Times New Roman" w:hAnsi="Times New Roman" w:eastAsia="方正仿宋_GBK" w:cs="Times New Roman"/>
          <w:kern w:val="2"/>
          <w:sz w:val="32"/>
          <w:szCs w:val="32"/>
          <w:lang w:val="en-US" w:eastAsia="zh-CN" w:bidi="ar-SA"/>
        </w:rPr>
        <w:t>洪水风险评估与应对能力不足</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洪水灾害评估是进行洪水风险调控、采取综合应急措施的重要基础与技术手段，但目前尚未建立实用简单且又能充分反应洪灾特性的洪水灾害快速定量动态评估模型和应急避险模型，在时效性、准确性、动态性等方面难以满足有效支撑綦江主城区洪水风险调控、应急避险、应急抢险等方面的实际需求，与现代化智慧城市的管理要求还有一定差距。</w:t>
      </w:r>
    </w:p>
    <w:p>
      <w:pPr>
        <w:pStyle w:val="1795"/>
        <w:keepNext w:val="0"/>
        <w:keepLines w:val="0"/>
        <w:pageBreakBefore w:val="0"/>
        <w:widowControl w:val="0"/>
        <w:kinsoku/>
        <w:wordWrap/>
        <w:overflowPunct/>
        <w:topLinePunct w:val="0"/>
        <w:autoSpaceDE/>
        <w:autoSpaceDN/>
        <w:bidi w:val="0"/>
        <w:adjustRightInd/>
        <w:snapToGrid/>
        <w:spacing w:before="0" w:after="0"/>
        <w:ind w:firstLine="640" w:firstLineChars="200"/>
        <w:textAlignment w:val="auto"/>
        <w:rPr>
          <w:rFonts w:hint="eastAsia" w:ascii="方正楷体_GBK" w:hAnsi="方正楷体_GBK" w:eastAsia="方正楷体_GBK" w:cs="方正楷体_GBK"/>
        </w:rPr>
      </w:pPr>
      <w:bookmarkStart w:id="60" w:name="_Toc71665853"/>
      <w:bookmarkStart w:id="61" w:name="_Toc71782070"/>
      <w:bookmarkStart w:id="62" w:name="_Toc25050"/>
      <w:bookmarkStart w:id="63" w:name="_Toc21717"/>
      <w:r>
        <w:rPr>
          <w:rFonts w:hint="eastAsia" w:ascii="方正楷体_GBK" w:hAnsi="方正楷体_GBK" w:eastAsia="方正楷体_GBK" w:cs="方正楷体_GBK"/>
          <w:lang w:eastAsia="zh-CN"/>
        </w:rPr>
        <w:t>（</w:t>
      </w:r>
      <w:r>
        <w:rPr>
          <w:rFonts w:hint="eastAsia" w:ascii="方正楷体_GBK" w:hAnsi="方正楷体_GBK" w:eastAsia="方正楷体_GBK" w:cs="方正楷体_GBK"/>
          <w:lang w:val="en-US" w:eastAsia="zh-CN"/>
        </w:rPr>
        <w:t>四</w:t>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rPr>
        <w:t>綦江城区防洪形势</w:t>
      </w:r>
      <w:bookmarkEnd w:id="60"/>
      <w:bookmarkEnd w:id="61"/>
      <w:bookmarkEnd w:id="62"/>
      <w:bookmarkEnd w:id="63"/>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特殊的强降雨是綦江城区洪水灾害发生的主要自然诱因，降雨强度大，直接导致了本地洪水的产生。綦江为山区性河流，洪水主要由暴雨形成，綦江主城区城北大桥处集水面积4723km</w:t>
      </w:r>
      <w:r>
        <w:rPr>
          <w:rFonts w:hint="eastAsia" w:ascii="Times New Roman" w:hAnsi="Times New Roman" w:eastAsia="方正仿宋_GBK" w:cs="Times New Roman"/>
          <w:kern w:val="2"/>
          <w:sz w:val="32"/>
          <w:szCs w:val="32"/>
          <w:vertAlign w:val="superscript"/>
          <w:lang w:val="en-US" w:eastAsia="zh-CN" w:bidi="ar-SA"/>
        </w:rPr>
        <w:t>2</w:t>
      </w:r>
      <w:r>
        <w:rPr>
          <w:rFonts w:hint="eastAsia" w:ascii="Times New Roman" w:hAnsi="Times New Roman" w:eastAsia="方正仿宋_GBK" w:cs="Times New Roman"/>
          <w:kern w:val="2"/>
          <w:sz w:val="32"/>
          <w:szCs w:val="32"/>
          <w:lang w:val="en-US" w:eastAsia="zh-CN" w:bidi="ar-SA"/>
        </w:rPr>
        <w:t>，城区上游的支流大多处于暴雨中心地带且河道比降大，洪水传播至綦江主城区的时间较短，据观测，干流洪峰经东溪水文站到达綦江主城区的时间仅为4—5h，蒲河洪水洪峰经石角水文站到达綦江主城区的时间仅为3—4h，而中、下游干流河道弯道多，比降相对平缓，洪水宣泄不畅，造成綦江城区段“洪峰小水位高”的现象，洪灾频发，甚至导致渝黔铁路中断行车，防汛形势不容乐观。</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经过几十年的防洪工程建设，綦江城区已基本形成了以堤防护岸为基础，防洪非工程措施相配套的防洪体系，防洪能力有所提高。防洪体系存在不同程度的短板，如部分河段堤防不达标，防洪控制性水库尚未兴建，现状防洪能力不足5年一遇，距《綦江县县城防洪规划方案报告》（2007年）、《重庆市綦江区城乡总体规划（2012—2020年）》等规划拟定的50年一遇防洪标准仍有较大差距。此外，防洪非工程措施不够健全。以上因素直接导</w:t>
      </w:r>
      <w:r>
        <w:rPr>
          <w:rFonts w:hint="eastAsia" w:ascii="Times New Roman" w:hAnsi="Times New Roman" w:eastAsia="方正仿宋_GBK" w:cs="Times New Roman"/>
          <w:bCs/>
          <w:spacing w:val="-6"/>
          <w:kern w:val="2"/>
          <w:sz w:val="32"/>
          <w:szCs w:val="32"/>
          <w:lang w:val="en-US" w:eastAsia="zh-CN" w:bidi="ar-SA"/>
        </w:rPr>
        <w:t>致綦江城区洪灾频繁，2010年、2016年、2020年相继发生严重洪</w:t>
      </w:r>
      <w:r>
        <w:rPr>
          <w:rFonts w:hint="eastAsia" w:ascii="Times New Roman" w:hAnsi="Times New Roman" w:eastAsia="方正仿宋_GBK" w:cs="Times New Roman"/>
          <w:kern w:val="2"/>
          <w:sz w:val="32"/>
          <w:szCs w:val="32"/>
          <w:lang w:val="en-US" w:eastAsia="zh-CN" w:bidi="ar-SA"/>
        </w:rPr>
        <w:t>灾。</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綦江区是重庆主城区都市圈重要支点，随着经济社会发展，长江经济带建设等国家战略的实施，綦江区城镇化率将不断提高，人口数量和社会财富增加，使得洪灾风险显著加大，防洪安全对经济社会绿色高质量发展的基础支撑和保障作用将更加突出，其发展将面临更多新要求、新问题，抗御洪灾风险的能力不足问题凸显，自然条件的变化和社会发展的影响对于綦江城区防洪应急管理能力提出了新的挑战，綦江防洪治理体系和治理能力现代化建设提出了新任务。因此，规划期内綦江城区防洪减灾将处于补短板、破瓶颈、增后劲、上水平的发展阶段，是加快完善防洪基础设施、推进防洪现代化进程的关键时期。</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rPr>
      </w:pPr>
      <w:r>
        <w:rPr>
          <w:rFonts w:hint="eastAsia" w:ascii="Times New Roman" w:hAnsi="Times New Roman" w:eastAsia="方正仿宋_GBK" w:cs="Times New Roman"/>
          <w:kern w:val="2"/>
          <w:sz w:val="32"/>
          <w:szCs w:val="32"/>
          <w:lang w:val="en-US" w:eastAsia="zh-CN" w:bidi="ar-SA"/>
        </w:rPr>
        <w:t>综上分析，綦江城区防洪形势仍然严峻，亟需系统治理。</w:t>
      </w:r>
    </w:p>
    <w:p>
      <w:pPr>
        <w:pStyle w:val="2953"/>
        <w:ind w:firstLine="560"/>
        <w:rPr>
          <w:rFonts w:hint="eastAsia"/>
        </w:rPr>
        <w:sectPr>
          <w:headerReference r:id="rId18" w:type="default"/>
          <w:headerReference r:id="rId19" w:type="even"/>
          <w:pgSz w:w="11907" w:h="16840"/>
          <w:pgMar w:top="1616" w:right="1418" w:bottom="1616" w:left="1418" w:header="851" w:footer="1304" w:gutter="0"/>
          <w:pgBorders>
            <w:top w:val="none" w:sz="0" w:space="0"/>
            <w:left w:val="none" w:sz="0" w:space="0"/>
            <w:bottom w:val="none" w:sz="0" w:space="0"/>
            <w:right w:val="none" w:sz="0" w:space="0"/>
          </w:pgBorders>
          <w:pgNumType w:fmt="decimal"/>
          <w:cols w:space="720" w:num="1"/>
          <w:docGrid w:type="lines" w:linePitch="381" w:charSpace="0"/>
        </w:sectPr>
      </w:pPr>
    </w:p>
    <w:p>
      <w:pPr>
        <w:pStyle w:val="153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方正黑体_GBK" w:hAnsi="方正黑体_GBK" w:eastAsia="方正黑体_GBK" w:cs="方正黑体_GBK"/>
          <w:sz w:val="32"/>
          <w:szCs w:val="32"/>
        </w:rPr>
      </w:pPr>
      <w:bookmarkStart w:id="64" w:name="_Toc11369"/>
      <w:bookmarkStart w:id="65" w:name="_Toc71782071"/>
      <w:bookmarkStart w:id="66" w:name="_Toc71665854"/>
      <w:bookmarkStart w:id="67" w:name="_Toc23230"/>
      <w:bookmarkStart w:id="68" w:name="_Toc250624502"/>
      <w:r>
        <w:rPr>
          <w:rFonts w:hint="eastAsia" w:ascii="方正黑体_GBK" w:hAnsi="方正黑体_GBK" w:eastAsia="方正黑体_GBK" w:cs="方正黑体_GBK"/>
          <w:sz w:val="32"/>
          <w:szCs w:val="32"/>
          <w:lang w:val="en-US" w:eastAsia="zh-CN"/>
        </w:rPr>
        <w:t>三、</w:t>
      </w:r>
      <w:r>
        <w:rPr>
          <w:rFonts w:hint="eastAsia" w:ascii="方正黑体_GBK" w:hAnsi="方正黑体_GBK" w:eastAsia="方正黑体_GBK" w:cs="方正黑体_GBK"/>
          <w:sz w:val="32"/>
          <w:szCs w:val="32"/>
        </w:rPr>
        <w:t>规划指导思想、原则及目标</w:t>
      </w:r>
      <w:bookmarkEnd w:id="64"/>
      <w:bookmarkEnd w:id="65"/>
      <w:bookmarkEnd w:id="66"/>
      <w:bookmarkEnd w:id="67"/>
    </w:p>
    <w:p>
      <w:pPr>
        <w:pStyle w:val="1795"/>
        <w:keepNext w:val="0"/>
        <w:keepLines w:val="0"/>
        <w:pageBreakBefore w:val="0"/>
        <w:widowControl w:val="0"/>
        <w:kinsoku/>
        <w:wordWrap/>
        <w:overflowPunct/>
        <w:topLinePunct w:val="0"/>
        <w:autoSpaceDE/>
        <w:autoSpaceDN/>
        <w:bidi w:val="0"/>
        <w:adjustRightInd/>
        <w:snapToGrid/>
        <w:spacing w:before="0" w:after="0"/>
        <w:ind w:firstLine="640" w:firstLineChars="200"/>
        <w:textAlignment w:val="auto"/>
        <w:rPr>
          <w:rFonts w:hint="eastAsia" w:ascii="方正楷体_GBK" w:hAnsi="方正楷体_GBK" w:eastAsia="方正楷体_GBK" w:cs="方正楷体_GBK"/>
        </w:rPr>
      </w:pPr>
      <w:bookmarkStart w:id="69" w:name="_Toc71665855"/>
      <w:bookmarkStart w:id="70" w:name="_Toc71782072"/>
      <w:bookmarkStart w:id="71" w:name="_Toc32082"/>
      <w:bookmarkStart w:id="72" w:name="_Toc2216"/>
      <w:r>
        <w:rPr>
          <w:rFonts w:hint="eastAsia" w:ascii="方正楷体_GBK" w:hAnsi="方正楷体_GBK" w:eastAsia="方正楷体_GBK" w:cs="方正楷体_GBK"/>
          <w:lang w:eastAsia="zh-CN"/>
        </w:rPr>
        <w:t>（</w:t>
      </w:r>
      <w:r>
        <w:rPr>
          <w:rFonts w:hint="eastAsia" w:ascii="方正楷体_GBK" w:hAnsi="方正楷体_GBK" w:eastAsia="方正楷体_GBK" w:cs="方正楷体_GBK"/>
          <w:lang w:val="en-US" w:eastAsia="zh-CN"/>
        </w:rPr>
        <w:t>一</w:t>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rPr>
        <w:t>规划范围与规划水平年</w:t>
      </w:r>
      <w:bookmarkEnd w:id="69"/>
      <w:bookmarkEnd w:id="70"/>
      <w:bookmarkEnd w:id="71"/>
      <w:bookmarkEnd w:id="72"/>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1</w:t>
      </w:r>
      <w:r>
        <w:rPr>
          <w:rFonts w:hint="eastAsia" w:ascii="Times New Roman" w:eastAsia="方正仿宋_GBK" w:cs="Times New Roman"/>
          <w:kern w:val="0"/>
          <w:sz w:val="32"/>
          <w:szCs w:val="32"/>
          <w:lang w:val="en-US" w:eastAsia="zh-CN"/>
        </w:rPr>
        <w:t>．</w:t>
      </w:r>
      <w:r>
        <w:rPr>
          <w:rFonts w:hint="default" w:ascii="Times New Roman" w:hAnsi="Times New Roman" w:eastAsia="方正仿宋_GBK" w:cs="Times New Roman"/>
          <w:sz w:val="32"/>
          <w:szCs w:val="32"/>
        </w:rPr>
        <w:t>规划范围</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kern w:val="0"/>
          <w:sz w:val="32"/>
          <w:szCs w:val="32"/>
          <w:lang w:val="zh-CN"/>
        </w:rPr>
      </w:pPr>
      <w:r>
        <w:rPr>
          <w:rFonts w:hint="default" w:ascii="Times New Roman" w:hAnsi="Times New Roman" w:eastAsia="方正仿宋_GBK" w:cs="Times New Roman"/>
          <w:kern w:val="0"/>
          <w:sz w:val="32"/>
          <w:szCs w:val="32"/>
          <w:lang w:val="zh-CN"/>
        </w:rPr>
        <w:t>规划范围为綦江城区，其中綦江干流河段上游起于郭扶河</w:t>
      </w:r>
      <w:r>
        <w:rPr>
          <w:rFonts w:hint="default" w:ascii="Times New Roman" w:hAnsi="Times New Roman" w:eastAsia="方正仿宋_GBK" w:cs="Times New Roman"/>
          <w:kern w:val="0"/>
          <w:sz w:val="32"/>
          <w:szCs w:val="32"/>
        </w:rPr>
        <w:t>河</w:t>
      </w:r>
      <w:r>
        <w:rPr>
          <w:rFonts w:hint="default" w:ascii="Times New Roman" w:hAnsi="Times New Roman" w:eastAsia="方正仿宋_GBK" w:cs="Times New Roman"/>
          <w:bCs/>
          <w:spacing w:val="-6"/>
          <w:kern w:val="0"/>
          <w:sz w:val="32"/>
          <w:szCs w:val="32"/>
        </w:rPr>
        <w:t>口</w:t>
      </w:r>
      <w:r>
        <w:rPr>
          <w:rFonts w:hint="default" w:ascii="Times New Roman" w:hAnsi="Times New Roman" w:eastAsia="方正仿宋_GBK" w:cs="Times New Roman"/>
          <w:bCs/>
          <w:spacing w:val="-6"/>
          <w:kern w:val="0"/>
          <w:sz w:val="32"/>
          <w:szCs w:val="32"/>
          <w:lang w:val="zh-CN"/>
        </w:rPr>
        <w:t>，下游止于清溪河</w:t>
      </w:r>
      <w:r>
        <w:rPr>
          <w:rFonts w:hint="default" w:ascii="Times New Roman" w:hAnsi="Times New Roman" w:eastAsia="方正仿宋_GBK" w:cs="Times New Roman"/>
          <w:bCs/>
          <w:spacing w:val="-6"/>
          <w:kern w:val="0"/>
          <w:sz w:val="32"/>
          <w:szCs w:val="32"/>
        </w:rPr>
        <w:t>河口</w:t>
      </w:r>
      <w:r>
        <w:rPr>
          <w:rFonts w:hint="default" w:ascii="Times New Roman" w:hAnsi="Times New Roman" w:eastAsia="方正仿宋_GBK" w:cs="Times New Roman"/>
          <w:bCs/>
          <w:spacing w:val="-6"/>
          <w:kern w:val="0"/>
          <w:sz w:val="32"/>
          <w:szCs w:val="32"/>
          <w:lang w:val="zh-CN"/>
        </w:rPr>
        <w:t>，长约</w:t>
      </w:r>
      <w:r>
        <w:rPr>
          <w:rFonts w:hint="default" w:ascii="Times New Roman" w:hAnsi="Times New Roman" w:eastAsia="方正仿宋_GBK" w:cs="Times New Roman"/>
          <w:bCs/>
          <w:spacing w:val="-6"/>
          <w:kern w:val="0"/>
          <w:sz w:val="32"/>
          <w:szCs w:val="32"/>
        </w:rPr>
        <w:t>30.98</w:t>
      </w:r>
      <w:r>
        <w:rPr>
          <w:rFonts w:hint="default" w:ascii="Times New Roman" w:hAnsi="Times New Roman" w:eastAsia="方正仿宋_GBK" w:cs="Times New Roman"/>
          <w:bCs/>
          <w:spacing w:val="-6"/>
          <w:kern w:val="0"/>
          <w:sz w:val="32"/>
          <w:szCs w:val="32"/>
          <w:lang w:val="zh-CN"/>
        </w:rPr>
        <w:t>km，见图3.1</w:t>
      </w:r>
      <w:r>
        <w:rPr>
          <w:rFonts w:hint="eastAsia" w:ascii="Times New Roman" w:hAnsi="Times New Roman" w:eastAsia="方正仿宋_GBK" w:cs="Times New Roman"/>
          <w:bCs/>
          <w:spacing w:val="-6"/>
          <w:kern w:val="0"/>
          <w:sz w:val="32"/>
          <w:szCs w:val="32"/>
          <w:lang w:val="zh-CN"/>
        </w:rPr>
        <w:t>—</w:t>
      </w:r>
      <w:r>
        <w:rPr>
          <w:rFonts w:hint="default" w:ascii="Times New Roman" w:hAnsi="Times New Roman" w:eastAsia="方正仿宋_GBK" w:cs="Times New Roman"/>
          <w:bCs/>
          <w:spacing w:val="-6"/>
          <w:kern w:val="0"/>
          <w:sz w:val="32"/>
          <w:szCs w:val="32"/>
          <w:lang w:val="zh-CN"/>
        </w:rPr>
        <w:t>1</w:t>
      </w:r>
      <w:r>
        <w:rPr>
          <w:rFonts w:hint="default" w:ascii="Times New Roman" w:hAnsi="Times New Roman" w:eastAsia="方正仿宋_GBK" w:cs="Times New Roman"/>
          <w:bCs/>
          <w:spacing w:val="-6"/>
          <w:kern w:val="0"/>
          <w:sz w:val="32"/>
          <w:szCs w:val="32"/>
        </w:rPr>
        <w:t>和图3.1</w:t>
      </w:r>
      <w:r>
        <w:rPr>
          <w:rFonts w:hint="eastAsia" w:ascii="Times New Roman" w:hAnsi="Times New Roman" w:eastAsia="方正仿宋_GBK" w:cs="Times New Roman"/>
          <w:bCs/>
          <w:spacing w:val="-6"/>
          <w:kern w:val="0"/>
          <w:sz w:val="32"/>
          <w:szCs w:val="32"/>
          <w:lang w:eastAsia="zh-CN"/>
        </w:rPr>
        <w:t>—</w:t>
      </w:r>
      <w:r>
        <w:rPr>
          <w:rFonts w:hint="default" w:ascii="Times New Roman" w:hAnsi="Times New Roman" w:eastAsia="方正仿宋_GBK" w:cs="Times New Roman"/>
          <w:kern w:val="0"/>
          <w:sz w:val="32"/>
          <w:szCs w:val="32"/>
        </w:rPr>
        <w:t>2</w:t>
      </w:r>
      <w:r>
        <w:rPr>
          <w:rFonts w:hint="default" w:ascii="Times New Roman" w:hAnsi="Times New Roman" w:eastAsia="方正仿宋_GBK" w:cs="Times New Roman"/>
          <w:kern w:val="0"/>
          <w:sz w:val="32"/>
          <w:szCs w:val="32"/>
          <w:lang w:val="zh-CN"/>
        </w:rPr>
        <w:t>。</w:t>
      </w:r>
    </w:p>
    <w:p>
      <w:pPr>
        <w:pStyle w:val="853"/>
        <w:spacing w:line="240" w:lineRule="auto"/>
        <w:ind w:firstLine="0" w:firstLineChars="0"/>
        <w:jc w:val="center"/>
        <w:rPr>
          <w:rFonts w:ascii="微软雅黑" w:hAnsi="微软雅黑" w:eastAsia="微软雅黑"/>
          <w:sz w:val="2"/>
          <w:szCs w:val="2"/>
          <w:lang w:val="en"/>
        </w:rPr>
      </w:pPr>
      <w:r>
        <w:rPr>
          <w:rFonts w:ascii="微软雅黑" w:hAnsi="微软雅黑" w:eastAsia="微软雅黑"/>
          <w:sz w:val="2"/>
          <w:szCs w:val="2"/>
          <w:lang w:val="en"/>
        </w:rPr>
        <w:drawing>
          <wp:inline distT="0" distB="0" distL="114300" distR="114300">
            <wp:extent cx="5454650" cy="6012180"/>
            <wp:effectExtent l="0" t="0" r="12700" b="7620"/>
            <wp:docPr id="84" name="图片 242" descr="图3.1-1  綦江区城区范围示意图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4" name="图片 242" descr="图3.1-1  綦江区城区范围示意图2"/>
                    <pic:cNvPicPr>
                      <a:picLocks noChangeAspect="true"/>
                    </pic:cNvPicPr>
                  </pic:nvPicPr>
                  <pic:blipFill>
                    <a:blip r:embed="rId123"/>
                    <a:stretch>
                      <a:fillRect/>
                    </a:stretch>
                  </pic:blipFill>
                  <pic:spPr>
                    <a:xfrm>
                      <a:off x="0" y="0"/>
                      <a:ext cx="5454650" cy="6012180"/>
                    </a:xfrm>
                    <a:prstGeom prst="rect">
                      <a:avLst/>
                    </a:prstGeom>
                    <a:noFill/>
                    <a:ln>
                      <a:noFill/>
                    </a:ln>
                  </pic:spPr>
                </pic:pic>
              </a:graphicData>
            </a:graphic>
          </wp:inline>
        </w:drawing>
      </w:r>
    </w:p>
    <w:p>
      <w:pPr>
        <w:pStyle w:val="2886"/>
        <w:rPr>
          <w:rFonts w:hint="default" w:ascii="Times New Roman" w:hAnsi="Times New Roman" w:cs="Times New Roman"/>
        </w:rPr>
      </w:pPr>
      <w:r>
        <w:rPr>
          <w:rFonts w:hint="default" w:ascii="Times New Roman" w:hAnsi="Times New Roman" w:cs="Times New Roman"/>
        </w:rPr>
        <w:t>图3.1</w:t>
      </w:r>
      <w:r>
        <w:rPr>
          <w:rFonts w:hint="default" w:ascii="Times New Roman" w:hAnsi="Times New Roman" w:cs="Times New Roman"/>
          <w:lang w:eastAsia="zh-CN"/>
        </w:rPr>
        <w:t>—</w:t>
      </w:r>
      <w:r>
        <w:rPr>
          <w:rFonts w:hint="default" w:ascii="Times New Roman" w:hAnsi="Times New Roman" w:cs="Times New Roman"/>
        </w:rPr>
        <w:t>1  綦江区城区范围示意图</w:t>
      </w:r>
    </w:p>
    <w:p>
      <w:pPr>
        <w:pStyle w:val="853"/>
        <w:spacing w:line="240" w:lineRule="auto"/>
        <w:ind w:firstLine="0" w:firstLineChars="0"/>
        <w:jc w:val="center"/>
        <w:rPr>
          <w:rFonts w:ascii="微软雅黑" w:hAnsi="微软雅黑" w:eastAsia="微软雅黑"/>
          <w:sz w:val="2"/>
          <w:szCs w:val="2"/>
          <w:lang w:val="en"/>
        </w:rPr>
      </w:pPr>
      <w:r>
        <w:rPr>
          <w:rFonts w:ascii="微软雅黑" w:hAnsi="微软雅黑" w:eastAsia="微软雅黑"/>
          <w:sz w:val="2"/>
          <w:szCs w:val="2"/>
          <w:lang w:val="en"/>
        </w:rPr>
        <w:drawing>
          <wp:inline distT="0" distB="0" distL="114300" distR="114300">
            <wp:extent cx="5205730" cy="8172450"/>
            <wp:effectExtent l="9525" t="9525" r="23495" b="9525"/>
            <wp:docPr id="85" name="图片 244" descr="图3.1-1  綦江区城区行政区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5" name="图片 244" descr="图3.1-1  綦江区城区行政区划图"/>
                    <pic:cNvPicPr>
                      <a:picLocks noChangeAspect="true"/>
                    </pic:cNvPicPr>
                  </pic:nvPicPr>
                  <pic:blipFill>
                    <a:blip r:embed="rId124"/>
                    <a:stretch>
                      <a:fillRect/>
                    </a:stretch>
                  </pic:blipFill>
                  <pic:spPr>
                    <a:xfrm>
                      <a:off x="0" y="0"/>
                      <a:ext cx="5205730" cy="8172450"/>
                    </a:xfrm>
                    <a:prstGeom prst="rect">
                      <a:avLst/>
                    </a:prstGeom>
                    <a:noFill/>
                    <a:ln w="9525" cap="flat" cmpd="sng">
                      <a:solidFill>
                        <a:srgbClr val="000000"/>
                      </a:solidFill>
                      <a:prstDash val="solid"/>
                      <a:miter/>
                      <a:headEnd type="none" w="med" len="med"/>
                      <a:tailEnd type="none" w="med" len="med"/>
                    </a:ln>
                  </pic:spPr>
                </pic:pic>
              </a:graphicData>
            </a:graphic>
          </wp:inline>
        </w:drawing>
      </w:r>
    </w:p>
    <w:p>
      <w:pPr>
        <w:pStyle w:val="2886"/>
        <w:rPr>
          <w:rFonts w:hint="default" w:ascii="Times New Roman" w:hAnsi="Times New Roman" w:eastAsia="方正黑体_GBK" w:cs="Times New Roman"/>
        </w:rPr>
      </w:pPr>
      <w:r>
        <w:rPr>
          <w:rFonts w:hint="default" w:ascii="Times New Roman" w:hAnsi="Times New Roman" w:eastAsia="方正黑体_GBK" w:cs="Times New Roman"/>
        </w:rPr>
        <w:t>图3.1</w:t>
      </w:r>
      <w:r>
        <w:rPr>
          <w:rFonts w:hint="default" w:ascii="Times New Roman" w:hAnsi="Times New Roman" w:eastAsia="方正黑体_GBK" w:cs="Times New Roman"/>
          <w:lang w:eastAsia="zh-CN"/>
        </w:rPr>
        <w:t>—</w:t>
      </w:r>
      <w:r>
        <w:rPr>
          <w:rFonts w:hint="default" w:ascii="Times New Roman" w:hAnsi="Times New Roman" w:eastAsia="方正黑体_GBK" w:cs="Times New Roman"/>
        </w:rPr>
        <w:t>2  綦江区城区行政区划图</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从图中可以看出，綦江城区包括古南、文龙、通惠、三江、新盛5个街道，其中古南街道位于綦江干流左岸、支流桥河两岸，通惠街道位于綦江干流右岸、支流通惠河上游和登瀛河两岸，文龙街道位于綦江干流右岸、支流通惠河河口和新盛河两岸，新盛街道位于綦江支流新盛河两岸，三江街道位于綦江干流左岸和支流蒲河两岸。城区范围内有大常、桥河、石溪口3座航运梯级。</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lang w:val="zh-CN" w:eastAsia="zh-CN"/>
        </w:rPr>
      </w:pPr>
      <w:r>
        <w:rPr>
          <w:rFonts w:hint="default" w:ascii="Times New Roman" w:hAnsi="Times New Roman" w:eastAsia="方正仿宋_GBK" w:cs="Times New Roman"/>
          <w:sz w:val="32"/>
          <w:szCs w:val="32"/>
          <w:lang w:val="en-US" w:eastAsia="zh-CN"/>
        </w:rPr>
        <w:t>綦江</w:t>
      </w:r>
      <w:r>
        <w:rPr>
          <w:rFonts w:hint="eastAsia" w:ascii="Times New Roman" w:hAnsi="Times New Roman" w:eastAsia="方正仿宋_GBK" w:cs="Times New Roman"/>
          <w:sz w:val="32"/>
          <w:szCs w:val="32"/>
          <w:lang w:val="zh-CN" w:eastAsia="zh-CN"/>
        </w:rPr>
        <w:t>主城区起于綦江火车站，至于城北大桥，长约5km，重点保护对象为左岸古南街道的沱湾社区、文昌宫社区、遇仙桥社区、新山村社区、北渡社区，右岸文龙街道的孟家院社区、菜坝社区、石佛岗社区、代家岗社区，共2个街道9个社区的沿河低洼地带，见图3.1—</w:t>
      </w:r>
      <w:r>
        <w:rPr>
          <w:rFonts w:hint="eastAsia" w:ascii="Times New Roman" w:hAnsi="Times New Roman" w:eastAsia="方正仿宋_GBK" w:cs="Times New Roman"/>
          <w:sz w:val="32"/>
          <w:szCs w:val="32"/>
          <w:lang w:val="en-US" w:eastAsia="zh-CN"/>
        </w:rPr>
        <w:t>3</w:t>
      </w:r>
      <w:r>
        <w:rPr>
          <w:rFonts w:hint="eastAsia" w:ascii="Times New Roman" w:hAnsi="Times New Roman" w:eastAsia="方正仿宋_GBK" w:cs="Times New Roman"/>
          <w:sz w:val="32"/>
          <w:szCs w:val="32"/>
          <w:lang w:val="zh-CN" w:eastAsia="zh-CN"/>
        </w:rPr>
        <w:t>。</w:t>
      </w:r>
    </w:p>
    <w:p>
      <w:pPr>
        <w:pStyle w:val="853"/>
        <w:tabs>
          <w:tab w:val="left" w:pos="19106"/>
        </w:tabs>
        <w:spacing w:line="240" w:lineRule="auto"/>
        <w:ind w:firstLine="0" w:firstLineChars="0"/>
        <w:jc w:val="center"/>
        <w:rPr>
          <w:rFonts w:hint="eastAsia"/>
        </w:rPr>
      </w:pPr>
      <w:r>
        <w:drawing>
          <wp:inline distT="0" distB="0" distL="114300" distR="114300">
            <wp:extent cx="5504180" cy="4018915"/>
            <wp:effectExtent l="0" t="0" r="1270" b="635"/>
            <wp:docPr id="86" name="图片 12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6" name="图片 120"/>
                    <pic:cNvPicPr>
                      <a:picLocks noChangeAspect="true"/>
                    </pic:cNvPicPr>
                  </pic:nvPicPr>
                  <pic:blipFill>
                    <a:blip r:embed="rId125"/>
                    <a:stretch>
                      <a:fillRect/>
                    </a:stretch>
                  </pic:blipFill>
                  <pic:spPr>
                    <a:xfrm>
                      <a:off x="0" y="0"/>
                      <a:ext cx="5504180" cy="4018915"/>
                    </a:xfrm>
                    <a:prstGeom prst="rect">
                      <a:avLst/>
                    </a:prstGeom>
                    <a:noFill/>
                    <a:ln>
                      <a:noFill/>
                    </a:ln>
                  </pic:spPr>
                </pic:pic>
              </a:graphicData>
            </a:graphic>
          </wp:inline>
        </w:drawing>
      </w:r>
    </w:p>
    <w:p>
      <w:pPr>
        <w:pStyle w:val="2886"/>
        <w:rPr>
          <w:rFonts w:hint="default" w:ascii="Times New Roman" w:hAnsi="Times New Roman" w:eastAsia="方正黑体_GBK" w:cs="Times New Roman"/>
        </w:rPr>
      </w:pPr>
      <w:r>
        <w:rPr>
          <w:rFonts w:hint="default" w:ascii="Times New Roman" w:hAnsi="Times New Roman" w:eastAsia="方正黑体_GBK" w:cs="Times New Roman"/>
        </w:rPr>
        <w:t>图3.1</w:t>
      </w:r>
      <w:r>
        <w:rPr>
          <w:rFonts w:hint="default" w:ascii="Times New Roman" w:hAnsi="Times New Roman" w:eastAsia="方正黑体_GBK" w:cs="Times New Roman"/>
          <w:lang w:eastAsia="zh-CN"/>
        </w:rPr>
        <w:t>—</w:t>
      </w:r>
      <w:r>
        <w:rPr>
          <w:rFonts w:hint="default" w:ascii="Times New Roman" w:hAnsi="Times New Roman" w:eastAsia="方正黑体_GBK" w:cs="Times New Roman"/>
        </w:rPr>
        <w:t>3  綦江主城区防洪规划范围示意图</w:t>
      </w:r>
    </w:p>
    <w:p>
      <w:pPr>
        <w:pStyle w:val="1916"/>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kern w:val="0"/>
          <w:sz w:val="32"/>
          <w:szCs w:val="32"/>
          <w:lang w:val="zh-CN"/>
        </w:rPr>
      </w:pPr>
      <w:bookmarkStart w:id="73" w:name="_Toc71665856"/>
    </w:p>
    <w:p>
      <w:pPr>
        <w:pStyle w:val="1916"/>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kern w:val="0"/>
          <w:sz w:val="32"/>
          <w:szCs w:val="32"/>
          <w:lang w:val="zh-CN"/>
        </w:rPr>
      </w:pPr>
      <w:r>
        <w:rPr>
          <w:rFonts w:hint="default" w:ascii="Times New Roman" w:hAnsi="Times New Roman" w:eastAsia="方正仿宋_GBK" w:cs="Times New Roman"/>
          <w:kern w:val="0"/>
          <w:sz w:val="32"/>
          <w:szCs w:val="32"/>
          <w:lang w:val="zh-CN"/>
        </w:rPr>
        <w:t>本次研究计算范围为綦江流域，见图3.1</w:t>
      </w:r>
      <w:r>
        <w:rPr>
          <w:rFonts w:hint="eastAsia" w:ascii="Times New Roman" w:eastAsia="方正仿宋_GBK" w:cs="Times New Roman"/>
          <w:kern w:val="0"/>
          <w:sz w:val="32"/>
          <w:szCs w:val="32"/>
          <w:lang w:val="zh-CN"/>
        </w:rPr>
        <w:t>—</w:t>
      </w:r>
      <w:r>
        <w:rPr>
          <w:rFonts w:hint="default" w:ascii="Times New Roman" w:hAnsi="Times New Roman" w:eastAsia="方正仿宋_GBK" w:cs="Times New Roman"/>
          <w:kern w:val="0"/>
          <w:sz w:val="32"/>
          <w:szCs w:val="32"/>
        </w:rPr>
        <w:t>4</w:t>
      </w:r>
      <w:r>
        <w:rPr>
          <w:rFonts w:hint="default" w:ascii="Times New Roman" w:hAnsi="Times New Roman" w:eastAsia="方正仿宋_GBK" w:cs="Times New Roman"/>
          <w:kern w:val="0"/>
          <w:sz w:val="32"/>
          <w:szCs w:val="32"/>
          <w:lang w:val="zh-CN"/>
        </w:rPr>
        <w:t>。</w:t>
      </w:r>
    </w:p>
    <w:p>
      <w:pPr>
        <w:pStyle w:val="853"/>
        <w:spacing w:line="0" w:lineRule="atLeast"/>
        <w:ind w:firstLine="0" w:firstLineChars="0"/>
        <w:jc w:val="center"/>
        <w:rPr>
          <w:rFonts w:hint="eastAsia"/>
        </w:rPr>
      </w:pPr>
      <w:r>
        <w:rPr>
          <w:rFonts w:hint="eastAsia"/>
        </w:rPr>
        <w:drawing>
          <wp:inline distT="0" distB="0" distL="114300" distR="114300">
            <wp:extent cx="5758180" cy="6360160"/>
            <wp:effectExtent l="0" t="0" r="13970" b="2540"/>
            <wp:docPr id="87" name="图片 245" descr="图3.4-1  防洪规划范围示意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7" name="图片 245" descr="图3.4-1  防洪规划范围示意图"/>
                    <pic:cNvPicPr>
                      <a:picLocks noChangeAspect="true"/>
                    </pic:cNvPicPr>
                  </pic:nvPicPr>
                  <pic:blipFill>
                    <a:blip r:embed="rId126"/>
                    <a:stretch>
                      <a:fillRect/>
                    </a:stretch>
                  </pic:blipFill>
                  <pic:spPr>
                    <a:xfrm>
                      <a:off x="0" y="0"/>
                      <a:ext cx="5758180" cy="6360160"/>
                    </a:xfrm>
                    <a:prstGeom prst="rect">
                      <a:avLst/>
                    </a:prstGeom>
                    <a:noFill/>
                    <a:ln>
                      <a:noFill/>
                    </a:ln>
                  </pic:spPr>
                </pic:pic>
              </a:graphicData>
            </a:graphic>
          </wp:inline>
        </w:drawing>
      </w:r>
    </w:p>
    <w:p>
      <w:pPr>
        <w:pStyle w:val="2886"/>
      </w:pPr>
      <w:r>
        <w:rPr>
          <w:rFonts w:hint="default" w:ascii="Times New Roman" w:hAnsi="Times New Roman" w:eastAsia="方正黑体_GBK" w:cs="Times New Roman"/>
        </w:rPr>
        <w:t>图3.1</w:t>
      </w:r>
      <w:r>
        <w:rPr>
          <w:rFonts w:hint="default" w:ascii="Times New Roman" w:hAnsi="Times New Roman" w:eastAsia="方正黑体_GBK" w:cs="Times New Roman"/>
          <w:lang w:eastAsia="zh-CN"/>
        </w:rPr>
        <w:t>—</w:t>
      </w:r>
      <w:r>
        <w:rPr>
          <w:rFonts w:hint="default" w:ascii="Times New Roman" w:hAnsi="Times New Roman" w:eastAsia="方正黑体_GBK" w:cs="Times New Roman"/>
        </w:rPr>
        <w:t>4  防洪规划计算范围示意图</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2</w:t>
      </w:r>
      <w:r>
        <w:rPr>
          <w:rFonts w:hint="eastAsia" w:ascii="Times New Roman" w:eastAsia="方正仿宋_GBK" w:cs="Times New Roman"/>
          <w:kern w:val="0"/>
          <w:sz w:val="32"/>
          <w:szCs w:val="32"/>
          <w:lang w:val="en-US" w:eastAsia="zh-CN"/>
        </w:rPr>
        <w:t>．</w:t>
      </w:r>
      <w:r>
        <w:rPr>
          <w:rFonts w:hint="default" w:ascii="Times New Roman" w:hAnsi="Times New Roman" w:eastAsia="方正仿宋_GBK" w:cs="Times New Roman"/>
          <w:sz w:val="32"/>
          <w:szCs w:val="32"/>
        </w:rPr>
        <w:t>规划水平年</w:t>
      </w:r>
    </w:p>
    <w:p>
      <w:pPr>
        <w:pStyle w:val="1916"/>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kern w:val="0"/>
          <w:sz w:val="32"/>
          <w:szCs w:val="32"/>
        </w:rPr>
      </w:pPr>
      <w:r>
        <w:rPr>
          <w:rFonts w:hint="default" w:ascii="Times New Roman" w:hAnsi="Times New Roman" w:eastAsia="方正仿宋_GBK" w:cs="Times New Roman"/>
          <w:kern w:val="0"/>
          <w:sz w:val="32"/>
          <w:szCs w:val="32"/>
          <w:lang w:val="zh-CN"/>
        </w:rPr>
        <w:t>基准年为20</w:t>
      </w:r>
      <w:r>
        <w:rPr>
          <w:rFonts w:hint="default" w:ascii="Times New Roman" w:hAnsi="Times New Roman" w:eastAsia="方正仿宋_GBK" w:cs="Times New Roman"/>
          <w:kern w:val="0"/>
          <w:sz w:val="32"/>
          <w:szCs w:val="32"/>
        </w:rPr>
        <w:t>20</w:t>
      </w:r>
      <w:r>
        <w:rPr>
          <w:rFonts w:hint="default" w:ascii="Times New Roman" w:hAnsi="Times New Roman" w:eastAsia="方正仿宋_GBK" w:cs="Times New Roman"/>
          <w:kern w:val="0"/>
          <w:sz w:val="32"/>
          <w:szCs w:val="32"/>
          <w:lang w:val="zh-CN"/>
        </w:rPr>
        <w:t>年，规划水平年为2035年。</w:t>
      </w:r>
      <w:r>
        <w:rPr>
          <w:rFonts w:hint="default" w:ascii="Times New Roman" w:hAnsi="Times New Roman" w:eastAsia="方正仿宋_GBK" w:cs="Times New Roman"/>
          <w:kern w:val="0"/>
          <w:sz w:val="32"/>
          <w:szCs w:val="32"/>
        </w:rPr>
        <w:t>其中，近期为2025年，远期为</w:t>
      </w:r>
      <w:r>
        <w:rPr>
          <w:rFonts w:hint="default" w:ascii="Times New Roman" w:hAnsi="Times New Roman" w:eastAsia="方正仿宋_GBK" w:cs="Times New Roman"/>
          <w:kern w:val="0"/>
          <w:sz w:val="32"/>
          <w:szCs w:val="32"/>
          <w:lang w:val="zh-CN"/>
        </w:rPr>
        <w:t>2035年。</w:t>
      </w:r>
    </w:p>
    <w:p>
      <w:pPr>
        <w:pStyle w:val="1795"/>
        <w:keepNext w:val="0"/>
        <w:keepLines w:val="0"/>
        <w:pageBreakBefore w:val="0"/>
        <w:widowControl w:val="0"/>
        <w:kinsoku/>
        <w:wordWrap/>
        <w:overflowPunct/>
        <w:topLinePunct w:val="0"/>
        <w:autoSpaceDE/>
        <w:autoSpaceDN/>
        <w:bidi w:val="0"/>
        <w:adjustRightInd/>
        <w:snapToGrid/>
        <w:spacing w:before="0" w:after="0"/>
        <w:ind w:firstLine="640" w:firstLineChars="200"/>
        <w:textAlignment w:val="auto"/>
        <w:rPr>
          <w:rFonts w:hint="eastAsia" w:ascii="方正楷体_GBK" w:hAnsi="方正楷体_GBK" w:eastAsia="方正楷体_GBK" w:cs="方正楷体_GBK"/>
          <w:lang w:eastAsia="zh-CN"/>
        </w:rPr>
      </w:pPr>
      <w:bookmarkStart w:id="74" w:name="_Toc71782073"/>
      <w:bookmarkStart w:id="75" w:name="_Toc5975"/>
      <w:bookmarkStart w:id="76" w:name="_Toc31194"/>
      <w:r>
        <w:rPr>
          <w:rFonts w:hint="eastAsia" w:ascii="方正楷体_GBK" w:hAnsi="方正楷体_GBK" w:eastAsia="方正楷体_GBK" w:cs="方正楷体_GBK"/>
          <w:lang w:eastAsia="zh-CN"/>
        </w:rPr>
        <w:t>（</w:t>
      </w:r>
      <w:r>
        <w:rPr>
          <w:rFonts w:hint="eastAsia" w:ascii="方正楷体_GBK" w:hAnsi="方正楷体_GBK" w:eastAsia="方正楷体_GBK" w:cs="方正楷体_GBK"/>
          <w:lang w:val="en-US" w:eastAsia="zh-CN"/>
        </w:rPr>
        <w:t>二</w:t>
      </w:r>
      <w:r>
        <w:rPr>
          <w:rFonts w:hint="eastAsia" w:ascii="方正楷体_GBK" w:hAnsi="方正楷体_GBK" w:eastAsia="方正楷体_GBK" w:cs="方正楷体_GBK"/>
          <w:lang w:eastAsia="zh-CN"/>
        </w:rPr>
        <w:t>）规划指导思想</w:t>
      </w:r>
      <w:bookmarkEnd w:id="73"/>
      <w:bookmarkEnd w:id="74"/>
      <w:bookmarkEnd w:id="75"/>
      <w:bookmarkEnd w:id="76"/>
    </w:p>
    <w:p>
      <w:pPr>
        <w:pStyle w:val="2948"/>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lang w:val="zh-CN" w:eastAsia="zh-CN"/>
        </w:rPr>
      </w:pPr>
      <w:r>
        <w:rPr>
          <w:rFonts w:hint="eastAsia" w:ascii="Times New Roman" w:hAnsi="Times New Roman" w:eastAsia="方正仿宋_GBK" w:cs="Times New Roman"/>
          <w:sz w:val="32"/>
          <w:szCs w:val="32"/>
          <w:lang w:val="zh-CN" w:eastAsia="zh-CN"/>
        </w:rPr>
        <w:t>以习近平新时代中国特色社会主义思想和党的十九大以及十九届二中、三中、四中、五中全会精神为指导</w:t>
      </w:r>
      <w:r>
        <w:rPr>
          <w:rFonts w:hint="eastAsia" w:ascii="Times New Roman" w:hAns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zh-CN" w:eastAsia="zh-CN"/>
        </w:rPr>
        <w:t>深入贯彻习近平生态文明思想以及关于防灾减灾救灾、城市内涝治理的重要批示指示精神，全面贯彻落实中央关于推动长江经济带发展战略部署，把握新发展阶段、贯彻新发展理念、构建新发展格局，坚持总书记关于提高自然灾害防治能力的“九个坚持”原则，</w:t>
      </w:r>
      <w:r>
        <w:rPr>
          <w:rFonts w:hint="eastAsia" w:ascii="Times New Roman" w:hAnsi="Times New Roman" w:eastAsia="方正仿宋_GBK" w:cs="Times New Roman"/>
          <w:sz w:val="32"/>
          <w:szCs w:val="32"/>
          <w:lang w:val="en-US" w:eastAsia="zh-CN"/>
        </w:rPr>
        <w:t>按照总书记“坚持底线思维，增强忧患意识，提高防控能力，着力防范化解重大风险”的要求</w:t>
      </w:r>
      <w:r>
        <w:rPr>
          <w:rFonts w:hint="eastAsia" w:ascii="Times New Roman" w:hAnsi="Times New Roman" w:eastAsia="方正仿宋_GBK" w:cs="Times New Roman"/>
          <w:sz w:val="32"/>
          <w:szCs w:val="32"/>
          <w:lang w:val="zh-CN" w:eastAsia="zh-CN"/>
        </w:rPr>
        <w:t>，践行以人民为中心的发展思想，坚持“节水优先、空间均衡、系统治理、两手发力”的治水思路，把保障人民群众生命财产安全放在首位，</w:t>
      </w:r>
      <w:r>
        <w:rPr>
          <w:rFonts w:hint="eastAsia" w:ascii="Times New Roman" w:hAnsi="Times New Roman" w:eastAsia="方正仿宋_GBK" w:cs="Times New Roman"/>
          <w:sz w:val="32"/>
          <w:szCs w:val="32"/>
          <w:lang w:val="en-US" w:eastAsia="zh-CN"/>
        </w:rPr>
        <w:t>进一步健全洪水防御体系，增加洪水出路。</w:t>
      </w:r>
      <w:r>
        <w:rPr>
          <w:rFonts w:hint="eastAsia" w:ascii="Times New Roman" w:hAnsi="Times New Roman" w:eastAsia="方正仿宋_GBK" w:cs="Times New Roman"/>
          <w:sz w:val="32"/>
          <w:szCs w:val="32"/>
          <w:lang w:val="zh-CN" w:eastAsia="zh-CN"/>
        </w:rPr>
        <w:t>按照“以泄为主、蓄泄结合、综合治理”的方针，完善防洪工程体系以增强洪水蓄泄能力；在河长制基础上强化风险管理，建立科学高效的非工程措施体系，着力提升洪水安全保障能力。统筹城市功能完善和防灾减灾，统筹城市防洪和排涝建设，坚持以人为本、以水为伴、人水和谐，优化城市开发建设模式，全面提升城市建设的整体性、系统性，突出安全标准的刚性、空间利用的弹性、城市运行的韧性，保障城市安全，推动綦江区经济社会高质量发展。</w:t>
      </w:r>
    </w:p>
    <w:p>
      <w:pPr>
        <w:pStyle w:val="2948"/>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同时，</w:t>
      </w:r>
      <w:r>
        <w:rPr>
          <w:rFonts w:hint="eastAsia" w:ascii="Times New Roman" w:hAnsi="Times New Roman" w:eastAsia="方正仿宋_GBK" w:cs="Times New Roman"/>
          <w:sz w:val="32"/>
          <w:szCs w:val="32"/>
          <w:lang w:val="zh-CN" w:eastAsia="zh-CN"/>
        </w:rPr>
        <w:t>准确把握</w:t>
      </w:r>
      <w:r>
        <w:rPr>
          <w:rFonts w:hint="eastAsia" w:ascii="Times New Roman" w:hAnsi="Times New Roman" w:eastAsia="方正仿宋_GBK" w:cs="Times New Roman"/>
          <w:sz w:val="32"/>
          <w:szCs w:val="32"/>
          <w:lang w:val="en-US" w:eastAsia="zh-CN"/>
        </w:rPr>
        <w:t>习近平总书记“共抓大保护，不搞大开发”、</w:t>
      </w:r>
      <w:r>
        <w:rPr>
          <w:rFonts w:hint="eastAsia" w:ascii="Times New Roman" w:hAnsi="Times New Roman" w:eastAsia="方正仿宋_GBK" w:cs="Times New Roman"/>
          <w:sz w:val="32"/>
          <w:szCs w:val="32"/>
          <w:lang w:val="zh-CN" w:eastAsia="zh-CN"/>
        </w:rPr>
        <w:t>“重在保护，要在治理”的战略要求，牢固树立“创新、协调、绿色、开放、共享”的发展理念，走生态优先、绿色发展之路，以正确处理人与洪水关系为核心，</w:t>
      </w:r>
      <w:r>
        <w:rPr>
          <w:rFonts w:hint="eastAsia" w:ascii="Times New Roman" w:hAnsi="Times New Roman" w:eastAsia="方正仿宋_GBK" w:cs="Times New Roman"/>
          <w:sz w:val="32"/>
          <w:szCs w:val="32"/>
          <w:lang w:val="en-US" w:eastAsia="zh-CN"/>
        </w:rPr>
        <w:t>加强生态治水，打造“安澜、绿色、和谐、美丽”綦江，服务和支撑綦江城区经济社会绿色发展，促进人水和谐，实现防洪保安全、河势促稳定、宜居水环境等目标。</w:t>
      </w:r>
    </w:p>
    <w:p>
      <w:pPr>
        <w:pStyle w:val="1795"/>
        <w:keepNext w:val="0"/>
        <w:keepLines w:val="0"/>
        <w:pageBreakBefore w:val="0"/>
        <w:widowControl w:val="0"/>
        <w:kinsoku/>
        <w:wordWrap/>
        <w:overflowPunct/>
        <w:topLinePunct w:val="0"/>
        <w:autoSpaceDE/>
        <w:autoSpaceDN/>
        <w:bidi w:val="0"/>
        <w:adjustRightInd/>
        <w:snapToGrid/>
        <w:spacing w:before="0" w:after="0"/>
        <w:ind w:firstLine="640" w:firstLineChars="200"/>
        <w:textAlignment w:val="auto"/>
        <w:rPr>
          <w:rFonts w:hint="eastAsia" w:ascii="方正楷体_GBK" w:hAnsi="方正楷体_GBK" w:eastAsia="方正楷体_GBK" w:cs="方正楷体_GBK"/>
          <w:lang w:eastAsia="zh-CN"/>
        </w:rPr>
      </w:pPr>
      <w:bookmarkStart w:id="77" w:name="_Toc15221"/>
      <w:bookmarkStart w:id="78" w:name="_Toc71782074"/>
      <w:bookmarkStart w:id="79" w:name="_Toc71665857"/>
      <w:bookmarkStart w:id="80" w:name="_Toc5094"/>
      <w:r>
        <w:rPr>
          <w:rFonts w:hint="eastAsia" w:ascii="方正楷体_GBK" w:hAnsi="方正楷体_GBK" w:eastAsia="方正楷体_GBK" w:cs="方正楷体_GBK"/>
          <w:lang w:eastAsia="zh-CN"/>
        </w:rPr>
        <w:t>（</w:t>
      </w:r>
      <w:r>
        <w:rPr>
          <w:rFonts w:hint="eastAsia" w:ascii="方正楷体_GBK" w:hAnsi="方正楷体_GBK" w:eastAsia="方正楷体_GBK" w:cs="方正楷体_GBK"/>
          <w:lang w:val="en-US" w:eastAsia="zh-CN"/>
        </w:rPr>
        <w:t>三</w:t>
      </w:r>
      <w:r>
        <w:rPr>
          <w:rFonts w:hint="eastAsia" w:ascii="方正楷体_GBK" w:hAnsi="方正楷体_GBK" w:eastAsia="方正楷体_GBK" w:cs="方正楷体_GBK"/>
          <w:lang w:eastAsia="zh-CN"/>
        </w:rPr>
        <w:t>）规划原则</w:t>
      </w:r>
      <w:bookmarkEnd w:id="77"/>
      <w:bookmarkEnd w:id="78"/>
      <w:bookmarkEnd w:id="79"/>
      <w:bookmarkEnd w:id="80"/>
    </w:p>
    <w:p>
      <w:pPr>
        <w:pStyle w:val="2948"/>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lang w:val="zh-CN" w:eastAsia="zh-CN"/>
        </w:rPr>
      </w:pPr>
      <w:r>
        <w:rPr>
          <w:rFonts w:hint="eastAsia" w:ascii="Times New Roman" w:hAnsi="Times New Roman" w:eastAsia="方正仿宋_GBK" w:cs="Times New Roman"/>
          <w:sz w:val="32"/>
          <w:szCs w:val="32"/>
          <w:lang w:val="en-US" w:eastAsia="zh-CN"/>
        </w:rPr>
        <w:t>1</w:t>
      </w:r>
      <w:r>
        <w:rPr>
          <w:rFonts w:hint="eastAsia" w:ascii="Times New Roman" w:eastAsia="方正仿宋_GBK" w:cs="Times New Roman"/>
          <w:kern w:val="0"/>
          <w:sz w:val="32"/>
          <w:szCs w:val="32"/>
          <w:lang w:val="en-US" w:eastAsia="zh-CN"/>
        </w:rPr>
        <w:t>．</w:t>
      </w:r>
      <w:r>
        <w:rPr>
          <w:rFonts w:hint="eastAsia" w:ascii="Times New Roman" w:hAnsi="Times New Roman" w:eastAsia="方正仿宋_GBK" w:cs="Times New Roman"/>
          <w:sz w:val="32"/>
          <w:szCs w:val="32"/>
          <w:lang w:val="zh-CN" w:eastAsia="zh-CN"/>
        </w:rPr>
        <w:t>以人为本，民生优先。坚持以人民为中心的发展思想，加快解决人民群众最关心最直接最现实的防洪</w:t>
      </w:r>
      <w:r>
        <w:rPr>
          <w:rFonts w:hint="eastAsia" w:ascii="Times New Roman" w:hAnsi="Times New Roman" w:eastAsia="方正仿宋_GBK" w:cs="Times New Roman"/>
          <w:sz w:val="32"/>
          <w:szCs w:val="32"/>
          <w:lang w:val="en-US" w:eastAsia="zh-CN"/>
        </w:rPr>
        <w:t>排涝</w:t>
      </w:r>
      <w:r>
        <w:rPr>
          <w:rFonts w:hint="eastAsia" w:ascii="Times New Roman" w:hAnsi="Times New Roman" w:eastAsia="方正仿宋_GBK" w:cs="Times New Roman"/>
          <w:sz w:val="32"/>
          <w:szCs w:val="32"/>
          <w:lang w:val="zh-CN" w:eastAsia="zh-CN"/>
        </w:rPr>
        <w:t>问题，</w:t>
      </w:r>
      <w:r>
        <w:rPr>
          <w:rFonts w:hint="eastAsia" w:ascii="Times New Roman" w:hAnsi="Times New Roman" w:eastAsia="方正仿宋_GBK" w:cs="Times New Roman"/>
          <w:sz w:val="32"/>
          <w:szCs w:val="32"/>
          <w:lang w:val="en-US" w:eastAsia="zh-CN"/>
        </w:rPr>
        <w:t>抓实抓好重大民生工程，</w:t>
      </w:r>
      <w:r>
        <w:rPr>
          <w:rFonts w:hint="eastAsia" w:ascii="Times New Roman" w:hAnsi="Times New Roman" w:eastAsia="方正仿宋_GBK" w:cs="Times New Roman"/>
          <w:sz w:val="32"/>
          <w:szCs w:val="32"/>
          <w:lang w:val="zh-CN" w:eastAsia="zh-CN"/>
        </w:rPr>
        <w:t>构建完善的防洪体系，全面提高綦江城区防洪能力</w:t>
      </w:r>
      <w:r>
        <w:rPr>
          <w:rFonts w:hint="eastAsia" w:ascii="Times New Roman" w:hAnsi="Times New Roman" w:eastAsia="方正仿宋_GBK" w:cs="Times New Roman"/>
          <w:sz w:val="32"/>
          <w:szCs w:val="32"/>
          <w:lang w:val="en-US" w:eastAsia="zh-CN"/>
        </w:rPr>
        <w:t>，确保城市安全运行</w:t>
      </w:r>
      <w:r>
        <w:rPr>
          <w:rFonts w:hint="eastAsia" w:ascii="Times New Roman" w:hAnsi="Times New Roman" w:eastAsia="方正仿宋_GBK" w:cs="Times New Roman"/>
          <w:sz w:val="32"/>
          <w:szCs w:val="32"/>
          <w:lang w:val="zh-CN" w:eastAsia="zh-CN"/>
        </w:rPr>
        <w:t>，不断提高</w:t>
      </w:r>
      <w:r>
        <w:rPr>
          <w:rFonts w:hint="eastAsia" w:ascii="Times New Roman" w:hAnsi="Times New Roman" w:eastAsia="方正仿宋_GBK" w:cs="Times New Roman"/>
          <w:sz w:val="32"/>
          <w:szCs w:val="32"/>
          <w:lang w:val="en-US" w:eastAsia="zh-CN"/>
        </w:rPr>
        <w:t>綦江</w:t>
      </w:r>
      <w:r>
        <w:rPr>
          <w:rFonts w:hint="eastAsia" w:ascii="Times New Roman" w:hAnsi="Times New Roman" w:eastAsia="方正仿宋_GBK" w:cs="Times New Roman"/>
          <w:sz w:val="32"/>
          <w:szCs w:val="32"/>
          <w:lang w:val="zh-CN" w:eastAsia="zh-CN"/>
        </w:rPr>
        <w:t>人民群众的</w:t>
      </w:r>
      <w:r>
        <w:rPr>
          <w:rFonts w:hint="eastAsia" w:ascii="Times New Roman" w:hAnsi="Times New Roman" w:eastAsia="方正仿宋_GBK" w:cs="Times New Roman"/>
          <w:sz w:val="32"/>
          <w:szCs w:val="32"/>
          <w:lang w:val="en-US" w:eastAsia="zh-CN"/>
        </w:rPr>
        <w:t>获得感、</w:t>
      </w:r>
      <w:r>
        <w:rPr>
          <w:rFonts w:hint="eastAsia" w:ascii="Times New Roman" w:hAnsi="Times New Roman" w:eastAsia="方正仿宋_GBK" w:cs="Times New Roman"/>
          <w:sz w:val="32"/>
          <w:szCs w:val="32"/>
          <w:lang w:val="zh-CN" w:eastAsia="zh-CN"/>
        </w:rPr>
        <w:t>幸福感和安全感。</w:t>
      </w:r>
    </w:p>
    <w:p>
      <w:pPr>
        <w:pStyle w:val="2948"/>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lang w:val="zh-CN" w:eastAsia="zh-CN"/>
        </w:rPr>
      </w:pPr>
      <w:r>
        <w:rPr>
          <w:rFonts w:hint="eastAsia" w:ascii="Times New Roman" w:hAnsi="Times New Roman" w:eastAsia="方正仿宋_GBK" w:cs="Times New Roman"/>
          <w:sz w:val="32"/>
          <w:szCs w:val="32"/>
          <w:lang w:val="en-US" w:eastAsia="zh-CN"/>
        </w:rPr>
        <w:t>2</w:t>
      </w:r>
      <w:r>
        <w:rPr>
          <w:rFonts w:hint="eastAsia" w:ascii="Times New Roman" w:eastAsia="方正仿宋_GBK" w:cs="Times New Roman"/>
          <w:kern w:val="0"/>
          <w:sz w:val="32"/>
          <w:szCs w:val="32"/>
          <w:lang w:val="en-US" w:eastAsia="zh-CN"/>
        </w:rPr>
        <w:t>．</w:t>
      </w:r>
      <w:r>
        <w:rPr>
          <w:rFonts w:hint="eastAsia" w:ascii="Times New Roman" w:hAnsi="Times New Roman" w:eastAsia="方正仿宋_GBK" w:cs="Times New Roman"/>
          <w:sz w:val="32"/>
          <w:szCs w:val="32"/>
          <w:lang w:val="zh-CN" w:eastAsia="zh-CN"/>
        </w:rPr>
        <w:t>统筹协调、系统治理。系统完整把握綦江治理工作全要素，</w:t>
      </w:r>
      <w:r>
        <w:rPr>
          <w:rFonts w:hint="eastAsia" w:ascii="Times New Roman" w:hAnsi="Times New Roman" w:eastAsia="方正仿宋_GBK" w:cs="Times New Roman"/>
          <w:sz w:val="32"/>
          <w:szCs w:val="32"/>
          <w:lang w:val="en-US" w:eastAsia="zh-CN"/>
        </w:rPr>
        <w:t>协调</w:t>
      </w:r>
      <w:r>
        <w:rPr>
          <w:rFonts w:hint="eastAsia" w:ascii="Times New Roman" w:hAnsi="Times New Roman" w:eastAsia="方正仿宋_GBK" w:cs="Times New Roman"/>
          <w:sz w:val="32"/>
          <w:szCs w:val="32"/>
          <w:lang w:val="zh-CN" w:eastAsia="zh-CN"/>
        </w:rPr>
        <w:t>水资源</w:t>
      </w:r>
      <w:r>
        <w:rPr>
          <w:rFonts w:hint="eastAsia" w:ascii="Times New Roman" w:hAnsi="Times New Roman" w:eastAsia="方正仿宋_GBK" w:cs="Times New Roman"/>
          <w:sz w:val="32"/>
          <w:szCs w:val="32"/>
          <w:lang w:val="en-US" w:eastAsia="zh-CN"/>
        </w:rPr>
        <w:t>利用</w:t>
      </w:r>
      <w:r>
        <w:rPr>
          <w:rFonts w:hint="eastAsia" w:ascii="Times New Roman" w:hAnsi="Times New Roman" w:eastAsia="方正仿宋_GBK" w:cs="Times New Roman"/>
          <w:sz w:val="32"/>
          <w:szCs w:val="32"/>
          <w:lang w:val="zh-CN" w:eastAsia="zh-CN"/>
        </w:rPr>
        <w:t>、水环境</w:t>
      </w:r>
      <w:r>
        <w:rPr>
          <w:rFonts w:hint="eastAsia" w:ascii="Times New Roman" w:hAnsi="Times New Roman" w:eastAsia="方正仿宋_GBK" w:cs="Times New Roman"/>
          <w:sz w:val="32"/>
          <w:szCs w:val="32"/>
          <w:lang w:val="en-US" w:eastAsia="zh-CN"/>
        </w:rPr>
        <w:t>治理</w:t>
      </w:r>
      <w:r>
        <w:rPr>
          <w:rFonts w:hint="eastAsia" w:ascii="Times New Roman" w:hAnsi="Times New Roman" w:eastAsia="方正仿宋_GBK" w:cs="Times New Roman"/>
          <w:sz w:val="32"/>
          <w:szCs w:val="32"/>
          <w:lang w:val="zh-CN" w:eastAsia="zh-CN"/>
        </w:rPr>
        <w:t>、水生态</w:t>
      </w:r>
      <w:r>
        <w:rPr>
          <w:rFonts w:hint="eastAsia" w:ascii="Times New Roman" w:hAnsi="Times New Roman" w:eastAsia="方正仿宋_GBK" w:cs="Times New Roman"/>
          <w:sz w:val="32"/>
          <w:szCs w:val="32"/>
          <w:lang w:val="en-US" w:eastAsia="zh-CN"/>
        </w:rPr>
        <w:t>保护，促进城市建设与防洪排涝协调发展</w:t>
      </w:r>
      <w:r>
        <w:rPr>
          <w:rFonts w:hint="eastAsia" w:ascii="Times New Roman" w:hAnsi="Times New Roman" w:eastAsia="方正仿宋_GBK" w:cs="Times New Roman"/>
          <w:sz w:val="32"/>
          <w:szCs w:val="32"/>
          <w:lang w:val="zh-CN" w:eastAsia="zh-CN"/>
        </w:rPr>
        <w:t>，在谋划举措上相互配合、在具体实施中相互促进、在实施成效上相得益彰，全面、完整、有效地保障流域防洪安全。贯彻“城市防洪规划，既要以江河规划为依据，又要密切结合城市建设实际情况，与航运开发规划、城市沿江开发规划、旅游开发规划等规划相结合”，城市防洪与江河治理、防洪工程与市政建设、工程措施与非工程措施结合的原则，采取多种措施进行综合治理，突出防洪体系的整体作用。同时，防洪规划拟定的防洪目标、防洪标准、防洪工程布局应与綦江区城乡总体规划相协调，正确处理好局部与全局、当前与长远、除害与兴利的关系。防洪标准和防洪规划方案的制定，应以城市发展规划和经济社会发展要求为重要依据。同时将美学融到城市河道生态治理之中，使治理后的城市河流生态系统与周围环境协调统一，形成城市景观中的一道亮点。</w:t>
      </w:r>
    </w:p>
    <w:p>
      <w:pPr>
        <w:pStyle w:val="2948"/>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lang w:val="zh-CN" w:eastAsia="zh-CN"/>
        </w:rPr>
      </w:pPr>
      <w:r>
        <w:rPr>
          <w:rFonts w:hint="eastAsia" w:ascii="Times New Roman" w:hAnsi="Times New Roman" w:eastAsia="方正仿宋_GBK" w:cs="Times New Roman"/>
          <w:sz w:val="32"/>
          <w:szCs w:val="32"/>
          <w:lang w:val="en-US" w:eastAsia="zh-CN"/>
        </w:rPr>
        <w:t>3</w:t>
      </w:r>
      <w:r>
        <w:rPr>
          <w:rFonts w:hint="eastAsia" w:ascii="Times New Roman" w:eastAsia="方正仿宋_GBK" w:cs="Times New Roman"/>
          <w:kern w:val="0"/>
          <w:sz w:val="32"/>
          <w:szCs w:val="32"/>
          <w:lang w:val="en-US" w:eastAsia="zh-CN"/>
        </w:rPr>
        <w:t>．</w:t>
      </w:r>
      <w:r>
        <w:rPr>
          <w:rFonts w:hint="eastAsia" w:ascii="Times New Roman" w:hAnsi="Times New Roman" w:eastAsia="方正仿宋_GBK" w:cs="Times New Roman"/>
          <w:sz w:val="32"/>
          <w:szCs w:val="32"/>
          <w:lang w:val="zh-CN" w:eastAsia="zh-CN"/>
        </w:rPr>
        <w:t>生态优先、绿色发展。始终坚定生态优先这个前提，坚持尊重自然、顺应自然、保护自然，坚持山水林田湖草是一个生命共同体，科学布局水灾害防治，全面落实舒缓措施，在防洪工程设计、建设和运行各个环节努力把对水生态环境的影响减小到最小。始终坚定绿色发展这个导向，在水灾害防治方面，逐步实现从人定胜天向风险管理的转变。防洪工程建设与改善生态环境相结合，充分保护现有河流的自然环境，推进水生态文明建设，处理好治理与保护、防洪与城市景观格局的关系，给洪水以出路，实现人与自然和谐相处。城市河道的治理在满足河流防洪、排涝等基本功能的同时，也要发挥河流的休闲娱乐、景观等社会功能，城市河流生态系统能够为人们提供可亲水的休闲娱乐的空间。</w:t>
      </w:r>
    </w:p>
    <w:p>
      <w:pPr>
        <w:pStyle w:val="2948"/>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lang w:val="zh-CN" w:eastAsia="zh-CN"/>
        </w:rPr>
      </w:pPr>
      <w:r>
        <w:rPr>
          <w:rFonts w:hint="eastAsia" w:ascii="Times New Roman" w:hAnsi="Times New Roman" w:eastAsia="方正仿宋_GBK" w:cs="Times New Roman"/>
          <w:sz w:val="32"/>
          <w:szCs w:val="32"/>
          <w:lang w:val="en-US" w:eastAsia="zh-CN"/>
        </w:rPr>
        <w:t>4</w:t>
      </w:r>
      <w:r>
        <w:rPr>
          <w:rFonts w:hint="eastAsia" w:ascii="Times New Roman" w:eastAsia="方正仿宋_GBK" w:cs="Times New Roman"/>
          <w:kern w:val="0"/>
          <w:sz w:val="32"/>
          <w:szCs w:val="32"/>
          <w:lang w:val="en-US" w:eastAsia="zh-CN"/>
        </w:rPr>
        <w:t>．</w:t>
      </w:r>
      <w:r>
        <w:rPr>
          <w:rFonts w:hint="eastAsia" w:ascii="Times New Roman" w:hAnsi="Times New Roman" w:eastAsia="方正仿宋_GBK" w:cs="Times New Roman"/>
          <w:sz w:val="32"/>
          <w:szCs w:val="32"/>
          <w:lang w:val="zh-CN" w:eastAsia="zh-CN"/>
        </w:rPr>
        <w:t>协同联动、智慧建管。在完善防洪安全工程体系的基础上，注重科学管理，加强预警预案体系、信息保障体系、抢险救援体系和智能调度管理体系建设，增强城市防汛抗风险能力；加强与相关部门沟通协调，加快建立綦江流域雨情、水情、工情、灾情</w:t>
      </w:r>
      <w:r>
        <w:rPr>
          <w:rFonts w:hint="eastAsia" w:ascii="Times New Roman" w:hAnsi="Times New Roman" w:eastAsia="方正仿宋_GBK" w:cs="Times New Roman"/>
          <w:spacing w:val="-11"/>
          <w:sz w:val="32"/>
          <w:szCs w:val="32"/>
          <w:lang w:val="zh-CN" w:eastAsia="zh-CN"/>
        </w:rPr>
        <w:t>监测网络体系和监测信息共享机制，增强綦江治理与保护整体合</w:t>
      </w:r>
      <w:r>
        <w:rPr>
          <w:rFonts w:hint="eastAsia" w:ascii="Times New Roman" w:hAnsi="Times New Roman" w:eastAsia="方正仿宋_GBK" w:cs="Times New Roman"/>
          <w:sz w:val="32"/>
          <w:szCs w:val="32"/>
          <w:lang w:val="zh-CN" w:eastAsia="zh-CN"/>
        </w:rPr>
        <w:t>力。</w:t>
      </w:r>
    </w:p>
    <w:p>
      <w:pPr>
        <w:pStyle w:val="1795"/>
        <w:keepNext w:val="0"/>
        <w:keepLines w:val="0"/>
        <w:pageBreakBefore w:val="0"/>
        <w:widowControl w:val="0"/>
        <w:kinsoku/>
        <w:wordWrap/>
        <w:overflowPunct/>
        <w:topLinePunct w:val="0"/>
        <w:autoSpaceDE/>
        <w:autoSpaceDN/>
        <w:bidi w:val="0"/>
        <w:adjustRightInd/>
        <w:snapToGrid/>
        <w:spacing w:before="0" w:after="0"/>
        <w:ind w:firstLine="640" w:firstLineChars="200"/>
        <w:textAlignment w:val="auto"/>
        <w:rPr>
          <w:rFonts w:hint="eastAsia" w:ascii="方正楷体_GBK" w:hAnsi="方正楷体_GBK" w:eastAsia="方正楷体_GBK" w:cs="方正楷体_GBK"/>
        </w:rPr>
      </w:pPr>
      <w:bookmarkStart w:id="81" w:name="_Toc71782075"/>
      <w:bookmarkStart w:id="82" w:name="_Toc8586"/>
      <w:bookmarkStart w:id="83" w:name="_Toc71665858"/>
      <w:bookmarkStart w:id="84" w:name="_Toc28486"/>
      <w:r>
        <w:rPr>
          <w:rFonts w:hint="eastAsia" w:ascii="方正楷体_GBK" w:hAnsi="方正楷体_GBK" w:eastAsia="方正楷体_GBK" w:cs="方正楷体_GBK"/>
          <w:lang w:eastAsia="zh-CN"/>
        </w:rPr>
        <w:t>（</w:t>
      </w:r>
      <w:r>
        <w:rPr>
          <w:rFonts w:hint="eastAsia" w:ascii="方正楷体_GBK" w:hAnsi="方正楷体_GBK" w:eastAsia="方正楷体_GBK" w:cs="方正楷体_GBK"/>
          <w:lang w:val="en-US" w:eastAsia="zh-CN"/>
        </w:rPr>
        <w:t>四</w:t>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rPr>
        <w:t xml:space="preserve"> 规划依据</w:t>
      </w:r>
      <w:bookmarkEnd w:id="81"/>
      <w:bookmarkEnd w:id="82"/>
      <w:bookmarkEnd w:id="83"/>
      <w:bookmarkEnd w:id="84"/>
    </w:p>
    <w:p>
      <w:pPr>
        <w:pStyle w:val="2948"/>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1. 国家法律法规</w:t>
      </w:r>
    </w:p>
    <w:p>
      <w:pPr>
        <w:pStyle w:val="2948"/>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lang w:val="zh-CN" w:eastAsia="zh-CN"/>
        </w:rPr>
      </w:pPr>
      <w:r>
        <w:rPr>
          <w:rFonts w:hint="eastAsia" w:ascii="Times New Roman" w:hAnsi="Times New Roman" w:eastAsia="方正仿宋_GBK" w:cs="Times New Roman"/>
          <w:sz w:val="32"/>
          <w:szCs w:val="32"/>
          <w:lang w:val="zh-CN" w:eastAsia="zh-CN"/>
        </w:rPr>
        <w:t>（1）《中华人民共和国水法》；</w:t>
      </w:r>
    </w:p>
    <w:p>
      <w:pPr>
        <w:pStyle w:val="2948"/>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lang w:val="zh-CN" w:eastAsia="zh-CN"/>
        </w:rPr>
      </w:pPr>
      <w:r>
        <w:rPr>
          <w:rFonts w:hint="eastAsia" w:ascii="Times New Roman" w:hAnsi="Times New Roman" w:eastAsia="方正仿宋_GBK" w:cs="Times New Roman"/>
          <w:sz w:val="32"/>
          <w:szCs w:val="32"/>
          <w:lang w:val="zh-CN" w:eastAsia="zh-CN"/>
        </w:rPr>
        <w:t>（2）《中华人民共和国防洪法》；</w:t>
      </w:r>
    </w:p>
    <w:p>
      <w:pPr>
        <w:pStyle w:val="2948"/>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lang w:val="zh-CN" w:eastAsia="zh-CN"/>
        </w:rPr>
      </w:pPr>
      <w:r>
        <w:rPr>
          <w:rFonts w:hint="eastAsia" w:ascii="Times New Roman" w:hAnsi="Times New Roman" w:eastAsia="方正仿宋_GBK" w:cs="Times New Roman"/>
          <w:sz w:val="32"/>
          <w:szCs w:val="32"/>
          <w:lang w:val="zh-CN" w:eastAsia="zh-CN"/>
        </w:rPr>
        <w:t>（3）</w:t>
      </w:r>
      <w:r>
        <w:rPr>
          <w:rFonts w:hint="eastAsia" w:ascii="Times New Roman" w:hAnsi="Times New Roman" w:eastAsia="方正仿宋_GBK" w:cs="Times New Roman"/>
          <w:sz w:val="32"/>
          <w:szCs w:val="32"/>
          <w:lang w:val="en-US" w:eastAsia="zh-CN"/>
        </w:rPr>
        <w:t>《中华人民共和国防汛条例》；</w:t>
      </w:r>
    </w:p>
    <w:p>
      <w:pPr>
        <w:pStyle w:val="2948"/>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lang w:val="zh-CN" w:eastAsia="zh-CN"/>
        </w:rPr>
      </w:pPr>
      <w:r>
        <w:rPr>
          <w:rFonts w:hint="eastAsia" w:ascii="Times New Roman" w:hAnsi="Times New Roman" w:eastAsia="方正仿宋_GBK" w:cs="Times New Roman"/>
          <w:sz w:val="32"/>
          <w:szCs w:val="32"/>
          <w:lang w:val="zh-CN" w:eastAsia="zh-CN"/>
        </w:rPr>
        <w:t>（4）《中华人民共和国水土保持法》；</w:t>
      </w:r>
    </w:p>
    <w:p>
      <w:pPr>
        <w:pStyle w:val="2948"/>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lang w:val="zh-CN" w:eastAsia="zh-CN"/>
        </w:rPr>
      </w:pPr>
      <w:r>
        <w:rPr>
          <w:rFonts w:hint="eastAsia" w:ascii="Times New Roman" w:hAnsi="Times New Roman" w:eastAsia="方正仿宋_GBK" w:cs="Times New Roman"/>
          <w:sz w:val="32"/>
          <w:szCs w:val="32"/>
          <w:lang w:val="zh-CN" w:eastAsia="zh-CN"/>
        </w:rPr>
        <w:t>（5）《中华人民共和国城乡规划法》；</w:t>
      </w:r>
    </w:p>
    <w:p>
      <w:pPr>
        <w:pStyle w:val="2948"/>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lang w:val="zh-CN" w:eastAsia="zh-CN"/>
        </w:rPr>
      </w:pPr>
      <w:r>
        <w:rPr>
          <w:rFonts w:hint="eastAsia" w:ascii="Times New Roman" w:hAnsi="Times New Roman" w:eastAsia="方正仿宋_GBK" w:cs="Times New Roman"/>
          <w:sz w:val="32"/>
          <w:szCs w:val="32"/>
          <w:lang w:val="zh-CN" w:eastAsia="zh-CN"/>
        </w:rPr>
        <w:t>（6）《中华人民共和国环境保护法》；</w:t>
      </w:r>
    </w:p>
    <w:p>
      <w:pPr>
        <w:pStyle w:val="2948"/>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lang w:val="zh-CN" w:eastAsia="zh-CN"/>
        </w:rPr>
      </w:pPr>
      <w:r>
        <w:rPr>
          <w:rFonts w:hint="eastAsia" w:ascii="Times New Roman" w:hAnsi="Times New Roman" w:eastAsia="方正仿宋_GBK" w:cs="Times New Roman"/>
          <w:sz w:val="32"/>
          <w:szCs w:val="32"/>
          <w:lang w:val="zh-CN" w:eastAsia="zh-CN"/>
        </w:rPr>
        <w:t>（7）《中华人民共和国河道管理条例》；</w:t>
      </w:r>
    </w:p>
    <w:p>
      <w:pPr>
        <w:pStyle w:val="2948"/>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lang w:val="zh-CN" w:eastAsia="zh-CN"/>
        </w:rPr>
      </w:pPr>
      <w:r>
        <w:rPr>
          <w:rFonts w:hint="eastAsia" w:ascii="Times New Roman" w:hAnsi="Times New Roman" w:eastAsia="方正仿宋_GBK" w:cs="Times New Roman"/>
          <w:spacing w:val="6"/>
          <w:sz w:val="32"/>
          <w:szCs w:val="32"/>
          <w:lang w:val="zh-CN" w:eastAsia="zh-CN"/>
        </w:rPr>
        <w:t>（</w:t>
      </w:r>
      <w:r>
        <w:rPr>
          <w:rFonts w:hint="eastAsia" w:ascii="Times New Roman" w:hAnsi="Times New Roman" w:eastAsia="方正仿宋_GBK" w:cs="Times New Roman"/>
          <w:spacing w:val="6"/>
          <w:sz w:val="32"/>
          <w:szCs w:val="32"/>
          <w:lang w:val="en-US" w:eastAsia="zh-CN"/>
        </w:rPr>
        <w:t>8</w:t>
      </w:r>
      <w:r>
        <w:rPr>
          <w:rFonts w:hint="eastAsia" w:ascii="Times New Roman" w:hAnsi="Times New Roman" w:eastAsia="方正仿宋_GBK" w:cs="Times New Roman"/>
          <w:spacing w:val="6"/>
          <w:sz w:val="32"/>
          <w:szCs w:val="32"/>
          <w:lang w:val="zh-CN" w:eastAsia="zh-CN"/>
        </w:rPr>
        <w:t>）《国务院关于加强城市基础设施建设的意见》（国发</w:t>
      </w:r>
      <w:r>
        <w:rPr>
          <w:rFonts w:hint="eastAsia" w:ascii="Times New Roman" w:hAnsi="Times New Roman" w:eastAsia="方正仿宋_GBK" w:cs="Times New Roman"/>
          <w:spacing w:val="6"/>
          <w:sz w:val="32"/>
          <w:szCs w:val="32"/>
          <w:lang w:val="en-US" w:eastAsia="zh-CN"/>
        </w:rPr>
        <w:t>〔2013〕</w:t>
      </w:r>
      <w:r>
        <w:rPr>
          <w:rFonts w:hint="eastAsia" w:ascii="Times New Roman" w:hAnsi="Times New Roman" w:eastAsia="方正仿宋_GBK" w:cs="Times New Roman"/>
          <w:sz w:val="32"/>
          <w:szCs w:val="32"/>
          <w:lang w:val="zh-CN" w:eastAsia="zh-CN"/>
        </w:rPr>
        <w:t>36号）；</w:t>
      </w:r>
    </w:p>
    <w:p>
      <w:pPr>
        <w:pStyle w:val="2948"/>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lang w:val="zh-CN" w:eastAsia="zh-CN"/>
        </w:rPr>
      </w:pPr>
      <w:r>
        <w:rPr>
          <w:rFonts w:hint="eastAsia" w:ascii="Times New Roman" w:hAnsi="Times New Roman" w:eastAsia="方正仿宋_GBK" w:cs="Times New Roman"/>
          <w:sz w:val="32"/>
          <w:szCs w:val="32"/>
          <w:lang w:val="zh-CN" w:eastAsia="zh-CN"/>
        </w:rPr>
        <w:t>（9）《国务院办公厅关于做好城市排水防涝设施建设工作的通知》（国办发</w:t>
      </w:r>
      <w:r>
        <w:rPr>
          <w:rFonts w:hint="eastAsia" w:ascii="Times New Roman" w:hAnsi="Times New Roman" w:eastAsia="方正仿宋_GBK" w:cs="Times New Roman"/>
          <w:sz w:val="32"/>
          <w:szCs w:val="32"/>
          <w:lang w:val="en-US" w:eastAsia="zh-CN"/>
        </w:rPr>
        <w:t>〔2013〕</w:t>
      </w:r>
      <w:r>
        <w:rPr>
          <w:rFonts w:hint="eastAsia" w:ascii="Times New Roman" w:hAnsi="Times New Roman" w:eastAsia="方正仿宋_GBK" w:cs="Times New Roman"/>
          <w:sz w:val="32"/>
          <w:szCs w:val="32"/>
          <w:lang w:val="zh-CN" w:eastAsia="zh-CN"/>
        </w:rPr>
        <w:t>23号）；</w:t>
      </w:r>
    </w:p>
    <w:p>
      <w:pPr>
        <w:pStyle w:val="2948"/>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lang w:val="zh-CN" w:eastAsia="zh-CN"/>
        </w:rPr>
      </w:pPr>
      <w:r>
        <w:rPr>
          <w:rFonts w:hint="eastAsia" w:ascii="Times New Roman" w:hAnsi="Times New Roman" w:eastAsia="方正仿宋_GBK" w:cs="Times New Roman"/>
          <w:sz w:val="32"/>
          <w:szCs w:val="32"/>
          <w:lang w:val="zh-CN" w:eastAsia="zh-CN"/>
        </w:rPr>
        <w:t>（10） 《关于加强城市水利工作的若干意见》（水资源</w:t>
      </w:r>
      <w:r>
        <w:rPr>
          <w:rFonts w:hint="eastAsia" w:ascii="Times New Roman" w:hAnsi="Times New Roman" w:eastAsia="方正仿宋_GBK" w:cs="Times New Roman"/>
          <w:sz w:val="32"/>
          <w:szCs w:val="32"/>
          <w:lang w:val="en-US" w:eastAsia="zh-CN"/>
        </w:rPr>
        <w:t>〔2006〕</w:t>
      </w:r>
      <w:r>
        <w:rPr>
          <w:rFonts w:hint="eastAsia" w:ascii="Times New Roman" w:hAnsi="Times New Roman" w:eastAsia="方正仿宋_GBK" w:cs="Times New Roman"/>
          <w:sz w:val="32"/>
          <w:szCs w:val="32"/>
          <w:lang w:val="zh-CN" w:eastAsia="zh-CN"/>
        </w:rPr>
        <w:t>510号）；</w:t>
      </w:r>
    </w:p>
    <w:p>
      <w:pPr>
        <w:pStyle w:val="2948"/>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lang w:val="zh-CN" w:eastAsia="zh-CN"/>
        </w:rPr>
      </w:pPr>
      <w:r>
        <w:rPr>
          <w:rFonts w:hint="eastAsia" w:ascii="Times New Roman" w:hAnsi="Times New Roman" w:eastAsia="方正仿宋_GBK" w:cs="Times New Roman"/>
          <w:sz w:val="32"/>
          <w:szCs w:val="32"/>
          <w:lang w:val="zh-CN" w:eastAsia="zh-CN"/>
        </w:rPr>
        <w:t>（11） 《加强城市防洪规划工作的指导意见》（水规计</w:t>
      </w:r>
      <w:r>
        <w:rPr>
          <w:rFonts w:hint="eastAsia" w:ascii="Times New Roman" w:hAnsi="Times New Roman" w:eastAsia="方正仿宋_GBK" w:cs="Times New Roman"/>
          <w:sz w:val="32"/>
          <w:szCs w:val="32"/>
          <w:lang w:val="en-US" w:eastAsia="zh-CN"/>
        </w:rPr>
        <w:t>〔2011〕</w:t>
      </w:r>
      <w:r>
        <w:rPr>
          <w:rFonts w:hint="eastAsia" w:ascii="Times New Roman" w:hAnsi="Times New Roman" w:eastAsia="方正仿宋_GBK" w:cs="Times New Roman"/>
          <w:sz w:val="32"/>
          <w:szCs w:val="32"/>
          <w:lang w:val="zh-CN" w:eastAsia="zh-CN"/>
        </w:rPr>
        <w:t>649号）。</w:t>
      </w:r>
    </w:p>
    <w:p>
      <w:pPr>
        <w:pStyle w:val="2948"/>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2</w:t>
      </w:r>
      <w:r>
        <w:rPr>
          <w:rFonts w:hint="eastAsia" w:ascii="Times New Roman" w:eastAsia="方正仿宋_GBK" w:cs="Times New Roman"/>
          <w:kern w:val="0"/>
          <w:sz w:val="32"/>
          <w:szCs w:val="32"/>
          <w:lang w:val="en-US" w:eastAsia="zh-CN"/>
        </w:rPr>
        <w:t>．</w:t>
      </w:r>
      <w:r>
        <w:rPr>
          <w:rFonts w:hint="eastAsia" w:ascii="Times New Roman" w:hAnsi="Times New Roman" w:eastAsia="方正仿宋_GBK" w:cs="Times New Roman"/>
          <w:sz w:val="32"/>
          <w:szCs w:val="32"/>
          <w:lang w:val="en-US" w:eastAsia="zh-CN"/>
        </w:rPr>
        <w:t>相关规程规范</w:t>
      </w:r>
    </w:p>
    <w:p>
      <w:pPr>
        <w:pStyle w:val="2948"/>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lang w:val="zh-CN" w:eastAsia="zh-CN"/>
        </w:rPr>
      </w:pPr>
      <w:r>
        <w:rPr>
          <w:rFonts w:hint="eastAsia" w:ascii="Times New Roman" w:hAnsi="Times New Roman" w:eastAsia="方正仿宋_GBK" w:cs="Times New Roman"/>
          <w:sz w:val="32"/>
          <w:szCs w:val="32"/>
          <w:lang w:val="zh-CN" w:eastAsia="zh-CN"/>
        </w:rPr>
        <w:t>（1）《防洪标准》（GB 50201—2014）；</w:t>
      </w:r>
    </w:p>
    <w:p>
      <w:pPr>
        <w:pStyle w:val="2948"/>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lang w:val="zh-CN" w:eastAsia="zh-CN"/>
        </w:rPr>
      </w:pPr>
      <w:r>
        <w:rPr>
          <w:rFonts w:hint="eastAsia" w:ascii="Times New Roman" w:hAnsi="Times New Roman" w:eastAsia="方正仿宋_GBK" w:cs="Times New Roman"/>
          <w:sz w:val="32"/>
          <w:szCs w:val="32"/>
          <w:lang w:val="zh-CN" w:eastAsia="zh-CN"/>
        </w:rPr>
        <w:t>（2）《城市防洪规划规范》（GB51079—2016）；</w:t>
      </w:r>
    </w:p>
    <w:p>
      <w:pPr>
        <w:pStyle w:val="2948"/>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lang w:val="zh-CN" w:eastAsia="zh-CN"/>
        </w:rPr>
      </w:pPr>
      <w:r>
        <w:rPr>
          <w:rFonts w:hint="eastAsia" w:ascii="Times New Roman" w:hAnsi="Times New Roman" w:eastAsia="方正仿宋_GBK" w:cs="Times New Roman"/>
          <w:sz w:val="32"/>
          <w:szCs w:val="32"/>
          <w:lang w:val="zh-CN" w:eastAsia="zh-CN"/>
        </w:rPr>
        <w:t>（3）《水利工程水利计算规范》（SL 104—2015）；</w:t>
      </w:r>
    </w:p>
    <w:p>
      <w:pPr>
        <w:pStyle w:val="2948"/>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lang w:val="zh-CN" w:eastAsia="zh-CN"/>
        </w:rPr>
      </w:pPr>
      <w:r>
        <w:rPr>
          <w:rFonts w:hint="eastAsia" w:ascii="Times New Roman" w:hAnsi="Times New Roman" w:eastAsia="方正仿宋_GBK" w:cs="Times New Roman"/>
          <w:sz w:val="32"/>
          <w:szCs w:val="32"/>
          <w:lang w:val="zh-CN" w:eastAsia="zh-CN"/>
        </w:rPr>
        <w:t>（4）《城市防洪工程设计规范》（GB/T 50805—2012）；</w:t>
      </w:r>
    </w:p>
    <w:p>
      <w:pPr>
        <w:pStyle w:val="2948"/>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lang w:val="zh-CN" w:eastAsia="zh-CN"/>
        </w:rPr>
      </w:pPr>
      <w:r>
        <w:rPr>
          <w:rFonts w:hint="eastAsia" w:ascii="Times New Roman" w:hAnsi="Times New Roman" w:eastAsia="方正仿宋_GBK" w:cs="Times New Roman"/>
          <w:sz w:val="32"/>
          <w:szCs w:val="32"/>
          <w:lang w:val="zh-CN" w:eastAsia="zh-CN"/>
        </w:rPr>
        <w:t>（5）《堤防工程设计规范》（GB 50286—2013）；</w:t>
      </w:r>
    </w:p>
    <w:p>
      <w:pPr>
        <w:pStyle w:val="2948"/>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lang w:val="zh-CN" w:eastAsia="zh-CN"/>
        </w:rPr>
      </w:pPr>
      <w:r>
        <w:rPr>
          <w:rFonts w:hint="eastAsia" w:ascii="Times New Roman" w:hAnsi="Times New Roman" w:eastAsia="方正仿宋_GBK" w:cs="Times New Roman"/>
          <w:sz w:val="32"/>
          <w:szCs w:val="32"/>
          <w:lang w:val="zh-CN" w:eastAsia="zh-CN"/>
        </w:rPr>
        <w:t xml:space="preserve">（6）《堤防工程管理设计规范》（SL 171—1996）。 </w:t>
      </w:r>
    </w:p>
    <w:p>
      <w:pPr>
        <w:pStyle w:val="2948"/>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3</w:t>
      </w:r>
      <w:r>
        <w:rPr>
          <w:rFonts w:hint="eastAsia" w:ascii="Times New Roman" w:eastAsia="方正仿宋_GBK" w:cs="Times New Roman"/>
          <w:kern w:val="0"/>
          <w:sz w:val="32"/>
          <w:szCs w:val="32"/>
          <w:lang w:val="en-US" w:eastAsia="zh-CN"/>
        </w:rPr>
        <w:t>．</w:t>
      </w:r>
      <w:r>
        <w:rPr>
          <w:rFonts w:hint="eastAsia" w:ascii="Times New Roman" w:hAnsi="Times New Roman" w:eastAsia="方正仿宋_GBK" w:cs="Times New Roman"/>
          <w:sz w:val="32"/>
          <w:szCs w:val="32"/>
          <w:lang w:val="en-US" w:eastAsia="zh-CN"/>
        </w:rPr>
        <w:t>相关规划设计成果及地方法规</w:t>
      </w:r>
    </w:p>
    <w:p>
      <w:pPr>
        <w:pStyle w:val="2948"/>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lang w:val="zh-CN" w:eastAsia="zh-CN"/>
        </w:rPr>
      </w:pPr>
      <w:r>
        <w:rPr>
          <w:rFonts w:hint="eastAsia" w:ascii="Times New Roman" w:hAnsi="Times New Roman" w:eastAsia="方正仿宋_GBK" w:cs="Times New Roman"/>
          <w:sz w:val="32"/>
          <w:szCs w:val="32"/>
          <w:lang w:val="zh-CN" w:eastAsia="zh-CN"/>
        </w:rPr>
        <w:t>（1）《中华人民共和国国民经济和社会发展第十四个五年规划和2035年远景目标纲要》（2021年3月11日第十三届全国人民代表大会第四次会议通过）；</w:t>
      </w:r>
    </w:p>
    <w:p>
      <w:pPr>
        <w:pStyle w:val="2948"/>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zh-CN" w:eastAsia="zh-CN"/>
        </w:rPr>
        <w:t>（</w:t>
      </w:r>
      <w:r>
        <w:rPr>
          <w:rFonts w:hint="eastAsia" w:ascii="Times New Roman" w:hAnsi="Times New Roman" w:eastAsia="方正仿宋_GBK" w:cs="Times New Roman"/>
          <w:sz w:val="32"/>
          <w:szCs w:val="32"/>
          <w:lang w:val="en-US" w:eastAsia="zh-CN"/>
        </w:rPr>
        <w:t>2</w:t>
      </w:r>
      <w:r>
        <w:rPr>
          <w:rFonts w:hint="eastAsia" w:ascii="Times New Roman" w:hAnsi="Times New Roman" w:eastAsia="方正仿宋_GBK" w:cs="Times New Roman"/>
          <w:sz w:val="32"/>
          <w:szCs w:val="32"/>
          <w:lang w:val="zh-CN" w:eastAsia="zh-CN"/>
        </w:rPr>
        <w:t>）</w:t>
      </w:r>
      <w:r>
        <w:rPr>
          <w:rFonts w:hint="eastAsia" w:ascii="Times New Roman" w:hAnsi="Times New Roman" w:eastAsia="方正仿宋_GBK" w:cs="Times New Roman"/>
          <w:sz w:val="32"/>
          <w:szCs w:val="32"/>
          <w:lang w:val="en-US" w:eastAsia="zh-CN"/>
        </w:rPr>
        <w:t>《长江流域综合规划（2012—2030年）》（国函〔2012〕220号）</w:t>
      </w:r>
      <w:r>
        <w:rPr>
          <w:rFonts w:hint="eastAsia" w:ascii="Times New Roman" w:hAnsi="Times New Roman" w:eastAsia="方正仿宋_GBK" w:cs="Times New Roman"/>
          <w:sz w:val="32"/>
          <w:szCs w:val="32"/>
          <w:lang w:val="zh-CN" w:eastAsia="zh-CN"/>
        </w:rPr>
        <w:t>；</w:t>
      </w:r>
    </w:p>
    <w:p>
      <w:pPr>
        <w:pStyle w:val="2948"/>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lang w:val="zh-CN" w:eastAsia="zh-CN"/>
        </w:rPr>
      </w:pPr>
      <w:r>
        <w:rPr>
          <w:rFonts w:hint="eastAsia" w:ascii="Times New Roman" w:hAnsi="Times New Roman" w:eastAsia="方正仿宋_GBK" w:cs="Times New Roman"/>
          <w:sz w:val="32"/>
          <w:szCs w:val="32"/>
          <w:lang w:val="zh-CN" w:eastAsia="zh-CN"/>
        </w:rPr>
        <w:t>（</w:t>
      </w:r>
      <w:r>
        <w:rPr>
          <w:rFonts w:hint="eastAsia" w:ascii="Times New Roman" w:hAnsi="Times New Roman" w:eastAsia="方正仿宋_GBK" w:cs="Times New Roman"/>
          <w:sz w:val="32"/>
          <w:szCs w:val="32"/>
          <w:lang w:val="en-US" w:eastAsia="zh-CN"/>
        </w:rPr>
        <w:t>3</w:t>
      </w:r>
      <w:r>
        <w:rPr>
          <w:rFonts w:hint="eastAsia" w:ascii="Times New Roman" w:hAnsi="Times New Roman" w:eastAsia="方正仿宋_GBK" w:cs="Times New Roman"/>
          <w:sz w:val="32"/>
          <w:szCs w:val="32"/>
          <w:lang w:val="zh-CN" w:eastAsia="zh-CN"/>
        </w:rPr>
        <w:t>）</w:t>
      </w:r>
      <w:r>
        <w:rPr>
          <w:rFonts w:hint="eastAsia" w:ascii="Times New Roman" w:hAnsi="Times New Roman" w:eastAsia="方正仿宋_GBK" w:cs="Times New Roman"/>
          <w:sz w:val="32"/>
          <w:szCs w:val="32"/>
          <w:lang w:val="en-US" w:eastAsia="zh-CN"/>
        </w:rPr>
        <w:t>《长江流域防洪规划》（国函〔2008〕62号）</w:t>
      </w:r>
      <w:r>
        <w:rPr>
          <w:rFonts w:hint="eastAsia" w:ascii="Times New Roman" w:hAnsi="Times New Roman" w:eastAsia="方正仿宋_GBK" w:cs="Times New Roman"/>
          <w:sz w:val="32"/>
          <w:szCs w:val="32"/>
          <w:lang w:val="zh-CN" w:eastAsia="zh-CN"/>
        </w:rPr>
        <w:t>；</w:t>
      </w:r>
    </w:p>
    <w:p>
      <w:pPr>
        <w:pStyle w:val="2948"/>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zh-CN" w:eastAsia="zh-CN"/>
        </w:rPr>
        <w:t>（</w:t>
      </w:r>
      <w:r>
        <w:rPr>
          <w:rFonts w:hint="eastAsia" w:ascii="Times New Roman" w:hAnsi="Times New Roman" w:eastAsia="方正仿宋_GBK" w:cs="Times New Roman"/>
          <w:sz w:val="32"/>
          <w:szCs w:val="32"/>
          <w:lang w:val="en-US" w:eastAsia="zh-CN"/>
        </w:rPr>
        <w:t>4）《全国大型水库建设总体安排意见（2013—2015年）》（发改农经〔2013〕1528号）；</w:t>
      </w:r>
    </w:p>
    <w:p>
      <w:pPr>
        <w:pStyle w:val="2948"/>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zh-CN" w:eastAsia="zh-CN"/>
        </w:rPr>
        <w:t>（</w:t>
      </w:r>
      <w:r>
        <w:rPr>
          <w:rFonts w:hint="eastAsia" w:ascii="Times New Roman" w:hAnsi="Times New Roman" w:eastAsia="方正仿宋_GBK" w:cs="Times New Roman"/>
          <w:sz w:val="32"/>
          <w:szCs w:val="32"/>
          <w:lang w:val="en-US" w:eastAsia="zh-CN"/>
        </w:rPr>
        <w:t>5）《长</w:t>
      </w:r>
      <w:r>
        <w:rPr>
          <w:rFonts w:hint="eastAsia" w:ascii="Times New Roman" w:hAnsi="Times New Roman" w:eastAsia="方正仿宋_GBK" w:cs="Times New Roman"/>
          <w:spacing w:val="-17"/>
          <w:sz w:val="32"/>
          <w:szCs w:val="32"/>
          <w:lang w:val="en-US" w:eastAsia="zh-CN"/>
        </w:rPr>
        <w:t>江经济带发展水利专项规划》（水规计〔2015〕426</w:t>
      </w:r>
      <w:r>
        <w:rPr>
          <w:rFonts w:hint="eastAsia" w:ascii="Times New Roman" w:hAnsi="Times New Roman" w:eastAsia="方正仿宋_GBK" w:cs="Times New Roman"/>
          <w:sz w:val="32"/>
          <w:szCs w:val="32"/>
          <w:lang w:val="en-US" w:eastAsia="zh-CN"/>
        </w:rPr>
        <w:t>号）；</w:t>
      </w:r>
    </w:p>
    <w:p>
      <w:pPr>
        <w:pStyle w:val="2948"/>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zh-CN" w:eastAsia="zh-CN"/>
        </w:rPr>
        <w:t>（</w:t>
      </w:r>
      <w:r>
        <w:rPr>
          <w:rFonts w:hint="eastAsia" w:ascii="Times New Roman" w:hAnsi="Times New Roman" w:eastAsia="方正仿宋_GBK" w:cs="Times New Roman"/>
          <w:sz w:val="32"/>
          <w:szCs w:val="32"/>
          <w:lang w:val="en-US" w:eastAsia="zh-CN"/>
        </w:rPr>
        <w:t>6）《重庆市五大功能区水利发展战略规划》（2015年）（水规计〔2015〕517号）；</w:t>
      </w:r>
    </w:p>
    <w:p>
      <w:pPr>
        <w:pStyle w:val="2948"/>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zh-CN" w:eastAsia="zh-CN"/>
        </w:rPr>
        <w:t>（</w:t>
      </w:r>
      <w:r>
        <w:rPr>
          <w:rFonts w:hint="eastAsia" w:ascii="Times New Roman" w:hAnsi="Times New Roman" w:eastAsia="方正仿宋_GBK" w:cs="Times New Roman"/>
          <w:sz w:val="32"/>
          <w:szCs w:val="32"/>
          <w:lang w:val="en-US" w:eastAsia="zh-CN"/>
        </w:rPr>
        <w:t>7）《重庆市水利发展“十三五”规划》（渝府发〔2016〕35号）；</w:t>
      </w:r>
    </w:p>
    <w:p>
      <w:pPr>
        <w:pStyle w:val="2948"/>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lang w:val="zh-CN" w:eastAsia="zh-CN"/>
        </w:rPr>
      </w:pPr>
      <w:r>
        <w:rPr>
          <w:rFonts w:hint="eastAsia" w:ascii="Times New Roman" w:hAnsi="Times New Roman" w:eastAsia="方正仿宋_GBK" w:cs="Times New Roman"/>
          <w:sz w:val="32"/>
          <w:szCs w:val="32"/>
          <w:lang w:val="zh-CN" w:eastAsia="zh-CN"/>
        </w:rPr>
        <w:t>（8）《重庆市防汛抗旱条例》（重庆市人民代表大会常务委员会公告</w:t>
      </w:r>
      <w:r>
        <w:rPr>
          <w:rFonts w:hint="eastAsia" w:ascii="Times New Roman" w:hAnsi="Times New Roman" w:eastAsia="方正仿宋_GBK" w:cs="Times New Roman"/>
          <w:sz w:val="32"/>
          <w:szCs w:val="32"/>
          <w:lang w:val="en-US" w:eastAsia="zh-CN"/>
        </w:rPr>
        <w:t>〔2008〕</w:t>
      </w:r>
      <w:r>
        <w:rPr>
          <w:rFonts w:hint="eastAsia" w:ascii="Times New Roman" w:hAnsi="Times New Roman" w:eastAsia="方正仿宋_GBK" w:cs="Times New Roman"/>
          <w:sz w:val="32"/>
          <w:szCs w:val="32"/>
          <w:lang w:val="zh-CN" w:eastAsia="zh-CN"/>
        </w:rPr>
        <w:t xml:space="preserve"> 14号）；</w:t>
      </w:r>
    </w:p>
    <w:p>
      <w:pPr>
        <w:pStyle w:val="2948"/>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lang w:val="zh-CN" w:eastAsia="zh-CN"/>
        </w:rPr>
      </w:pPr>
      <w:r>
        <w:rPr>
          <w:rFonts w:hint="eastAsia" w:ascii="Times New Roman" w:hAnsi="Times New Roman" w:eastAsia="方正仿宋_GBK" w:cs="Times New Roman"/>
          <w:sz w:val="32"/>
          <w:szCs w:val="32"/>
          <w:lang w:val="zh-CN" w:eastAsia="zh-CN"/>
        </w:rPr>
        <w:t>（9） 《重庆市綦江区城区防汛应急预案》（綦江</w:t>
      </w:r>
      <w:r>
        <w:rPr>
          <w:rFonts w:hint="eastAsia" w:ascii="Times New Roman" w:hAnsi="Times New Roman" w:eastAsia="方正仿宋_GBK" w:cs="Times New Roman"/>
          <w:sz w:val="32"/>
          <w:szCs w:val="32"/>
          <w:lang w:val="en-US" w:eastAsia="zh-CN"/>
        </w:rPr>
        <w:t>府办发〔2020〕30号</w:t>
      </w:r>
      <w:r>
        <w:rPr>
          <w:rFonts w:hint="eastAsia" w:ascii="Times New Roman" w:hAnsi="Times New Roman" w:eastAsia="方正仿宋_GBK" w:cs="Times New Roman"/>
          <w:sz w:val="32"/>
          <w:szCs w:val="32"/>
          <w:lang w:val="zh-CN" w:eastAsia="zh-CN"/>
        </w:rPr>
        <w:t>）；</w:t>
      </w:r>
    </w:p>
    <w:p>
      <w:pPr>
        <w:pStyle w:val="2948"/>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zh-CN" w:eastAsia="zh-CN"/>
        </w:rPr>
        <w:t>（</w:t>
      </w:r>
      <w:r>
        <w:rPr>
          <w:rFonts w:hint="eastAsia" w:ascii="Times New Roman" w:hAnsi="Times New Roman" w:eastAsia="方正仿宋_GBK" w:cs="Times New Roman"/>
          <w:sz w:val="32"/>
          <w:szCs w:val="32"/>
          <w:lang w:val="en-US" w:eastAsia="zh-CN"/>
        </w:rPr>
        <w:t xml:space="preserve">10）《綦江河流域防洪规划报告（2000—2020年）》； </w:t>
      </w:r>
    </w:p>
    <w:p>
      <w:pPr>
        <w:pStyle w:val="2948"/>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zh-CN" w:eastAsia="zh-CN"/>
        </w:rPr>
        <w:t>（</w:t>
      </w:r>
      <w:r>
        <w:rPr>
          <w:rFonts w:hint="eastAsia" w:ascii="Times New Roman" w:hAnsi="Times New Roman" w:eastAsia="方正仿宋_GBK" w:cs="Times New Roman"/>
          <w:sz w:val="32"/>
          <w:szCs w:val="32"/>
          <w:lang w:val="en-US" w:eastAsia="zh-CN"/>
        </w:rPr>
        <w:t>11）《綦江县县城防洪规划报告》（2007年）；</w:t>
      </w:r>
    </w:p>
    <w:p>
      <w:pPr>
        <w:pStyle w:val="2948"/>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zh-CN" w:eastAsia="zh-CN"/>
        </w:rPr>
        <w:t>（</w:t>
      </w:r>
      <w:r>
        <w:rPr>
          <w:rFonts w:hint="eastAsia" w:ascii="Times New Roman" w:hAnsi="Times New Roman" w:eastAsia="方正仿宋_GBK" w:cs="Times New Roman"/>
          <w:sz w:val="32"/>
          <w:szCs w:val="32"/>
          <w:lang w:val="en-US" w:eastAsia="zh-CN"/>
        </w:rPr>
        <w:t>12）《重庆市綦江城区防洪护岸综合整治工程初步设计报告》（2008年）</w:t>
      </w:r>
    </w:p>
    <w:p>
      <w:pPr>
        <w:pStyle w:val="2948"/>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zh-CN" w:eastAsia="zh-CN"/>
        </w:rPr>
        <w:t>（</w:t>
      </w:r>
      <w:r>
        <w:rPr>
          <w:rFonts w:hint="eastAsia" w:ascii="Times New Roman" w:hAnsi="Times New Roman" w:eastAsia="方正仿宋_GBK" w:cs="Times New Roman"/>
          <w:sz w:val="32"/>
          <w:szCs w:val="32"/>
          <w:lang w:val="en-US" w:eastAsia="zh-CN"/>
        </w:rPr>
        <w:t>13）《重庆市綦江区城乡总体规划（2012—2020年）》；</w:t>
      </w:r>
    </w:p>
    <w:p>
      <w:pPr>
        <w:pStyle w:val="2948"/>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zh-CN" w:eastAsia="zh-CN"/>
        </w:rPr>
        <w:t>（</w:t>
      </w:r>
      <w:r>
        <w:rPr>
          <w:rFonts w:hint="eastAsia" w:ascii="Times New Roman" w:hAnsi="Times New Roman" w:eastAsia="方正仿宋_GBK" w:cs="Times New Roman"/>
          <w:sz w:val="32"/>
          <w:szCs w:val="32"/>
          <w:lang w:val="en-US" w:eastAsia="zh-CN"/>
        </w:rPr>
        <w:t>14）《重庆市綦江河防洪综合整治规划报告》（2017年）；</w:t>
      </w:r>
    </w:p>
    <w:p>
      <w:pPr>
        <w:pStyle w:val="2948"/>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zh-CN" w:eastAsia="zh-CN"/>
        </w:rPr>
        <w:t>（</w:t>
      </w:r>
      <w:r>
        <w:rPr>
          <w:rFonts w:hint="eastAsia" w:ascii="Times New Roman" w:hAnsi="Times New Roman" w:eastAsia="方正仿宋_GBK" w:cs="Times New Roman"/>
          <w:sz w:val="32"/>
          <w:szCs w:val="32"/>
          <w:lang w:val="en-US" w:eastAsia="zh-CN"/>
        </w:rPr>
        <w:t>15）《重庆市綦江区河道“五线”洪水分析计算及划定报告》（2014年）；</w:t>
      </w:r>
    </w:p>
    <w:p>
      <w:pPr>
        <w:pStyle w:val="2948"/>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zh-CN" w:eastAsia="zh-CN"/>
        </w:rPr>
        <w:t>（</w:t>
      </w:r>
      <w:r>
        <w:rPr>
          <w:rFonts w:hint="eastAsia" w:ascii="Times New Roman" w:hAnsi="Times New Roman" w:eastAsia="方正仿宋_GBK" w:cs="Times New Roman"/>
          <w:sz w:val="32"/>
          <w:szCs w:val="32"/>
          <w:lang w:val="en-US" w:eastAsia="zh-CN"/>
        </w:rPr>
        <w:t>16）《重庆市綦江河洪水风险图编制成果报告》（2015年）；</w:t>
      </w:r>
    </w:p>
    <w:p>
      <w:pPr>
        <w:pStyle w:val="2948"/>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zh-CN" w:eastAsia="zh-CN"/>
        </w:rPr>
        <w:t>（</w:t>
      </w:r>
      <w:r>
        <w:rPr>
          <w:rFonts w:hint="eastAsia" w:ascii="Times New Roman" w:hAnsi="Times New Roman" w:eastAsia="方正仿宋_GBK" w:cs="Times New Roman"/>
          <w:sz w:val="32"/>
          <w:szCs w:val="32"/>
          <w:lang w:val="en-US" w:eastAsia="zh-CN"/>
        </w:rPr>
        <w:t>17）《綦江航运综合开发规划》（2016年）；</w:t>
      </w:r>
    </w:p>
    <w:p>
      <w:pPr>
        <w:pStyle w:val="2948"/>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zh-CN" w:eastAsia="zh-CN"/>
        </w:rPr>
        <w:t>（</w:t>
      </w:r>
      <w:r>
        <w:rPr>
          <w:rFonts w:hint="eastAsia" w:ascii="Times New Roman" w:hAnsi="Times New Roman" w:eastAsia="方正仿宋_GBK" w:cs="Times New Roman"/>
          <w:sz w:val="32"/>
          <w:szCs w:val="32"/>
          <w:lang w:val="en-US" w:eastAsia="zh-CN"/>
        </w:rPr>
        <w:t>18）《綦江区域综合发展规划》（2021年）。</w:t>
      </w:r>
    </w:p>
    <w:p>
      <w:pPr>
        <w:pStyle w:val="1795"/>
        <w:keepNext w:val="0"/>
        <w:keepLines w:val="0"/>
        <w:pageBreakBefore w:val="0"/>
        <w:widowControl w:val="0"/>
        <w:kinsoku/>
        <w:wordWrap/>
        <w:overflowPunct/>
        <w:topLinePunct w:val="0"/>
        <w:autoSpaceDE/>
        <w:autoSpaceDN/>
        <w:bidi w:val="0"/>
        <w:adjustRightInd/>
        <w:snapToGrid/>
        <w:spacing w:before="0" w:after="0"/>
        <w:ind w:firstLine="640" w:firstLineChars="200"/>
        <w:textAlignment w:val="auto"/>
        <w:rPr>
          <w:rFonts w:hint="eastAsia" w:ascii="方正楷体_GBK" w:hAnsi="方正楷体_GBK" w:eastAsia="方正楷体_GBK" w:cs="方正楷体_GBK"/>
        </w:rPr>
      </w:pPr>
      <w:bookmarkStart w:id="85" w:name="_Toc1334"/>
      <w:bookmarkStart w:id="86" w:name="_Toc71782076"/>
      <w:bookmarkStart w:id="87" w:name="_Toc71665859"/>
      <w:bookmarkStart w:id="88" w:name="_Toc325"/>
      <w:r>
        <w:rPr>
          <w:rFonts w:hint="eastAsia" w:ascii="方正楷体_GBK" w:hAnsi="方正楷体_GBK" w:eastAsia="方正楷体_GBK" w:cs="方正楷体_GBK"/>
          <w:lang w:eastAsia="zh-CN"/>
        </w:rPr>
        <w:t>（</w:t>
      </w:r>
      <w:r>
        <w:rPr>
          <w:rFonts w:hint="eastAsia" w:ascii="方正楷体_GBK" w:hAnsi="方正楷体_GBK" w:eastAsia="方正楷体_GBK" w:cs="方正楷体_GBK"/>
          <w:lang w:val="en-US" w:eastAsia="zh-CN"/>
        </w:rPr>
        <w:t>五</w:t>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rPr>
        <w:t>规划目标</w:t>
      </w:r>
      <w:bookmarkEnd w:id="85"/>
      <w:bookmarkEnd w:id="86"/>
      <w:bookmarkEnd w:id="87"/>
      <w:bookmarkEnd w:id="88"/>
    </w:p>
    <w:p>
      <w:pPr>
        <w:pStyle w:val="2948"/>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根据</w:t>
      </w:r>
      <w:r>
        <w:rPr>
          <w:rFonts w:hint="eastAsia" w:ascii="Times New Roman" w:hAnsi="Times New Roman" w:eastAsia="方正仿宋_GBK" w:cs="Times New Roman"/>
          <w:sz w:val="32"/>
          <w:szCs w:val="32"/>
          <w:lang w:val="zh-CN" w:eastAsia="zh-CN"/>
        </w:rPr>
        <w:t>《中华人民共和国国民经济和社会发展第十四个五年规划和2035年远景目标纲要》，“十四五”时期国家治理效能得到新提升，防范化解重大风险体制机制不断健全，自然灾害防御水平明显提升，发展安全保障更加有力；2035年，我国基本实现社会主义现代化，基本实现国家治理体系和治理能力现代化，美丽中国建设目标基本实现。</w:t>
      </w:r>
    </w:p>
    <w:p>
      <w:pPr>
        <w:pStyle w:val="2948"/>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结合</w:t>
      </w:r>
      <w:r>
        <w:rPr>
          <w:rFonts w:hint="eastAsia" w:ascii="Times New Roman" w:hAnsi="Times New Roman" w:eastAsia="方正仿宋_GBK" w:cs="Times New Roman"/>
          <w:sz w:val="32"/>
          <w:szCs w:val="32"/>
          <w:lang w:val="zh-CN" w:eastAsia="zh-CN"/>
        </w:rPr>
        <w:t>《中华人民共和国国民经济和社会发展第十四个五年规划和2035年远景目标纲要》</w:t>
      </w:r>
      <w:r>
        <w:rPr>
          <w:rFonts w:hint="eastAsia" w:ascii="Times New Roman" w:hAnsi="Times New Roman" w:eastAsia="方正仿宋_GBK" w:cs="Times New Roman"/>
          <w:sz w:val="32"/>
          <w:szCs w:val="32"/>
          <w:lang w:val="en-US" w:eastAsia="zh-CN"/>
        </w:rPr>
        <w:t>，綦江城区防洪规划的目标为完善綦江城区防洪减灾体系，全面提升水灾害防御水平，建设“安澜綦江”。具体分期目标为：</w:t>
      </w:r>
    </w:p>
    <w:p>
      <w:pPr>
        <w:pStyle w:val="2948"/>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1．20</w:t>
      </w:r>
      <w:r>
        <w:rPr>
          <w:rFonts w:hint="default" w:ascii="Times New Roman" w:hAnsi="Times New Roman" w:eastAsia="方正仿宋_GBK" w:cs="Times New Roman"/>
          <w:sz w:val="32"/>
          <w:szCs w:val="32"/>
          <w:lang w:val="en-US" w:eastAsia="zh-CN"/>
        </w:rPr>
        <w:t>25</w:t>
      </w:r>
      <w:r>
        <w:rPr>
          <w:rFonts w:hint="eastAsia" w:ascii="Times New Roman" w:hAnsi="Times New Roman" w:eastAsia="方正仿宋_GBK" w:cs="Times New Roman"/>
          <w:sz w:val="32"/>
          <w:szCs w:val="32"/>
          <w:lang w:val="en-US" w:eastAsia="zh-CN"/>
        </w:rPr>
        <w:t>年目标</w:t>
      </w:r>
    </w:p>
    <w:p>
      <w:pPr>
        <w:pStyle w:val="2948"/>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实施防洪提升工程，解决防汛薄弱环节，加快防洪控制性枢纽工程建设和中小河流治理，全面推进堤防建设。綦江城区防洪标准达到50年一遇，在标准洪水下基本不发生灾害，遇超标准洪水有对策措施；防洪非工程措施进一步完善，洪水智慧调度初步运用，洪水风险管理初具雏形，水利信息化水平显著提升。</w:t>
      </w:r>
    </w:p>
    <w:p>
      <w:pPr>
        <w:pStyle w:val="2948"/>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2</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rPr>
        <w:t>2035年目标</w:t>
      </w:r>
    </w:p>
    <w:p>
      <w:pPr>
        <w:pStyle w:val="1916"/>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kern w:val="0"/>
          <w:sz w:val="32"/>
          <w:szCs w:val="32"/>
          <w:lang w:val="zh-CN"/>
        </w:rPr>
      </w:pPr>
      <w:r>
        <w:rPr>
          <w:rFonts w:hint="default" w:ascii="Times New Roman" w:hAnsi="Times New Roman" w:eastAsia="方正仿宋_GBK" w:cs="Times New Roman"/>
          <w:sz w:val="32"/>
          <w:szCs w:val="32"/>
        </w:rPr>
        <w:t>水利信息化水平显著提升</w:t>
      </w:r>
      <w:r>
        <w:rPr>
          <w:rFonts w:hint="default" w:ascii="Times New Roman" w:hAnsi="Times New Roman" w:eastAsia="方正仿宋_GBK" w:cs="Times New Roman"/>
          <w:kern w:val="0"/>
          <w:sz w:val="32"/>
          <w:szCs w:val="32"/>
          <w:lang w:val="zh-CN"/>
        </w:rPr>
        <w:t>，基本实现</w:t>
      </w:r>
      <w:r>
        <w:rPr>
          <w:rFonts w:hint="default" w:ascii="Times New Roman" w:hAnsi="Times New Roman" w:eastAsia="方正仿宋_GBK" w:cs="Times New Roman"/>
          <w:kern w:val="0"/>
          <w:sz w:val="32"/>
          <w:szCs w:val="32"/>
        </w:rPr>
        <w:t>防洪</w:t>
      </w:r>
      <w:r>
        <w:rPr>
          <w:rFonts w:hint="default" w:ascii="Times New Roman" w:hAnsi="Times New Roman" w:eastAsia="方正仿宋_GBK" w:cs="Times New Roman"/>
          <w:kern w:val="0"/>
          <w:sz w:val="32"/>
          <w:szCs w:val="32"/>
          <w:lang w:val="zh-CN"/>
        </w:rPr>
        <w:t>治理体系和治理能力现代化</w:t>
      </w:r>
      <w:r>
        <w:rPr>
          <w:rFonts w:hint="default" w:ascii="Times New Roman" w:hAnsi="Times New Roman" w:eastAsia="方正仿宋_GBK" w:cs="Times New Roman"/>
          <w:sz w:val="32"/>
          <w:szCs w:val="32"/>
        </w:rPr>
        <w:t>，结合流域防洪工程联合调度，建立可靠的城市防洪减灾体系，提升超标准洪水应对能力</w:t>
      </w:r>
      <w:r>
        <w:rPr>
          <w:rFonts w:hint="default" w:ascii="Times New Roman" w:hAnsi="Times New Roman" w:eastAsia="方正仿宋_GBK" w:cs="Times New Roman"/>
          <w:kern w:val="0"/>
          <w:sz w:val="32"/>
          <w:szCs w:val="32"/>
        </w:rPr>
        <w:t>；</w:t>
      </w:r>
      <w:r>
        <w:rPr>
          <w:rFonts w:hint="default" w:ascii="Times New Roman" w:hAnsi="Times New Roman" w:eastAsia="方正仿宋_GBK" w:cs="Times New Roman"/>
          <w:sz w:val="32"/>
          <w:szCs w:val="32"/>
        </w:rPr>
        <w:t>建立洪水风险管理的基本制度</w:t>
      </w:r>
      <w:r>
        <w:rPr>
          <w:rFonts w:hint="default" w:ascii="Times New Roman" w:hAnsi="Times New Roman" w:eastAsia="方正仿宋_GBK" w:cs="Times New Roman"/>
          <w:kern w:val="0"/>
          <w:sz w:val="32"/>
          <w:szCs w:val="32"/>
        </w:rPr>
        <w:t>，因地制宜发展体育公园和沿江步道，支持在不妨碍防洪安全前提下利用河滩地等建设公共设施</w:t>
      </w:r>
      <w:r>
        <w:rPr>
          <w:rFonts w:hint="default" w:ascii="Times New Roman" w:hAnsi="Times New Roman" w:eastAsia="方正仿宋_GBK" w:cs="Times New Roman"/>
          <w:kern w:val="0"/>
          <w:sz w:val="32"/>
          <w:szCs w:val="32"/>
          <w:lang w:val="zh-CN"/>
        </w:rPr>
        <w:t>，广泛形成绿色生产生活方式，人水相依、城水相伴、江岸共存、山水相映的山、水、城、人和谐共生格局初步建立，人民生活更加美好，人的全面发展、全体人民共同富裕取得更为明显的实质性进展。</w:t>
      </w:r>
    </w:p>
    <w:p>
      <w:pPr>
        <w:pStyle w:val="1916"/>
        <w:ind w:firstLine="560"/>
        <w:rPr>
          <w:rFonts w:hint="eastAsia"/>
          <w:kern w:val="0"/>
          <w:lang w:val="zh-CN"/>
        </w:rPr>
      </w:pPr>
    </w:p>
    <w:p>
      <w:pPr>
        <w:pStyle w:val="1356"/>
        <w:ind w:firstLine="560"/>
        <w:rPr>
          <w:kern w:val="0"/>
        </w:rPr>
        <w:sectPr>
          <w:headerReference r:id="rId20" w:type="default"/>
          <w:headerReference r:id="rId21" w:type="even"/>
          <w:pgSz w:w="11907" w:h="16840"/>
          <w:pgMar w:top="1616" w:right="1418" w:bottom="1616" w:left="1418" w:header="851" w:footer="1304" w:gutter="0"/>
          <w:pgBorders>
            <w:top w:val="none" w:sz="0" w:space="0"/>
            <w:left w:val="none" w:sz="0" w:space="0"/>
            <w:bottom w:val="none" w:sz="0" w:space="0"/>
            <w:right w:val="none" w:sz="0" w:space="0"/>
          </w:pgBorders>
          <w:pgNumType w:fmt="decimal"/>
          <w:cols w:space="720" w:num="1"/>
          <w:docGrid w:type="lines" w:linePitch="381" w:charSpace="0"/>
        </w:sectPr>
      </w:pPr>
    </w:p>
    <w:p>
      <w:pPr>
        <w:pStyle w:val="153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方正黑体_GBK" w:hAnsi="方正黑体_GBK" w:eastAsia="方正黑体_GBK" w:cs="方正黑体_GBK"/>
          <w:sz w:val="32"/>
          <w:szCs w:val="32"/>
        </w:rPr>
      </w:pPr>
      <w:bookmarkStart w:id="89" w:name="_Toc22823"/>
      <w:bookmarkStart w:id="90" w:name="_Toc71665860"/>
      <w:bookmarkStart w:id="91" w:name="_Toc71782077"/>
      <w:bookmarkStart w:id="92" w:name="_Toc5269"/>
      <w:r>
        <w:rPr>
          <w:rFonts w:hint="eastAsia" w:ascii="方正黑体_GBK" w:hAnsi="方正黑体_GBK" w:eastAsia="方正黑体_GBK" w:cs="方正黑体_GBK"/>
          <w:sz w:val="32"/>
          <w:szCs w:val="32"/>
          <w:lang w:val="en-US" w:eastAsia="zh-CN"/>
        </w:rPr>
        <w:t>四、</w:t>
      </w:r>
      <w:r>
        <w:rPr>
          <w:rFonts w:hint="eastAsia" w:ascii="方正黑体_GBK" w:hAnsi="方正黑体_GBK" w:eastAsia="方正黑体_GBK" w:cs="方正黑体_GBK"/>
          <w:sz w:val="32"/>
          <w:szCs w:val="32"/>
        </w:rPr>
        <w:t>水文分析计算</w:t>
      </w:r>
      <w:bookmarkEnd w:id="68"/>
      <w:bookmarkEnd w:id="89"/>
      <w:bookmarkEnd w:id="90"/>
      <w:bookmarkEnd w:id="91"/>
      <w:bookmarkEnd w:id="92"/>
    </w:p>
    <w:p>
      <w:pPr>
        <w:keepNext w:val="0"/>
        <w:keepLines w:val="0"/>
        <w:pageBreakBefore w:val="0"/>
        <w:widowControl w:val="0"/>
        <w:kinsoku/>
        <w:wordWrap/>
        <w:overflowPunct/>
        <w:topLinePunct w:val="0"/>
        <w:autoSpaceDE/>
        <w:autoSpaceDN/>
        <w:bidi w:val="0"/>
        <w:adjustRightInd/>
        <w:snapToGrid/>
        <w:ind w:firstLine="640" w:firstLineChars="200"/>
        <w:textAlignment w:val="auto"/>
        <w:outlineLvl w:val="1"/>
        <w:rPr>
          <w:rFonts w:hint="eastAsia" w:ascii="方正楷体_GBK" w:hAnsi="方正楷体_GBK" w:eastAsia="方正楷体_GBK" w:cs="方正楷体_GBK"/>
          <w:bCs/>
          <w:sz w:val="32"/>
        </w:rPr>
      </w:pPr>
      <w:bookmarkStart w:id="93" w:name="_Toc9550"/>
      <w:bookmarkStart w:id="94" w:name="_Toc71665861"/>
      <w:bookmarkStart w:id="95" w:name="_Toc71782078"/>
      <w:bookmarkStart w:id="96" w:name="_Toc22214"/>
      <w:bookmarkStart w:id="97" w:name="_Toc250624516"/>
      <w:r>
        <w:rPr>
          <w:rFonts w:hint="eastAsia" w:ascii="方正楷体_GBK" w:hAnsi="方正楷体_GBK" w:eastAsia="方正楷体_GBK" w:cs="方正楷体_GBK"/>
          <w:bCs/>
          <w:sz w:val="32"/>
          <w:lang w:eastAsia="zh-CN"/>
        </w:rPr>
        <w:t>（</w:t>
      </w:r>
      <w:r>
        <w:rPr>
          <w:rFonts w:hint="eastAsia" w:ascii="方正楷体_GBK" w:hAnsi="方正楷体_GBK" w:eastAsia="方正楷体_GBK" w:cs="方正楷体_GBK"/>
          <w:bCs/>
          <w:sz w:val="32"/>
          <w:lang w:val="en-US" w:eastAsia="zh-CN"/>
        </w:rPr>
        <w:t>一</w:t>
      </w:r>
      <w:r>
        <w:rPr>
          <w:rFonts w:hint="eastAsia" w:ascii="方正楷体_GBK" w:hAnsi="方正楷体_GBK" w:eastAsia="方正楷体_GBK" w:cs="方正楷体_GBK"/>
          <w:bCs/>
          <w:sz w:val="32"/>
          <w:lang w:eastAsia="zh-CN"/>
        </w:rPr>
        <w:t>）</w:t>
      </w:r>
      <w:r>
        <w:rPr>
          <w:rFonts w:hint="eastAsia" w:ascii="方正楷体_GBK" w:hAnsi="方正楷体_GBK" w:eastAsia="方正楷体_GBK" w:cs="方正楷体_GBK"/>
          <w:bCs/>
          <w:sz w:val="32"/>
        </w:rPr>
        <w:t>水文基本资料</w:t>
      </w:r>
      <w:bookmarkEnd w:id="93"/>
      <w:bookmarkEnd w:id="94"/>
      <w:bookmarkEnd w:id="95"/>
      <w:bookmarkEnd w:id="96"/>
    </w:p>
    <w:p>
      <w:pPr>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kern w:val="0"/>
          <w:sz w:val="32"/>
          <w:szCs w:val="32"/>
        </w:rPr>
        <w:t>綦江干流有松坎（三）、赶水（二）、东溪、五岔等水文站，綦江支流蒲河有石角水文站（蒲河），藻渡河有新炉水文站。綦江水系及测站站网分布见</w:t>
      </w:r>
      <w:r>
        <w:rPr>
          <w:rFonts w:hint="default" w:ascii="Times New Roman" w:hAnsi="Times New Roman" w:eastAsia="方正仿宋_GBK" w:cs="Times New Roman"/>
          <w:kern w:val="0"/>
          <w:sz w:val="32"/>
          <w:szCs w:val="32"/>
          <w:lang w:val="zh-CN"/>
        </w:rPr>
        <w:t>图1.2</w:t>
      </w:r>
      <w:r>
        <w:rPr>
          <w:rFonts w:hint="eastAsia" w:ascii="Times New Roman" w:eastAsia="方正仿宋_GBK" w:cs="Times New Roman"/>
          <w:kern w:val="0"/>
          <w:sz w:val="32"/>
          <w:szCs w:val="32"/>
          <w:lang w:val="zh-CN"/>
        </w:rPr>
        <w:t>—</w:t>
      </w:r>
      <w:r>
        <w:rPr>
          <w:rFonts w:hint="default" w:ascii="Times New Roman" w:hAnsi="Times New Roman" w:eastAsia="方正仿宋_GBK" w:cs="Times New Roman"/>
          <w:kern w:val="0"/>
          <w:sz w:val="32"/>
          <w:szCs w:val="32"/>
          <w:lang w:val="zh-CN"/>
        </w:rPr>
        <w:t>1，</w:t>
      </w:r>
      <w:r>
        <w:rPr>
          <w:rFonts w:hint="default" w:ascii="Times New Roman" w:hAnsi="Times New Roman" w:eastAsia="方正仿宋_GBK" w:cs="Times New Roman"/>
          <w:sz w:val="32"/>
          <w:szCs w:val="32"/>
        </w:rPr>
        <w:t>水文测站</w:t>
      </w:r>
      <w:r>
        <w:rPr>
          <w:rFonts w:hint="default" w:ascii="Times New Roman" w:hAnsi="Times New Roman" w:eastAsia="方正仿宋_GBK" w:cs="Times New Roman"/>
          <w:kern w:val="0"/>
          <w:sz w:val="32"/>
          <w:szCs w:val="32"/>
        </w:rPr>
        <w:t>资料情况</w:t>
      </w:r>
      <w:r>
        <w:rPr>
          <w:rFonts w:hint="default" w:ascii="Times New Roman" w:hAnsi="Times New Roman" w:eastAsia="方正仿宋_GBK" w:cs="Times New Roman"/>
          <w:sz w:val="32"/>
          <w:szCs w:val="32"/>
        </w:rPr>
        <w:t>见表4.1</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1</w:t>
      </w:r>
      <w:r>
        <w:rPr>
          <w:rFonts w:hint="default" w:ascii="Times New Roman" w:hAnsi="Times New Roman" w:eastAsia="方正仿宋_GBK" w:cs="Times New Roman"/>
          <w:kern w:val="0"/>
          <w:sz w:val="32"/>
          <w:szCs w:val="32"/>
        </w:rPr>
        <w:t>。新炉站仅有2017</w:t>
      </w:r>
      <w:r>
        <w:rPr>
          <w:rFonts w:hint="eastAsia" w:ascii="Times New Roman" w:eastAsia="方正仿宋_GBK" w:cs="Times New Roman"/>
          <w:kern w:val="0"/>
          <w:sz w:val="32"/>
          <w:szCs w:val="32"/>
          <w:lang w:eastAsia="zh-CN"/>
        </w:rPr>
        <w:t>—</w:t>
      </w:r>
      <w:r>
        <w:rPr>
          <w:rFonts w:hint="default" w:ascii="Times New Roman" w:hAnsi="Times New Roman" w:eastAsia="方正仿宋_GBK" w:cs="Times New Roman"/>
          <w:kern w:val="0"/>
          <w:sz w:val="32"/>
          <w:szCs w:val="32"/>
        </w:rPr>
        <w:t>2020资料。松坎（三）、东溪、五岔三个水文站为綦江上、中、下游主要控制站</w:t>
      </w:r>
      <w:r>
        <w:rPr>
          <w:rFonts w:hint="default" w:ascii="Times New Roman" w:hAnsi="Times New Roman" w:eastAsia="方正仿宋_GBK" w:cs="Times New Roman"/>
          <w:sz w:val="32"/>
          <w:szCs w:val="32"/>
        </w:rPr>
        <w:t>，其中松坎站的集水面积占东溪站的23.0%，占綦江主城区防洪控制断面城北大桥的13.5%；东溪站和石角站的集水面积分别占城北大桥的65.6%和15.0%，分别占五岔站的55.6%和12.7%。</w:t>
      </w:r>
    </w:p>
    <w:p>
      <w:pPr>
        <w:pStyle w:val="2312"/>
        <w:ind w:firstLine="240"/>
        <w:rPr>
          <w:rFonts w:hint="default" w:ascii="Times New Roman" w:hAnsi="Times New Roman" w:eastAsia="方正黑体_GBK" w:cs="Times New Roman"/>
        </w:rPr>
      </w:pPr>
      <w:r>
        <w:rPr>
          <w:rFonts w:hint="default" w:ascii="Times New Roman" w:hAnsi="Times New Roman" w:eastAsia="方正黑体_GBK" w:cs="Times New Roman"/>
        </w:rPr>
        <w:t>表4.1</w:t>
      </w:r>
      <w:r>
        <w:rPr>
          <w:rFonts w:hint="default" w:ascii="Times New Roman" w:hAnsi="Times New Roman" w:eastAsia="方正黑体_GBK" w:cs="Times New Roman"/>
          <w:lang w:eastAsia="zh-CN"/>
        </w:rPr>
        <w:t>—</w:t>
      </w:r>
      <w:r>
        <w:rPr>
          <w:rFonts w:hint="default" w:ascii="Times New Roman" w:hAnsi="Times New Roman" w:eastAsia="方正黑体_GBK" w:cs="Times New Roman"/>
        </w:rPr>
        <w:t>1                水文测站基本情况表</w:t>
      </w:r>
    </w:p>
    <w:tbl>
      <w:tblPr>
        <w:tblStyle w:val="88"/>
        <w:tblW w:w="5000"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fixed"/>
        <w:tblCellMar>
          <w:top w:w="0" w:type="dxa"/>
          <w:left w:w="0" w:type="dxa"/>
          <w:bottom w:w="0" w:type="dxa"/>
          <w:right w:w="0" w:type="dxa"/>
        </w:tblCellMar>
      </w:tblPr>
      <w:tblGrid>
        <w:gridCol w:w="860"/>
        <w:gridCol w:w="992"/>
        <w:gridCol w:w="990"/>
        <w:gridCol w:w="1136"/>
        <w:gridCol w:w="2552"/>
        <w:gridCol w:w="2557"/>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473" w:type="pct"/>
            <w:vMerge w:val="restar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站名</w:t>
            </w:r>
          </w:p>
        </w:tc>
        <w:tc>
          <w:tcPr>
            <w:tcW w:w="546" w:type="pct"/>
            <w:vMerge w:val="restar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所在</w:t>
            </w:r>
          </w:p>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河流</w:t>
            </w:r>
          </w:p>
        </w:tc>
        <w:tc>
          <w:tcPr>
            <w:tcW w:w="545" w:type="pct"/>
            <w:vMerge w:val="restar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建站</w:t>
            </w:r>
          </w:p>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年份</w:t>
            </w:r>
          </w:p>
        </w:tc>
        <w:tc>
          <w:tcPr>
            <w:tcW w:w="625" w:type="pct"/>
            <w:vMerge w:val="restar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集雨面积</w:t>
            </w:r>
          </w:p>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（km</w:t>
            </w:r>
            <w:r>
              <w:rPr>
                <w:rFonts w:hint="eastAsia" w:ascii="楷体_GB2312" w:hAnsi="Calibri" w:eastAsia="楷体_GB2312"/>
                <w:kern w:val="0"/>
                <w:sz w:val="21"/>
                <w:szCs w:val="21"/>
                <w:vertAlign w:val="superscript"/>
              </w:rPr>
              <w:t>2</w:t>
            </w:r>
            <w:r>
              <w:rPr>
                <w:rFonts w:hint="eastAsia" w:ascii="楷体_GB2312" w:hAnsi="Calibri" w:eastAsia="楷体_GB2312"/>
                <w:kern w:val="0"/>
                <w:sz w:val="21"/>
                <w:szCs w:val="21"/>
              </w:rPr>
              <w:t>）</w:t>
            </w:r>
          </w:p>
        </w:tc>
        <w:tc>
          <w:tcPr>
            <w:tcW w:w="2811" w:type="pct"/>
            <w:gridSpan w:val="2"/>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观测项目及时段</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473" w:type="pct"/>
            <w:vMerge w:val="continue"/>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p>
        </w:tc>
        <w:tc>
          <w:tcPr>
            <w:tcW w:w="546" w:type="pct"/>
            <w:vMerge w:val="continue"/>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p>
        </w:tc>
        <w:tc>
          <w:tcPr>
            <w:tcW w:w="545" w:type="pct"/>
            <w:vMerge w:val="continue"/>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p>
        </w:tc>
        <w:tc>
          <w:tcPr>
            <w:tcW w:w="625" w:type="pct"/>
            <w:vMerge w:val="continue"/>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p>
        </w:tc>
        <w:tc>
          <w:tcPr>
            <w:tcW w:w="1404"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水位</w:t>
            </w:r>
          </w:p>
        </w:tc>
        <w:tc>
          <w:tcPr>
            <w:tcW w:w="1407"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流量</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473"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松坎</w:t>
            </w:r>
          </w:p>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（三）</w:t>
            </w:r>
          </w:p>
        </w:tc>
        <w:tc>
          <w:tcPr>
            <w:tcW w:w="546" w:type="pct"/>
            <w:vMerge w:val="restar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松坎河</w:t>
            </w:r>
          </w:p>
        </w:tc>
        <w:tc>
          <w:tcPr>
            <w:tcW w:w="545"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1951年</w:t>
            </w:r>
          </w:p>
        </w:tc>
        <w:tc>
          <w:tcPr>
            <w:tcW w:w="625"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639</w:t>
            </w:r>
          </w:p>
        </w:tc>
        <w:tc>
          <w:tcPr>
            <w:tcW w:w="1404"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1955年4月</w:t>
            </w:r>
            <w:r>
              <w:rPr>
                <w:rFonts w:hint="eastAsia" w:ascii="楷体_GB2312" w:hAnsi="Calibri" w:eastAsia="楷体_GB2312"/>
                <w:kern w:val="0"/>
                <w:sz w:val="21"/>
                <w:szCs w:val="21"/>
                <w:lang w:eastAsia="zh-CN"/>
              </w:rPr>
              <w:t>—</w:t>
            </w:r>
            <w:r>
              <w:rPr>
                <w:rFonts w:hint="eastAsia" w:ascii="楷体_GB2312" w:hAnsi="Calibri" w:eastAsia="楷体_GB2312"/>
                <w:kern w:val="0"/>
                <w:sz w:val="21"/>
                <w:szCs w:val="21"/>
              </w:rPr>
              <w:t>1959年、1962年</w:t>
            </w:r>
            <w:r>
              <w:rPr>
                <w:rFonts w:hint="eastAsia" w:ascii="楷体_GB2312" w:hAnsi="Calibri" w:eastAsia="楷体_GB2312"/>
                <w:kern w:val="0"/>
                <w:sz w:val="21"/>
                <w:szCs w:val="21"/>
                <w:lang w:eastAsia="zh-CN"/>
              </w:rPr>
              <w:t>—</w:t>
            </w:r>
            <w:r>
              <w:rPr>
                <w:rFonts w:hint="eastAsia" w:ascii="楷体_GB2312" w:hAnsi="Calibri" w:eastAsia="楷体_GB2312"/>
                <w:kern w:val="0"/>
                <w:sz w:val="21"/>
                <w:szCs w:val="21"/>
              </w:rPr>
              <w:t>1963年、1965年至今</w:t>
            </w:r>
          </w:p>
        </w:tc>
        <w:tc>
          <w:tcPr>
            <w:tcW w:w="1407"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1966年7月至今</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473"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赶水</w:t>
            </w:r>
          </w:p>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（二）</w:t>
            </w:r>
          </w:p>
        </w:tc>
        <w:tc>
          <w:tcPr>
            <w:tcW w:w="546" w:type="pct"/>
            <w:vMerge w:val="continue"/>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p>
        </w:tc>
        <w:tc>
          <w:tcPr>
            <w:tcW w:w="545"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1941年</w:t>
            </w:r>
          </w:p>
        </w:tc>
        <w:tc>
          <w:tcPr>
            <w:tcW w:w="625"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1396</w:t>
            </w:r>
          </w:p>
        </w:tc>
        <w:tc>
          <w:tcPr>
            <w:tcW w:w="1404"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1940年9月</w:t>
            </w:r>
            <w:r>
              <w:rPr>
                <w:rFonts w:hint="eastAsia" w:ascii="楷体_GB2312" w:hAnsi="Calibri" w:eastAsia="楷体_GB2312"/>
                <w:kern w:val="0"/>
                <w:sz w:val="21"/>
                <w:szCs w:val="21"/>
                <w:lang w:eastAsia="zh-CN"/>
              </w:rPr>
              <w:t>—</w:t>
            </w:r>
            <w:r>
              <w:rPr>
                <w:rFonts w:hint="eastAsia" w:ascii="楷体_GB2312" w:hAnsi="Calibri" w:eastAsia="楷体_GB2312"/>
                <w:kern w:val="0"/>
                <w:sz w:val="21"/>
                <w:szCs w:val="21"/>
              </w:rPr>
              <w:t>1945年1月、1945年5月</w:t>
            </w:r>
            <w:r>
              <w:rPr>
                <w:rFonts w:hint="eastAsia" w:ascii="楷体_GB2312" w:hAnsi="Calibri" w:eastAsia="楷体_GB2312"/>
                <w:kern w:val="0"/>
                <w:sz w:val="21"/>
                <w:szCs w:val="21"/>
                <w:lang w:eastAsia="zh-CN"/>
              </w:rPr>
              <w:t>—</w:t>
            </w:r>
            <w:r>
              <w:rPr>
                <w:rFonts w:hint="eastAsia" w:ascii="楷体_GB2312" w:hAnsi="Calibri" w:eastAsia="楷体_GB2312"/>
                <w:kern w:val="0"/>
                <w:sz w:val="21"/>
                <w:szCs w:val="21"/>
              </w:rPr>
              <w:t>1945年12月、1958年7月</w:t>
            </w:r>
            <w:r>
              <w:rPr>
                <w:rFonts w:hint="eastAsia" w:ascii="楷体_GB2312" w:hAnsi="Calibri" w:eastAsia="楷体_GB2312"/>
                <w:kern w:val="0"/>
                <w:sz w:val="21"/>
                <w:szCs w:val="21"/>
                <w:lang w:eastAsia="zh-CN"/>
              </w:rPr>
              <w:t>—</w:t>
            </w:r>
            <w:r>
              <w:rPr>
                <w:rFonts w:hint="eastAsia" w:ascii="楷体_GB2312" w:hAnsi="Calibri" w:eastAsia="楷体_GB2312"/>
                <w:kern w:val="0"/>
                <w:sz w:val="21"/>
                <w:szCs w:val="21"/>
              </w:rPr>
              <w:t>1970年</w:t>
            </w:r>
          </w:p>
        </w:tc>
        <w:tc>
          <w:tcPr>
            <w:tcW w:w="1407"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1940年9月</w:t>
            </w:r>
            <w:r>
              <w:rPr>
                <w:rFonts w:hint="eastAsia" w:ascii="楷体_GB2312" w:hAnsi="Calibri" w:eastAsia="楷体_GB2312"/>
                <w:kern w:val="0"/>
                <w:sz w:val="21"/>
                <w:szCs w:val="21"/>
                <w:lang w:eastAsia="zh-CN"/>
              </w:rPr>
              <w:t>—</w:t>
            </w:r>
            <w:r>
              <w:rPr>
                <w:rFonts w:hint="eastAsia" w:ascii="楷体_GB2312" w:hAnsi="Calibri" w:eastAsia="楷体_GB2312"/>
                <w:kern w:val="0"/>
                <w:sz w:val="21"/>
                <w:szCs w:val="21"/>
              </w:rPr>
              <w:t>1945年1月、1945年5月</w:t>
            </w:r>
            <w:r>
              <w:rPr>
                <w:rFonts w:hint="eastAsia" w:ascii="楷体_GB2312" w:hAnsi="Calibri" w:eastAsia="楷体_GB2312"/>
                <w:kern w:val="0"/>
                <w:sz w:val="21"/>
                <w:szCs w:val="21"/>
                <w:lang w:eastAsia="zh-CN"/>
              </w:rPr>
              <w:t>—</w:t>
            </w:r>
            <w:r>
              <w:rPr>
                <w:rFonts w:hint="eastAsia" w:ascii="楷体_GB2312" w:hAnsi="Calibri" w:eastAsia="楷体_GB2312"/>
                <w:kern w:val="0"/>
                <w:sz w:val="21"/>
                <w:szCs w:val="21"/>
              </w:rPr>
              <w:t>1945年12月、1960年</w:t>
            </w:r>
            <w:r>
              <w:rPr>
                <w:rFonts w:hint="eastAsia" w:ascii="楷体_GB2312" w:hAnsi="Calibri" w:eastAsia="楷体_GB2312"/>
                <w:kern w:val="0"/>
                <w:sz w:val="21"/>
                <w:szCs w:val="21"/>
                <w:lang w:eastAsia="zh-CN"/>
              </w:rPr>
              <w:t>—</w:t>
            </w:r>
            <w:r>
              <w:rPr>
                <w:rFonts w:hint="eastAsia" w:ascii="楷体_GB2312" w:hAnsi="Calibri" w:eastAsia="楷体_GB2312"/>
                <w:kern w:val="0"/>
                <w:sz w:val="21"/>
                <w:szCs w:val="21"/>
              </w:rPr>
              <w:t>1967年</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473"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东溪</w:t>
            </w:r>
          </w:p>
        </w:tc>
        <w:tc>
          <w:tcPr>
            <w:tcW w:w="546" w:type="pct"/>
            <w:vMerge w:val="restar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綦江干流</w:t>
            </w:r>
          </w:p>
        </w:tc>
        <w:tc>
          <w:tcPr>
            <w:tcW w:w="545"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1970年</w:t>
            </w:r>
          </w:p>
        </w:tc>
        <w:tc>
          <w:tcPr>
            <w:tcW w:w="625"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3097</w:t>
            </w:r>
          </w:p>
        </w:tc>
        <w:tc>
          <w:tcPr>
            <w:tcW w:w="1404"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1970年至今</w:t>
            </w:r>
          </w:p>
        </w:tc>
        <w:tc>
          <w:tcPr>
            <w:tcW w:w="1407"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1970年至今</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473"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五岔</w:t>
            </w:r>
          </w:p>
        </w:tc>
        <w:tc>
          <w:tcPr>
            <w:tcW w:w="546" w:type="pct"/>
            <w:vMerge w:val="continue"/>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p>
        </w:tc>
        <w:tc>
          <w:tcPr>
            <w:tcW w:w="545"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1940年</w:t>
            </w:r>
          </w:p>
        </w:tc>
        <w:tc>
          <w:tcPr>
            <w:tcW w:w="625"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5566</w:t>
            </w:r>
          </w:p>
        </w:tc>
        <w:tc>
          <w:tcPr>
            <w:tcW w:w="1404"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1940年至今</w:t>
            </w:r>
          </w:p>
        </w:tc>
        <w:tc>
          <w:tcPr>
            <w:tcW w:w="1407"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1940年至今</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473"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石角</w:t>
            </w:r>
          </w:p>
        </w:tc>
        <w:tc>
          <w:tcPr>
            <w:tcW w:w="546"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蒲河</w:t>
            </w:r>
          </w:p>
        </w:tc>
        <w:tc>
          <w:tcPr>
            <w:tcW w:w="545"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1958年</w:t>
            </w:r>
          </w:p>
        </w:tc>
        <w:tc>
          <w:tcPr>
            <w:tcW w:w="625"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707</w:t>
            </w:r>
          </w:p>
        </w:tc>
        <w:tc>
          <w:tcPr>
            <w:tcW w:w="1404"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1958年6月至今</w:t>
            </w:r>
          </w:p>
        </w:tc>
        <w:tc>
          <w:tcPr>
            <w:tcW w:w="1407"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1958年6月</w:t>
            </w:r>
            <w:r>
              <w:rPr>
                <w:rFonts w:hint="eastAsia" w:ascii="楷体_GB2312" w:hAnsi="Calibri" w:eastAsia="楷体_GB2312"/>
                <w:kern w:val="0"/>
                <w:sz w:val="21"/>
                <w:szCs w:val="21"/>
                <w:lang w:eastAsia="zh-CN"/>
              </w:rPr>
              <w:t>—</w:t>
            </w:r>
            <w:r>
              <w:rPr>
                <w:rFonts w:hint="eastAsia" w:ascii="楷体_GB2312" w:hAnsi="Calibri" w:eastAsia="楷体_GB2312"/>
                <w:kern w:val="0"/>
                <w:sz w:val="21"/>
                <w:szCs w:val="21"/>
              </w:rPr>
              <w:t>1961年、1965年4月至今</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473"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新炉</w:t>
            </w:r>
          </w:p>
        </w:tc>
        <w:tc>
          <w:tcPr>
            <w:tcW w:w="546"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藻渡河</w:t>
            </w:r>
          </w:p>
        </w:tc>
        <w:tc>
          <w:tcPr>
            <w:tcW w:w="545"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2016年</w:t>
            </w:r>
          </w:p>
        </w:tc>
        <w:tc>
          <w:tcPr>
            <w:tcW w:w="625"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1185</w:t>
            </w:r>
          </w:p>
        </w:tc>
        <w:tc>
          <w:tcPr>
            <w:tcW w:w="1404"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2017年至今</w:t>
            </w:r>
          </w:p>
        </w:tc>
        <w:tc>
          <w:tcPr>
            <w:tcW w:w="1407"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2017年至今</w:t>
            </w:r>
          </w:p>
        </w:tc>
      </w:tr>
    </w:tbl>
    <w:p>
      <w:pPr>
        <w:keepNext w:val="0"/>
        <w:keepLines w:val="0"/>
        <w:pageBreakBefore w:val="0"/>
        <w:widowControl w:val="0"/>
        <w:kinsoku/>
        <w:wordWrap/>
        <w:overflowPunct/>
        <w:topLinePunct w:val="0"/>
        <w:autoSpaceDE/>
        <w:autoSpaceDN/>
        <w:bidi w:val="0"/>
        <w:adjustRightInd/>
        <w:snapToGrid/>
        <w:ind w:firstLine="640" w:firstLineChars="200"/>
        <w:textAlignment w:val="auto"/>
        <w:outlineLvl w:val="1"/>
        <w:rPr>
          <w:rFonts w:hint="eastAsia" w:ascii="方正楷体_GBK" w:hAnsi="方正楷体_GBK" w:eastAsia="方正楷体_GBK" w:cs="方正楷体_GBK"/>
          <w:bCs/>
          <w:sz w:val="32"/>
        </w:rPr>
      </w:pPr>
      <w:bookmarkStart w:id="98" w:name="_Toc8444"/>
      <w:bookmarkStart w:id="99" w:name="_Toc71782079"/>
      <w:bookmarkStart w:id="100" w:name="_Toc71665862"/>
      <w:bookmarkStart w:id="101" w:name="_Toc3359"/>
      <w:r>
        <w:rPr>
          <w:rFonts w:hint="eastAsia" w:ascii="方正楷体_GBK" w:hAnsi="方正楷体_GBK" w:eastAsia="方正楷体_GBK" w:cs="方正楷体_GBK"/>
          <w:bCs/>
          <w:sz w:val="32"/>
          <w:lang w:eastAsia="zh-CN"/>
        </w:rPr>
        <w:t>（</w:t>
      </w:r>
      <w:r>
        <w:rPr>
          <w:rFonts w:hint="eastAsia" w:ascii="方正楷体_GBK" w:hAnsi="方正楷体_GBK" w:eastAsia="方正楷体_GBK" w:cs="方正楷体_GBK"/>
          <w:bCs/>
          <w:sz w:val="32"/>
          <w:lang w:val="en-US" w:eastAsia="zh-CN"/>
        </w:rPr>
        <w:t>二</w:t>
      </w:r>
      <w:r>
        <w:rPr>
          <w:rFonts w:hint="eastAsia" w:ascii="方正楷体_GBK" w:hAnsi="方正楷体_GBK" w:eastAsia="方正楷体_GBK" w:cs="方正楷体_GBK"/>
          <w:bCs/>
          <w:sz w:val="32"/>
          <w:lang w:eastAsia="zh-CN"/>
        </w:rPr>
        <w:t>）</w:t>
      </w:r>
      <w:r>
        <w:rPr>
          <w:rFonts w:hint="eastAsia" w:ascii="方正楷体_GBK" w:hAnsi="方正楷体_GBK" w:eastAsia="方正楷体_GBK" w:cs="方正楷体_GBK"/>
          <w:bCs/>
          <w:sz w:val="32"/>
        </w:rPr>
        <w:t>暴雨洪水特性</w:t>
      </w:r>
      <w:bookmarkEnd w:id="98"/>
      <w:bookmarkEnd w:id="99"/>
      <w:bookmarkEnd w:id="100"/>
      <w:bookmarkEnd w:id="101"/>
    </w:p>
    <w:p>
      <w:pPr>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1</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rPr>
        <w:t>暴雨特性</w:t>
      </w:r>
    </w:p>
    <w:p>
      <w:pPr>
        <w:keepNext w:val="0"/>
        <w:keepLines w:val="0"/>
        <w:pageBreakBefore w:val="0"/>
        <w:widowControl w:val="0"/>
        <w:kinsoku/>
        <w:wordWrap/>
        <w:overflowPunct/>
        <w:topLinePunct w:val="0"/>
        <w:autoSpaceDE/>
        <w:autoSpaceDN/>
        <w:bidi w:val="0"/>
        <w:adjustRightInd w:val="0"/>
        <w:snapToGrid/>
        <w:ind w:firstLine="560"/>
        <w:textAlignment w:val="baseline"/>
        <w:rPr>
          <w:rFonts w:hint="default" w:ascii="Times New Roman" w:hAnsi="Times New Roman" w:eastAsia="方正仿宋_GBK" w:cs="Times New Roman"/>
          <w:kern w:val="0"/>
          <w:sz w:val="32"/>
          <w:szCs w:val="32"/>
        </w:rPr>
      </w:pPr>
      <w:r>
        <w:rPr>
          <w:rFonts w:hint="default" w:ascii="Times New Roman" w:hAnsi="Times New Roman" w:eastAsia="方正仿宋_GBK" w:cs="Times New Roman"/>
          <w:kern w:val="0"/>
          <w:sz w:val="32"/>
          <w:szCs w:val="32"/>
        </w:rPr>
        <w:t>綦江上游支流藻渡河暴雨一般发生在5月上旬至10月底，年最大一日暴雨多发生在5月</w:t>
      </w:r>
      <w:r>
        <w:rPr>
          <w:rFonts w:hint="eastAsia" w:ascii="Times New Roman" w:eastAsia="方正仿宋_GBK" w:cs="Times New Roman"/>
          <w:kern w:val="0"/>
          <w:sz w:val="32"/>
          <w:szCs w:val="32"/>
          <w:lang w:eastAsia="zh-CN"/>
        </w:rPr>
        <w:t>—</w:t>
      </w:r>
      <w:r>
        <w:rPr>
          <w:rFonts w:hint="default" w:ascii="Times New Roman" w:hAnsi="Times New Roman" w:eastAsia="方正仿宋_GBK" w:cs="Times New Roman"/>
          <w:kern w:val="0"/>
          <w:sz w:val="32"/>
          <w:szCs w:val="32"/>
        </w:rPr>
        <w:t>8月，根据金佛山站降雨资料统计，年最大24小时暴雨出现在该时段的年数占资料总年数的92.7%，以7月份出现最多。本地区多阵性暴雨，历时短，强度大，一次暴雨过程一般为1</w:t>
      </w:r>
      <w:r>
        <w:rPr>
          <w:rFonts w:hint="eastAsia" w:ascii="Times New Roman" w:eastAsia="方正仿宋_GBK" w:cs="Times New Roman"/>
          <w:kern w:val="0"/>
          <w:sz w:val="32"/>
          <w:szCs w:val="32"/>
          <w:lang w:eastAsia="zh-CN"/>
        </w:rPr>
        <w:t>—</w:t>
      </w:r>
      <w:r>
        <w:rPr>
          <w:rFonts w:hint="default" w:ascii="Times New Roman" w:hAnsi="Times New Roman" w:eastAsia="方正仿宋_GBK" w:cs="Times New Roman"/>
          <w:kern w:val="0"/>
          <w:sz w:val="32"/>
          <w:szCs w:val="32"/>
        </w:rPr>
        <w:t>3天。</w:t>
      </w:r>
    </w:p>
    <w:p>
      <w:pPr>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根据綦江气象站实测降水资料统计，綦江城区4</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10月均可能出现暴雨，特大暴雨在7</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9月出现的机会较多，7</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8月常发生局部性雷雨，历时较短，强度较大，可造成严重洪灾。实测最大24h降水量为216.5mm，实测最大6h降水量为118.1mm，占最大24h降水量的54.5%，实测最大1h降水量为69.6mm，占最大6h降水量的58.9%，实测最大1/6h降水量为29.5mm，占最大1h降水量的42.3%。由此可见暴雨在时间上分布极不均匀。</w:t>
      </w:r>
    </w:p>
    <w:p>
      <w:pPr>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2．洪水特性</w:t>
      </w:r>
    </w:p>
    <w:p>
      <w:pPr>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綦江流域总体呈南北流向，南高北低，干流比降上陡下缓，流域降雨量大而集中，易于发生较大洪水。綦江河流域洪水发生时间与暴雨一致。每年4月下旬开始进入汛期，5</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9月为本流域大暴雨多发季节，特大暴雨、洪水常发生在此时期，10月以后，付高南移，流域内降水较多，但雨强较小，一般不会形成大洪水。根据五岔站、东溪站实测资料统计，綦江洪水主汛期在</w:t>
      </w:r>
      <w:r>
        <w:rPr>
          <w:rFonts w:hint="default" w:ascii="Times New Roman" w:hAnsi="Times New Roman" w:eastAsia="方正仿宋_GBK" w:cs="Times New Roman"/>
          <w:sz w:val="32"/>
          <w:szCs w:val="32"/>
          <w:lang w:val="en-US" w:eastAsia="zh-CN"/>
        </w:rPr>
        <w:t>5</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9月，最大洪水发生在5</w:t>
      </w:r>
      <w:r>
        <w:rPr>
          <w:rFonts w:hint="eastAsia" w:ascii="Times New Roman" w:eastAsia="方正仿宋_GBK" w:cs="Times New Roman"/>
          <w:sz w:val="32"/>
          <w:szCs w:val="32"/>
          <w:lang w:val="en-US" w:eastAsia="zh-CN"/>
        </w:rPr>
        <w:t>—</w:t>
      </w:r>
      <w:r>
        <w:rPr>
          <w:rFonts w:hint="default" w:ascii="Times New Roman" w:hAnsi="Times New Roman" w:eastAsia="方正仿宋_GBK" w:cs="Times New Roman"/>
          <w:sz w:val="32"/>
          <w:szCs w:val="32"/>
          <w:lang w:val="en-US" w:eastAsia="zh-CN"/>
        </w:rPr>
        <w:t>7</w:t>
      </w:r>
      <w:r>
        <w:rPr>
          <w:rFonts w:hint="eastAsia" w:ascii="Times New Roman" w:hAnsi="Times New Roman" w:eastAsia="方正仿宋_GBK" w:cs="Times New Roman"/>
          <w:sz w:val="32"/>
          <w:szCs w:val="32"/>
          <w:lang w:val="en-US" w:eastAsia="zh-CN"/>
        </w:rPr>
        <w:t>月，5</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7月发生最大洪水的次数约占84%。根据五岔站1965</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2020年实测资料统计，年最大洪峰最早出现在5月2日（1992年洪峰流量为1890m</w:t>
      </w:r>
      <w:r>
        <w:rPr>
          <w:rFonts w:hint="eastAsia" w:ascii="Times New Roman" w:hAnsi="Times New Roman" w:eastAsia="方正仿宋_GBK" w:cs="Times New Roman"/>
          <w:sz w:val="32"/>
          <w:szCs w:val="32"/>
          <w:vertAlign w:val="superscript"/>
          <w:lang w:val="en-US" w:eastAsia="zh-CN"/>
        </w:rPr>
        <w:t>3</w:t>
      </w:r>
      <w:r>
        <w:rPr>
          <w:rFonts w:hint="eastAsia" w:ascii="Times New Roman" w:hAnsi="Times New Roman" w:eastAsia="方正仿宋_GBK" w:cs="Times New Roman"/>
          <w:sz w:val="32"/>
          <w:szCs w:val="32"/>
          <w:lang w:val="en-US" w:eastAsia="zh-CN"/>
        </w:rPr>
        <w:t>/s），最晚出现在</w:t>
      </w:r>
      <w:r>
        <w:rPr>
          <w:rFonts w:hint="default" w:ascii="Times New Roman" w:hAnsi="Times New Roman" w:eastAsia="方正仿宋_GBK" w:cs="Times New Roman"/>
          <w:sz w:val="32"/>
          <w:szCs w:val="32"/>
          <w:lang w:val="en-US" w:eastAsia="zh-CN"/>
        </w:rPr>
        <w:t>10</w:t>
      </w:r>
      <w:r>
        <w:rPr>
          <w:rFonts w:hint="eastAsia" w:ascii="Times New Roman" w:hAnsi="Times New Roman" w:eastAsia="方正仿宋_GBK" w:cs="Times New Roman"/>
          <w:sz w:val="32"/>
          <w:szCs w:val="32"/>
          <w:lang w:val="en-US" w:eastAsia="zh-CN"/>
        </w:rPr>
        <w:t>月3</w:t>
      </w:r>
      <w:r>
        <w:rPr>
          <w:rFonts w:hint="default" w:ascii="Times New Roman" w:hAnsi="Times New Roman" w:eastAsia="方正仿宋_GBK" w:cs="Times New Roman"/>
          <w:sz w:val="32"/>
          <w:szCs w:val="32"/>
          <w:lang w:val="en-US" w:eastAsia="zh-CN"/>
        </w:rPr>
        <w:t>1</w:t>
      </w:r>
      <w:r>
        <w:rPr>
          <w:rFonts w:hint="eastAsia" w:ascii="Times New Roman" w:hAnsi="Times New Roman" w:eastAsia="方正仿宋_GBK" w:cs="Times New Roman"/>
          <w:sz w:val="32"/>
          <w:szCs w:val="32"/>
          <w:lang w:val="en-US" w:eastAsia="zh-CN"/>
        </w:rPr>
        <w:t>日（200</w:t>
      </w:r>
      <w:r>
        <w:rPr>
          <w:rFonts w:hint="default" w:ascii="Times New Roman" w:hAnsi="Times New Roman" w:eastAsia="方正仿宋_GBK" w:cs="Times New Roman"/>
          <w:sz w:val="32"/>
          <w:szCs w:val="32"/>
          <w:lang w:val="en-US" w:eastAsia="zh-CN"/>
        </w:rPr>
        <w:t>8</w:t>
      </w:r>
      <w:r>
        <w:rPr>
          <w:rFonts w:hint="eastAsia" w:ascii="Times New Roman" w:hAnsi="Times New Roman" w:eastAsia="方正仿宋_GBK" w:cs="Times New Roman"/>
          <w:sz w:val="32"/>
          <w:szCs w:val="32"/>
          <w:lang w:val="en-US" w:eastAsia="zh-CN"/>
        </w:rPr>
        <w:t>年洪峰流量为</w:t>
      </w:r>
      <w:r>
        <w:rPr>
          <w:rFonts w:hint="default" w:ascii="Times New Roman" w:hAnsi="Times New Roman" w:eastAsia="方正仿宋_GBK" w:cs="Times New Roman"/>
          <w:sz w:val="32"/>
          <w:szCs w:val="32"/>
          <w:lang w:val="en-US" w:eastAsia="zh-CN"/>
        </w:rPr>
        <w:t>2320</w:t>
      </w:r>
      <w:r>
        <w:rPr>
          <w:rFonts w:hint="eastAsia" w:ascii="Times New Roman" w:hAnsi="Times New Roman" w:eastAsia="方正仿宋_GBK" w:cs="Times New Roman"/>
          <w:sz w:val="32"/>
          <w:szCs w:val="32"/>
          <w:lang w:val="en-US" w:eastAsia="zh-CN"/>
        </w:rPr>
        <w:t>m</w:t>
      </w:r>
      <w:r>
        <w:rPr>
          <w:rFonts w:hint="eastAsia" w:ascii="Times New Roman" w:hAnsi="Times New Roman" w:eastAsia="方正仿宋_GBK" w:cs="Times New Roman"/>
          <w:sz w:val="32"/>
          <w:szCs w:val="32"/>
          <w:vertAlign w:val="superscript"/>
          <w:lang w:val="en-US" w:eastAsia="zh-CN"/>
        </w:rPr>
        <w:t>3</w:t>
      </w:r>
      <w:r>
        <w:rPr>
          <w:rFonts w:hint="eastAsia" w:ascii="Times New Roman" w:hAnsi="Times New Roman" w:eastAsia="方正仿宋_GBK" w:cs="Times New Roman"/>
          <w:sz w:val="32"/>
          <w:szCs w:val="32"/>
          <w:lang w:val="en-US" w:eastAsia="zh-CN"/>
        </w:rPr>
        <w:t>/s）。年最大洪峰出现在</w:t>
      </w:r>
      <w:r>
        <w:rPr>
          <w:rFonts w:hint="default" w:ascii="Times New Roman" w:hAnsi="Times New Roman" w:eastAsia="方正仿宋_GBK" w:cs="Times New Roman"/>
          <w:sz w:val="32"/>
          <w:szCs w:val="32"/>
          <w:lang w:val="en-US" w:eastAsia="zh-CN"/>
        </w:rPr>
        <w:t>6</w:t>
      </w:r>
      <w:r>
        <w:rPr>
          <w:rFonts w:hint="eastAsia" w:ascii="Times New Roman" w:hAnsi="Times New Roman" w:eastAsia="方正仿宋_GBK" w:cs="Times New Roman"/>
          <w:sz w:val="32"/>
          <w:szCs w:val="32"/>
          <w:lang w:val="en-US" w:eastAsia="zh-CN"/>
        </w:rPr>
        <w:t>月</w:t>
      </w:r>
      <w:r>
        <w:rPr>
          <w:rFonts w:hint="default" w:ascii="Times New Roman" w:hAnsi="Times New Roman" w:eastAsia="方正仿宋_GBK" w:cs="Times New Roman"/>
          <w:sz w:val="32"/>
          <w:szCs w:val="32"/>
          <w:lang w:val="en-US" w:eastAsia="zh-CN"/>
        </w:rPr>
        <w:t>次数</w:t>
      </w:r>
      <w:r>
        <w:rPr>
          <w:rFonts w:hint="eastAsia" w:ascii="Times New Roman" w:hAnsi="Times New Roman" w:eastAsia="方正仿宋_GBK" w:cs="Times New Roman"/>
          <w:sz w:val="32"/>
          <w:szCs w:val="32"/>
          <w:lang w:val="en-US" w:eastAsia="zh-CN"/>
        </w:rPr>
        <w:t>最多，为18次，占总次数的32</w:t>
      </w:r>
      <w:r>
        <w:rPr>
          <w:rFonts w:hint="default" w:ascii="Times New Roman" w:hAns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14</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，其次为7月，为15次，占总次数的</w:t>
      </w:r>
      <w:r>
        <w:rPr>
          <w:rFonts w:hint="default" w:ascii="Times New Roman" w:hAnsi="Times New Roman" w:eastAsia="方正仿宋_GBK" w:cs="Times New Roman"/>
          <w:sz w:val="32"/>
          <w:szCs w:val="32"/>
          <w:lang w:val="en-US" w:eastAsia="zh-CN"/>
        </w:rPr>
        <w:t>2</w:t>
      </w:r>
      <w:r>
        <w:rPr>
          <w:rFonts w:hint="eastAsia" w:ascii="Times New Roman" w:hAnsi="Times New Roman" w:eastAsia="方正仿宋_GBK" w:cs="Times New Roman"/>
          <w:sz w:val="32"/>
          <w:szCs w:val="32"/>
          <w:lang w:val="en-US" w:eastAsia="zh-CN"/>
        </w:rPr>
        <w:t>6</w:t>
      </w:r>
      <w:r>
        <w:rPr>
          <w:rFonts w:hint="default" w:ascii="Times New Roman" w:hAns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79</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。实测年最大洪峰系列的最大值为</w:t>
      </w:r>
      <w:r>
        <w:rPr>
          <w:rFonts w:hint="default" w:ascii="Times New Roman" w:hAnsi="Times New Roman" w:eastAsia="方正仿宋_GBK" w:cs="Times New Roman"/>
          <w:sz w:val="32"/>
          <w:szCs w:val="32"/>
          <w:lang w:val="en-US" w:eastAsia="zh-CN"/>
        </w:rPr>
        <w:t>5360</w:t>
      </w:r>
      <w:r>
        <w:rPr>
          <w:rFonts w:hint="eastAsia" w:ascii="Times New Roman" w:hAnsi="Times New Roman" w:eastAsia="方正仿宋_GBK" w:cs="Times New Roman"/>
          <w:sz w:val="32"/>
          <w:szCs w:val="32"/>
          <w:lang w:val="en-US" w:eastAsia="zh-CN"/>
        </w:rPr>
        <w:t>m</w:t>
      </w:r>
      <w:r>
        <w:rPr>
          <w:rFonts w:hint="eastAsia" w:ascii="Times New Roman" w:hAnsi="Times New Roman" w:eastAsia="方正仿宋_GBK" w:cs="Times New Roman"/>
          <w:sz w:val="32"/>
          <w:szCs w:val="32"/>
          <w:vertAlign w:val="superscript"/>
          <w:lang w:val="en-US" w:eastAsia="zh-CN"/>
        </w:rPr>
        <w:t>3</w:t>
      </w:r>
      <w:r>
        <w:rPr>
          <w:rFonts w:hint="eastAsia" w:ascii="Times New Roman" w:hAnsi="Times New Roman" w:eastAsia="方正仿宋_GBK" w:cs="Times New Roman"/>
          <w:sz w:val="32"/>
          <w:szCs w:val="32"/>
          <w:lang w:val="en-US" w:eastAsia="zh-CN"/>
        </w:rPr>
        <w:t>/s（</w:t>
      </w:r>
      <w:r>
        <w:rPr>
          <w:rFonts w:hint="default" w:ascii="Times New Roman" w:hAnsi="Times New Roman" w:eastAsia="方正仿宋_GBK" w:cs="Times New Roman"/>
          <w:sz w:val="32"/>
          <w:szCs w:val="32"/>
          <w:lang w:val="en-US" w:eastAsia="zh-CN"/>
        </w:rPr>
        <w:t>2020</w:t>
      </w:r>
      <w:r>
        <w:rPr>
          <w:rFonts w:hint="eastAsia" w:ascii="Times New Roman" w:hAnsi="Times New Roman" w:eastAsia="方正仿宋_GBK" w:cs="Times New Roman"/>
          <w:sz w:val="32"/>
          <w:szCs w:val="32"/>
          <w:lang w:val="en-US" w:eastAsia="zh-CN"/>
        </w:rPr>
        <w:t>年</w:t>
      </w:r>
      <w:r>
        <w:rPr>
          <w:rFonts w:hint="default" w:ascii="Times New Roman" w:hAnsi="Times New Roman" w:eastAsia="方正仿宋_GBK" w:cs="Times New Roman"/>
          <w:sz w:val="32"/>
          <w:szCs w:val="32"/>
          <w:lang w:val="en-US" w:eastAsia="zh-CN"/>
        </w:rPr>
        <w:t>6</w:t>
      </w:r>
      <w:r>
        <w:rPr>
          <w:rFonts w:hint="eastAsia" w:ascii="Times New Roman" w:hAnsi="Times New Roman" w:eastAsia="方正仿宋_GBK" w:cs="Times New Roman"/>
          <w:sz w:val="32"/>
          <w:szCs w:val="32"/>
          <w:lang w:val="en-US" w:eastAsia="zh-CN"/>
        </w:rPr>
        <w:t>月</w:t>
      </w:r>
      <w:r>
        <w:rPr>
          <w:rFonts w:hint="default" w:ascii="Times New Roman" w:hAnsi="Times New Roman" w:eastAsia="方正仿宋_GBK" w:cs="Times New Roman"/>
          <w:sz w:val="32"/>
          <w:szCs w:val="32"/>
          <w:lang w:val="en-US" w:eastAsia="zh-CN"/>
        </w:rPr>
        <w:t>22</w:t>
      </w:r>
      <w:r>
        <w:rPr>
          <w:rFonts w:hint="eastAsia" w:ascii="Times New Roman" w:hAnsi="Times New Roman" w:eastAsia="方正仿宋_GBK" w:cs="Times New Roman"/>
          <w:sz w:val="32"/>
          <w:szCs w:val="32"/>
          <w:lang w:val="en-US" w:eastAsia="zh-CN"/>
        </w:rPr>
        <w:t>日）、最小值为</w:t>
      </w:r>
      <w:r>
        <w:rPr>
          <w:rFonts w:hint="default" w:ascii="Times New Roman" w:hAnsi="Times New Roman" w:eastAsia="方正仿宋_GBK" w:cs="Times New Roman"/>
          <w:sz w:val="32"/>
          <w:szCs w:val="32"/>
          <w:lang w:val="en-US" w:eastAsia="zh-CN"/>
        </w:rPr>
        <w:t>642</w:t>
      </w:r>
      <w:r>
        <w:rPr>
          <w:rFonts w:hint="eastAsia" w:ascii="Times New Roman" w:hAnsi="Times New Roman" w:eastAsia="方正仿宋_GBK" w:cs="Times New Roman"/>
          <w:sz w:val="32"/>
          <w:szCs w:val="32"/>
          <w:lang w:val="en-US" w:eastAsia="zh-CN"/>
        </w:rPr>
        <w:t>m</w:t>
      </w:r>
      <w:r>
        <w:rPr>
          <w:rFonts w:hint="eastAsia" w:ascii="Times New Roman" w:hAnsi="Times New Roman" w:eastAsia="方正仿宋_GBK" w:cs="Times New Roman"/>
          <w:sz w:val="32"/>
          <w:szCs w:val="32"/>
          <w:vertAlign w:val="superscript"/>
          <w:lang w:val="en-US" w:eastAsia="zh-CN"/>
        </w:rPr>
        <w:t>3</w:t>
      </w:r>
      <w:r>
        <w:rPr>
          <w:rFonts w:hint="eastAsia" w:ascii="Times New Roman" w:hAnsi="Times New Roman" w:eastAsia="方正仿宋_GBK" w:cs="Times New Roman"/>
          <w:sz w:val="32"/>
          <w:szCs w:val="32"/>
          <w:lang w:val="en-US" w:eastAsia="zh-CN"/>
        </w:rPr>
        <w:t>/s（</w:t>
      </w:r>
      <w:r>
        <w:rPr>
          <w:rFonts w:hint="default" w:ascii="Times New Roman" w:hAnsi="Times New Roman" w:eastAsia="方正仿宋_GBK" w:cs="Times New Roman"/>
          <w:sz w:val="32"/>
          <w:szCs w:val="32"/>
          <w:lang w:val="en-US" w:eastAsia="zh-CN"/>
        </w:rPr>
        <w:t>2011</w:t>
      </w:r>
      <w:r>
        <w:rPr>
          <w:rFonts w:hint="eastAsia" w:ascii="Times New Roman" w:hAnsi="Times New Roman" w:eastAsia="方正仿宋_GBK" w:cs="Times New Roman"/>
          <w:sz w:val="32"/>
          <w:szCs w:val="32"/>
          <w:lang w:val="en-US" w:eastAsia="zh-CN"/>
        </w:rPr>
        <w:t>年</w:t>
      </w:r>
      <w:r>
        <w:rPr>
          <w:rFonts w:hint="default" w:ascii="Times New Roman" w:hAnsi="Times New Roman" w:eastAsia="方正仿宋_GBK" w:cs="Times New Roman"/>
          <w:sz w:val="32"/>
          <w:szCs w:val="32"/>
          <w:lang w:val="en-US" w:eastAsia="zh-CN"/>
        </w:rPr>
        <w:t>6</w:t>
      </w:r>
      <w:r>
        <w:rPr>
          <w:rFonts w:hint="eastAsia" w:ascii="Times New Roman" w:hAnsi="Times New Roman" w:eastAsia="方正仿宋_GBK" w:cs="Times New Roman"/>
          <w:sz w:val="32"/>
          <w:szCs w:val="32"/>
          <w:lang w:val="en-US" w:eastAsia="zh-CN"/>
        </w:rPr>
        <w:t>月2</w:t>
      </w:r>
      <w:r>
        <w:rPr>
          <w:rFonts w:hint="default" w:ascii="Times New Roman" w:hAnsi="Times New Roman" w:eastAsia="方正仿宋_GBK" w:cs="Times New Roman"/>
          <w:sz w:val="32"/>
          <w:szCs w:val="32"/>
          <w:lang w:val="en-US" w:eastAsia="zh-CN"/>
        </w:rPr>
        <w:t>8</w:t>
      </w:r>
      <w:r>
        <w:rPr>
          <w:rFonts w:hint="eastAsia" w:ascii="Times New Roman" w:hAnsi="Times New Roman" w:eastAsia="方正仿宋_GBK" w:cs="Times New Roman"/>
          <w:sz w:val="32"/>
          <w:szCs w:val="32"/>
          <w:lang w:val="en-US" w:eastAsia="zh-CN"/>
        </w:rPr>
        <w:t>日），两者之比为</w:t>
      </w:r>
      <w:r>
        <w:rPr>
          <w:rFonts w:hint="default" w:ascii="Times New Roman" w:hAnsi="Times New Roman" w:eastAsia="方正仿宋_GBK" w:cs="Times New Roman"/>
          <w:sz w:val="32"/>
          <w:szCs w:val="32"/>
          <w:lang w:val="en-US" w:eastAsia="zh-CN"/>
        </w:rPr>
        <w:t>8.13</w:t>
      </w:r>
      <w:r>
        <w:rPr>
          <w:rFonts w:hint="eastAsia" w:ascii="Times New Roman" w:hAnsi="Times New Roman" w:eastAsia="方正仿宋_GBK" w:cs="Times New Roman"/>
          <w:sz w:val="32"/>
          <w:szCs w:val="32"/>
          <w:lang w:val="en-US" w:eastAsia="zh-CN"/>
        </w:rPr>
        <w:t>。五岔站历年各月最大流量出现频次见表</w:t>
      </w:r>
      <w:r>
        <w:rPr>
          <w:rFonts w:hint="default" w:ascii="Times New Roman" w:hAnsi="Times New Roman" w:eastAsia="方正仿宋_GBK" w:cs="Times New Roman"/>
          <w:sz w:val="32"/>
          <w:szCs w:val="32"/>
          <w:lang w:val="en-US" w:eastAsia="zh-CN"/>
        </w:rPr>
        <w:t>4.2</w:t>
      </w:r>
      <w:r>
        <w:rPr>
          <w:rFonts w:hint="eastAsia" w:ascii="Times New Roman" w:eastAsia="方正仿宋_GBK" w:cs="Times New Roman"/>
          <w:sz w:val="32"/>
          <w:szCs w:val="32"/>
          <w:lang w:val="en-US" w:eastAsia="zh-CN"/>
        </w:rPr>
        <w:t>—</w:t>
      </w:r>
      <w:r>
        <w:rPr>
          <w:rFonts w:hint="default" w:ascii="Times New Roman" w:hAnsi="Times New Roman" w:eastAsia="方正仿宋_GBK" w:cs="Times New Roman"/>
          <w:sz w:val="32"/>
          <w:szCs w:val="32"/>
          <w:lang w:val="en-US" w:eastAsia="zh-CN"/>
        </w:rPr>
        <w:t>1</w:t>
      </w:r>
      <w:r>
        <w:rPr>
          <w:rFonts w:hint="eastAsia" w:ascii="Times New Roman" w:hAnsi="Times New Roman" w:eastAsia="方正仿宋_GBK" w:cs="Times New Roman"/>
          <w:sz w:val="32"/>
          <w:szCs w:val="32"/>
          <w:lang w:val="en-US" w:eastAsia="zh-CN"/>
        </w:rPr>
        <w:t>。</w:t>
      </w:r>
    </w:p>
    <w:p>
      <w:pPr>
        <w:pStyle w:val="2"/>
        <w:rPr>
          <w:rFonts w:hint="eastAsia" w:ascii="Times New Roman" w:hAnsi="Times New Roman" w:eastAsia="方正仿宋_GBK" w:cs="Times New Roman"/>
          <w:sz w:val="32"/>
          <w:szCs w:val="32"/>
          <w:lang w:val="en-US" w:eastAsia="zh-CN"/>
        </w:rPr>
      </w:pPr>
    </w:p>
    <w:p>
      <w:pPr>
        <w:pStyle w:val="2"/>
        <w:rPr>
          <w:rFonts w:hint="eastAsia" w:ascii="Times New Roman" w:hAnsi="Times New Roman" w:eastAsia="方正仿宋_GBK" w:cs="Times New Roman"/>
          <w:sz w:val="32"/>
          <w:szCs w:val="32"/>
          <w:lang w:val="en-US" w:eastAsia="zh-CN"/>
        </w:rPr>
      </w:pPr>
    </w:p>
    <w:p>
      <w:pPr>
        <w:spacing w:after="60" w:line="540" w:lineRule="exact"/>
        <w:ind w:firstLine="240" w:firstLineChars="100"/>
        <w:outlineLvl w:val="5"/>
        <w:rPr>
          <w:rFonts w:hint="default" w:ascii="Times New Roman" w:hAnsi="Times New Roman" w:eastAsia="方正黑体_GBK" w:cs="Times New Roman"/>
          <w:sz w:val="24"/>
          <w:szCs w:val="20"/>
        </w:rPr>
      </w:pPr>
      <w:r>
        <w:rPr>
          <w:rFonts w:hint="default" w:ascii="Times New Roman" w:hAnsi="Times New Roman" w:eastAsia="方正黑体_GBK" w:cs="Times New Roman"/>
          <w:sz w:val="24"/>
          <w:szCs w:val="20"/>
        </w:rPr>
        <w:t>表4.2</w:t>
      </w:r>
      <w:r>
        <w:rPr>
          <w:rFonts w:hint="default" w:ascii="Times New Roman" w:hAnsi="Times New Roman" w:eastAsia="方正黑体_GBK" w:cs="Times New Roman"/>
          <w:sz w:val="24"/>
          <w:szCs w:val="20"/>
          <w:lang w:eastAsia="zh-CN"/>
        </w:rPr>
        <w:t>—</w:t>
      </w:r>
      <w:r>
        <w:rPr>
          <w:rFonts w:hint="default" w:ascii="Times New Roman" w:hAnsi="Times New Roman" w:eastAsia="方正黑体_GBK" w:cs="Times New Roman"/>
          <w:sz w:val="24"/>
          <w:szCs w:val="20"/>
        </w:rPr>
        <w:t>1             五岔站1965</w:t>
      </w:r>
      <w:r>
        <w:rPr>
          <w:rFonts w:hint="default" w:ascii="Times New Roman" w:hAnsi="Times New Roman" w:eastAsia="方正黑体_GBK" w:cs="Times New Roman"/>
          <w:sz w:val="24"/>
          <w:szCs w:val="20"/>
          <w:lang w:eastAsia="zh-CN"/>
        </w:rPr>
        <w:t>—</w:t>
      </w:r>
      <w:r>
        <w:rPr>
          <w:rFonts w:hint="default" w:ascii="Times New Roman" w:hAnsi="Times New Roman" w:eastAsia="方正黑体_GBK" w:cs="Times New Roman"/>
          <w:sz w:val="24"/>
          <w:szCs w:val="20"/>
        </w:rPr>
        <w:t>2020年各月最大流量出现频次表</w:t>
      </w:r>
    </w:p>
    <w:tbl>
      <w:tblPr>
        <w:tblStyle w:val="88"/>
        <w:tblW w:w="5000"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fixed"/>
        <w:tblCellMar>
          <w:top w:w="0" w:type="dxa"/>
          <w:left w:w="108" w:type="dxa"/>
          <w:bottom w:w="0" w:type="dxa"/>
          <w:right w:w="108" w:type="dxa"/>
        </w:tblCellMar>
      </w:tblPr>
      <w:tblGrid>
        <w:gridCol w:w="1102"/>
        <w:gridCol w:w="1169"/>
        <w:gridCol w:w="1169"/>
        <w:gridCol w:w="1171"/>
        <w:gridCol w:w="1168"/>
        <w:gridCol w:w="1170"/>
        <w:gridCol w:w="1168"/>
        <w:gridCol w:w="1170"/>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93"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月份</w:t>
            </w:r>
          </w:p>
        </w:tc>
        <w:tc>
          <w:tcPr>
            <w:tcW w:w="629"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5月</w:t>
            </w:r>
          </w:p>
        </w:tc>
        <w:tc>
          <w:tcPr>
            <w:tcW w:w="629"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6月</w:t>
            </w:r>
          </w:p>
        </w:tc>
        <w:tc>
          <w:tcPr>
            <w:tcW w:w="630"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7月</w:t>
            </w:r>
          </w:p>
        </w:tc>
        <w:tc>
          <w:tcPr>
            <w:tcW w:w="629"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8月</w:t>
            </w:r>
          </w:p>
        </w:tc>
        <w:tc>
          <w:tcPr>
            <w:tcW w:w="630"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9月</w:t>
            </w:r>
          </w:p>
        </w:tc>
        <w:tc>
          <w:tcPr>
            <w:tcW w:w="629"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w:t>
            </w:r>
            <w:r>
              <w:rPr>
                <w:rFonts w:hint="eastAsia" w:ascii="楷体_GB2312" w:hAnsi="Calibri" w:eastAsia="楷体_GB2312"/>
                <w:kern w:val="0"/>
                <w:sz w:val="21"/>
                <w:szCs w:val="21"/>
                <w:lang w:eastAsia="zh-CN"/>
              </w:rPr>
              <w:t>—</w:t>
            </w:r>
            <w:r>
              <w:rPr>
                <w:rFonts w:hint="eastAsia" w:ascii="楷体_GB2312" w:hAnsi="Calibri" w:eastAsia="楷体_GB2312"/>
                <w:kern w:val="0"/>
                <w:sz w:val="21"/>
                <w:szCs w:val="21"/>
              </w:rPr>
              <w:t>7</w:t>
            </w:r>
          </w:p>
        </w:tc>
        <w:tc>
          <w:tcPr>
            <w:tcW w:w="630"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总计</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93"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发生次数</w:t>
            </w:r>
          </w:p>
        </w:tc>
        <w:tc>
          <w:tcPr>
            <w:tcW w:w="629"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12</w:t>
            </w:r>
          </w:p>
        </w:tc>
        <w:tc>
          <w:tcPr>
            <w:tcW w:w="629"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18</w:t>
            </w:r>
          </w:p>
        </w:tc>
        <w:tc>
          <w:tcPr>
            <w:tcW w:w="630"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15</w:t>
            </w:r>
          </w:p>
        </w:tc>
        <w:tc>
          <w:tcPr>
            <w:tcW w:w="629"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6</w:t>
            </w:r>
          </w:p>
        </w:tc>
        <w:tc>
          <w:tcPr>
            <w:tcW w:w="630"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w:t>
            </w:r>
          </w:p>
        </w:tc>
        <w:tc>
          <w:tcPr>
            <w:tcW w:w="629"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47</w:t>
            </w:r>
          </w:p>
        </w:tc>
        <w:tc>
          <w:tcPr>
            <w:tcW w:w="630"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56</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93"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百分比</w:t>
            </w:r>
          </w:p>
        </w:tc>
        <w:tc>
          <w:tcPr>
            <w:tcW w:w="629"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21.43%</w:t>
            </w:r>
          </w:p>
        </w:tc>
        <w:tc>
          <w:tcPr>
            <w:tcW w:w="629"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32.14%</w:t>
            </w:r>
          </w:p>
        </w:tc>
        <w:tc>
          <w:tcPr>
            <w:tcW w:w="630"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26.79%</w:t>
            </w:r>
          </w:p>
        </w:tc>
        <w:tc>
          <w:tcPr>
            <w:tcW w:w="629"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10.71%</w:t>
            </w:r>
          </w:p>
        </w:tc>
        <w:tc>
          <w:tcPr>
            <w:tcW w:w="630"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5.36%</w:t>
            </w:r>
          </w:p>
        </w:tc>
        <w:tc>
          <w:tcPr>
            <w:tcW w:w="629"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83.93%</w:t>
            </w:r>
          </w:p>
        </w:tc>
        <w:tc>
          <w:tcPr>
            <w:tcW w:w="630"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100.00%</w:t>
            </w:r>
          </w:p>
        </w:tc>
      </w:tr>
    </w:tbl>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綦江为典型的南方山区河流，洪水具有汇集快，过程陡涨陡落，峰型尖瘦、峰顶持续时间短的特点。据观测，綦江干流洪峰经东溪水文站到达綦江城区的时间仅为4</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5个小时，綦江支流蒲河洪峰经石角水文站到达綦江城区的时间仅为3</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4小时。根据东溪站、五岔站实测资料统计，洪水过程多为单峰，历时在3d以内，最大洪峰持续时间主要集中在24h以内。近年来洪水对綦江城区影响最严重的是2020年6月22日，洪峰流量为5063m</w:t>
      </w:r>
      <w:r>
        <w:rPr>
          <w:rFonts w:hint="default" w:ascii="Times New Roman" w:hAnsi="Times New Roman" w:eastAsia="方正仿宋_GBK" w:cs="Times New Roman"/>
          <w:sz w:val="32"/>
          <w:szCs w:val="32"/>
          <w:vertAlign w:val="superscript"/>
        </w:rPr>
        <w:t>3</w:t>
      </w:r>
      <w:r>
        <w:rPr>
          <w:rFonts w:hint="default" w:ascii="Times New Roman" w:hAnsi="Times New Roman" w:eastAsia="方正仿宋_GBK" w:cs="Times New Roman"/>
          <w:sz w:val="32"/>
          <w:szCs w:val="32"/>
        </w:rPr>
        <w:t>/s</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洪水历时20小时。</w:t>
      </w:r>
    </w:p>
    <w:p>
      <w:pPr>
        <w:pStyle w:val="2953"/>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default" w:ascii="Times New Roman" w:hAnsi="Times New Roman" w:eastAsia="方正仿宋_GBK" w:cs="Times New Roman"/>
          <w:kern w:val="0"/>
          <w:sz w:val="32"/>
          <w:szCs w:val="32"/>
        </w:rPr>
      </w:pPr>
      <w:r>
        <w:rPr>
          <w:rFonts w:hint="default" w:ascii="Times New Roman" w:hAnsi="Times New Roman" w:eastAsia="方正仿宋_GBK" w:cs="Times New Roman"/>
          <w:kern w:val="0"/>
          <w:sz w:val="32"/>
          <w:szCs w:val="32"/>
        </w:rPr>
        <w:t>统计2020年“6.22”洪水特征值，并与1998年、2016年綦江最大洪峰过程进行了比较。可以看出，东溪站1998年洪水洪峰和24h洪量最大，72h洪量2016年最大。五岔站2020年“6.22”洪水洪峰和24h洪量最大，72h洪量2016年最大。</w:t>
      </w:r>
    </w:p>
    <w:p>
      <w:pPr>
        <w:pStyle w:val="2312"/>
        <w:ind w:firstLine="240"/>
        <w:rPr>
          <w:rFonts w:hint="default" w:ascii="Times New Roman" w:hAnsi="Times New Roman" w:eastAsia="方正黑体_GBK" w:cs="Times New Roman"/>
        </w:rPr>
      </w:pPr>
      <w:r>
        <w:rPr>
          <w:rFonts w:hint="default" w:ascii="Times New Roman" w:hAnsi="Times New Roman" w:eastAsia="方正黑体_GBK" w:cs="Times New Roman"/>
        </w:rPr>
        <w:t>表4.2</w:t>
      </w:r>
      <w:r>
        <w:rPr>
          <w:rFonts w:hint="default" w:ascii="Times New Roman" w:hAnsi="Times New Roman" w:eastAsia="方正黑体_GBK" w:cs="Times New Roman"/>
          <w:lang w:eastAsia="zh-CN"/>
        </w:rPr>
        <w:t>—</w:t>
      </w:r>
      <w:r>
        <w:rPr>
          <w:rFonts w:hint="default" w:ascii="Times New Roman" w:hAnsi="Times New Roman" w:eastAsia="方正黑体_GBK" w:cs="Times New Roman"/>
        </w:rPr>
        <w:t>2    典型大洪水特征值比较   单位：洪峰流量（m</w:t>
      </w:r>
      <w:r>
        <w:rPr>
          <w:rFonts w:hint="default" w:ascii="Times New Roman" w:hAnsi="Times New Roman" w:eastAsia="方正黑体_GBK" w:cs="Times New Roman"/>
          <w:vertAlign w:val="superscript"/>
        </w:rPr>
        <w:t>3</w:t>
      </w:r>
      <w:r>
        <w:rPr>
          <w:rFonts w:hint="default" w:ascii="Times New Roman" w:hAnsi="Times New Roman" w:eastAsia="方正黑体_GBK" w:cs="Times New Roman"/>
        </w:rPr>
        <w:t>/s）,洪量（亿m</w:t>
      </w:r>
      <w:r>
        <w:rPr>
          <w:rFonts w:hint="default" w:ascii="Times New Roman" w:hAnsi="Times New Roman" w:eastAsia="方正黑体_GBK" w:cs="Times New Roman"/>
          <w:vertAlign w:val="superscript"/>
        </w:rPr>
        <w:t>3</w:t>
      </w:r>
      <w:r>
        <w:rPr>
          <w:rFonts w:hint="default" w:ascii="Times New Roman" w:hAnsi="Times New Roman" w:eastAsia="方正黑体_GBK" w:cs="Times New Roman"/>
        </w:rPr>
        <w:t>）</w:t>
      </w:r>
    </w:p>
    <w:tbl>
      <w:tblPr>
        <w:tblStyle w:val="88"/>
        <w:tblW w:w="5000"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108" w:type="dxa"/>
          <w:bottom w:w="0" w:type="dxa"/>
          <w:right w:w="108" w:type="dxa"/>
        </w:tblCellMar>
      </w:tblPr>
      <w:tblGrid>
        <w:gridCol w:w="1526"/>
        <w:gridCol w:w="1292"/>
        <w:gridCol w:w="1295"/>
        <w:gridCol w:w="1293"/>
        <w:gridCol w:w="1295"/>
        <w:gridCol w:w="1293"/>
        <w:gridCol w:w="1293"/>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822" w:type="pct"/>
            <w:vMerge w:val="restar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年份</w:t>
            </w:r>
          </w:p>
        </w:tc>
        <w:tc>
          <w:tcPr>
            <w:tcW w:w="2089" w:type="pct"/>
            <w:gridSpan w:val="3"/>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东溪站</w:t>
            </w:r>
          </w:p>
        </w:tc>
        <w:tc>
          <w:tcPr>
            <w:tcW w:w="2089" w:type="pct"/>
            <w:gridSpan w:val="3"/>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五岔站</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822" w:type="pct"/>
            <w:vMerge w:val="continue"/>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p>
        </w:tc>
        <w:tc>
          <w:tcPr>
            <w:tcW w:w="696"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洪峰</w:t>
            </w:r>
          </w:p>
        </w:tc>
        <w:tc>
          <w:tcPr>
            <w:tcW w:w="697"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24h洪量</w:t>
            </w:r>
          </w:p>
        </w:tc>
        <w:tc>
          <w:tcPr>
            <w:tcW w:w="696"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72h洪量</w:t>
            </w:r>
          </w:p>
        </w:tc>
        <w:tc>
          <w:tcPr>
            <w:tcW w:w="697"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洪峰</w:t>
            </w:r>
          </w:p>
        </w:tc>
        <w:tc>
          <w:tcPr>
            <w:tcW w:w="696"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24h洪量</w:t>
            </w:r>
          </w:p>
        </w:tc>
        <w:tc>
          <w:tcPr>
            <w:tcW w:w="697"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72h洪量</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822"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2020年</w:t>
            </w:r>
          </w:p>
        </w:tc>
        <w:tc>
          <w:tcPr>
            <w:tcW w:w="696"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4360</w:t>
            </w:r>
          </w:p>
        </w:tc>
        <w:tc>
          <w:tcPr>
            <w:tcW w:w="697"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1.538</w:t>
            </w:r>
          </w:p>
        </w:tc>
        <w:tc>
          <w:tcPr>
            <w:tcW w:w="696"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2.021</w:t>
            </w:r>
          </w:p>
        </w:tc>
        <w:tc>
          <w:tcPr>
            <w:tcW w:w="697"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5360</w:t>
            </w:r>
          </w:p>
        </w:tc>
        <w:tc>
          <w:tcPr>
            <w:tcW w:w="696"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2.973</w:t>
            </w:r>
          </w:p>
        </w:tc>
        <w:tc>
          <w:tcPr>
            <w:tcW w:w="697"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4.187</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822"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2016年</w:t>
            </w:r>
          </w:p>
        </w:tc>
        <w:tc>
          <w:tcPr>
            <w:tcW w:w="696"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2740</w:t>
            </w:r>
          </w:p>
        </w:tc>
        <w:tc>
          <w:tcPr>
            <w:tcW w:w="697"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1.514</w:t>
            </w:r>
          </w:p>
        </w:tc>
        <w:tc>
          <w:tcPr>
            <w:tcW w:w="696"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2.427</w:t>
            </w:r>
          </w:p>
        </w:tc>
        <w:tc>
          <w:tcPr>
            <w:tcW w:w="697"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4150</w:t>
            </w:r>
          </w:p>
        </w:tc>
        <w:tc>
          <w:tcPr>
            <w:tcW w:w="696"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2.844</w:t>
            </w:r>
          </w:p>
        </w:tc>
        <w:tc>
          <w:tcPr>
            <w:tcW w:w="697"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4.700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822"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1998年</w:t>
            </w:r>
          </w:p>
        </w:tc>
        <w:tc>
          <w:tcPr>
            <w:tcW w:w="696"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4620</w:t>
            </w:r>
          </w:p>
        </w:tc>
        <w:tc>
          <w:tcPr>
            <w:tcW w:w="697"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1.679</w:t>
            </w:r>
          </w:p>
        </w:tc>
        <w:tc>
          <w:tcPr>
            <w:tcW w:w="696"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2.221</w:t>
            </w:r>
          </w:p>
        </w:tc>
        <w:tc>
          <w:tcPr>
            <w:tcW w:w="697"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5220</w:t>
            </w:r>
          </w:p>
        </w:tc>
        <w:tc>
          <w:tcPr>
            <w:tcW w:w="696"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2.740</w:t>
            </w:r>
          </w:p>
        </w:tc>
        <w:tc>
          <w:tcPr>
            <w:tcW w:w="697"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3.753</w:t>
            </w:r>
          </w:p>
        </w:tc>
      </w:tr>
    </w:tbl>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lang w:val="en-US" w:eastAsia="zh-CN"/>
        </w:rPr>
        <w:t xml:space="preserve">2.1 </w:t>
      </w:r>
      <w:r>
        <w:rPr>
          <w:rFonts w:hint="eastAsia" w:ascii="Times New Roman" w:hAnsi="Times New Roman" w:eastAsia="方正仿宋_GBK" w:cs="Times New Roman"/>
          <w:sz w:val="32"/>
          <w:szCs w:val="32"/>
        </w:rPr>
        <w:t>1998年</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rPr>
      </w:pPr>
      <w:r>
        <w:rPr>
          <w:rFonts w:hint="default" w:ascii="Times New Roman" w:hAnsi="Times New Roman" w:eastAsia="方正仿宋_GBK" w:cs="Times New Roman"/>
          <w:sz w:val="32"/>
          <w:szCs w:val="32"/>
        </w:rPr>
        <w:t>1998</w:t>
      </w:r>
      <w:r>
        <w:rPr>
          <w:rFonts w:hint="eastAsia" w:ascii="Times New Roman" w:hAnsi="Times New Roman" w:eastAsia="方正仿宋_GBK" w:cs="Times New Roman"/>
          <w:sz w:val="32"/>
          <w:szCs w:val="32"/>
        </w:rPr>
        <w:t>年</w:t>
      </w:r>
      <w:r>
        <w:rPr>
          <w:rFonts w:hint="default" w:ascii="Times New Roman" w:hAnsi="Times New Roman" w:eastAsia="方正仿宋_GBK" w:cs="Times New Roman"/>
          <w:sz w:val="32"/>
          <w:szCs w:val="32"/>
        </w:rPr>
        <w:t>8</w:t>
      </w:r>
      <w:r>
        <w:rPr>
          <w:rFonts w:hint="eastAsia" w:ascii="Times New Roman" w:hAnsi="Times New Roman" w:eastAsia="方正仿宋_GBK" w:cs="Times New Roman"/>
          <w:sz w:val="32"/>
          <w:szCs w:val="32"/>
        </w:rPr>
        <w:t>月</w:t>
      </w:r>
      <w:r>
        <w:rPr>
          <w:rFonts w:hint="default" w:ascii="Times New Roman" w:hAnsi="Times New Roman" w:eastAsia="方正仿宋_GBK" w:cs="Times New Roman"/>
          <w:sz w:val="32"/>
          <w:szCs w:val="32"/>
        </w:rPr>
        <w:t>7</w:t>
      </w:r>
      <w:r>
        <w:rPr>
          <w:rFonts w:hint="eastAsia" w:ascii="Times New Roman" w:hAnsi="Times New Roman" w:eastAsia="方正仿宋_GBK" w:cs="Times New Roman"/>
          <w:sz w:val="32"/>
          <w:szCs w:val="32"/>
        </w:rPr>
        <w:t>日，綦江境内和黔北地区普降暴雨，綦江河水暴涨，</w:t>
      </w:r>
      <w:r>
        <w:rPr>
          <w:rFonts w:hint="default" w:ascii="Times New Roman" w:hAnsi="Times New Roman" w:eastAsia="方正仿宋_GBK" w:cs="Times New Roman"/>
          <w:sz w:val="32"/>
          <w:szCs w:val="32"/>
        </w:rPr>
        <w:t>洪水</w:t>
      </w:r>
      <w:r>
        <w:rPr>
          <w:rFonts w:hint="eastAsia" w:ascii="Times New Roman" w:hAnsi="Times New Roman" w:eastAsia="方正仿宋_GBK" w:cs="Times New Roman"/>
          <w:sz w:val="32"/>
          <w:szCs w:val="32"/>
        </w:rPr>
        <w:t>特点</w:t>
      </w:r>
      <w:r>
        <w:rPr>
          <w:rFonts w:hint="default" w:ascii="Times New Roman" w:hAnsi="Times New Roman" w:eastAsia="方正仿宋_GBK" w:cs="Times New Roman"/>
          <w:sz w:val="32"/>
          <w:szCs w:val="32"/>
        </w:rPr>
        <w:t>：来势猛、流量大、水位高，且发生在夜间，因而损失大。</w:t>
      </w:r>
      <w:r>
        <w:rPr>
          <w:rFonts w:hint="eastAsia" w:ascii="Times New Roman" w:hAnsi="Times New Roman" w:eastAsia="方正仿宋_GBK" w:cs="Times New Roman"/>
          <w:sz w:val="32"/>
          <w:szCs w:val="32"/>
        </w:rPr>
        <w:t>古南镇洪水位达</w:t>
      </w:r>
      <w:r>
        <w:rPr>
          <w:rFonts w:hint="default" w:ascii="Times New Roman" w:hAnsi="Times New Roman" w:eastAsia="方正仿宋_GBK" w:cs="Times New Roman"/>
          <w:sz w:val="32"/>
          <w:szCs w:val="32"/>
        </w:rPr>
        <w:t>228.32m</w:t>
      </w:r>
      <w:r>
        <w:rPr>
          <w:rFonts w:hint="eastAsia" w:ascii="Times New Roman" w:hAnsi="Times New Roman" w:eastAsia="方正仿宋_GBK" w:cs="Times New Roman"/>
          <w:sz w:val="32"/>
          <w:szCs w:val="32"/>
        </w:rPr>
        <w:t>（</w:t>
      </w:r>
      <w:r>
        <w:rPr>
          <w:rFonts w:hint="default" w:ascii="Times New Roman" w:hAnsi="Times New Roman" w:eastAsia="方正仿宋_GBK" w:cs="Times New Roman"/>
          <w:sz w:val="32"/>
          <w:szCs w:val="32"/>
        </w:rPr>
        <w:t>超保证水位5.82m</w:t>
      </w:r>
      <w:r>
        <w:rPr>
          <w:rFonts w:hint="eastAsia" w:ascii="Times New Roman" w:hAnsi="Times New Roman" w:eastAsia="方正仿宋_GBK" w:cs="Times New Roman"/>
          <w:sz w:val="32"/>
          <w:szCs w:val="32"/>
        </w:rPr>
        <w:t>），彩虹桥最高洪水位227.53m（超保证水位5.03m）。</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綦江支流蒲河石角站洪峰流量为611m</w:t>
      </w:r>
      <w:r>
        <w:rPr>
          <w:rFonts w:hint="default" w:ascii="Times New Roman" w:hAnsi="Times New Roman" w:eastAsia="方正仿宋_GBK" w:cs="Times New Roman"/>
          <w:sz w:val="32"/>
          <w:szCs w:val="32"/>
          <w:vertAlign w:val="superscript"/>
        </w:rPr>
        <w:t>3</w:t>
      </w:r>
      <w:r>
        <w:rPr>
          <w:rFonts w:hint="eastAsia" w:ascii="Times New Roman" w:hAnsi="Times New Roman" w:eastAsia="方正仿宋_GBK" w:cs="Times New Roman"/>
          <w:sz w:val="32"/>
          <w:szCs w:val="32"/>
          <w:lang w:val="en-US" w:eastAsia="zh-CN"/>
        </w:rPr>
        <w:t>/s，重现期为8年一遇。藻渡河推算洪峰流量为2300m</w:t>
      </w:r>
      <w:r>
        <w:rPr>
          <w:rFonts w:hint="default" w:ascii="Times New Roman" w:hAnsi="Times New Roman" w:eastAsia="方正仿宋_GBK" w:cs="Times New Roman"/>
          <w:sz w:val="32"/>
          <w:szCs w:val="32"/>
          <w:vertAlign w:val="superscript"/>
        </w:rPr>
        <w:t>3</w:t>
      </w:r>
      <w:r>
        <w:rPr>
          <w:rFonts w:hint="eastAsia" w:ascii="Times New Roman" w:hAnsi="Times New Roman" w:eastAsia="方正仿宋_GBK" w:cs="Times New Roman"/>
          <w:sz w:val="32"/>
          <w:szCs w:val="32"/>
          <w:lang w:val="en-US" w:eastAsia="zh-CN"/>
        </w:rPr>
        <w:t>/s。</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綦江干流东溪站最高水位50.06m（假定基面），相应洪峰流量为4620m</w:t>
      </w:r>
      <w:r>
        <w:rPr>
          <w:rFonts w:hint="default" w:ascii="Times New Roman" w:hAnsi="Times New Roman" w:eastAsia="方正仿宋_GBK" w:cs="Times New Roman"/>
          <w:sz w:val="32"/>
          <w:szCs w:val="32"/>
          <w:vertAlign w:val="superscript"/>
        </w:rPr>
        <w:t>3</w:t>
      </w:r>
      <w:r>
        <w:rPr>
          <w:rFonts w:hint="eastAsia" w:ascii="Times New Roman" w:hAnsi="Times New Roman" w:eastAsia="方正仿宋_GBK" w:cs="Times New Roman"/>
          <w:sz w:val="32"/>
          <w:szCs w:val="32"/>
          <w:lang w:val="en-US" w:eastAsia="zh-CN"/>
        </w:rPr>
        <w:t>/s。最大24h洪量1.679亿m</w:t>
      </w:r>
      <w:r>
        <w:rPr>
          <w:rFonts w:hint="default" w:ascii="Times New Roman" w:hAnsi="Times New Roman" w:eastAsia="方正仿宋_GBK" w:cs="Times New Roman"/>
          <w:sz w:val="32"/>
          <w:szCs w:val="32"/>
          <w:vertAlign w:val="superscript"/>
        </w:rPr>
        <w:t>3</w:t>
      </w:r>
      <w:r>
        <w:rPr>
          <w:rFonts w:hint="eastAsia" w:ascii="Times New Roman" w:hAnsi="Times New Roman" w:eastAsia="方正仿宋_GBK" w:cs="Times New Roman"/>
          <w:sz w:val="32"/>
          <w:szCs w:val="32"/>
          <w:lang w:val="en-US" w:eastAsia="zh-CN"/>
        </w:rPr>
        <w:t>,72h洪量2.221亿m</w:t>
      </w:r>
      <w:r>
        <w:rPr>
          <w:rFonts w:hint="default" w:ascii="Times New Roman" w:hAnsi="Times New Roman" w:eastAsia="方正仿宋_GBK" w:cs="Times New Roman"/>
          <w:sz w:val="32"/>
          <w:szCs w:val="32"/>
          <w:vertAlign w:val="superscript"/>
        </w:rPr>
        <w:t>3</w:t>
      </w:r>
      <w:r>
        <w:rPr>
          <w:rFonts w:hint="eastAsia" w:ascii="Times New Roman" w:hAnsi="Times New Roman" w:eastAsia="方正仿宋_GBK" w:cs="Times New Roman"/>
          <w:sz w:val="32"/>
          <w:szCs w:val="32"/>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綦江干流主城区段彩虹桥处最高洪水位227.53m，超保证水位5.03m。城区城北大桥处洪峰流量为5017m</w:t>
      </w:r>
      <w:r>
        <w:rPr>
          <w:rFonts w:hint="default" w:ascii="Times New Roman" w:hAnsi="Times New Roman" w:eastAsia="方正仿宋_GBK" w:cs="Times New Roman"/>
          <w:sz w:val="32"/>
          <w:szCs w:val="32"/>
          <w:vertAlign w:val="superscript"/>
        </w:rPr>
        <w:t>3</w:t>
      </w:r>
      <w:r>
        <w:rPr>
          <w:rFonts w:hint="eastAsia" w:ascii="Times New Roman" w:hAnsi="Times New Roman" w:eastAsia="方正仿宋_GBK" w:cs="Times New Roman"/>
          <w:sz w:val="32"/>
          <w:szCs w:val="32"/>
          <w:lang w:val="en-US" w:eastAsia="zh-CN"/>
        </w:rPr>
        <w:t>/s（推算值）。</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綦江干流五岔站最高水位207.04m，超保证水位6.53m；相应洪峰流量为5220m</w:t>
      </w:r>
      <w:r>
        <w:rPr>
          <w:rFonts w:hint="default" w:ascii="Times New Roman" w:hAnsi="Times New Roman" w:eastAsia="方正仿宋_GBK" w:cs="Times New Roman"/>
          <w:sz w:val="32"/>
          <w:szCs w:val="32"/>
          <w:vertAlign w:val="superscript"/>
        </w:rPr>
        <w:t>3</w:t>
      </w:r>
      <w:r>
        <w:rPr>
          <w:rFonts w:hint="eastAsia" w:ascii="Times New Roman" w:hAnsi="Times New Roman" w:eastAsia="方正仿宋_GBK" w:cs="Times New Roman"/>
          <w:sz w:val="32"/>
          <w:szCs w:val="32"/>
          <w:lang w:val="en-US" w:eastAsia="zh-CN"/>
        </w:rPr>
        <w:t>/s。最大24h洪量2.740亿m</w:t>
      </w:r>
      <w:r>
        <w:rPr>
          <w:rFonts w:hint="default" w:ascii="Times New Roman" w:hAnsi="Times New Roman" w:eastAsia="方正仿宋_GBK" w:cs="Times New Roman"/>
          <w:sz w:val="32"/>
          <w:szCs w:val="32"/>
          <w:vertAlign w:val="superscript"/>
        </w:rPr>
        <w:t>3</w:t>
      </w:r>
      <w:r>
        <w:rPr>
          <w:rFonts w:hint="eastAsia" w:ascii="Times New Roman" w:hAnsi="Times New Roman" w:eastAsia="方正仿宋_GBK" w:cs="Times New Roman"/>
          <w:sz w:val="32"/>
          <w:szCs w:val="32"/>
          <w:lang w:val="en-US" w:eastAsia="zh-CN"/>
        </w:rPr>
        <w:t>,72h洪量3.753亿m</w:t>
      </w:r>
      <w:r>
        <w:rPr>
          <w:rFonts w:hint="default" w:ascii="Times New Roman" w:hAnsi="Times New Roman" w:eastAsia="方正仿宋_GBK" w:cs="Times New Roman"/>
          <w:sz w:val="32"/>
          <w:szCs w:val="32"/>
          <w:vertAlign w:val="superscript"/>
        </w:rPr>
        <w:t>3</w:t>
      </w:r>
      <w:r>
        <w:rPr>
          <w:rFonts w:hint="eastAsia" w:ascii="Times New Roman" w:hAnsi="Times New Roman" w:eastAsia="方正仿宋_GBK" w:cs="Times New Roman"/>
          <w:sz w:val="32"/>
          <w:szCs w:val="32"/>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2.2</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en-US" w:eastAsia="zh-CN"/>
        </w:rPr>
        <w:t>2016年</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2016年5月7日、6月2日、6月15日和6月28日相继发生洪灾，尤其是6月26</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28日綦江区普降暴雨，雨量普遍在60</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160mm之间，石角镇铺子站实测最大雨量215.9mm；綦江城区最高水位224.7m，超保证水位2.20m。</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綦江支流蒲河石角站最高水位243.05m，超保证水位0.01m，相应洪峰流量为600m</w:t>
      </w:r>
      <w:r>
        <w:rPr>
          <w:rFonts w:hint="default" w:ascii="Times New Roman" w:hAnsi="Times New Roman" w:eastAsia="方正仿宋_GBK" w:cs="Times New Roman"/>
          <w:sz w:val="32"/>
          <w:szCs w:val="32"/>
          <w:vertAlign w:val="superscript"/>
        </w:rPr>
        <w:t>3</w:t>
      </w:r>
      <w:r>
        <w:rPr>
          <w:rFonts w:hint="eastAsia" w:ascii="Times New Roman" w:hAnsi="Times New Roman" w:eastAsia="方正仿宋_GBK" w:cs="Times New Roman"/>
          <w:sz w:val="32"/>
          <w:szCs w:val="32"/>
          <w:lang w:val="en-US" w:eastAsia="zh-CN"/>
        </w:rPr>
        <w:t>/s。藻渡河推算洪峰流量为2520m</w:t>
      </w:r>
      <w:r>
        <w:rPr>
          <w:rFonts w:hint="default" w:ascii="Times New Roman" w:hAnsi="Times New Roman" w:eastAsia="方正仿宋_GBK" w:cs="Times New Roman"/>
          <w:sz w:val="32"/>
          <w:szCs w:val="32"/>
          <w:vertAlign w:val="superscript"/>
        </w:rPr>
        <w:t>3</w:t>
      </w:r>
      <w:r>
        <w:rPr>
          <w:rFonts w:hint="eastAsia" w:ascii="Times New Roman" w:hAnsi="Times New Roman" w:eastAsia="方正仿宋_GBK" w:cs="Times New Roman"/>
          <w:sz w:val="32"/>
          <w:szCs w:val="32"/>
          <w:lang w:val="en-US" w:eastAsia="zh-CN"/>
        </w:rPr>
        <w:t>/s。</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綦江干流东溪站最高水位285.97m，超警戒水位2.38m，相应洪峰流量为2740m</w:t>
      </w:r>
      <w:r>
        <w:rPr>
          <w:rFonts w:hint="default" w:ascii="Times New Roman" w:hAnsi="Times New Roman" w:eastAsia="方正仿宋_GBK" w:cs="Times New Roman"/>
          <w:sz w:val="32"/>
          <w:szCs w:val="32"/>
          <w:vertAlign w:val="superscript"/>
        </w:rPr>
        <w:t>3</w:t>
      </w:r>
      <w:r>
        <w:rPr>
          <w:rFonts w:hint="eastAsia" w:ascii="Times New Roman" w:hAnsi="Times New Roman" w:eastAsia="方正仿宋_GBK" w:cs="Times New Roman"/>
          <w:sz w:val="32"/>
          <w:szCs w:val="32"/>
          <w:lang w:val="en-US" w:eastAsia="zh-CN"/>
        </w:rPr>
        <w:t>/s。最大24h洪量（1.514亿m</w:t>
      </w:r>
      <w:r>
        <w:rPr>
          <w:rFonts w:hint="default" w:ascii="Times New Roman" w:hAnsi="Times New Roman" w:eastAsia="方正仿宋_GBK" w:cs="Times New Roman"/>
          <w:sz w:val="32"/>
          <w:szCs w:val="32"/>
          <w:vertAlign w:val="superscript"/>
        </w:rPr>
        <w:t>3</w:t>
      </w:r>
      <w:r>
        <w:rPr>
          <w:rFonts w:hint="eastAsia" w:ascii="Times New Roman" w:hAnsi="Times New Roman" w:eastAsia="方正仿宋_GBK" w:cs="Times New Roman"/>
          <w:sz w:val="32"/>
          <w:szCs w:val="32"/>
          <w:lang w:val="en-US" w:eastAsia="zh-CN"/>
        </w:rPr>
        <w:t>）小于1998年的1.679亿m</w:t>
      </w:r>
      <w:r>
        <w:rPr>
          <w:rFonts w:hint="default" w:ascii="Times New Roman" w:hAnsi="Times New Roman" w:eastAsia="方正仿宋_GBK" w:cs="Times New Roman"/>
          <w:sz w:val="32"/>
          <w:szCs w:val="32"/>
          <w:vertAlign w:val="superscript"/>
        </w:rPr>
        <w:t>3</w:t>
      </w:r>
      <w:r>
        <w:rPr>
          <w:rFonts w:hint="eastAsia" w:ascii="Times New Roman" w:hAnsi="Times New Roman" w:eastAsia="方正仿宋_GBK" w:cs="Times New Roman"/>
          <w:sz w:val="32"/>
          <w:szCs w:val="32"/>
          <w:lang w:val="en-US" w:eastAsia="zh-CN"/>
        </w:rPr>
        <w:t>。最大72h洪量（2.427亿m</w:t>
      </w:r>
      <w:r>
        <w:rPr>
          <w:rFonts w:hint="default" w:ascii="Times New Roman" w:hAnsi="Times New Roman" w:eastAsia="方正仿宋_GBK" w:cs="Times New Roman"/>
          <w:sz w:val="32"/>
          <w:szCs w:val="32"/>
          <w:vertAlign w:val="superscript"/>
        </w:rPr>
        <w:t>3</w:t>
      </w:r>
      <w:r>
        <w:rPr>
          <w:rFonts w:hint="eastAsia" w:ascii="Times New Roman" w:hAnsi="Times New Roman" w:eastAsia="方正仿宋_GBK" w:cs="Times New Roman"/>
          <w:sz w:val="32"/>
          <w:szCs w:val="32"/>
          <w:lang w:val="en-US" w:eastAsia="zh-CN"/>
        </w:rPr>
        <w:t>）大于1998年的2.221亿m</w:t>
      </w:r>
      <w:r>
        <w:rPr>
          <w:rFonts w:hint="default" w:ascii="Times New Roman" w:hAnsi="Times New Roman" w:eastAsia="方正仿宋_GBK" w:cs="Times New Roman"/>
          <w:sz w:val="32"/>
          <w:szCs w:val="32"/>
          <w:vertAlign w:val="superscript"/>
        </w:rPr>
        <w:t>3</w:t>
      </w:r>
      <w:r>
        <w:rPr>
          <w:rFonts w:hint="eastAsia" w:ascii="Times New Roman" w:hAnsi="Times New Roman" w:eastAsia="方正仿宋_GBK" w:cs="Times New Roman"/>
          <w:sz w:val="32"/>
          <w:szCs w:val="32"/>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綦江干流綦江城区段彩虹桥处最高水位224.7m，超保证水位2.2m，綦江城区城北大桥处洪峰流量为3620m</w:t>
      </w:r>
      <w:r>
        <w:rPr>
          <w:rFonts w:hint="default" w:ascii="Times New Roman" w:hAnsi="Times New Roman" w:eastAsia="方正仿宋_GBK" w:cs="Times New Roman"/>
          <w:sz w:val="32"/>
          <w:szCs w:val="32"/>
          <w:vertAlign w:val="superscript"/>
        </w:rPr>
        <w:t>3</w:t>
      </w:r>
      <w:r>
        <w:rPr>
          <w:rFonts w:hint="eastAsia" w:ascii="Times New Roman" w:hAnsi="Times New Roman" w:eastAsia="方正仿宋_GBK" w:cs="Times New Roman"/>
          <w:sz w:val="32"/>
          <w:szCs w:val="32"/>
          <w:lang w:val="en-US" w:eastAsia="zh-CN"/>
        </w:rPr>
        <w:t>/s（推算值）。</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綦江干流五岔站最高水位203.70m，超保证水位3.19m；相应洪峰流量为4150m</w:t>
      </w:r>
      <w:r>
        <w:rPr>
          <w:rFonts w:hint="default" w:ascii="Times New Roman" w:hAnsi="Times New Roman" w:eastAsia="方正仿宋_GBK" w:cs="Times New Roman"/>
          <w:sz w:val="32"/>
          <w:szCs w:val="32"/>
          <w:vertAlign w:val="superscript"/>
        </w:rPr>
        <w:t>3</w:t>
      </w:r>
      <w:r>
        <w:rPr>
          <w:rFonts w:hint="eastAsia" w:ascii="Times New Roman" w:hAnsi="Times New Roman" w:eastAsia="方正仿宋_GBK" w:cs="Times New Roman"/>
          <w:sz w:val="32"/>
          <w:szCs w:val="32"/>
          <w:lang w:val="en-US" w:eastAsia="zh-CN"/>
        </w:rPr>
        <w:t>/s，低于1998年洪峰流量（5220m</w:t>
      </w:r>
      <w:r>
        <w:rPr>
          <w:rFonts w:hint="default" w:ascii="Times New Roman" w:hAnsi="Times New Roman" w:eastAsia="方正仿宋_GBK" w:cs="Times New Roman"/>
          <w:sz w:val="32"/>
          <w:szCs w:val="32"/>
          <w:vertAlign w:val="superscript"/>
        </w:rPr>
        <w:t>3</w:t>
      </w:r>
      <w:r>
        <w:rPr>
          <w:rFonts w:hint="eastAsia" w:ascii="Times New Roman" w:hAnsi="Times New Roman" w:eastAsia="方正仿宋_GBK" w:cs="Times New Roman"/>
          <w:sz w:val="32"/>
          <w:szCs w:val="32"/>
          <w:lang w:val="en-US" w:eastAsia="zh-CN"/>
        </w:rPr>
        <w:t>/s）。五岔站24h洪量（2.844亿m</w:t>
      </w:r>
      <w:r>
        <w:rPr>
          <w:rFonts w:hint="default" w:ascii="Times New Roman" w:hAnsi="Times New Roman" w:eastAsia="方正仿宋_GBK" w:cs="Times New Roman"/>
          <w:sz w:val="32"/>
          <w:szCs w:val="32"/>
          <w:vertAlign w:val="superscript"/>
        </w:rPr>
        <w:t>3</w:t>
      </w:r>
      <w:r>
        <w:rPr>
          <w:rFonts w:hint="eastAsia" w:ascii="Times New Roman" w:hAnsi="Times New Roman" w:eastAsia="方正仿宋_GBK" w:cs="Times New Roman"/>
          <w:sz w:val="32"/>
          <w:szCs w:val="32"/>
          <w:lang w:val="en-US" w:eastAsia="zh-CN"/>
        </w:rPr>
        <w:t>）略大于1998年（2.74亿m</w:t>
      </w:r>
      <w:r>
        <w:rPr>
          <w:rFonts w:hint="default" w:ascii="Times New Roman" w:hAnsi="Times New Roman" w:eastAsia="方正仿宋_GBK" w:cs="Times New Roman"/>
          <w:sz w:val="32"/>
          <w:szCs w:val="32"/>
          <w:vertAlign w:val="superscript"/>
        </w:rPr>
        <w:t>3</w:t>
      </w:r>
      <w:r>
        <w:rPr>
          <w:rFonts w:hint="eastAsia" w:ascii="Times New Roman" w:hAnsi="Times New Roman" w:eastAsia="方正仿宋_GBK" w:cs="Times New Roman"/>
          <w:sz w:val="32"/>
          <w:szCs w:val="32"/>
          <w:lang w:val="en-US" w:eastAsia="zh-CN"/>
        </w:rPr>
        <w:t>），72h洪量（4.7亿m</w:t>
      </w:r>
      <w:r>
        <w:rPr>
          <w:rFonts w:hint="default" w:ascii="Times New Roman" w:hAnsi="Times New Roman" w:eastAsia="方正仿宋_GBK" w:cs="Times New Roman"/>
          <w:sz w:val="32"/>
          <w:szCs w:val="32"/>
          <w:vertAlign w:val="superscript"/>
        </w:rPr>
        <w:t>3</w:t>
      </w:r>
      <w:r>
        <w:rPr>
          <w:rFonts w:hint="eastAsia" w:ascii="Times New Roman" w:hAnsi="Times New Roman" w:eastAsia="方正仿宋_GBK" w:cs="Times New Roman"/>
          <w:sz w:val="32"/>
          <w:szCs w:val="32"/>
          <w:lang w:val="en-US" w:eastAsia="zh-CN"/>
        </w:rPr>
        <w:t>）大于1998年（3.753亿m</w:t>
      </w:r>
      <w:r>
        <w:rPr>
          <w:rFonts w:hint="default" w:ascii="Times New Roman" w:hAnsi="Times New Roman" w:eastAsia="方正仿宋_GBK" w:cs="Times New Roman"/>
          <w:sz w:val="32"/>
          <w:szCs w:val="32"/>
          <w:vertAlign w:val="superscript"/>
        </w:rPr>
        <w:t>3</w:t>
      </w:r>
      <w:r>
        <w:rPr>
          <w:rFonts w:hint="eastAsia" w:ascii="Times New Roman" w:hAnsi="Times New Roman" w:eastAsia="方正仿宋_GBK" w:cs="Times New Roman"/>
          <w:sz w:val="32"/>
          <w:szCs w:val="32"/>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2.3</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en-US" w:eastAsia="zh-CN"/>
        </w:rPr>
        <w:t xml:space="preserve"> 2020年</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2020年6月以来，綦江区连续遭受“6</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12”、“6</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22”、“6</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27”、“7</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1”、“7</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7”等5次超警戒洪水袭击，特别是“6</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22”、“7</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1”等2次超保证洪水给綦江区群众基本生活带来严重影响。考虑到“6</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22”洪水彩虹桥最高水位（227.6m）较“7</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1”洪水（224.3m）高出3.3m，造成损失更大，故下面重点论述“6</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22”洪水特性。</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Ansi="Calibri" w:cs="宋体"/>
          <w:szCs w:val="20"/>
        </w:rPr>
      </w:pPr>
      <w:r>
        <w:rPr>
          <w:rFonts w:hint="eastAsia" w:ascii="Times New Roman" w:hAnsi="Times New Roman" w:eastAsia="方正仿宋_GBK" w:cs="Times New Roman"/>
          <w:sz w:val="32"/>
          <w:szCs w:val="32"/>
          <w:lang w:val="en-US" w:eastAsia="zh-CN"/>
        </w:rPr>
        <w:t>2020年6月22日，受强降雨影响，藻渡河、蒲河、通惠河、清溪河等多条綦江支流出现了超警戒或超保证水位洪水的情况，綦江干流重庆段全线出现超保证水位甚至超历史洪水，干支流洪水遭遇恶劣，详见表4.2</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3。</w:t>
      </w:r>
    </w:p>
    <w:p>
      <w:pPr>
        <w:pStyle w:val="2312"/>
        <w:ind w:firstLine="240"/>
        <w:rPr>
          <w:rFonts w:hint="default" w:ascii="Times New Roman" w:hAnsi="Times New Roman" w:eastAsia="方正黑体_GBK" w:cs="Times New Roman"/>
        </w:rPr>
      </w:pPr>
      <w:r>
        <w:rPr>
          <w:rFonts w:hint="default" w:ascii="Times New Roman" w:hAnsi="Times New Roman" w:eastAsia="方正黑体_GBK" w:cs="Times New Roman"/>
        </w:rPr>
        <w:t>表4.2</w:t>
      </w:r>
      <w:r>
        <w:rPr>
          <w:rFonts w:hint="default" w:ascii="Times New Roman" w:hAnsi="Times New Roman" w:eastAsia="方正黑体_GBK" w:cs="Times New Roman"/>
          <w:lang w:eastAsia="zh-CN"/>
        </w:rPr>
        <w:t>—</w:t>
      </w:r>
      <w:r>
        <w:rPr>
          <w:rFonts w:hint="default" w:ascii="Times New Roman" w:hAnsi="Times New Roman" w:eastAsia="方正黑体_GBK" w:cs="Times New Roman"/>
        </w:rPr>
        <w:t>3              2020.6.22洪水过程及特征值</w:t>
      </w:r>
    </w:p>
    <w:tbl>
      <w:tblPr>
        <w:tblStyle w:val="88"/>
        <w:tblW w:w="5000"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108" w:type="dxa"/>
          <w:bottom w:w="0" w:type="dxa"/>
          <w:right w:w="108" w:type="dxa"/>
        </w:tblCellMar>
      </w:tblPr>
      <w:tblGrid>
        <w:gridCol w:w="846"/>
        <w:gridCol w:w="846"/>
        <w:gridCol w:w="1056"/>
        <w:gridCol w:w="1394"/>
        <w:gridCol w:w="1651"/>
        <w:gridCol w:w="1254"/>
        <w:gridCol w:w="973"/>
        <w:gridCol w:w="1267"/>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55"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站名</w:t>
            </w:r>
          </w:p>
        </w:tc>
        <w:tc>
          <w:tcPr>
            <w:tcW w:w="455"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流域</w:t>
            </w:r>
          </w:p>
        </w:tc>
        <w:tc>
          <w:tcPr>
            <w:tcW w:w="569"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洪峰时间</w:t>
            </w:r>
          </w:p>
        </w:tc>
        <w:tc>
          <w:tcPr>
            <w:tcW w:w="751"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洪峰水位</w:t>
            </w:r>
          </w:p>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（m）</w:t>
            </w:r>
          </w:p>
        </w:tc>
        <w:tc>
          <w:tcPr>
            <w:tcW w:w="889"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洪峰流量</w:t>
            </w:r>
          </w:p>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（m</w:t>
            </w:r>
            <w:r>
              <w:rPr>
                <w:rFonts w:hint="eastAsia" w:ascii="楷体_GB2312" w:hAnsi="Calibri" w:eastAsia="楷体_GB2312"/>
                <w:kern w:val="0"/>
                <w:sz w:val="21"/>
                <w:szCs w:val="21"/>
                <w:vertAlign w:val="superscript"/>
              </w:rPr>
              <w:t>3</w:t>
            </w:r>
            <w:r>
              <w:rPr>
                <w:rFonts w:hint="eastAsia" w:ascii="楷体_GB2312" w:hAnsi="Calibri" w:eastAsia="楷体_GB2312"/>
                <w:kern w:val="0"/>
                <w:sz w:val="21"/>
                <w:szCs w:val="21"/>
              </w:rPr>
              <w:t>/s）</w:t>
            </w:r>
          </w:p>
        </w:tc>
        <w:tc>
          <w:tcPr>
            <w:tcW w:w="675"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超警</w:t>
            </w:r>
          </w:p>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（m）</w:t>
            </w:r>
          </w:p>
        </w:tc>
        <w:tc>
          <w:tcPr>
            <w:tcW w:w="524"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超保</w:t>
            </w:r>
          </w:p>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（m）</w:t>
            </w:r>
          </w:p>
        </w:tc>
        <w:tc>
          <w:tcPr>
            <w:tcW w:w="682"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超保证时间</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55"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新炉</w:t>
            </w:r>
          </w:p>
        </w:tc>
        <w:tc>
          <w:tcPr>
            <w:tcW w:w="455"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藻渡河</w:t>
            </w:r>
          </w:p>
        </w:tc>
        <w:tc>
          <w:tcPr>
            <w:tcW w:w="569"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10:51</w:t>
            </w:r>
          </w:p>
        </w:tc>
        <w:tc>
          <w:tcPr>
            <w:tcW w:w="751"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298.23</w:t>
            </w:r>
          </w:p>
        </w:tc>
        <w:tc>
          <w:tcPr>
            <w:tcW w:w="889"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3310</w:t>
            </w:r>
          </w:p>
        </w:tc>
        <w:tc>
          <w:tcPr>
            <w:tcW w:w="675"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7.4</w:t>
            </w:r>
          </w:p>
        </w:tc>
        <w:tc>
          <w:tcPr>
            <w:tcW w:w="524"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6.23</w:t>
            </w:r>
          </w:p>
        </w:tc>
        <w:tc>
          <w:tcPr>
            <w:tcW w:w="682"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10h50min</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55"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赶水</w:t>
            </w:r>
          </w:p>
        </w:tc>
        <w:tc>
          <w:tcPr>
            <w:tcW w:w="455"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羊渡河</w:t>
            </w:r>
          </w:p>
        </w:tc>
        <w:tc>
          <w:tcPr>
            <w:tcW w:w="569"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9:30</w:t>
            </w:r>
          </w:p>
        </w:tc>
        <w:tc>
          <w:tcPr>
            <w:tcW w:w="751"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333.99</w:t>
            </w:r>
          </w:p>
        </w:tc>
        <w:tc>
          <w:tcPr>
            <w:tcW w:w="889"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222.4</w:t>
            </w:r>
          </w:p>
        </w:tc>
        <w:tc>
          <w:tcPr>
            <w:tcW w:w="675"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未超</w:t>
            </w:r>
          </w:p>
        </w:tc>
        <w:tc>
          <w:tcPr>
            <w:tcW w:w="524"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未超</w:t>
            </w:r>
          </w:p>
        </w:tc>
        <w:tc>
          <w:tcPr>
            <w:tcW w:w="682"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未超</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55"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东溪</w:t>
            </w:r>
          </w:p>
        </w:tc>
        <w:tc>
          <w:tcPr>
            <w:tcW w:w="455"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綦江</w:t>
            </w:r>
          </w:p>
        </w:tc>
        <w:tc>
          <w:tcPr>
            <w:tcW w:w="569"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11:30</w:t>
            </w:r>
          </w:p>
        </w:tc>
        <w:tc>
          <w:tcPr>
            <w:tcW w:w="751"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289.03</w:t>
            </w:r>
          </w:p>
        </w:tc>
        <w:tc>
          <w:tcPr>
            <w:tcW w:w="889"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4360</w:t>
            </w:r>
          </w:p>
        </w:tc>
        <w:tc>
          <w:tcPr>
            <w:tcW w:w="675"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5.44</w:t>
            </w:r>
          </w:p>
        </w:tc>
        <w:tc>
          <w:tcPr>
            <w:tcW w:w="524"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2.71</w:t>
            </w:r>
          </w:p>
        </w:tc>
        <w:tc>
          <w:tcPr>
            <w:tcW w:w="682"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6h37min</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55"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石角</w:t>
            </w:r>
          </w:p>
        </w:tc>
        <w:tc>
          <w:tcPr>
            <w:tcW w:w="455"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蒲河</w:t>
            </w:r>
          </w:p>
        </w:tc>
        <w:tc>
          <w:tcPr>
            <w:tcW w:w="569"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11:45</w:t>
            </w:r>
          </w:p>
        </w:tc>
        <w:tc>
          <w:tcPr>
            <w:tcW w:w="751"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244.17</w:t>
            </w:r>
          </w:p>
        </w:tc>
        <w:tc>
          <w:tcPr>
            <w:tcW w:w="889"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746</w:t>
            </w:r>
          </w:p>
        </w:tc>
        <w:tc>
          <w:tcPr>
            <w:tcW w:w="675"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3.59</w:t>
            </w:r>
          </w:p>
        </w:tc>
        <w:tc>
          <w:tcPr>
            <w:tcW w:w="524"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1.13</w:t>
            </w:r>
          </w:p>
        </w:tc>
        <w:tc>
          <w:tcPr>
            <w:tcW w:w="682"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7h05min</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55"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鱼栏咀</w:t>
            </w:r>
          </w:p>
        </w:tc>
        <w:tc>
          <w:tcPr>
            <w:tcW w:w="455"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通惠河</w:t>
            </w:r>
          </w:p>
        </w:tc>
        <w:tc>
          <w:tcPr>
            <w:tcW w:w="569"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12:20</w:t>
            </w:r>
          </w:p>
        </w:tc>
        <w:tc>
          <w:tcPr>
            <w:tcW w:w="751"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256.73</w:t>
            </w:r>
          </w:p>
        </w:tc>
        <w:tc>
          <w:tcPr>
            <w:tcW w:w="889"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120</w:t>
            </w:r>
          </w:p>
        </w:tc>
        <w:tc>
          <w:tcPr>
            <w:tcW w:w="675"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0.73</w:t>
            </w:r>
          </w:p>
        </w:tc>
        <w:tc>
          <w:tcPr>
            <w:tcW w:w="524"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未超</w:t>
            </w:r>
          </w:p>
        </w:tc>
        <w:tc>
          <w:tcPr>
            <w:tcW w:w="682"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未超</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55"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彩虹桥</w:t>
            </w:r>
          </w:p>
        </w:tc>
        <w:tc>
          <w:tcPr>
            <w:tcW w:w="455"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綦江</w:t>
            </w:r>
          </w:p>
        </w:tc>
        <w:tc>
          <w:tcPr>
            <w:tcW w:w="569"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16:10</w:t>
            </w:r>
          </w:p>
        </w:tc>
        <w:tc>
          <w:tcPr>
            <w:tcW w:w="751"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227.60</w:t>
            </w:r>
          </w:p>
        </w:tc>
        <w:tc>
          <w:tcPr>
            <w:tcW w:w="889"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5063</w:t>
            </w:r>
          </w:p>
        </w:tc>
        <w:tc>
          <w:tcPr>
            <w:tcW w:w="675"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7.1</w:t>
            </w:r>
          </w:p>
        </w:tc>
        <w:tc>
          <w:tcPr>
            <w:tcW w:w="524"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5.1</w:t>
            </w:r>
          </w:p>
        </w:tc>
        <w:tc>
          <w:tcPr>
            <w:tcW w:w="682"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11h45min</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55"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永新</w:t>
            </w:r>
          </w:p>
        </w:tc>
        <w:tc>
          <w:tcPr>
            <w:tcW w:w="455"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清溪河</w:t>
            </w:r>
          </w:p>
        </w:tc>
        <w:tc>
          <w:tcPr>
            <w:tcW w:w="569"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16:10</w:t>
            </w:r>
          </w:p>
        </w:tc>
        <w:tc>
          <w:tcPr>
            <w:tcW w:w="751"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219.21</w:t>
            </w:r>
          </w:p>
        </w:tc>
        <w:tc>
          <w:tcPr>
            <w:tcW w:w="889"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173</w:t>
            </w:r>
          </w:p>
        </w:tc>
        <w:tc>
          <w:tcPr>
            <w:tcW w:w="675"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2.21</w:t>
            </w:r>
          </w:p>
        </w:tc>
        <w:tc>
          <w:tcPr>
            <w:tcW w:w="524"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1.21</w:t>
            </w:r>
          </w:p>
        </w:tc>
        <w:tc>
          <w:tcPr>
            <w:tcW w:w="682"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10h</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55"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五岔</w:t>
            </w:r>
          </w:p>
        </w:tc>
        <w:tc>
          <w:tcPr>
            <w:tcW w:w="455"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綦江</w:t>
            </w:r>
          </w:p>
        </w:tc>
        <w:tc>
          <w:tcPr>
            <w:tcW w:w="569"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20:00</w:t>
            </w:r>
          </w:p>
        </w:tc>
        <w:tc>
          <w:tcPr>
            <w:tcW w:w="751"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205.85</w:t>
            </w:r>
          </w:p>
        </w:tc>
        <w:tc>
          <w:tcPr>
            <w:tcW w:w="889"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5360</w:t>
            </w:r>
          </w:p>
        </w:tc>
        <w:tc>
          <w:tcPr>
            <w:tcW w:w="675"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7.34</w:t>
            </w:r>
          </w:p>
        </w:tc>
        <w:tc>
          <w:tcPr>
            <w:tcW w:w="524" w:type="pc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5.34</w:t>
            </w:r>
          </w:p>
        </w:tc>
        <w:tc>
          <w:tcPr>
            <w:tcW w:w="682"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14h10min</w:t>
            </w:r>
          </w:p>
        </w:tc>
      </w:tr>
    </w:tbl>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綦江支流藻渡河出口控制站新炉站6月22日最高水位298.23m，超保证水位6.23m；相应洪峰流量为3310m</w:t>
      </w:r>
      <w:r>
        <w:rPr>
          <w:rFonts w:hint="default" w:ascii="Times New Roman" w:hAnsi="Times New Roman" w:eastAsia="方正仿宋_GBK" w:cs="Times New Roman"/>
          <w:sz w:val="32"/>
          <w:szCs w:val="32"/>
          <w:vertAlign w:val="superscript"/>
        </w:rPr>
        <w:t>3</w:t>
      </w:r>
      <w:r>
        <w:rPr>
          <w:rFonts w:hint="eastAsia" w:ascii="Times New Roman" w:hAnsi="Times New Roman" w:eastAsia="方正仿宋_GBK" w:cs="Times New Roman"/>
          <w:sz w:val="32"/>
          <w:szCs w:val="32"/>
          <w:lang w:val="en-US" w:eastAsia="zh-CN"/>
        </w:rPr>
        <w:t>/s，大于2016年和1998年推算的洪水洪峰流量。</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綦江支流蒲河石角站最高水位244.17m，超保证水位1.13m，相应洪峰流量为746m</w:t>
      </w:r>
      <w:r>
        <w:rPr>
          <w:rFonts w:hint="default" w:ascii="Times New Roman" w:hAnsi="Times New Roman" w:eastAsia="方正仿宋_GBK" w:cs="Times New Roman"/>
          <w:sz w:val="32"/>
          <w:szCs w:val="32"/>
          <w:vertAlign w:val="superscript"/>
        </w:rPr>
        <w:t>3</w:t>
      </w:r>
      <w:r>
        <w:rPr>
          <w:rFonts w:hint="eastAsia" w:ascii="Times New Roman" w:hAnsi="Times New Roman" w:eastAsia="方正仿宋_GBK" w:cs="Times New Roman"/>
          <w:sz w:val="32"/>
          <w:szCs w:val="32"/>
          <w:lang w:val="en-US" w:eastAsia="zh-CN"/>
        </w:rPr>
        <w:t>/s，高于1998年洪峰流量（611m</w:t>
      </w:r>
      <w:r>
        <w:rPr>
          <w:rFonts w:hint="default" w:ascii="Times New Roman" w:hAnsi="Times New Roman" w:eastAsia="方正仿宋_GBK" w:cs="Times New Roman"/>
          <w:sz w:val="32"/>
          <w:szCs w:val="32"/>
          <w:vertAlign w:val="superscript"/>
        </w:rPr>
        <w:t>3</w:t>
      </w:r>
      <w:r>
        <w:rPr>
          <w:rFonts w:hint="eastAsia" w:ascii="Times New Roman" w:hAnsi="Times New Roman" w:eastAsia="方正仿宋_GBK" w:cs="Times New Roman"/>
          <w:sz w:val="32"/>
          <w:szCs w:val="32"/>
          <w:lang w:val="en-US" w:eastAsia="zh-CN"/>
        </w:rPr>
        <w:t>/s）。</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綦江支流通惠河鱼栏咀站最高水位256.73m，超警戒水位0.73m，相应洪峰流量为120m</w:t>
      </w:r>
      <w:r>
        <w:rPr>
          <w:rFonts w:hint="default" w:ascii="Times New Roman" w:hAnsi="Times New Roman" w:eastAsia="方正仿宋_GBK" w:cs="Times New Roman"/>
          <w:sz w:val="32"/>
          <w:szCs w:val="32"/>
          <w:vertAlign w:val="superscript"/>
        </w:rPr>
        <w:t>3</w:t>
      </w:r>
      <w:r>
        <w:rPr>
          <w:rFonts w:hint="eastAsia" w:ascii="Times New Roman" w:hAnsi="Times New Roman" w:eastAsia="方正仿宋_GBK" w:cs="Times New Roman"/>
          <w:sz w:val="32"/>
          <w:szCs w:val="32"/>
          <w:lang w:val="en-US" w:eastAsia="zh-CN"/>
        </w:rPr>
        <w:t>/s。</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綦江支流清溪河永新站最高水位219.21m，超保证水位1.21m，相应洪峰流量为173m</w:t>
      </w:r>
      <w:r>
        <w:rPr>
          <w:rFonts w:hint="default" w:ascii="Times New Roman" w:hAnsi="Times New Roman" w:eastAsia="方正仿宋_GBK" w:cs="Times New Roman"/>
          <w:sz w:val="32"/>
          <w:szCs w:val="32"/>
          <w:vertAlign w:val="superscript"/>
        </w:rPr>
        <w:t>3</w:t>
      </w:r>
      <w:r>
        <w:rPr>
          <w:rFonts w:hint="eastAsia" w:ascii="Times New Roman" w:hAnsi="Times New Roman" w:eastAsia="方正仿宋_GBK" w:cs="Times New Roman"/>
          <w:sz w:val="32"/>
          <w:szCs w:val="32"/>
          <w:lang w:val="en-US" w:eastAsia="zh-CN"/>
        </w:rPr>
        <w:t>/s。</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pacing w:val="-11"/>
          <w:sz w:val="32"/>
          <w:szCs w:val="32"/>
          <w:lang w:val="en-US" w:eastAsia="zh-CN"/>
        </w:rPr>
      </w:pPr>
      <w:r>
        <w:rPr>
          <w:rFonts w:hint="eastAsia" w:ascii="Times New Roman" w:hAnsi="Times New Roman" w:eastAsia="方正仿宋_GBK" w:cs="Times New Roman"/>
          <w:sz w:val="32"/>
          <w:szCs w:val="32"/>
          <w:lang w:val="en-US" w:eastAsia="zh-CN"/>
        </w:rPr>
        <w:t>綦江干流东溪站最高水位289.03m，超保证水位2.71m，超保证时间达6h37min，相应洪峰流量为4360m</w:t>
      </w:r>
      <w:r>
        <w:rPr>
          <w:rFonts w:hint="default" w:ascii="Times New Roman" w:hAnsi="Times New Roman" w:eastAsia="方正仿宋_GBK" w:cs="Times New Roman"/>
          <w:sz w:val="32"/>
          <w:szCs w:val="32"/>
          <w:vertAlign w:val="superscript"/>
        </w:rPr>
        <w:t>3</w:t>
      </w:r>
      <w:r>
        <w:rPr>
          <w:rFonts w:hint="eastAsia" w:ascii="Times New Roman" w:hAnsi="Times New Roman" w:eastAsia="方正仿宋_GBK" w:cs="Times New Roman"/>
          <w:sz w:val="32"/>
          <w:szCs w:val="32"/>
          <w:lang w:val="en-US" w:eastAsia="zh-CN"/>
        </w:rPr>
        <w:t>/s，略低于1998年洪峰流量（4620m</w:t>
      </w:r>
      <w:r>
        <w:rPr>
          <w:rFonts w:hint="default" w:ascii="Times New Roman" w:hAnsi="Times New Roman" w:eastAsia="方正仿宋_GBK" w:cs="Times New Roman"/>
          <w:sz w:val="32"/>
          <w:szCs w:val="32"/>
          <w:vertAlign w:val="superscript"/>
        </w:rPr>
        <w:t>3</w:t>
      </w:r>
      <w:r>
        <w:rPr>
          <w:rFonts w:hint="eastAsia" w:ascii="Times New Roman" w:hAnsi="Times New Roman" w:eastAsia="方正仿宋_GBK" w:cs="Times New Roman"/>
          <w:sz w:val="32"/>
          <w:szCs w:val="32"/>
          <w:lang w:val="en-US" w:eastAsia="zh-CN"/>
        </w:rPr>
        <w:t>/s），最大24h洪量（1.538亿m</w:t>
      </w:r>
      <w:r>
        <w:rPr>
          <w:rFonts w:hint="default" w:ascii="Times New Roman" w:hAnsi="Times New Roman" w:eastAsia="方正仿宋_GBK" w:cs="Times New Roman"/>
          <w:sz w:val="32"/>
          <w:szCs w:val="32"/>
          <w:vertAlign w:val="superscript"/>
        </w:rPr>
        <w:t>3</w:t>
      </w:r>
      <w:r>
        <w:rPr>
          <w:rFonts w:hint="eastAsia" w:ascii="Times New Roman" w:hAnsi="Times New Roman" w:eastAsia="方正仿宋_GBK" w:cs="Times New Roman"/>
          <w:sz w:val="32"/>
          <w:szCs w:val="32"/>
          <w:lang w:val="en-US" w:eastAsia="zh-CN"/>
        </w:rPr>
        <w:t>）略小于1998</w:t>
      </w:r>
      <w:r>
        <w:rPr>
          <w:rFonts w:hint="eastAsia" w:ascii="Times New Roman" w:hAnsi="Times New Roman" w:eastAsia="方正仿宋_GBK" w:cs="Times New Roman"/>
          <w:spacing w:val="-11"/>
          <w:sz w:val="32"/>
          <w:szCs w:val="32"/>
          <w:lang w:val="en-US" w:eastAsia="zh-CN"/>
        </w:rPr>
        <w:t>年的1.679亿m</w:t>
      </w:r>
      <w:r>
        <w:rPr>
          <w:rFonts w:hint="default" w:ascii="Times New Roman" w:hAnsi="Times New Roman" w:eastAsia="方正仿宋_GBK" w:cs="Times New Roman"/>
          <w:spacing w:val="-11"/>
          <w:sz w:val="32"/>
          <w:szCs w:val="32"/>
          <w:vertAlign w:val="superscript"/>
        </w:rPr>
        <w:t>3</w:t>
      </w:r>
      <w:r>
        <w:rPr>
          <w:rFonts w:hint="eastAsia" w:ascii="Times New Roman" w:hAnsi="Times New Roman" w:eastAsia="方正仿宋_GBK" w:cs="Times New Roman"/>
          <w:spacing w:val="-11"/>
          <w:sz w:val="32"/>
          <w:szCs w:val="32"/>
          <w:lang w:val="en-US" w:eastAsia="zh-CN"/>
        </w:rPr>
        <w:t>。72h洪量（2.021亿m</w:t>
      </w:r>
      <w:r>
        <w:rPr>
          <w:rFonts w:hint="default" w:ascii="Times New Roman" w:hAnsi="Times New Roman" w:eastAsia="方正仿宋_GBK" w:cs="Times New Roman"/>
          <w:spacing w:val="-11"/>
          <w:sz w:val="32"/>
          <w:szCs w:val="32"/>
          <w:vertAlign w:val="superscript"/>
        </w:rPr>
        <w:t>3</w:t>
      </w:r>
      <w:r>
        <w:rPr>
          <w:rFonts w:hint="eastAsia" w:ascii="Times New Roman" w:hAnsi="Times New Roman" w:eastAsia="方正仿宋_GBK" w:cs="Times New Roman"/>
          <w:spacing w:val="-11"/>
          <w:sz w:val="32"/>
          <w:szCs w:val="32"/>
          <w:lang w:val="en-US" w:eastAsia="zh-CN"/>
        </w:rPr>
        <w:t>）小于2016年（2.427亿m</w:t>
      </w:r>
      <w:r>
        <w:rPr>
          <w:rFonts w:hint="default" w:ascii="Times New Roman" w:hAnsi="Times New Roman" w:eastAsia="方正仿宋_GBK" w:cs="Times New Roman"/>
          <w:spacing w:val="-11"/>
          <w:sz w:val="32"/>
          <w:szCs w:val="32"/>
          <w:vertAlign w:val="superscript"/>
        </w:rPr>
        <w:t>3</w:t>
      </w:r>
      <w:r>
        <w:rPr>
          <w:rFonts w:hint="eastAsia" w:ascii="Times New Roman" w:hAnsi="Times New Roman" w:eastAsia="方正仿宋_GBK" w:cs="Times New Roman"/>
          <w:spacing w:val="-11"/>
          <w:sz w:val="32"/>
          <w:szCs w:val="32"/>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綦江干流綦江城区段古南水文站最高水位228.74m，彩虹桥最高水位227.6m，超保证水位5.1m，超保证时间达11h45min。綦江城区城北大桥推算洪峰流量为5063m</w:t>
      </w:r>
      <w:r>
        <w:rPr>
          <w:rFonts w:hint="default" w:ascii="Times New Roman" w:hAnsi="Times New Roman" w:eastAsia="方正仿宋_GBK" w:cs="Times New Roman"/>
          <w:sz w:val="32"/>
          <w:szCs w:val="32"/>
          <w:vertAlign w:val="superscript"/>
        </w:rPr>
        <w:t>3</w:t>
      </w:r>
      <w:r>
        <w:rPr>
          <w:rFonts w:hint="eastAsia" w:ascii="Times New Roman" w:hAnsi="Times New Roman" w:eastAsia="方正仿宋_GBK" w:cs="Times New Roman"/>
          <w:sz w:val="32"/>
          <w:szCs w:val="32"/>
          <w:lang w:val="en-US" w:eastAsia="zh-CN"/>
        </w:rPr>
        <w:t>/s。</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綦江干流五岔站最高水位205.85m，超保证水位5.34m，超保证时间达14h10min；相应洪峰流量为5360m</w:t>
      </w:r>
      <w:r>
        <w:rPr>
          <w:rFonts w:hint="default" w:ascii="Times New Roman" w:hAnsi="Times New Roman" w:eastAsia="方正仿宋_GBK" w:cs="Times New Roman"/>
          <w:sz w:val="32"/>
          <w:szCs w:val="32"/>
          <w:vertAlign w:val="superscript"/>
        </w:rPr>
        <w:t>3</w:t>
      </w:r>
      <w:r>
        <w:rPr>
          <w:rFonts w:hint="eastAsia" w:ascii="Times New Roman" w:hAnsi="Times New Roman" w:eastAsia="方正仿宋_GBK" w:cs="Times New Roman"/>
          <w:sz w:val="32"/>
          <w:szCs w:val="32"/>
          <w:lang w:val="en-US" w:eastAsia="zh-CN"/>
        </w:rPr>
        <w:t>/s，高于1998年洪峰流量（5220m</w:t>
      </w:r>
      <w:r>
        <w:rPr>
          <w:rFonts w:hint="default" w:ascii="Times New Roman" w:hAnsi="Times New Roman" w:eastAsia="方正仿宋_GBK" w:cs="Times New Roman"/>
          <w:sz w:val="32"/>
          <w:szCs w:val="32"/>
          <w:vertAlign w:val="superscript"/>
        </w:rPr>
        <w:t>3</w:t>
      </w:r>
      <w:r>
        <w:rPr>
          <w:rFonts w:hint="eastAsia" w:ascii="Times New Roman" w:hAnsi="Times New Roman" w:eastAsia="方正仿宋_GBK" w:cs="Times New Roman"/>
          <w:sz w:val="32"/>
          <w:szCs w:val="32"/>
          <w:lang w:val="en-US" w:eastAsia="zh-CN"/>
        </w:rPr>
        <w:t>/s）。五岔站24h洪量（2.973亿m</w:t>
      </w:r>
      <w:r>
        <w:rPr>
          <w:rFonts w:hint="default" w:ascii="Times New Roman" w:hAnsi="Times New Roman" w:eastAsia="方正仿宋_GBK" w:cs="Times New Roman"/>
          <w:sz w:val="32"/>
          <w:szCs w:val="32"/>
          <w:vertAlign w:val="superscript"/>
        </w:rPr>
        <w:t>3</w:t>
      </w:r>
      <w:r>
        <w:rPr>
          <w:rFonts w:hint="eastAsia" w:ascii="Times New Roman" w:hAnsi="Times New Roman" w:eastAsia="方正仿宋_GBK" w:cs="Times New Roman"/>
          <w:sz w:val="32"/>
          <w:szCs w:val="32"/>
          <w:lang w:val="en-US" w:eastAsia="zh-CN"/>
        </w:rPr>
        <w:t>）大于1998年和2016年。72h洪量（4.187亿m</w:t>
      </w:r>
      <w:r>
        <w:rPr>
          <w:rFonts w:hint="default" w:ascii="Times New Roman" w:hAnsi="Times New Roman" w:eastAsia="方正仿宋_GBK" w:cs="Times New Roman"/>
          <w:sz w:val="32"/>
          <w:szCs w:val="32"/>
          <w:vertAlign w:val="superscript"/>
        </w:rPr>
        <w:t>3</w:t>
      </w:r>
      <w:r>
        <w:rPr>
          <w:rFonts w:hint="eastAsia" w:ascii="Times New Roman" w:hAnsi="Times New Roman" w:eastAsia="方正仿宋_GBK" w:cs="Times New Roman"/>
          <w:sz w:val="32"/>
          <w:szCs w:val="32"/>
          <w:lang w:val="en-US" w:eastAsia="zh-CN"/>
        </w:rPr>
        <w:t>）小于2016年（4.7亿m</w:t>
      </w:r>
      <w:r>
        <w:rPr>
          <w:rFonts w:hint="default" w:ascii="Times New Roman" w:hAnsi="Times New Roman" w:eastAsia="方正仿宋_GBK" w:cs="Times New Roman"/>
          <w:sz w:val="32"/>
          <w:szCs w:val="32"/>
          <w:vertAlign w:val="superscript"/>
        </w:rPr>
        <w:t>3</w:t>
      </w:r>
      <w:r>
        <w:rPr>
          <w:rFonts w:hint="eastAsia" w:ascii="Times New Roman" w:hAnsi="Times New Roman" w:eastAsia="方正仿宋_GBK" w:cs="Times New Roman"/>
          <w:sz w:val="32"/>
          <w:szCs w:val="32"/>
          <w:lang w:val="en-US" w:eastAsia="zh-CN"/>
        </w:rPr>
        <w:t>），大于1998年。</w:t>
      </w:r>
    </w:p>
    <w:p>
      <w:pPr>
        <w:keepNext w:val="0"/>
        <w:keepLines w:val="0"/>
        <w:pageBreakBefore w:val="0"/>
        <w:widowControl w:val="0"/>
        <w:kinsoku/>
        <w:wordWrap/>
        <w:overflowPunct/>
        <w:topLinePunct w:val="0"/>
        <w:autoSpaceDE/>
        <w:autoSpaceDN/>
        <w:bidi w:val="0"/>
        <w:adjustRightInd/>
        <w:snapToGrid/>
        <w:ind w:firstLine="640" w:firstLineChars="200"/>
        <w:textAlignment w:val="auto"/>
        <w:outlineLvl w:val="1"/>
        <w:rPr>
          <w:rFonts w:hint="eastAsia" w:ascii="方正楷体_GBK" w:hAnsi="方正楷体_GBK" w:eastAsia="方正楷体_GBK" w:cs="方正楷体_GBK"/>
          <w:bCs/>
          <w:sz w:val="32"/>
        </w:rPr>
      </w:pPr>
      <w:bookmarkStart w:id="102" w:name="_Toc22989"/>
      <w:r>
        <w:rPr>
          <w:rFonts w:hint="eastAsia" w:ascii="方正楷体_GBK" w:hAnsi="方正楷体_GBK" w:eastAsia="方正楷体_GBK" w:cs="方正楷体_GBK"/>
          <w:bCs/>
          <w:sz w:val="32"/>
          <w:lang w:eastAsia="zh-CN"/>
        </w:rPr>
        <w:t>（</w:t>
      </w:r>
      <w:r>
        <w:rPr>
          <w:rFonts w:hint="eastAsia" w:ascii="方正楷体_GBK" w:hAnsi="方正楷体_GBK" w:eastAsia="方正楷体_GBK" w:cs="方正楷体_GBK"/>
          <w:bCs/>
          <w:sz w:val="32"/>
          <w:lang w:val="en-US" w:eastAsia="zh-CN"/>
        </w:rPr>
        <w:t>三</w:t>
      </w:r>
      <w:r>
        <w:rPr>
          <w:rFonts w:hint="eastAsia" w:ascii="方正楷体_GBK" w:hAnsi="方正楷体_GBK" w:eastAsia="方正楷体_GBK" w:cs="方正楷体_GBK"/>
          <w:bCs/>
          <w:sz w:val="32"/>
          <w:lang w:eastAsia="zh-CN"/>
        </w:rPr>
        <w:t>）</w:t>
      </w:r>
      <w:r>
        <w:rPr>
          <w:rFonts w:hint="eastAsia" w:ascii="方正楷体_GBK" w:hAnsi="方正楷体_GBK" w:eastAsia="方正楷体_GBK" w:cs="方正楷体_GBK"/>
          <w:bCs/>
          <w:sz w:val="32"/>
        </w:rPr>
        <w:t>洪水的组成及遭遇</w:t>
      </w:r>
      <w:bookmarkEnd w:id="102"/>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1</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綦江城区洪水地区组成</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1.1</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en-US" w:eastAsia="zh-CN"/>
        </w:rPr>
        <w:t>洪水组成分析</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Ansi="Calibri"/>
          <w:kern w:val="0"/>
        </w:rPr>
      </w:pPr>
      <w:r>
        <w:rPr>
          <w:rFonts w:hint="eastAsia" w:ascii="Times New Roman" w:hAnsi="Times New Roman" w:eastAsia="方正仿宋_GBK" w:cs="Times New Roman"/>
          <w:sz w:val="32"/>
          <w:szCs w:val="32"/>
          <w:lang w:val="en-US" w:eastAsia="zh-CN"/>
        </w:rPr>
        <w:t>綦江城区以上洪水由松坎河、藻渡河、藻渡河与松坎河汇合口</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东溪水文站区间、东溪水文站</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綦江城区区间四部分组成。分析五岔水文站排名前10位的实测大洪水表明：由于藻渡河上游分布有金佛山暴雨中心，故綦江城区洪水地区组成中藻渡河洪水占比超过其面积比，而松坎河洪水占比重则略小于其面积比。以綦江城区1天洪量为例，松坎河洪水占比为27.59%，小于其面积占比（29.77%）；而藻渡河洪水占比为28.08%，大于其面积占比（24.96%）。綦江城区以上洪水组成如表4.3</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1。</w:t>
      </w:r>
    </w:p>
    <w:p>
      <w:pPr>
        <w:spacing w:after="60"/>
        <w:ind w:firstLine="240" w:firstLineChars="100"/>
        <w:outlineLvl w:val="5"/>
        <w:rPr>
          <w:rFonts w:hint="default" w:ascii="Times New Roman" w:hAnsi="Times New Roman" w:eastAsia="方正黑体_GBK" w:cs="Times New Roman"/>
          <w:sz w:val="24"/>
          <w:szCs w:val="20"/>
        </w:rPr>
      </w:pPr>
      <w:r>
        <w:rPr>
          <w:rFonts w:hint="default" w:ascii="Times New Roman" w:hAnsi="Times New Roman" w:eastAsia="方正黑体_GBK" w:cs="Times New Roman"/>
          <w:sz w:val="24"/>
          <w:szCs w:val="20"/>
        </w:rPr>
        <w:t>表4.3</w:t>
      </w:r>
      <w:r>
        <w:rPr>
          <w:rFonts w:hint="default" w:ascii="Times New Roman" w:hAnsi="Times New Roman" w:eastAsia="方正黑体_GBK" w:cs="Times New Roman"/>
          <w:sz w:val="24"/>
          <w:szCs w:val="20"/>
          <w:lang w:eastAsia="zh-CN"/>
        </w:rPr>
        <w:t>—</w:t>
      </w:r>
      <w:r>
        <w:rPr>
          <w:rFonts w:hint="default" w:ascii="Times New Roman" w:hAnsi="Times New Roman" w:eastAsia="方正黑体_GBK" w:cs="Times New Roman"/>
          <w:sz w:val="24"/>
          <w:szCs w:val="20"/>
        </w:rPr>
        <w:t>1　　　　　　　　　　綦江城区以上洪水组成</w:t>
      </w:r>
    </w:p>
    <w:tbl>
      <w:tblPr>
        <w:tblStyle w:val="88"/>
        <w:tblW w:w="5000"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0" w:type="dxa"/>
          <w:bottom w:w="0" w:type="dxa"/>
          <w:right w:w="0" w:type="dxa"/>
        </w:tblCellMar>
      </w:tblPr>
      <w:tblGrid>
        <w:gridCol w:w="2275"/>
        <w:gridCol w:w="1363"/>
        <w:gridCol w:w="1190"/>
        <w:gridCol w:w="1536"/>
        <w:gridCol w:w="1363"/>
        <w:gridCol w:w="1360"/>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1252" w:type="pct"/>
            <w:tcBorders>
              <w:top w:val="single" w:color="auto" w:sz="6" w:space="0"/>
              <w:bottom w:val="single" w:color="auto" w:sz="2" w:space="0"/>
              <w:tl2br w:val="single" w:color="auto" w:sz="4" w:space="0"/>
            </w:tcBorders>
            <w:noWrap w:val="0"/>
            <w:vAlign w:val="center"/>
          </w:tcPr>
          <w:p>
            <w:pPr>
              <w:adjustRightInd w:val="0"/>
              <w:snapToGrid w:val="0"/>
              <w:spacing w:line="240" w:lineRule="exact"/>
              <w:ind w:firstLine="0" w:firstLineChars="0"/>
              <w:jc w:val="right"/>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站  名</w:t>
            </w:r>
          </w:p>
          <w:p>
            <w:pPr>
              <w:adjustRightInd w:val="0"/>
              <w:snapToGrid w:val="0"/>
              <w:spacing w:line="240" w:lineRule="exact"/>
              <w:ind w:firstLine="0" w:firstLineChars="0"/>
              <w:jc w:val="left"/>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项  目</w:t>
            </w:r>
          </w:p>
        </w:tc>
        <w:tc>
          <w:tcPr>
            <w:tcW w:w="750"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松坎河</w:t>
            </w:r>
          </w:p>
        </w:tc>
        <w:tc>
          <w:tcPr>
            <w:tcW w:w="655"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藻渡坝址</w:t>
            </w:r>
          </w:p>
        </w:tc>
        <w:tc>
          <w:tcPr>
            <w:tcW w:w="845"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东溪</w:t>
            </w:r>
            <w:r>
              <w:rPr>
                <w:rFonts w:hint="eastAsia" w:ascii="楷体_GB2312" w:hAnsi="Calibri" w:eastAsia="楷体_GB2312"/>
                <w:snapToGrid w:val="0"/>
                <w:kern w:val="0"/>
                <w:sz w:val="21"/>
                <w:szCs w:val="21"/>
                <w:lang w:eastAsia="zh-CN"/>
              </w:rPr>
              <w:t>—</w:t>
            </w:r>
            <w:r>
              <w:rPr>
                <w:rFonts w:hint="eastAsia" w:ascii="楷体_GB2312" w:hAnsi="Calibri" w:eastAsia="楷体_GB2312"/>
                <w:snapToGrid w:val="0"/>
                <w:kern w:val="0"/>
                <w:sz w:val="21"/>
                <w:szCs w:val="21"/>
              </w:rPr>
              <w:t>藻渡坝址</w:t>
            </w:r>
          </w:p>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lang w:eastAsia="zh-CN"/>
              </w:rPr>
              <w:t>—</w:t>
            </w:r>
            <w:r>
              <w:rPr>
                <w:rFonts w:hint="eastAsia" w:ascii="楷体_GB2312" w:hAnsi="Calibri" w:eastAsia="楷体_GB2312"/>
                <w:snapToGrid w:val="0"/>
                <w:kern w:val="0"/>
                <w:sz w:val="21"/>
                <w:szCs w:val="21"/>
              </w:rPr>
              <w:t>松坎河区间</w:t>
            </w:r>
          </w:p>
        </w:tc>
        <w:tc>
          <w:tcPr>
            <w:tcW w:w="750"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东溪站</w:t>
            </w:r>
            <w:r>
              <w:rPr>
                <w:rFonts w:hint="eastAsia" w:ascii="楷体_GB2312" w:hAnsi="Calibri" w:eastAsia="楷体_GB2312"/>
                <w:snapToGrid w:val="0"/>
                <w:kern w:val="0"/>
                <w:sz w:val="21"/>
                <w:szCs w:val="21"/>
                <w:lang w:eastAsia="zh-CN"/>
              </w:rPr>
              <w:t>—</w:t>
            </w:r>
            <w:r>
              <w:rPr>
                <w:rFonts w:hint="eastAsia" w:ascii="楷体_GB2312" w:hAnsi="Calibri" w:eastAsia="楷体_GB2312"/>
                <w:snapToGrid w:val="0"/>
                <w:kern w:val="0"/>
                <w:sz w:val="21"/>
                <w:szCs w:val="21"/>
              </w:rPr>
              <w:t>綦江城区区间</w:t>
            </w:r>
          </w:p>
        </w:tc>
        <w:tc>
          <w:tcPr>
            <w:tcW w:w="748"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綦江城区</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1252" w:type="pct"/>
            <w:tcBorders>
              <w:top w:val="single" w:color="auto" w:sz="2" w:space="0"/>
            </w:tcBorders>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面积（km</w:t>
            </w:r>
            <w:r>
              <w:rPr>
                <w:rFonts w:hint="eastAsia" w:ascii="楷体_GB2312" w:hAnsi="Calibri" w:eastAsia="楷体_GB2312"/>
                <w:snapToGrid w:val="0"/>
                <w:kern w:val="0"/>
                <w:sz w:val="21"/>
                <w:szCs w:val="21"/>
                <w:vertAlign w:val="superscript"/>
              </w:rPr>
              <w:t>2</w:t>
            </w:r>
            <w:r>
              <w:rPr>
                <w:rFonts w:hint="eastAsia" w:ascii="楷体_GB2312" w:hAnsi="Calibri" w:eastAsia="楷体_GB2312"/>
                <w:snapToGrid w:val="0"/>
                <w:kern w:val="0"/>
                <w:sz w:val="21"/>
                <w:szCs w:val="21"/>
              </w:rPr>
              <w:t>）</w:t>
            </w:r>
          </w:p>
        </w:tc>
        <w:tc>
          <w:tcPr>
            <w:tcW w:w="750"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1406</w:t>
            </w:r>
          </w:p>
        </w:tc>
        <w:tc>
          <w:tcPr>
            <w:tcW w:w="655"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1179</w:t>
            </w:r>
          </w:p>
        </w:tc>
        <w:tc>
          <w:tcPr>
            <w:tcW w:w="845"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512</w:t>
            </w:r>
          </w:p>
        </w:tc>
        <w:tc>
          <w:tcPr>
            <w:tcW w:w="750"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1626</w:t>
            </w:r>
          </w:p>
        </w:tc>
        <w:tc>
          <w:tcPr>
            <w:tcW w:w="748"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4723</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1252"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占綦江城区百分比（%）</w:t>
            </w:r>
          </w:p>
        </w:tc>
        <w:tc>
          <w:tcPr>
            <w:tcW w:w="750"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29.77</w:t>
            </w:r>
          </w:p>
        </w:tc>
        <w:tc>
          <w:tcPr>
            <w:tcW w:w="655"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24.96</w:t>
            </w:r>
          </w:p>
        </w:tc>
        <w:tc>
          <w:tcPr>
            <w:tcW w:w="845"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10.84</w:t>
            </w:r>
          </w:p>
        </w:tc>
        <w:tc>
          <w:tcPr>
            <w:tcW w:w="750"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34.43</w:t>
            </w:r>
          </w:p>
        </w:tc>
        <w:tc>
          <w:tcPr>
            <w:tcW w:w="748"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100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1252"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1天洪量（亿m</w:t>
            </w:r>
            <w:r>
              <w:rPr>
                <w:rFonts w:hint="eastAsia" w:ascii="楷体_GB2312" w:hAnsi="Calibri" w:eastAsia="楷体_GB2312"/>
                <w:snapToGrid w:val="0"/>
                <w:kern w:val="0"/>
                <w:sz w:val="21"/>
                <w:szCs w:val="21"/>
                <w:vertAlign w:val="superscript"/>
              </w:rPr>
              <w:t>3</w:t>
            </w:r>
            <w:r>
              <w:rPr>
                <w:rFonts w:hint="eastAsia" w:ascii="楷体_GB2312" w:hAnsi="Calibri" w:eastAsia="楷体_GB2312"/>
                <w:snapToGrid w:val="0"/>
                <w:kern w:val="0"/>
                <w:sz w:val="21"/>
                <w:szCs w:val="21"/>
              </w:rPr>
              <w:t>）</w:t>
            </w:r>
          </w:p>
        </w:tc>
        <w:tc>
          <w:tcPr>
            <w:tcW w:w="750"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0.56</w:t>
            </w:r>
          </w:p>
        </w:tc>
        <w:tc>
          <w:tcPr>
            <w:tcW w:w="655"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0.57</w:t>
            </w:r>
          </w:p>
        </w:tc>
        <w:tc>
          <w:tcPr>
            <w:tcW w:w="845"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0.17</w:t>
            </w:r>
          </w:p>
        </w:tc>
        <w:tc>
          <w:tcPr>
            <w:tcW w:w="750"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0.73</w:t>
            </w:r>
          </w:p>
        </w:tc>
        <w:tc>
          <w:tcPr>
            <w:tcW w:w="748"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2.03</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1252"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占綦江城区百分比（%）</w:t>
            </w:r>
          </w:p>
        </w:tc>
        <w:tc>
          <w:tcPr>
            <w:tcW w:w="750"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27.59</w:t>
            </w:r>
          </w:p>
        </w:tc>
        <w:tc>
          <w:tcPr>
            <w:tcW w:w="655"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28.08</w:t>
            </w:r>
          </w:p>
        </w:tc>
        <w:tc>
          <w:tcPr>
            <w:tcW w:w="845"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8.37</w:t>
            </w:r>
          </w:p>
        </w:tc>
        <w:tc>
          <w:tcPr>
            <w:tcW w:w="750"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35.96</w:t>
            </w:r>
          </w:p>
        </w:tc>
        <w:tc>
          <w:tcPr>
            <w:tcW w:w="748"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100</w:t>
            </w:r>
          </w:p>
        </w:tc>
      </w:tr>
    </w:tbl>
    <w:p>
      <w:pPr>
        <w:pStyle w:val="2953"/>
        <w:ind w:firstLine="560"/>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根据1970年（东溪水文站建站）以来的松坎、东溪、五岔水文站资料，从实测大洪水系列中，按“不利组合”原则，选取1973、1976、1977、1979、1980、1983、1998、2005、2016年、2020年共10个洪水典型，推算洪水典型綦江城区断面、藻渡河、松坎大区间洪峰流量，见表4.3</w:t>
      </w:r>
      <w:r>
        <w:rPr>
          <w:rFonts w:hint="eastAsia" w:ascii="Times New Roman" w:eastAsia="方正仿宋_GBK" w:cs="Times New Roman"/>
          <w:kern w:val="2"/>
          <w:sz w:val="32"/>
          <w:szCs w:val="32"/>
          <w:lang w:val="en-US" w:eastAsia="zh-CN" w:bidi="ar-SA"/>
        </w:rPr>
        <w:t>—</w:t>
      </w:r>
      <w:r>
        <w:rPr>
          <w:rFonts w:hint="eastAsia" w:ascii="Times New Roman" w:hAnsi="Times New Roman" w:eastAsia="方正仿宋_GBK" w:cs="Times New Roman"/>
          <w:kern w:val="2"/>
          <w:sz w:val="32"/>
          <w:szCs w:val="32"/>
          <w:lang w:val="en-US" w:eastAsia="zh-CN" w:bidi="ar-SA"/>
        </w:rPr>
        <w:t>2。</w:t>
      </w:r>
    </w:p>
    <w:p>
      <w:pPr>
        <w:pStyle w:val="2312"/>
        <w:ind w:firstLine="240"/>
        <w:rPr>
          <w:rFonts w:hint="default" w:ascii="Times New Roman" w:hAnsi="Times New Roman" w:eastAsia="方正黑体_GBK" w:cs="Times New Roman"/>
        </w:rPr>
      </w:pPr>
      <w:r>
        <w:rPr>
          <w:rFonts w:hint="default" w:ascii="Times New Roman" w:hAnsi="Times New Roman" w:eastAsia="方正黑体_GBK" w:cs="Times New Roman"/>
        </w:rPr>
        <w:t>表4.3</w:t>
      </w:r>
      <w:r>
        <w:rPr>
          <w:rFonts w:hint="default" w:ascii="Times New Roman" w:hAnsi="Times New Roman" w:eastAsia="方正黑体_GBK" w:cs="Times New Roman"/>
          <w:lang w:eastAsia="zh-CN"/>
        </w:rPr>
        <w:t>—</w:t>
      </w:r>
      <w:r>
        <w:rPr>
          <w:rFonts w:hint="default" w:ascii="Times New Roman" w:hAnsi="Times New Roman" w:eastAsia="方正黑体_GBK" w:cs="Times New Roman"/>
        </w:rPr>
        <w:t>2     典型年藻渡河、松坎大区间及綦江城区防洪控制断面的洪峰流量</w:t>
      </w:r>
    </w:p>
    <w:tbl>
      <w:tblPr>
        <w:tblStyle w:val="88"/>
        <w:tblW w:w="4998"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108" w:type="dxa"/>
          <w:bottom w:w="0" w:type="dxa"/>
          <w:right w:w="108" w:type="dxa"/>
        </w:tblCellMar>
      </w:tblPr>
      <w:tblGrid>
        <w:gridCol w:w="681"/>
        <w:gridCol w:w="682"/>
        <w:gridCol w:w="2035"/>
        <w:gridCol w:w="1983"/>
        <w:gridCol w:w="2149"/>
        <w:gridCol w:w="1753"/>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5" w:hRule="atLeast"/>
          <w:jc w:val="center"/>
        </w:trPr>
        <w:tc>
          <w:tcPr>
            <w:tcW w:w="367" w:type="pct"/>
            <w:noWrap/>
            <w:vAlign w:val="center"/>
          </w:tcPr>
          <w:p>
            <w:pPr>
              <w:pStyle w:val="3013"/>
              <w:rPr>
                <w:snapToGrid w:val="0"/>
              </w:rPr>
            </w:pPr>
            <w:r>
              <w:rPr>
                <w:rFonts w:hint="eastAsia"/>
                <w:snapToGrid w:val="0"/>
              </w:rPr>
              <w:t>序号</w:t>
            </w:r>
          </w:p>
        </w:tc>
        <w:tc>
          <w:tcPr>
            <w:tcW w:w="367" w:type="pct"/>
            <w:noWrap/>
            <w:vAlign w:val="center"/>
          </w:tcPr>
          <w:p>
            <w:pPr>
              <w:pStyle w:val="3013"/>
              <w:rPr>
                <w:rFonts w:hint="eastAsia"/>
                <w:snapToGrid w:val="0"/>
              </w:rPr>
            </w:pPr>
            <w:r>
              <w:rPr>
                <w:rFonts w:hint="eastAsia"/>
                <w:snapToGrid w:val="0"/>
              </w:rPr>
              <w:t>年份</w:t>
            </w:r>
          </w:p>
        </w:tc>
        <w:tc>
          <w:tcPr>
            <w:tcW w:w="1096" w:type="pct"/>
            <w:noWrap/>
            <w:vAlign w:val="center"/>
          </w:tcPr>
          <w:p>
            <w:pPr>
              <w:pStyle w:val="3013"/>
              <w:rPr>
                <w:rFonts w:hint="eastAsia"/>
                <w:snapToGrid w:val="0"/>
              </w:rPr>
            </w:pPr>
            <w:r>
              <w:rPr>
                <w:rFonts w:hint="eastAsia"/>
                <w:snapToGrid w:val="0"/>
              </w:rPr>
              <w:t>綦江城区城北大桥</w:t>
            </w:r>
          </w:p>
          <w:p>
            <w:pPr>
              <w:pStyle w:val="3013"/>
              <w:rPr>
                <w:rFonts w:hint="eastAsia"/>
                <w:snapToGrid w:val="0"/>
              </w:rPr>
            </w:pPr>
            <w:r>
              <w:rPr>
                <w:rFonts w:hint="eastAsia"/>
                <w:snapToGrid w:val="0"/>
              </w:rPr>
              <w:t>洪峰流量（m</w:t>
            </w:r>
            <w:r>
              <w:rPr>
                <w:rFonts w:hint="eastAsia"/>
                <w:snapToGrid w:val="0"/>
                <w:vertAlign w:val="superscript"/>
              </w:rPr>
              <w:t>3</w:t>
            </w:r>
            <w:r>
              <w:rPr>
                <w:rFonts w:hint="eastAsia"/>
                <w:snapToGrid w:val="0"/>
              </w:rPr>
              <w:t>/s）</w:t>
            </w:r>
          </w:p>
        </w:tc>
        <w:tc>
          <w:tcPr>
            <w:tcW w:w="1066" w:type="pct"/>
            <w:noWrap/>
            <w:vAlign w:val="center"/>
          </w:tcPr>
          <w:p>
            <w:pPr>
              <w:pStyle w:val="3013"/>
              <w:rPr>
                <w:rFonts w:hint="eastAsia"/>
                <w:snapToGrid w:val="0"/>
              </w:rPr>
            </w:pPr>
            <w:r>
              <w:rPr>
                <w:rFonts w:hint="eastAsia"/>
                <w:snapToGrid w:val="0"/>
              </w:rPr>
              <w:t>藻渡河藻渡坝址</w:t>
            </w:r>
          </w:p>
          <w:p>
            <w:pPr>
              <w:pStyle w:val="3013"/>
              <w:rPr>
                <w:rFonts w:hint="eastAsia"/>
                <w:snapToGrid w:val="0"/>
              </w:rPr>
            </w:pPr>
            <w:r>
              <w:rPr>
                <w:rFonts w:hint="eastAsia"/>
                <w:snapToGrid w:val="0"/>
              </w:rPr>
              <w:t>洪峰流量（m</w:t>
            </w:r>
            <w:r>
              <w:rPr>
                <w:rFonts w:hint="eastAsia"/>
                <w:snapToGrid w:val="0"/>
                <w:vertAlign w:val="superscript"/>
              </w:rPr>
              <w:t>3</w:t>
            </w:r>
            <w:r>
              <w:rPr>
                <w:rFonts w:hint="eastAsia"/>
                <w:snapToGrid w:val="0"/>
              </w:rPr>
              <w:t>/s）</w:t>
            </w:r>
          </w:p>
        </w:tc>
        <w:tc>
          <w:tcPr>
            <w:tcW w:w="1157" w:type="pct"/>
            <w:noWrap/>
            <w:vAlign w:val="center"/>
          </w:tcPr>
          <w:p>
            <w:pPr>
              <w:pStyle w:val="3013"/>
              <w:rPr>
                <w:rFonts w:hint="eastAsia"/>
                <w:snapToGrid w:val="0"/>
              </w:rPr>
            </w:pPr>
            <w:r>
              <w:rPr>
                <w:rFonts w:hint="eastAsia"/>
                <w:snapToGrid w:val="0"/>
              </w:rPr>
              <w:t>藻渡坝址洪峰占城</w:t>
            </w:r>
          </w:p>
          <w:p>
            <w:pPr>
              <w:pStyle w:val="3013"/>
              <w:rPr>
                <w:rFonts w:hint="eastAsia"/>
                <w:snapToGrid w:val="0"/>
              </w:rPr>
            </w:pPr>
            <w:r>
              <w:rPr>
                <w:rFonts w:hint="eastAsia"/>
                <w:snapToGrid w:val="0"/>
              </w:rPr>
              <w:t>北大桥百分比（%）</w:t>
            </w:r>
          </w:p>
        </w:tc>
        <w:tc>
          <w:tcPr>
            <w:tcW w:w="944" w:type="pct"/>
            <w:noWrap/>
            <w:vAlign w:val="center"/>
          </w:tcPr>
          <w:p>
            <w:pPr>
              <w:pStyle w:val="3013"/>
              <w:rPr>
                <w:rFonts w:hint="eastAsia"/>
                <w:snapToGrid w:val="0"/>
              </w:rPr>
            </w:pPr>
            <w:r>
              <w:rPr>
                <w:rFonts w:hint="eastAsia"/>
                <w:snapToGrid w:val="0"/>
              </w:rPr>
              <w:t>松坎大区间洪</w:t>
            </w:r>
          </w:p>
          <w:p>
            <w:pPr>
              <w:pStyle w:val="3013"/>
              <w:rPr>
                <w:rFonts w:hint="eastAsia"/>
                <w:snapToGrid w:val="0"/>
              </w:rPr>
            </w:pPr>
            <w:r>
              <w:rPr>
                <w:rFonts w:hint="eastAsia"/>
                <w:snapToGrid w:val="0"/>
              </w:rPr>
              <w:t>峰流量（m</w:t>
            </w:r>
            <w:r>
              <w:rPr>
                <w:rFonts w:hint="eastAsia"/>
                <w:snapToGrid w:val="0"/>
                <w:vertAlign w:val="superscript"/>
              </w:rPr>
              <w:t>3</w:t>
            </w:r>
            <w:r>
              <w:rPr>
                <w:rFonts w:hint="eastAsia"/>
                <w:snapToGrid w:val="0"/>
              </w:rPr>
              <w:t>/s）</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5" w:hRule="atLeast"/>
          <w:jc w:val="center"/>
        </w:trPr>
        <w:tc>
          <w:tcPr>
            <w:tcW w:w="367" w:type="pct"/>
            <w:noWrap/>
            <w:vAlign w:val="center"/>
          </w:tcPr>
          <w:p>
            <w:pPr>
              <w:pStyle w:val="3013"/>
              <w:rPr>
                <w:rFonts w:hint="eastAsia"/>
                <w:snapToGrid w:val="0"/>
              </w:rPr>
            </w:pPr>
            <w:r>
              <w:rPr>
                <w:rFonts w:hint="eastAsia"/>
                <w:snapToGrid w:val="0"/>
              </w:rPr>
              <w:t>1</w:t>
            </w:r>
          </w:p>
        </w:tc>
        <w:tc>
          <w:tcPr>
            <w:tcW w:w="367" w:type="pct"/>
            <w:noWrap/>
            <w:vAlign w:val="center"/>
          </w:tcPr>
          <w:p>
            <w:pPr>
              <w:pStyle w:val="3013"/>
              <w:rPr>
                <w:rFonts w:hint="eastAsia"/>
                <w:snapToGrid w:val="0"/>
              </w:rPr>
            </w:pPr>
            <w:r>
              <w:rPr>
                <w:rFonts w:hint="eastAsia"/>
                <w:snapToGrid w:val="0"/>
              </w:rPr>
              <w:t>2020</w:t>
            </w:r>
          </w:p>
        </w:tc>
        <w:tc>
          <w:tcPr>
            <w:tcW w:w="1096" w:type="pct"/>
            <w:noWrap/>
            <w:vAlign w:val="center"/>
          </w:tcPr>
          <w:p>
            <w:pPr>
              <w:pStyle w:val="3013"/>
              <w:rPr>
                <w:rFonts w:hint="eastAsia"/>
                <w:snapToGrid w:val="0"/>
              </w:rPr>
            </w:pPr>
            <w:r>
              <w:rPr>
                <w:rFonts w:hint="eastAsia"/>
                <w:snapToGrid w:val="0"/>
              </w:rPr>
              <w:t>5060</w:t>
            </w:r>
          </w:p>
        </w:tc>
        <w:tc>
          <w:tcPr>
            <w:tcW w:w="1066" w:type="pct"/>
            <w:noWrap/>
            <w:vAlign w:val="center"/>
          </w:tcPr>
          <w:p>
            <w:pPr>
              <w:pStyle w:val="3013"/>
              <w:rPr>
                <w:rFonts w:hint="eastAsia"/>
                <w:snapToGrid w:val="0"/>
              </w:rPr>
            </w:pPr>
            <w:r>
              <w:rPr>
                <w:rFonts w:hint="eastAsia"/>
                <w:snapToGrid w:val="0"/>
              </w:rPr>
              <w:t>3310</w:t>
            </w:r>
          </w:p>
        </w:tc>
        <w:tc>
          <w:tcPr>
            <w:tcW w:w="1157" w:type="pct"/>
            <w:noWrap/>
            <w:vAlign w:val="center"/>
          </w:tcPr>
          <w:p>
            <w:pPr>
              <w:pStyle w:val="3013"/>
              <w:widowControl/>
              <w:textAlignment w:val="center"/>
              <w:rPr>
                <w:rFonts w:hint="eastAsia"/>
                <w:snapToGrid w:val="0"/>
              </w:rPr>
            </w:pPr>
            <w:r>
              <w:rPr>
                <w:rFonts w:hint="eastAsia"/>
                <w:snapToGrid w:val="0"/>
                <w:lang w:bidi="ar"/>
              </w:rPr>
              <w:t>65.42%</w:t>
            </w:r>
          </w:p>
        </w:tc>
        <w:tc>
          <w:tcPr>
            <w:tcW w:w="944" w:type="pct"/>
            <w:noWrap/>
            <w:vAlign w:val="center"/>
          </w:tcPr>
          <w:p>
            <w:pPr>
              <w:pStyle w:val="3013"/>
              <w:rPr>
                <w:rFonts w:hint="eastAsia"/>
                <w:snapToGrid w:val="0"/>
              </w:rPr>
            </w:pPr>
            <w:r>
              <w:rPr>
                <w:rFonts w:hint="eastAsia"/>
                <w:snapToGrid w:val="0"/>
              </w:rPr>
              <w:t>3711</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5" w:hRule="atLeast"/>
          <w:jc w:val="center"/>
        </w:trPr>
        <w:tc>
          <w:tcPr>
            <w:tcW w:w="367" w:type="pct"/>
            <w:noWrap/>
            <w:vAlign w:val="center"/>
          </w:tcPr>
          <w:p>
            <w:pPr>
              <w:pStyle w:val="3013"/>
              <w:rPr>
                <w:rFonts w:hint="eastAsia"/>
                <w:snapToGrid w:val="0"/>
              </w:rPr>
            </w:pPr>
            <w:r>
              <w:rPr>
                <w:rFonts w:hint="eastAsia"/>
                <w:snapToGrid w:val="0"/>
              </w:rPr>
              <w:t>2</w:t>
            </w:r>
          </w:p>
        </w:tc>
        <w:tc>
          <w:tcPr>
            <w:tcW w:w="367" w:type="pct"/>
            <w:noWrap/>
            <w:vAlign w:val="center"/>
          </w:tcPr>
          <w:p>
            <w:pPr>
              <w:pStyle w:val="3013"/>
              <w:rPr>
                <w:rFonts w:hint="eastAsia"/>
                <w:snapToGrid w:val="0"/>
              </w:rPr>
            </w:pPr>
            <w:r>
              <w:rPr>
                <w:rFonts w:hint="eastAsia"/>
                <w:snapToGrid w:val="0"/>
              </w:rPr>
              <w:t>1998</w:t>
            </w:r>
          </w:p>
        </w:tc>
        <w:tc>
          <w:tcPr>
            <w:tcW w:w="1096" w:type="pct"/>
            <w:noWrap/>
            <w:vAlign w:val="center"/>
          </w:tcPr>
          <w:p>
            <w:pPr>
              <w:pStyle w:val="3013"/>
              <w:rPr>
                <w:rFonts w:hint="eastAsia"/>
                <w:snapToGrid w:val="0"/>
              </w:rPr>
            </w:pPr>
            <w:r>
              <w:rPr>
                <w:rFonts w:hint="eastAsia"/>
                <w:snapToGrid w:val="0"/>
              </w:rPr>
              <w:t>5020</w:t>
            </w:r>
          </w:p>
        </w:tc>
        <w:tc>
          <w:tcPr>
            <w:tcW w:w="1066" w:type="pct"/>
            <w:noWrap/>
            <w:vAlign w:val="center"/>
          </w:tcPr>
          <w:p>
            <w:pPr>
              <w:pStyle w:val="3013"/>
              <w:rPr>
                <w:rFonts w:hint="eastAsia"/>
                <w:snapToGrid w:val="0"/>
              </w:rPr>
            </w:pPr>
            <w:r>
              <w:rPr>
                <w:rFonts w:hint="eastAsia"/>
                <w:snapToGrid w:val="0"/>
              </w:rPr>
              <w:t>2300</w:t>
            </w:r>
          </w:p>
        </w:tc>
        <w:tc>
          <w:tcPr>
            <w:tcW w:w="1157" w:type="pct"/>
            <w:noWrap/>
            <w:vAlign w:val="center"/>
          </w:tcPr>
          <w:p>
            <w:pPr>
              <w:pStyle w:val="3013"/>
              <w:widowControl/>
              <w:textAlignment w:val="center"/>
              <w:rPr>
                <w:rFonts w:hint="eastAsia"/>
                <w:snapToGrid w:val="0"/>
              </w:rPr>
            </w:pPr>
            <w:r>
              <w:rPr>
                <w:rFonts w:hint="eastAsia"/>
                <w:snapToGrid w:val="0"/>
                <w:lang w:bidi="ar"/>
              </w:rPr>
              <w:t>45.82%</w:t>
            </w:r>
          </w:p>
        </w:tc>
        <w:tc>
          <w:tcPr>
            <w:tcW w:w="944" w:type="pct"/>
            <w:noWrap/>
            <w:vAlign w:val="center"/>
          </w:tcPr>
          <w:p>
            <w:pPr>
              <w:pStyle w:val="3013"/>
              <w:rPr>
                <w:rFonts w:hint="eastAsia"/>
                <w:snapToGrid w:val="0"/>
              </w:rPr>
            </w:pPr>
            <w:r>
              <w:rPr>
                <w:rFonts w:hint="eastAsia"/>
                <w:snapToGrid w:val="0"/>
              </w:rPr>
              <w:t>3260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5" w:hRule="atLeast"/>
          <w:jc w:val="center"/>
        </w:trPr>
        <w:tc>
          <w:tcPr>
            <w:tcW w:w="367" w:type="pct"/>
            <w:noWrap/>
            <w:vAlign w:val="center"/>
          </w:tcPr>
          <w:p>
            <w:pPr>
              <w:pStyle w:val="3013"/>
              <w:rPr>
                <w:rFonts w:hint="eastAsia"/>
                <w:snapToGrid w:val="0"/>
              </w:rPr>
            </w:pPr>
            <w:r>
              <w:rPr>
                <w:rFonts w:hint="eastAsia"/>
                <w:snapToGrid w:val="0"/>
              </w:rPr>
              <w:t>3</w:t>
            </w:r>
          </w:p>
        </w:tc>
        <w:tc>
          <w:tcPr>
            <w:tcW w:w="367" w:type="pct"/>
            <w:noWrap/>
            <w:vAlign w:val="center"/>
          </w:tcPr>
          <w:p>
            <w:pPr>
              <w:pStyle w:val="3013"/>
              <w:rPr>
                <w:rFonts w:hint="eastAsia"/>
                <w:snapToGrid w:val="0"/>
              </w:rPr>
            </w:pPr>
            <w:r>
              <w:rPr>
                <w:rFonts w:hint="eastAsia"/>
                <w:snapToGrid w:val="0"/>
              </w:rPr>
              <w:t>1976</w:t>
            </w:r>
          </w:p>
        </w:tc>
        <w:tc>
          <w:tcPr>
            <w:tcW w:w="1096" w:type="pct"/>
            <w:noWrap/>
            <w:vAlign w:val="center"/>
          </w:tcPr>
          <w:p>
            <w:pPr>
              <w:pStyle w:val="3013"/>
              <w:rPr>
                <w:rFonts w:hint="eastAsia"/>
                <w:snapToGrid w:val="0"/>
              </w:rPr>
            </w:pPr>
            <w:r>
              <w:rPr>
                <w:rFonts w:hint="eastAsia"/>
                <w:snapToGrid w:val="0"/>
              </w:rPr>
              <w:t>3970</w:t>
            </w:r>
          </w:p>
        </w:tc>
        <w:tc>
          <w:tcPr>
            <w:tcW w:w="1066" w:type="pct"/>
            <w:noWrap/>
            <w:vAlign w:val="center"/>
          </w:tcPr>
          <w:p>
            <w:pPr>
              <w:pStyle w:val="3013"/>
              <w:rPr>
                <w:rFonts w:hint="eastAsia"/>
                <w:snapToGrid w:val="0"/>
              </w:rPr>
            </w:pPr>
            <w:r>
              <w:rPr>
                <w:rFonts w:hint="eastAsia"/>
                <w:snapToGrid w:val="0"/>
              </w:rPr>
              <w:t>1480</w:t>
            </w:r>
          </w:p>
        </w:tc>
        <w:tc>
          <w:tcPr>
            <w:tcW w:w="1157" w:type="pct"/>
            <w:noWrap/>
            <w:vAlign w:val="center"/>
          </w:tcPr>
          <w:p>
            <w:pPr>
              <w:pStyle w:val="3013"/>
              <w:widowControl/>
              <w:textAlignment w:val="center"/>
              <w:rPr>
                <w:rFonts w:hint="eastAsia"/>
                <w:snapToGrid w:val="0"/>
              </w:rPr>
            </w:pPr>
            <w:r>
              <w:rPr>
                <w:rFonts w:hint="eastAsia"/>
                <w:snapToGrid w:val="0"/>
                <w:lang w:bidi="ar"/>
              </w:rPr>
              <w:t>37.28%</w:t>
            </w:r>
          </w:p>
        </w:tc>
        <w:tc>
          <w:tcPr>
            <w:tcW w:w="944" w:type="pct"/>
            <w:noWrap/>
            <w:vAlign w:val="center"/>
          </w:tcPr>
          <w:p>
            <w:pPr>
              <w:pStyle w:val="3013"/>
              <w:rPr>
                <w:rFonts w:hint="eastAsia"/>
                <w:snapToGrid w:val="0"/>
              </w:rPr>
            </w:pPr>
            <w:r>
              <w:rPr>
                <w:rFonts w:hint="eastAsia"/>
                <w:snapToGrid w:val="0"/>
              </w:rPr>
              <w:t>3270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5" w:hRule="atLeast"/>
          <w:jc w:val="center"/>
        </w:trPr>
        <w:tc>
          <w:tcPr>
            <w:tcW w:w="367" w:type="pct"/>
            <w:noWrap/>
            <w:vAlign w:val="center"/>
          </w:tcPr>
          <w:p>
            <w:pPr>
              <w:pStyle w:val="3013"/>
              <w:rPr>
                <w:rFonts w:hint="eastAsia"/>
                <w:snapToGrid w:val="0"/>
              </w:rPr>
            </w:pPr>
            <w:r>
              <w:rPr>
                <w:rFonts w:hint="eastAsia"/>
                <w:snapToGrid w:val="0"/>
              </w:rPr>
              <w:t>4</w:t>
            </w:r>
          </w:p>
        </w:tc>
        <w:tc>
          <w:tcPr>
            <w:tcW w:w="367" w:type="pct"/>
            <w:noWrap/>
            <w:vAlign w:val="center"/>
          </w:tcPr>
          <w:p>
            <w:pPr>
              <w:pStyle w:val="3013"/>
              <w:rPr>
                <w:rFonts w:hint="eastAsia"/>
                <w:snapToGrid w:val="0"/>
              </w:rPr>
            </w:pPr>
            <w:r>
              <w:rPr>
                <w:rFonts w:hint="eastAsia"/>
                <w:snapToGrid w:val="0"/>
              </w:rPr>
              <w:t>1977</w:t>
            </w:r>
          </w:p>
        </w:tc>
        <w:tc>
          <w:tcPr>
            <w:tcW w:w="1096" w:type="pct"/>
            <w:noWrap/>
            <w:vAlign w:val="center"/>
          </w:tcPr>
          <w:p>
            <w:pPr>
              <w:pStyle w:val="3013"/>
              <w:rPr>
                <w:rFonts w:hint="eastAsia"/>
                <w:snapToGrid w:val="0"/>
              </w:rPr>
            </w:pPr>
            <w:r>
              <w:rPr>
                <w:rFonts w:hint="eastAsia"/>
                <w:snapToGrid w:val="0"/>
              </w:rPr>
              <w:t>3920</w:t>
            </w:r>
          </w:p>
        </w:tc>
        <w:tc>
          <w:tcPr>
            <w:tcW w:w="1066" w:type="pct"/>
            <w:noWrap/>
            <w:vAlign w:val="center"/>
          </w:tcPr>
          <w:p>
            <w:pPr>
              <w:pStyle w:val="3013"/>
              <w:rPr>
                <w:rFonts w:hint="eastAsia"/>
                <w:snapToGrid w:val="0"/>
              </w:rPr>
            </w:pPr>
            <w:r>
              <w:rPr>
                <w:rFonts w:hint="eastAsia"/>
                <w:snapToGrid w:val="0"/>
              </w:rPr>
              <w:t>1150</w:t>
            </w:r>
          </w:p>
        </w:tc>
        <w:tc>
          <w:tcPr>
            <w:tcW w:w="1157" w:type="pct"/>
            <w:noWrap/>
            <w:vAlign w:val="center"/>
          </w:tcPr>
          <w:p>
            <w:pPr>
              <w:pStyle w:val="3013"/>
              <w:widowControl/>
              <w:textAlignment w:val="center"/>
              <w:rPr>
                <w:rFonts w:hint="eastAsia"/>
                <w:snapToGrid w:val="0"/>
              </w:rPr>
            </w:pPr>
            <w:r>
              <w:rPr>
                <w:rFonts w:hint="eastAsia"/>
                <w:snapToGrid w:val="0"/>
                <w:lang w:bidi="ar"/>
              </w:rPr>
              <w:t>29.34%</w:t>
            </w:r>
          </w:p>
        </w:tc>
        <w:tc>
          <w:tcPr>
            <w:tcW w:w="944" w:type="pct"/>
            <w:noWrap/>
            <w:vAlign w:val="center"/>
          </w:tcPr>
          <w:p>
            <w:pPr>
              <w:pStyle w:val="3013"/>
              <w:rPr>
                <w:rFonts w:hint="eastAsia"/>
                <w:snapToGrid w:val="0"/>
              </w:rPr>
            </w:pPr>
            <w:r>
              <w:rPr>
                <w:rFonts w:hint="eastAsia"/>
                <w:snapToGrid w:val="0"/>
              </w:rPr>
              <w:t>3060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5" w:hRule="atLeast"/>
          <w:jc w:val="center"/>
        </w:trPr>
        <w:tc>
          <w:tcPr>
            <w:tcW w:w="367" w:type="pct"/>
            <w:noWrap/>
            <w:vAlign w:val="center"/>
          </w:tcPr>
          <w:p>
            <w:pPr>
              <w:pStyle w:val="3013"/>
              <w:rPr>
                <w:rFonts w:hint="eastAsia"/>
                <w:snapToGrid w:val="0"/>
              </w:rPr>
            </w:pPr>
            <w:r>
              <w:rPr>
                <w:rFonts w:hint="eastAsia"/>
                <w:snapToGrid w:val="0"/>
              </w:rPr>
              <w:t>5</w:t>
            </w:r>
          </w:p>
        </w:tc>
        <w:tc>
          <w:tcPr>
            <w:tcW w:w="367" w:type="pct"/>
            <w:noWrap/>
            <w:vAlign w:val="center"/>
          </w:tcPr>
          <w:p>
            <w:pPr>
              <w:pStyle w:val="3013"/>
              <w:rPr>
                <w:rFonts w:hint="eastAsia"/>
                <w:snapToGrid w:val="0"/>
              </w:rPr>
            </w:pPr>
            <w:r>
              <w:rPr>
                <w:rFonts w:hint="eastAsia"/>
                <w:snapToGrid w:val="0"/>
              </w:rPr>
              <w:t>1979</w:t>
            </w:r>
          </w:p>
        </w:tc>
        <w:tc>
          <w:tcPr>
            <w:tcW w:w="1096" w:type="pct"/>
            <w:noWrap/>
            <w:vAlign w:val="center"/>
          </w:tcPr>
          <w:p>
            <w:pPr>
              <w:pStyle w:val="3013"/>
              <w:rPr>
                <w:rFonts w:hint="eastAsia"/>
                <w:snapToGrid w:val="0"/>
              </w:rPr>
            </w:pPr>
            <w:r>
              <w:rPr>
                <w:rFonts w:hint="eastAsia"/>
                <w:snapToGrid w:val="0"/>
              </w:rPr>
              <w:t>3980</w:t>
            </w:r>
          </w:p>
        </w:tc>
        <w:tc>
          <w:tcPr>
            <w:tcW w:w="1066" w:type="pct"/>
            <w:noWrap/>
            <w:vAlign w:val="center"/>
          </w:tcPr>
          <w:p>
            <w:pPr>
              <w:pStyle w:val="3013"/>
              <w:rPr>
                <w:rFonts w:hint="eastAsia"/>
                <w:snapToGrid w:val="0"/>
              </w:rPr>
            </w:pPr>
            <w:r>
              <w:rPr>
                <w:rFonts w:hint="eastAsia"/>
                <w:snapToGrid w:val="0"/>
              </w:rPr>
              <w:t>1200</w:t>
            </w:r>
          </w:p>
        </w:tc>
        <w:tc>
          <w:tcPr>
            <w:tcW w:w="1157" w:type="pct"/>
            <w:noWrap/>
            <w:vAlign w:val="center"/>
          </w:tcPr>
          <w:p>
            <w:pPr>
              <w:pStyle w:val="3013"/>
              <w:widowControl/>
              <w:textAlignment w:val="center"/>
              <w:rPr>
                <w:rFonts w:hint="eastAsia"/>
                <w:snapToGrid w:val="0"/>
              </w:rPr>
            </w:pPr>
            <w:r>
              <w:rPr>
                <w:rFonts w:hint="eastAsia"/>
                <w:snapToGrid w:val="0"/>
                <w:lang w:bidi="ar"/>
              </w:rPr>
              <w:t>30.15%</w:t>
            </w:r>
          </w:p>
        </w:tc>
        <w:tc>
          <w:tcPr>
            <w:tcW w:w="944" w:type="pct"/>
            <w:noWrap/>
            <w:vAlign w:val="center"/>
          </w:tcPr>
          <w:p>
            <w:pPr>
              <w:pStyle w:val="3013"/>
              <w:rPr>
                <w:rFonts w:hint="eastAsia"/>
                <w:snapToGrid w:val="0"/>
              </w:rPr>
            </w:pPr>
            <w:r>
              <w:rPr>
                <w:rFonts w:hint="eastAsia"/>
                <w:snapToGrid w:val="0"/>
              </w:rPr>
              <w:t>3120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5" w:hRule="atLeast"/>
          <w:jc w:val="center"/>
        </w:trPr>
        <w:tc>
          <w:tcPr>
            <w:tcW w:w="367" w:type="pct"/>
            <w:noWrap/>
            <w:vAlign w:val="center"/>
          </w:tcPr>
          <w:p>
            <w:pPr>
              <w:pStyle w:val="3013"/>
              <w:rPr>
                <w:rFonts w:hint="eastAsia"/>
                <w:snapToGrid w:val="0"/>
              </w:rPr>
            </w:pPr>
            <w:r>
              <w:rPr>
                <w:rFonts w:hint="eastAsia"/>
                <w:snapToGrid w:val="0"/>
              </w:rPr>
              <w:t>6</w:t>
            </w:r>
          </w:p>
        </w:tc>
        <w:tc>
          <w:tcPr>
            <w:tcW w:w="367" w:type="pct"/>
            <w:noWrap/>
            <w:vAlign w:val="center"/>
          </w:tcPr>
          <w:p>
            <w:pPr>
              <w:pStyle w:val="3013"/>
              <w:rPr>
                <w:rFonts w:hint="eastAsia"/>
                <w:snapToGrid w:val="0"/>
              </w:rPr>
            </w:pPr>
            <w:r>
              <w:rPr>
                <w:rFonts w:hint="eastAsia"/>
                <w:snapToGrid w:val="0"/>
              </w:rPr>
              <w:t>1983</w:t>
            </w:r>
          </w:p>
        </w:tc>
        <w:tc>
          <w:tcPr>
            <w:tcW w:w="1096" w:type="pct"/>
            <w:noWrap/>
            <w:vAlign w:val="center"/>
          </w:tcPr>
          <w:p>
            <w:pPr>
              <w:pStyle w:val="3013"/>
              <w:rPr>
                <w:rFonts w:hint="eastAsia"/>
                <w:snapToGrid w:val="0"/>
              </w:rPr>
            </w:pPr>
            <w:r>
              <w:rPr>
                <w:rFonts w:hint="eastAsia"/>
                <w:snapToGrid w:val="0"/>
              </w:rPr>
              <w:t>3680</w:t>
            </w:r>
          </w:p>
        </w:tc>
        <w:tc>
          <w:tcPr>
            <w:tcW w:w="1066" w:type="pct"/>
            <w:noWrap/>
            <w:vAlign w:val="center"/>
          </w:tcPr>
          <w:p>
            <w:pPr>
              <w:pStyle w:val="3013"/>
              <w:rPr>
                <w:rFonts w:hint="eastAsia"/>
                <w:snapToGrid w:val="0"/>
              </w:rPr>
            </w:pPr>
            <w:r>
              <w:rPr>
                <w:rFonts w:hint="eastAsia"/>
                <w:snapToGrid w:val="0"/>
              </w:rPr>
              <w:t>1250</w:t>
            </w:r>
          </w:p>
        </w:tc>
        <w:tc>
          <w:tcPr>
            <w:tcW w:w="1157" w:type="pct"/>
            <w:noWrap/>
            <w:vAlign w:val="center"/>
          </w:tcPr>
          <w:p>
            <w:pPr>
              <w:pStyle w:val="3013"/>
              <w:widowControl/>
              <w:textAlignment w:val="center"/>
              <w:rPr>
                <w:rFonts w:hint="eastAsia"/>
                <w:snapToGrid w:val="0"/>
              </w:rPr>
            </w:pPr>
            <w:r>
              <w:rPr>
                <w:rFonts w:hint="eastAsia"/>
                <w:snapToGrid w:val="0"/>
                <w:lang w:bidi="ar"/>
              </w:rPr>
              <w:t>33.97%</w:t>
            </w:r>
          </w:p>
        </w:tc>
        <w:tc>
          <w:tcPr>
            <w:tcW w:w="944" w:type="pct"/>
            <w:noWrap/>
            <w:vAlign w:val="center"/>
          </w:tcPr>
          <w:p>
            <w:pPr>
              <w:pStyle w:val="3013"/>
              <w:rPr>
                <w:rFonts w:hint="eastAsia"/>
                <w:snapToGrid w:val="0"/>
              </w:rPr>
            </w:pPr>
            <w:r>
              <w:rPr>
                <w:rFonts w:hint="eastAsia"/>
                <w:snapToGrid w:val="0"/>
              </w:rPr>
              <w:t>2560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5" w:hRule="atLeast"/>
          <w:jc w:val="center"/>
        </w:trPr>
        <w:tc>
          <w:tcPr>
            <w:tcW w:w="367" w:type="pct"/>
            <w:noWrap/>
            <w:vAlign w:val="center"/>
          </w:tcPr>
          <w:p>
            <w:pPr>
              <w:pStyle w:val="3013"/>
              <w:rPr>
                <w:rFonts w:hint="eastAsia"/>
                <w:snapToGrid w:val="0"/>
              </w:rPr>
            </w:pPr>
            <w:r>
              <w:rPr>
                <w:rFonts w:hint="eastAsia"/>
                <w:snapToGrid w:val="0"/>
              </w:rPr>
              <w:t>7</w:t>
            </w:r>
          </w:p>
        </w:tc>
        <w:tc>
          <w:tcPr>
            <w:tcW w:w="367" w:type="pct"/>
            <w:noWrap/>
            <w:vAlign w:val="center"/>
          </w:tcPr>
          <w:p>
            <w:pPr>
              <w:pStyle w:val="3013"/>
              <w:rPr>
                <w:rFonts w:hint="eastAsia"/>
                <w:snapToGrid w:val="0"/>
              </w:rPr>
            </w:pPr>
            <w:r>
              <w:rPr>
                <w:rFonts w:hint="eastAsia"/>
                <w:snapToGrid w:val="0"/>
              </w:rPr>
              <w:t>2016</w:t>
            </w:r>
          </w:p>
        </w:tc>
        <w:tc>
          <w:tcPr>
            <w:tcW w:w="1096" w:type="pct"/>
            <w:noWrap/>
            <w:vAlign w:val="center"/>
          </w:tcPr>
          <w:p>
            <w:pPr>
              <w:pStyle w:val="3013"/>
              <w:rPr>
                <w:rFonts w:hint="eastAsia"/>
                <w:snapToGrid w:val="0"/>
              </w:rPr>
            </w:pPr>
            <w:r>
              <w:rPr>
                <w:rFonts w:hint="eastAsia"/>
                <w:snapToGrid w:val="0"/>
              </w:rPr>
              <w:t>3620</w:t>
            </w:r>
          </w:p>
        </w:tc>
        <w:tc>
          <w:tcPr>
            <w:tcW w:w="1066" w:type="pct"/>
            <w:noWrap/>
            <w:vAlign w:val="center"/>
          </w:tcPr>
          <w:p>
            <w:pPr>
              <w:pStyle w:val="3013"/>
              <w:rPr>
                <w:rFonts w:hint="eastAsia"/>
                <w:snapToGrid w:val="0"/>
              </w:rPr>
            </w:pPr>
            <w:r>
              <w:rPr>
                <w:rFonts w:hint="eastAsia"/>
                <w:snapToGrid w:val="0"/>
              </w:rPr>
              <w:t>2520</w:t>
            </w:r>
          </w:p>
        </w:tc>
        <w:tc>
          <w:tcPr>
            <w:tcW w:w="1157" w:type="pct"/>
            <w:noWrap/>
            <w:vAlign w:val="center"/>
          </w:tcPr>
          <w:p>
            <w:pPr>
              <w:pStyle w:val="3013"/>
              <w:widowControl/>
              <w:textAlignment w:val="center"/>
              <w:rPr>
                <w:rFonts w:hint="eastAsia"/>
                <w:snapToGrid w:val="0"/>
              </w:rPr>
            </w:pPr>
            <w:r>
              <w:rPr>
                <w:rFonts w:hint="eastAsia"/>
                <w:snapToGrid w:val="0"/>
                <w:lang w:bidi="ar"/>
              </w:rPr>
              <w:t>69.61%</w:t>
            </w:r>
          </w:p>
        </w:tc>
        <w:tc>
          <w:tcPr>
            <w:tcW w:w="944" w:type="pct"/>
            <w:noWrap/>
            <w:vAlign w:val="center"/>
          </w:tcPr>
          <w:p>
            <w:pPr>
              <w:pStyle w:val="3013"/>
              <w:rPr>
                <w:rFonts w:hint="eastAsia"/>
                <w:snapToGrid w:val="0"/>
              </w:rPr>
            </w:pPr>
            <w:r>
              <w:rPr>
                <w:rFonts w:hint="eastAsia"/>
                <w:snapToGrid w:val="0"/>
              </w:rPr>
              <w:t>1600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5" w:hRule="atLeast"/>
          <w:jc w:val="center"/>
        </w:trPr>
        <w:tc>
          <w:tcPr>
            <w:tcW w:w="367" w:type="pct"/>
            <w:noWrap/>
            <w:vAlign w:val="center"/>
          </w:tcPr>
          <w:p>
            <w:pPr>
              <w:pStyle w:val="3013"/>
              <w:rPr>
                <w:rFonts w:hint="eastAsia"/>
                <w:snapToGrid w:val="0"/>
              </w:rPr>
            </w:pPr>
            <w:r>
              <w:rPr>
                <w:rFonts w:hint="eastAsia"/>
                <w:snapToGrid w:val="0"/>
              </w:rPr>
              <w:t>8</w:t>
            </w:r>
          </w:p>
        </w:tc>
        <w:tc>
          <w:tcPr>
            <w:tcW w:w="367" w:type="pct"/>
            <w:noWrap/>
            <w:vAlign w:val="center"/>
          </w:tcPr>
          <w:p>
            <w:pPr>
              <w:pStyle w:val="3013"/>
              <w:rPr>
                <w:rFonts w:hint="eastAsia"/>
                <w:snapToGrid w:val="0"/>
              </w:rPr>
            </w:pPr>
            <w:r>
              <w:rPr>
                <w:rFonts w:hint="eastAsia"/>
                <w:snapToGrid w:val="0"/>
              </w:rPr>
              <w:t>1980</w:t>
            </w:r>
          </w:p>
        </w:tc>
        <w:tc>
          <w:tcPr>
            <w:tcW w:w="1096" w:type="pct"/>
            <w:noWrap/>
            <w:vAlign w:val="center"/>
          </w:tcPr>
          <w:p>
            <w:pPr>
              <w:pStyle w:val="3013"/>
              <w:rPr>
                <w:rFonts w:hint="eastAsia"/>
                <w:snapToGrid w:val="0"/>
              </w:rPr>
            </w:pPr>
            <w:r>
              <w:rPr>
                <w:rFonts w:hint="eastAsia"/>
                <w:snapToGrid w:val="0"/>
              </w:rPr>
              <w:t>3540</w:t>
            </w:r>
          </w:p>
        </w:tc>
        <w:tc>
          <w:tcPr>
            <w:tcW w:w="1066" w:type="pct"/>
            <w:noWrap/>
            <w:vAlign w:val="center"/>
          </w:tcPr>
          <w:p>
            <w:pPr>
              <w:pStyle w:val="3013"/>
              <w:rPr>
                <w:rFonts w:hint="eastAsia"/>
                <w:snapToGrid w:val="0"/>
              </w:rPr>
            </w:pPr>
            <w:r>
              <w:rPr>
                <w:rFonts w:hint="eastAsia"/>
                <w:snapToGrid w:val="0"/>
              </w:rPr>
              <w:t>1160</w:t>
            </w:r>
          </w:p>
        </w:tc>
        <w:tc>
          <w:tcPr>
            <w:tcW w:w="1157" w:type="pct"/>
            <w:noWrap/>
            <w:vAlign w:val="center"/>
          </w:tcPr>
          <w:p>
            <w:pPr>
              <w:pStyle w:val="3013"/>
              <w:widowControl/>
              <w:textAlignment w:val="center"/>
              <w:rPr>
                <w:rFonts w:hint="eastAsia"/>
                <w:snapToGrid w:val="0"/>
              </w:rPr>
            </w:pPr>
            <w:r>
              <w:rPr>
                <w:rFonts w:hint="eastAsia"/>
                <w:snapToGrid w:val="0"/>
                <w:lang w:bidi="ar"/>
              </w:rPr>
              <w:t>32.77%</w:t>
            </w:r>
          </w:p>
        </w:tc>
        <w:tc>
          <w:tcPr>
            <w:tcW w:w="944" w:type="pct"/>
            <w:noWrap/>
            <w:vAlign w:val="center"/>
          </w:tcPr>
          <w:p>
            <w:pPr>
              <w:pStyle w:val="3013"/>
              <w:rPr>
                <w:rFonts w:hint="eastAsia"/>
                <w:snapToGrid w:val="0"/>
              </w:rPr>
            </w:pPr>
            <w:r>
              <w:rPr>
                <w:rFonts w:hint="eastAsia"/>
                <w:snapToGrid w:val="0"/>
              </w:rPr>
              <w:t>1990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5" w:hRule="atLeast"/>
          <w:jc w:val="center"/>
        </w:trPr>
        <w:tc>
          <w:tcPr>
            <w:tcW w:w="367" w:type="pct"/>
            <w:noWrap/>
            <w:vAlign w:val="center"/>
          </w:tcPr>
          <w:p>
            <w:pPr>
              <w:pStyle w:val="3013"/>
              <w:rPr>
                <w:rFonts w:hint="eastAsia"/>
                <w:snapToGrid w:val="0"/>
              </w:rPr>
            </w:pPr>
            <w:r>
              <w:rPr>
                <w:rFonts w:hint="eastAsia"/>
                <w:snapToGrid w:val="0"/>
              </w:rPr>
              <w:t>9</w:t>
            </w:r>
          </w:p>
        </w:tc>
        <w:tc>
          <w:tcPr>
            <w:tcW w:w="367" w:type="pct"/>
            <w:noWrap/>
            <w:vAlign w:val="center"/>
          </w:tcPr>
          <w:p>
            <w:pPr>
              <w:pStyle w:val="3013"/>
              <w:rPr>
                <w:rFonts w:hint="eastAsia"/>
                <w:snapToGrid w:val="0"/>
              </w:rPr>
            </w:pPr>
            <w:r>
              <w:rPr>
                <w:rFonts w:hint="eastAsia"/>
                <w:snapToGrid w:val="0"/>
              </w:rPr>
              <w:t>1973</w:t>
            </w:r>
          </w:p>
        </w:tc>
        <w:tc>
          <w:tcPr>
            <w:tcW w:w="1096" w:type="pct"/>
            <w:noWrap/>
            <w:vAlign w:val="center"/>
          </w:tcPr>
          <w:p>
            <w:pPr>
              <w:pStyle w:val="3013"/>
              <w:rPr>
                <w:rFonts w:hint="eastAsia"/>
                <w:snapToGrid w:val="0"/>
              </w:rPr>
            </w:pPr>
            <w:r>
              <w:rPr>
                <w:rFonts w:hint="eastAsia"/>
                <w:snapToGrid w:val="0"/>
              </w:rPr>
              <w:t>2760</w:t>
            </w:r>
          </w:p>
        </w:tc>
        <w:tc>
          <w:tcPr>
            <w:tcW w:w="1066" w:type="pct"/>
            <w:noWrap/>
            <w:vAlign w:val="center"/>
          </w:tcPr>
          <w:p>
            <w:pPr>
              <w:pStyle w:val="3013"/>
              <w:rPr>
                <w:rFonts w:hint="eastAsia"/>
                <w:snapToGrid w:val="0"/>
              </w:rPr>
            </w:pPr>
            <w:r>
              <w:rPr>
                <w:rFonts w:hint="eastAsia"/>
                <w:snapToGrid w:val="0"/>
              </w:rPr>
              <w:t>966</w:t>
            </w:r>
          </w:p>
        </w:tc>
        <w:tc>
          <w:tcPr>
            <w:tcW w:w="1157" w:type="pct"/>
            <w:noWrap/>
            <w:vAlign w:val="center"/>
          </w:tcPr>
          <w:p>
            <w:pPr>
              <w:pStyle w:val="3013"/>
              <w:widowControl/>
              <w:textAlignment w:val="center"/>
              <w:rPr>
                <w:rFonts w:hint="eastAsia"/>
                <w:snapToGrid w:val="0"/>
              </w:rPr>
            </w:pPr>
            <w:r>
              <w:rPr>
                <w:rFonts w:hint="eastAsia"/>
                <w:snapToGrid w:val="0"/>
                <w:lang w:bidi="ar"/>
              </w:rPr>
              <w:t>35.00%</w:t>
            </w:r>
          </w:p>
        </w:tc>
        <w:tc>
          <w:tcPr>
            <w:tcW w:w="944" w:type="pct"/>
            <w:noWrap/>
            <w:vAlign w:val="center"/>
          </w:tcPr>
          <w:p>
            <w:pPr>
              <w:pStyle w:val="3013"/>
              <w:rPr>
                <w:rFonts w:hint="eastAsia"/>
                <w:snapToGrid w:val="0"/>
              </w:rPr>
            </w:pPr>
            <w:r>
              <w:rPr>
                <w:rFonts w:hint="eastAsia"/>
                <w:snapToGrid w:val="0"/>
              </w:rPr>
              <w:t>1960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5" w:hRule="atLeast"/>
          <w:jc w:val="center"/>
        </w:trPr>
        <w:tc>
          <w:tcPr>
            <w:tcW w:w="367" w:type="pct"/>
            <w:noWrap/>
            <w:vAlign w:val="center"/>
          </w:tcPr>
          <w:p>
            <w:pPr>
              <w:pStyle w:val="3013"/>
              <w:rPr>
                <w:rFonts w:hint="eastAsia"/>
                <w:snapToGrid w:val="0"/>
              </w:rPr>
            </w:pPr>
            <w:r>
              <w:rPr>
                <w:rFonts w:hint="eastAsia"/>
                <w:snapToGrid w:val="0"/>
              </w:rPr>
              <w:t>10</w:t>
            </w:r>
          </w:p>
        </w:tc>
        <w:tc>
          <w:tcPr>
            <w:tcW w:w="367" w:type="pct"/>
            <w:noWrap/>
            <w:vAlign w:val="center"/>
          </w:tcPr>
          <w:p>
            <w:pPr>
              <w:pStyle w:val="3013"/>
              <w:rPr>
                <w:rFonts w:hint="eastAsia"/>
                <w:snapToGrid w:val="0"/>
              </w:rPr>
            </w:pPr>
            <w:r>
              <w:rPr>
                <w:rFonts w:hint="eastAsia"/>
                <w:snapToGrid w:val="0"/>
              </w:rPr>
              <w:t>2005</w:t>
            </w:r>
          </w:p>
        </w:tc>
        <w:tc>
          <w:tcPr>
            <w:tcW w:w="1096" w:type="pct"/>
            <w:noWrap/>
            <w:vAlign w:val="center"/>
          </w:tcPr>
          <w:p>
            <w:pPr>
              <w:pStyle w:val="3013"/>
              <w:rPr>
                <w:rFonts w:hint="eastAsia"/>
                <w:snapToGrid w:val="0"/>
              </w:rPr>
            </w:pPr>
            <w:r>
              <w:rPr>
                <w:rFonts w:hint="eastAsia"/>
                <w:snapToGrid w:val="0"/>
              </w:rPr>
              <w:t>2460</w:t>
            </w:r>
          </w:p>
        </w:tc>
        <w:tc>
          <w:tcPr>
            <w:tcW w:w="1066" w:type="pct"/>
            <w:noWrap/>
            <w:vAlign w:val="center"/>
          </w:tcPr>
          <w:p>
            <w:pPr>
              <w:pStyle w:val="3013"/>
              <w:rPr>
                <w:rFonts w:hint="eastAsia"/>
                <w:snapToGrid w:val="0"/>
              </w:rPr>
            </w:pPr>
            <w:r>
              <w:rPr>
                <w:rFonts w:hint="eastAsia"/>
                <w:snapToGrid w:val="0"/>
              </w:rPr>
              <w:t>1470</w:t>
            </w:r>
          </w:p>
        </w:tc>
        <w:tc>
          <w:tcPr>
            <w:tcW w:w="1157" w:type="pct"/>
            <w:noWrap/>
            <w:vAlign w:val="center"/>
          </w:tcPr>
          <w:p>
            <w:pPr>
              <w:pStyle w:val="3013"/>
              <w:widowControl/>
              <w:textAlignment w:val="center"/>
              <w:rPr>
                <w:rFonts w:hint="eastAsia"/>
                <w:snapToGrid w:val="0"/>
              </w:rPr>
            </w:pPr>
            <w:r>
              <w:rPr>
                <w:rFonts w:hint="eastAsia"/>
                <w:snapToGrid w:val="0"/>
                <w:lang w:bidi="ar"/>
              </w:rPr>
              <w:t>59.76%</w:t>
            </w:r>
          </w:p>
        </w:tc>
        <w:tc>
          <w:tcPr>
            <w:tcW w:w="944" w:type="pct"/>
            <w:noWrap/>
            <w:vAlign w:val="center"/>
          </w:tcPr>
          <w:p>
            <w:pPr>
              <w:pStyle w:val="3013"/>
              <w:rPr>
                <w:rFonts w:hint="eastAsia"/>
                <w:snapToGrid w:val="0"/>
              </w:rPr>
            </w:pPr>
            <w:r>
              <w:rPr>
                <w:rFonts w:hint="eastAsia"/>
                <w:snapToGrid w:val="0"/>
              </w:rPr>
              <w:t>1450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5" w:hRule="atLeast"/>
          <w:jc w:val="center"/>
        </w:trPr>
        <w:tc>
          <w:tcPr>
            <w:tcW w:w="2898" w:type="pct"/>
            <w:gridSpan w:val="4"/>
            <w:noWrap/>
            <w:vAlign w:val="center"/>
          </w:tcPr>
          <w:p>
            <w:pPr>
              <w:pStyle w:val="3013"/>
              <w:rPr>
                <w:rFonts w:hint="eastAsia"/>
                <w:snapToGrid w:val="0"/>
              </w:rPr>
            </w:pPr>
            <w:r>
              <w:rPr>
                <w:rFonts w:hint="eastAsia"/>
                <w:snapToGrid w:val="0"/>
              </w:rPr>
              <w:t>平均</w:t>
            </w:r>
          </w:p>
        </w:tc>
        <w:tc>
          <w:tcPr>
            <w:tcW w:w="1157" w:type="pct"/>
            <w:noWrap/>
            <w:vAlign w:val="center"/>
          </w:tcPr>
          <w:p>
            <w:pPr>
              <w:pStyle w:val="3013"/>
              <w:rPr>
                <w:rFonts w:hint="eastAsia"/>
                <w:snapToGrid w:val="0"/>
              </w:rPr>
            </w:pPr>
            <w:r>
              <w:rPr>
                <w:rFonts w:hint="eastAsia"/>
                <w:snapToGrid w:val="0"/>
              </w:rPr>
              <w:t>43.91</w:t>
            </w:r>
            <w:r>
              <w:rPr>
                <w:rFonts w:hint="eastAsia"/>
                <w:snapToGrid w:val="0"/>
                <w:lang w:bidi="ar"/>
              </w:rPr>
              <w:t>%</w:t>
            </w:r>
          </w:p>
        </w:tc>
        <w:tc>
          <w:tcPr>
            <w:tcW w:w="944" w:type="pct"/>
            <w:noWrap/>
            <w:vAlign w:val="center"/>
          </w:tcPr>
          <w:p>
            <w:pPr>
              <w:pStyle w:val="3013"/>
              <w:rPr>
                <w:rFonts w:hint="eastAsia"/>
                <w:snapToGrid w:val="0"/>
              </w:rPr>
            </w:pPr>
          </w:p>
        </w:tc>
      </w:tr>
    </w:tbl>
    <w:p>
      <w:pPr>
        <w:pStyle w:val="2953"/>
        <w:ind w:firstLine="560"/>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对于綦江城区洪峰，10个洪水典型藻渡河所占的百分比平均为43.91%，大于相应的面积百分比24.96%。由此说明藻渡河流量是綦江洪峰形成的主要组成部分。</w:t>
      </w:r>
    </w:p>
    <w:p>
      <w:pPr>
        <w:pStyle w:val="2953"/>
        <w:ind w:firstLine="560"/>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1.2</w:t>
      </w:r>
      <w:r>
        <w:rPr>
          <w:rFonts w:hint="eastAsia" w:ascii="Times New Roman" w:eastAsia="方正仿宋_GBK" w:cs="Times New Roman"/>
          <w:kern w:val="2"/>
          <w:sz w:val="32"/>
          <w:szCs w:val="32"/>
          <w:lang w:val="en-US" w:eastAsia="zh-CN" w:bidi="ar-SA"/>
        </w:rPr>
        <w:t xml:space="preserve"> </w:t>
      </w:r>
      <w:r>
        <w:rPr>
          <w:rFonts w:hint="eastAsia" w:ascii="Times New Roman" w:hAnsi="Times New Roman" w:eastAsia="方正仿宋_GBK" w:cs="Times New Roman"/>
          <w:kern w:val="2"/>
          <w:sz w:val="32"/>
          <w:szCs w:val="32"/>
          <w:lang w:val="en-US" w:eastAsia="zh-CN" w:bidi="ar-SA"/>
        </w:rPr>
        <w:t>1998年洪水地区组成</w:t>
      </w:r>
    </w:p>
    <w:p>
      <w:pPr>
        <w:pStyle w:val="2953"/>
        <w:ind w:firstLine="560"/>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綦江“1998.8.7”洪水历时约3天。东溪站洪水为藻渡河和松坎河洪水共同遭遇形成,藻渡河推算洪峰流量（2300m</w:t>
      </w:r>
      <w:r>
        <w:rPr>
          <w:rFonts w:hint="default" w:ascii="Times New Roman" w:hAnsi="Times New Roman" w:eastAsia="方正仿宋_GBK" w:cs="Times New Roman"/>
          <w:sz w:val="32"/>
          <w:szCs w:val="32"/>
          <w:vertAlign w:val="superscript"/>
        </w:rPr>
        <w:t>3</w:t>
      </w:r>
      <w:r>
        <w:rPr>
          <w:rFonts w:hint="eastAsia" w:ascii="Times New Roman" w:hAnsi="Times New Roman" w:eastAsia="方正仿宋_GBK" w:cs="Times New Roman"/>
          <w:kern w:val="2"/>
          <w:sz w:val="32"/>
          <w:szCs w:val="32"/>
          <w:lang w:val="en-US" w:eastAsia="zh-CN" w:bidi="ar-SA"/>
        </w:rPr>
        <w:t>/s）约占东溪站（4620m</w:t>
      </w:r>
      <w:r>
        <w:rPr>
          <w:rFonts w:hint="default" w:ascii="Times New Roman" w:hAnsi="Times New Roman" w:eastAsia="方正仿宋_GBK" w:cs="Times New Roman"/>
          <w:sz w:val="32"/>
          <w:szCs w:val="32"/>
          <w:vertAlign w:val="superscript"/>
        </w:rPr>
        <w:t>3</w:t>
      </w:r>
      <w:r>
        <w:rPr>
          <w:rFonts w:hint="eastAsia" w:ascii="Times New Roman" w:hAnsi="Times New Roman" w:eastAsia="方正仿宋_GBK" w:cs="Times New Roman"/>
          <w:kern w:val="2"/>
          <w:sz w:val="32"/>
          <w:szCs w:val="32"/>
          <w:lang w:val="en-US" w:eastAsia="zh-CN" w:bidi="ar-SA"/>
        </w:rPr>
        <w:t>/s）的50%，大于面积比38%；东溪站洪峰流量约占五岔站（5220m</w:t>
      </w:r>
      <w:r>
        <w:rPr>
          <w:rFonts w:hint="default" w:ascii="Times New Roman" w:hAnsi="Times New Roman" w:eastAsia="方正仿宋_GBK" w:cs="Times New Roman"/>
          <w:sz w:val="32"/>
          <w:szCs w:val="32"/>
          <w:vertAlign w:val="superscript"/>
        </w:rPr>
        <w:t>3</w:t>
      </w:r>
      <w:r>
        <w:rPr>
          <w:rFonts w:hint="eastAsia" w:ascii="Times New Roman" w:hAnsi="Times New Roman" w:eastAsia="方正仿宋_GBK" w:cs="Times New Roman"/>
          <w:kern w:val="2"/>
          <w:sz w:val="32"/>
          <w:szCs w:val="32"/>
          <w:lang w:val="en-US" w:eastAsia="zh-CN" w:bidi="ar-SA"/>
        </w:rPr>
        <w:t>/s）的89%，大于面积比，东溪站最大24小时洪量约占五岔站（2.74亿m</w:t>
      </w:r>
      <w:r>
        <w:rPr>
          <w:rFonts w:hint="default" w:ascii="Times New Roman" w:hAnsi="Times New Roman" w:eastAsia="方正仿宋_GBK" w:cs="Times New Roman"/>
          <w:sz w:val="32"/>
          <w:szCs w:val="32"/>
          <w:vertAlign w:val="superscript"/>
        </w:rPr>
        <w:t>3</w:t>
      </w:r>
      <w:r>
        <w:rPr>
          <w:rFonts w:hint="eastAsia" w:ascii="Times New Roman" w:hAnsi="Times New Roman" w:eastAsia="方正仿宋_GBK" w:cs="Times New Roman"/>
          <w:kern w:val="2"/>
          <w:sz w:val="32"/>
          <w:szCs w:val="32"/>
          <w:lang w:val="en-US" w:eastAsia="zh-CN" w:bidi="ar-SA"/>
        </w:rPr>
        <w:t>）的61%，小于面积比。“1998.8.7”洪水过程见图4.3</w:t>
      </w:r>
      <w:r>
        <w:rPr>
          <w:rFonts w:hint="eastAsia" w:ascii="Times New Roman" w:eastAsia="方正仿宋_GBK" w:cs="Times New Roman"/>
          <w:kern w:val="2"/>
          <w:sz w:val="32"/>
          <w:szCs w:val="32"/>
          <w:lang w:val="en-US" w:eastAsia="zh-CN" w:bidi="ar-SA"/>
        </w:rPr>
        <w:t>—</w:t>
      </w:r>
      <w:r>
        <w:rPr>
          <w:rFonts w:hint="eastAsia" w:ascii="Times New Roman" w:hAnsi="Times New Roman" w:eastAsia="方正仿宋_GBK" w:cs="Times New Roman"/>
          <w:kern w:val="2"/>
          <w:sz w:val="32"/>
          <w:szCs w:val="32"/>
          <w:lang w:val="en-US" w:eastAsia="zh-CN" w:bidi="ar-SA"/>
        </w:rPr>
        <w:t>1。</w:t>
      </w:r>
    </w:p>
    <w:p>
      <w:pPr>
        <w:pStyle w:val="2953"/>
        <w:ind w:firstLine="560"/>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1.3</w:t>
      </w:r>
      <w:r>
        <w:rPr>
          <w:rFonts w:hint="eastAsia" w:ascii="Times New Roman" w:eastAsia="方正仿宋_GBK" w:cs="Times New Roman"/>
          <w:kern w:val="2"/>
          <w:sz w:val="32"/>
          <w:szCs w:val="32"/>
          <w:lang w:val="en-US" w:eastAsia="zh-CN" w:bidi="ar-SA"/>
        </w:rPr>
        <w:t xml:space="preserve"> </w:t>
      </w:r>
      <w:r>
        <w:rPr>
          <w:rFonts w:hint="eastAsia" w:ascii="Times New Roman" w:hAnsi="Times New Roman" w:eastAsia="方正仿宋_GBK" w:cs="Times New Roman"/>
          <w:kern w:val="2"/>
          <w:sz w:val="32"/>
          <w:szCs w:val="32"/>
          <w:lang w:val="en-US" w:eastAsia="zh-CN" w:bidi="ar-SA"/>
        </w:rPr>
        <w:t>2016年洪水地区组成</w:t>
      </w:r>
    </w:p>
    <w:p>
      <w:pPr>
        <w:pStyle w:val="2953"/>
        <w:ind w:firstLine="560"/>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东溪以上洪水以藻渡河为主，藻渡河推算洪峰流量（2520m</w:t>
      </w:r>
      <w:r>
        <w:rPr>
          <w:rFonts w:hint="default" w:ascii="Times New Roman" w:hAnsi="Times New Roman" w:eastAsia="方正仿宋_GBK" w:cs="Times New Roman"/>
          <w:sz w:val="32"/>
          <w:szCs w:val="32"/>
          <w:vertAlign w:val="superscript"/>
        </w:rPr>
        <w:t>3</w:t>
      </w:r>
      <w:r>
        <w:rPr>
          <w:rFonts w:hint="eastAsia" w:ascii="Times New Roman" w:hAnsi="Times New Roman" w:eastAsia="方正仿宋_GBK" w:cs="Times New Roman"/>
          <w:kern w:val="2"/>
          <w:sz w:val="32"/>
          <w:szCs w:val="32"/>
          <w:lang w:val="en-US" w:eastAsia="zh-CN" w:bidi="ar-SA"/>
        </w:rPr>
        <w:t>/s）约占东溪站（2740m</w:t>
      </w:r>
      <w:r>
        <w:rPr>
          <w:rFonts w:hint="default" w:ascii="Times New Roman" w:hAnsi="Times New Roman" w:eastAsia="方正仿宋_GBK" w:cs="Times New Roman"/>
          <w:sz w:val="32"/>
          <w:szCs w:val="32"/>
          <w:vertAlign w:val="superscript"/>
        </w:rPr>
        <w:t>3</w:t>
      </w:r>
      <w:r>
        <w:rPr>
          <w:rFonts w:hint="eastAsia" w:ascii="Times New Roman" w:hAnsi="Times New Roman" w:eastAsia="方正仿宋_GBK" w:cs="Times New Roman"/>
          <w:kern w:val="2"/>
          <w:sz w:val="32"/>
          <w:szCs w:val="32"/>
          <w:lang w:val="en-US" w:eastAsia="zh-CN" w:bidi="ar-SA"/>
        </w:rPr>
        <w:t>/s）的92%，远大于面积比38%；东溪站洪峰流量约占五岔站（4150m</w:t>
      </w:r>
      <w:r>
        <w:rPr>
          <w:rFonts w:hint="default" w:ascii="Times New Roman" w:hAnsi="Times New Roman" w:eastAsia="方正仿宋_GBK" w:cs="Times New Roman"/>
          <w:sz w:val="32"/>
          <w:szCs w:val="32"/>
          <w:vertAlign w:val="superscript"/>
        </w:rPr>
        <w:t>3</w:t>
      </w:r>
      <w:r>
        <w:rPr>
          <w:rFonts w:hint="eastAsia" w:ascii="Times New Roman" w:hAnsi="Times New Roman" w:eastAsia="方正仿宋_GBK" w:cs="Times New Roman"/>
          <w:kern w:val="2"/>
          <w:sz w:val="32"/>
          <w:szCs w:val="32"/>
          <w:lang w:val="en-US" w:eastAsia="zh-CN" w:bidi="ar-SA"/>
        </w:rPr>
        <w:t>/s）的66%，与面积比持平，东溪站最大24小时洪量约占五岔站（2.844亿m</w:t>
      </w:r>
      <w:r>
        <w:rPr>
          <w:rFonts w:hint="default" w:ascii="Times New Roman" w:hAnsi="Times New Roman" w:eastAsia="方正仿宋_GBK" w:cs="Times New Roman"/>
          <w:sz w:val="32"/>
          <w:szCs w:val="32"/>
          <w:vertAlign w:val="superscript"/>
        </w:rPr>
        <w:t>3</w:t>
      </w:r>
      <w:r>
        <w:rPr>
          <w:rFonts w:hint="eastAsia" w:ascii="Times New Roman" w:hAnsi="Times New Roman" w:eastAsia="方正仿宋_GBK" w:cs="Times New Roman"/>
          <w:kern w:val="2"/>
          <w:sz w:val="32"/>
          <w:szCs w:val="32"/>
          <w:lang w:val="en-US" w:eastAsia="zh-CN" w:bidi="ar-SA"/>
        </w:rPr>
        <w:t>）的53%，小于面积比。“2016.6.28”洪水过程见图4.3</w:t>
      </w:r>
      <w:r>
        <w:rPr>
          <w:rFonts w:hint="eastAsia" w:ascii="Times New Roman" w:eastAsia="方正仿宋_GBK" w:cs="Times New Roman"/>
          <w:kern w:val="2"/>
          <w:sz w:val="32"/>
          <w:szCs w:val="32"/>
          <w:lang w:val="en-US" w:eastAsia="zh-CN" w:bidi="ar-SA"/>
        </w:rPr>
        <w:t>—</w:t>
      </w:r>
      <w:r>
        <w:rPr>
          <w:rFonts w:hint="eastAsia" w:ascii="Times New Roman" w:hAnsi="Times New Roman" w:eastAsia="方正仿宋_GBK" w:cs="Times New Roman"/>
          <w:kern w:val="2"/>
          <w:sz w:val="32"/>
          <w:szCs w:val="32"/>
          <w:lang w:val="en-US" w:eastAsia="zh-CN" w:bidi="ar-SA"/>
        </w:rPr>
        <w:t>2。</w:t>
      </w:r>
    </w:p>
    <w:p>
      <w:pPr>
        <w:spacing w:line="0" w:lineRule="atLeast"/>
        <w:ind w:firstLine="0" w:firstLineChars="0"/>
        <w:jc w:val="center"/>
        <w:rPr>
          <w:rFonts w:hint="eastAsia" w:hAnsi="Calibri"/>
          <w:szCs w:val="20"/>
        </w:rPr>
      </w:pPr>
      <w:r>
        <w:rPr>
          <w:rFonts w:hAnsi="Calibri"/>
        </w:rPr>
        <w:drawing>
          <wp:inline distT="0" distB="0" distL="114300" distR="114300">
            <wp:extent cx="5129530" cy="3145155"/>
            <wp:effectExtent l="0" t="0" r="13970" b="0"/>
            <wp:docPr id="88" name="图片 44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8" name="图片 442"/>
                    <pic:cNvPicPr>
                      <a:picLocks noChangeAspect="true"/>
                    </pic:cNvPicPr>
                  </pic:nvPicPr>
                  <pic:blipFill>
                    <a:blip r:embed="rId127"/>
                    <a:stretch>
                      <a:fillRect/>
                    </a:stretch>
                  </pic:blipFill>
                  <pic:spPr>
                    <a:xfrm>
                      <a:off x="0" y="0"/>
                      <a:ext cx="5129530" cy="3145155"/>
                    </a:xfrm>
                    <a:prstGeom prst="rect">
                      <a:avLst/>
                    </a:prstGeom>
                    <a:noFill/>
                    <a:ln>
                      <a:noFill/>
                    </a:ln>
                  </pic:spPr>
                </pic:pic>
              </a:graphicData>
            </a:graphic>
          </wp:inline>
        </w:drawing>
      </w:r>
    </w:p>
    <w:p>
      <w:pPr>
        <w:spacing w:line="240" w:lineRule="auto"/>
        <w:ind w:firstLine="0" w:firstLineChars="0"/>
        <w:jc w:val="center"/>
        <w:outlineLvl w:val="7"/>
        <w:rPr>
          <w:rFonts w:hint="default" w:ascii="Times New Roman" w:hAnsi="Times New Roman" w:eastAsia="方正黑体_GBK" w:cs="Times New Roman"/>
          <w:sz w:val="24"/>
          <w:szCs w:val="20"/>
        </w:rPr>
      </w:pPr>
      <w:r>
        <w:rPr>
          <w:rFonts w:hint="default" w:ascii="Times New Roman" w:hAnsi="Times New Roman" w:eastAsia="方正黑体_GBK" w:cs="Times New Roman"/>
          <w:sz w:val="24"/>
          <w:szCs w:val="20"/>
        </w:rPr>
        <w:t>图4.3</w:t>
      </w:r>
      <w:r>
        <w:rPr>
          <w:rFonts w:hint="default" w:ascii="Times New Roman" w:hAnsi="Times New Roman" w:eastAsia="方正黑体_GBK" w:cs="Times New Roman"/>
          <w:sz w:val="24"/>
          <w:szCs w:val="20"/>
          <w:lang w:eastAsia="zh-CN"/>
        </w:rPr>
        <w:t>—</w:t>
      </w:r>
      <w:r>
        <w:rPr>
          <w:rFonts w:hint="default" w:ascii="Times New Roman" w:hAnsi="Times New Roman" w:eastAsia="方正黑体_GBK" w:cs="Times New Roman"/>
          <w:sz w:val="24"/>
          <w:szCs w:val="20"/>
        </w:rPr>
        <w:t>1    1998年綦江洪水组成图</w:t>
      </w:r>
    </w:p>
    <w:p>
      <w:pPr>
        <w:spacing w:line="240" w:lineRule="auto"/>
        <w:ind w:firstLine="0" w:firstLineChars="0"/>
        <w:jc w:val="center"/>
        <w:rPr>
          <w:rFonts w:ascii="黑体" w:hAnsi="黑体" w:eastAsia="黑体" w:cs="宋体"/>
          <w:sz w:val="24"/>
          <w:szCs w:val="20"/>
        </w:rPr>
      </w:pPr>
      <w:r>
        <w:rPr>
          <w:rFonts w:ascii="黑体" w:hAnsi="黑体" w:eastAsia="黑体" w:cs="宋体"/>
          <w:sz w:val="24"/>
          <w:szCs w:val="20"/>
        </w:rPr>
        <w:drawing>
          <wp:inline distT="0" distB="0" distL="114300" distR="114300">
            <wp:extent cx="5031740" cy="3086100"/>
            <wp:effectExtent l="0" t="0" r="16510" b="0"/>
            <wp:docPr id="89" name="图片 44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9" name="图片 440"/>
                    <pic:cNvPicPr>
                      <a:picLocks noChangeAspect="true"/>
                    </pic:cNvPicPr>
                  </pic:nvPicPr>
                  <pic:blipFill>
                    <a:blip r:embed="rId128"/>
                    <a:stretch>
                      <a:fillRect/>
                    </a:stretch>
                  </pic:blipFill>
                  <pic:spPr>
                    <a:xfrm>
                      <a:off x="0" y="0"/>
                      <a:ext cx="5031740" cy="3086100"/>
                    </a:xfrm>
                    <a:prstGeom prst="rect">
                      <a:avLst/>
                    </a:prstGeom>
                    <a:noFill/>
                    <a:ln>
                      <a:noFill/>
                    </a:ln>
                  </pic:spPr>
                </pic:pic>
              </a:graphicData>
            </a:graphic>
          </wp:inline>
        </w:drawing>
      </w:r>
    </w:p>
    <w:p>
      <w:pPr>
        <w:spacing w:line="240" w:lineRule="auto"/>
        <w:ind w:firstLine="0" w:firstLineChars="0"/>
        <w:jc w:val="center"/>
        <w:outlineLvl w:val="7"/>
        <w:rPr>
          <w:rFonts w:hint="default" w:ascii="Times New Roman" w:hAnsi="Times New Roman" w:eastAsia="方正黑体_GBK" w:cs="Times New Roman"/>
          <w:sz w:val="24"/>
          <w:szCs w:val="20"/>
        </w:rPr>
      </w:pPr>
      <w:r>
        <w:rPr>
          <w:rFonts w:hint="default" w:ascii="Times New Roman" w:hAnsi="Times New Roman" w:eastAsia="方正黑体_GBK" w:cs="Times New Roman"/>
          <w:sz w:val="24"/>
          <w:szCs w:val="20"/>
        </w:rPr>
        <w:t>图4.3</w:t>
      </w:r>
      <w:r>
        <w:rPr>
          <w:rFonts w:hint="default" w:ascii="Times New Roman" w:hAnsi="Times New Roman" w:eastAsia="方正黑体_GBK" w:cs="Times New Roman"/>
          <w:sz w:val="24"/>
          <w:szCs w:val="20"/>
          <w:lang w:eastAsia="zh-CN"/>
        </w:rPr>
        <w:t>—</w:t>
      </w:r>
      <w:r>
        <w:rPr>
          <w:rFonts w:hint="default" w:ascii="Times New Roman" w:hAnsi="Times New Roman" w:eastAsia="方正黑体_GBK" w:cs="Times New Roman"/>
          <w:sz w:val="24"/>
          <w:szCs w:val="20"/>
        </w:rPr>
        <w:t>2    2016年綦江洪水过程图</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kern w:val="2"/>
          <w:sz w:val="32"/>
          <w:szCs w:val="32"/>
          <w:lang w:val="en-US" w:eastAsia="zh-CN" w:bidi="ar-SA"/>
        </w:rPr>
      </w:pPr>
      <w:r>
        <w:rPr>
          <w:rFonts w:hint="default" w:ascii="Times New Roman" w:hAnsi="Times New Roman" w:eastAsia="方正仿宋_GBK" w:cs="Times New Roman"/>
          <w:kern w:val="2"/>
          <w:sz w:val="32"/>
          <w:szCs w:val="32"/>
          <w:lang w:val="en-US" w:eastAsia="zh-CN" w:bidi="ar-SA"/>
        </w:rPr>
        <w:t>1.4  2020年洪水地区组成</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kern w:val="2"/>
          <w:sz w:val="32"/>
          <w:szCs w:val="32"/>
          <w:lang w:val="en-US" w:eastAsia="zh-CN" w:bidi="ar-SA"/>
        </w:rPr>
      </w:pPr>
      <w:r>
        <w:rPr>
          <w:rFonts w:hint="default" w:ascii="Times New Roman" w:hAnsi="Times New Roman" w:eastAsia="方正仿宋_GBK" w:cs="Times New Roman"/>
          <w:sz w:val="32"/>
          <w:szCs w:val="32"/>
        </w:rPr>
        <w:t>根据綦江干支流本次洪水分析，綦江干流东溪、古南、五岔等主要控制站最高水位均超过了保证水位，其中綦江主城区古南站、下游五岔站出现建站以来的历史最高水</w:t>
      </w:r>
      <w:r>
        <w:rPr>
          <w:rFonts w:hint="default" w:ascii="Times New Roman" w:hAnsi="Times New Roman" w:eastAsia="方正仿宋_GBK" w:cs="Times New Roman"/>
          <w:kern w:val="2"/>
          <w:sz w:val="32"/>
          <w:szCs w:val="32"/>
          <w:lang w:val="en-US" w:eastAsia="zh-CN" w:bidi="ar-SA"/>
        </w:rPr>
        <w:t>位，干支流洪水遭遇恶劣，属全流域性洪水。</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cs="宋体"/>
          <w:szCs w:val="20"/>
        </w:rPr>
      </w:pPr>
      <w:r>
        <w:rPr>
          <w:rFonts w:hint="default" w:ascii="Times New Roman" w:hAnsi="Times New Roman" w:eastAsia="方正仿宋_GBK" w:cs="Times New Roman"/>
          <w:kern w:val="2"/>
          <w:sz w:val="32"/>
          <w:szCs w:val="32"/>
          <w:lang w:val="en-US" w:eastAsia="zh-CN" w:bidi="ar-SA"/>
        </w:rPr>
        <w:t>綦江干流2020年</w:t>
      </w:r>
      <w:r>
        <w:rPr>
          <w:rFonts w:hint="eastAsia" w:ascii="方正仿宋_GBK" w:hAnsi="方正仿宋_GBK" w:eastAsia="方正仿宋_GBK" w:cs="方正仿宋_GBK"/>
          <w:kern w:val="2"/>
          <w:sz w:val="32"/>
          <w:szCs w:val="32"/>
          <w:lang w:val="en-US" w:eastAsia="zh-CN" w:bidi="ar-SA"/>
        </w:rPr>
        <w:t>“</w:t>
      </w:r>
      <w:r>
        <w:rPr>
          <w:rFonts w:hint="default" w:ascii="Times New Roman" w:hAnsi="Times New Roman" w:eastAsia="方正仿宋_GBK" w:cs="Times New Roman"/>
          <w:kern w:val="2"/>
          <w:sz w:val="32"/>
          <w:szCs w:val="32"/>
          <w:lang w:val="en-US" w:eastAsia="zh-CN" w:bidi="ar-SA"/>
        </w:rPr>
        <w:t>6</w:t>
      </w:r>
      <w:r>
        <w:rPr>
          <w:rFonts w:hint="eastAsia" w:ascii="Times New Roman" w:hAnsi="Times New Roman" w:eastAsia="方正仿宋_GBK" w:cs="Times New Roman"/>
          <w:kern w:val="2"/>
          <w:sz w:val="32"/>
          <w:szCs w:val="32"/>
          <w:lang w:val="en-US" w:eastAsia="zh-CN" w:bidi="ar-SA"/>
        </w:rPr>
        <w:t>·</w:t>
      </w:r>
      <w:r>
        <w:rPr>
          <w:rFonts w:hint="default" w:ascii="Times New Roman" w:hAnsi="Times New Roman" w:eastAsia="方正仿宋_GBK" w:cs="Times New Roman"/>
          <w:sz w:val="32"/>
          <w:szCs w:val="32"/>
        </w:rPr>
        <w:t>22</w:t>
      </w:r>
      <w:r>
        <w:rPr>
          <w:rFonts w:hint="eastAsia" w:ascii="方正仿宋_GBK" w:hAnsi="方正仿宋_GBK" w:eastAsia="方正仿宋_GBK" w:cs="方正仿宋_GBK"/>
          <w:sz w:val="32"/>
          <w:szCs w:val="32"/>
        </w:rPr>
        <w:t>”</w:t>
      </w:r>
      <w:r>
        <w:rPr>
          <w:rFonts w:hint="default" w:ascii="Times New Roman" w:hAnsi="Times New Roman" w:eastAsia="方正仿宋_GBK" w:cs="Times New Roman"/>
          <w:sz w:val="32"/>
          <w:szCs w:val="32"/>
        </w:rPr>
        <w:t>洪水历时约3天，且主要集中在1天内，东溪、五岔两站最大24小时洪量约占最大72小时洪量的73%和71%。东溪以上洪水以藻渡河为主，藻渡河新炉站洪峰流量（3310m</w:t>
      </w:r>
      <w:r>
        <w:rPr>
          <w:rFonts w:hint="default" w:ascii="Times New Roman" w:hAnsi="Times New Roman" w:eastAsia="方正仿宋_GBK" w:cs="Times New Roman"/>
          <w:sz w:val="32"/>
          <w:szCs w:val="32"/>
          <w:vertAlign w:val="superscript"/>
        </w:rPr>
        <w:t>3</w:t>
      </w:r>
      <w:r>
        <w:rPr>
          <w:rFonts w:hint="default" w:ascii="Times New Roman" w:hAnsi="Times New Roman" w:eastAsia="方正仿宋_GBK" w:cs="Times New Roman"/>
          <w:sz w:val="32"/>
          <w:szCs w:val="32"/>
        </w:rPr>
        <w:t>/s）和最大24小时洪量（0.905亿m</w:t>
      </w:r>
      <w:r>
        <w:rPr>
          <w:rFonts w:hint="default" w:ascii="Times New Roman" w:hAnsi="Times New Roman" w:eastAsia="方正仿宋_GBK" w:cs="Times New Roman"/>
          <w:sz w:val="32"/>
          <w:szCs w:val="32"/>
          <w:vertAlign w:val="superscript"/>
        </w:rPr>
        <w:t>3</w:t>
      </w:r>
      <w:r>
        <w:rPr>
          <w:rFonts w:hint="default" w:ascii="Times New Roman" w:hAnsi="Times New Roman" w:eastAsia="方正仿宋_GBK" w:cs="Times New Roman"/>
          <w:sz w:val="32"/>
          <w:szCs w:val="32"/>
        </w:rPr>
        <w:t>）约占东溪站（4360m</w:t>
      </w:r>
      <w:r>
        <w:rPr>
          <w:rFonts w:hint="default" w:ascii="Times New Roman" w:hAnsi="Times New Roman" w:eastAsia="方正仿宋_GBK" w:cs="Times New Roman"/>
          <w:sz w:val="32"/>
          <w:szCs w:val="32"/>
          <w:vertAlign w:val="superscript"/>
        </w:rPr>
        <w:t>3</w:t>
      </w:r>
      <w:r>
        <w:rPr>
          <w:rFonts w:hint="default" w:ascii="Times New Roman" w:hAnsi="Times New Roman" w:eastAsia="方正仿宋_GBK" w:cs="Times New Roman"/>
          <w:sz w:val="32"/>
          <w:szCs w:val="32"/>
        </w:rPr>
        <w:t>/s和1.538亿m</w:t>
      </w:r>
      <w:r>
        <w:rPr>
          <w:rFonts w:hint="default" w:ascii="Times New Roman" w:hAnsi="Times New Roman" w:eastAsia="方正仿宋_GBK" w:cs="Times New Roman"/>
          <w:sz w:val="32"/>
          <w:szCs w:val="32"/>
          <w:vertAlign w:val="superscript"/>
        </w:rPr>
        <w:t>3</w:t>
      </w:r>
      <w:r>
        <w:rPr>
          <w:rFonts w:hint="default" w:ascii="Times New Roman" w:hAnsi="Times New Roman" w:eastAsia="方正仿宋_GBK" w:cs="Times New Roman"/>
          <w:sz w:val="32"/>
          <w:szCs w:val="32"/>
        </w:rPr>
        <w:t>）的76%和59%，远大于面积比38%</w:t>
      </w:r>
      <w:r>
        <w:rPr>
          <w:rFonts w:hint="default" w:ascii="Times New Roman" w:hAnsi="Times New Roman" w:eastAsia="方正仿宋_GBK" w:cs="Times New Roman"/>
          <w:spacing w:val="-4"/>
          <w:sz w:val="32"/>
          <w:szCs w:val="32"/>
        </w:rPr>
        <w:t>。</w:t>
      </w:r>
      <w:r>
        <w:rPr>
          <w:rFonts w:hint="default" w:ascii="Times New Roman" w:hAnsi="Times New Roman" w:eastAsia="方正仿宋_GBK" w:cs="Times New Roman"/>
          <w:sz w:val="32"/>
          <w:szCs w:val="32"/>
        </w:rPr>
        <w:t>藻渡河最大24h洪量约占城北大桥的37%，大于面积比25%，说明綦江城区的未控区间大；东溪站洪峰流量约占城北大桥（5063m</w:t>
      </w:r>
      <w:r>
        <w:rPr>
          <w:rFonts w:hint="default" w:ascii="Times New Roman" w:hAnsi="Times New Roman" w:eastAsia="方正仿宋_GBK" w:cs="Times New Roman"/>
          <w:sz w:val="32"/>
          <w:szCs w:val="32"/>
          <w:vertAlign w:val="superscript"/>
        </w:rPr>
        <w:t>3</w:t>
      </w:r>
      <w:r>
        <w:rPr>
          <w:rFonts w:hint="default" w:ascii="Times New Roman" w:hAnsi="Times New Roman" w:eastAsia="方正仿宋_GBK" w:cs="Times New Roman"/>
          <w:sz w:val="32"/>
          <w:szCs w:val="32"/>
        </w:rPr>
        <w:t>/s）的86%，远大于面积比66%，东溪站最大24h洪量约占城北大桥（2.43亿m</w:t>
      </w:r>
      <w:r>
        <w:rPr>
          <w:rFonts w:hint="default" w:ascii="Times New Roman" w:hAnsi="Times New Roman" w:eastAsia="方正仿宋_GBK" w:cs="Times New Roman"/>
          <w:sz w:val="32"/>
          <w:szCs w:val="32"/>
          <w:vertAlign w:val="superscript"/>
        </w:rPr>
        <w:t>3</w:t>
      </w:r>
      <w:r>
        <w:rPr>
          <w:rFonts w:hint="default" w:ascii="Times New Roman" w:hAnsi="Times New Roman" w:eastAsia="方正仿宋_GBK" w:cs="Times New Roman"/>
          <w:sz w:val="32"/>
          <w:szCs w:val="32"/>
        </w:rPr>
        <w:t>）的63%，与面积比持平。城北大桥洪峰流量和24h洪量分别约占五岔站（5360m</w:t>
      </w:r>
      <w:r>
        <w:rPr>
          <w:rFonts w:hint="default" w:ascii="Times New Roman" w:hAnsi="Times New Roman" w:eastAsia="方正仿宋_GBK" w:cs="Times New Roman"/>
          <w:sz w:val="32"/>
          <w:szCs w:val="32"/>
          <w:vertAlign w:val="superscript"/>
        </w:rPr>
        <w:t>3</w:t>
      </w:r>
      <w:r>
        <w:rPr>
          <w:rFonts w:hint="default" w:ascii="Times New Roman" w:hAnsi="Times New Roman" w:eastAsia="方正仿宋_GBK" w:cs="Times New Roman"/>
          <w:sz w:val="32"/>
          <w:szCs w:val="32"/>
        </w:rPr>
        <w:t>/s和2.973亿m</w:t>
      </w:r>
      <w:r>
        <w:rPr>
          <w:rFonts w:hint="default" w:ascii="Times New Roman" w:hAnsi="Times New Roman" w:eastAsia="方正仿宋_GBK" w:cs="Times New Roman"/>
          <w:sz w:val="32"/>
          <w:szCs w:val="32"/>
          <w:vertAlign w:val="superscript"/>
        </w:rPr>
        <w:t>3</w:t>
      </w:r>
      <w:r>
        <w:rPr>
          <w:rFonts w:hint="default" w:ascii="Times New Roman" w:hAnsi="Times New Roman" w:eastAsia="方正仿宋_GBK" w:cs="Times New Roman"/>
          <w:sz w:val="32"/>
          <w:szCs w:val="32"/>
        </w:rPr>
        <w:t>）的94%和82%。“6.22”洪水过程见图4.3</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3。</w:t>
      </w:r>
    </w:p>
    <w:p>
      <w:pPr>
        <w:spacing w:line="240" w:lineRule="auto"/>
        <w:ind w:firstLine="0" w:firstLineChars="0"/>
        <w:jc w:val="center"/>
        <w:rPr>
          <w:rFonts w:hAnsi="Calibri" w:cs="宋体"/>
          <w:kern w:val="0"/>
          <w:szCs w:val="20"/>
        </w:rPr>
      </w:pPr>
      <w:r>
        <w:rPr>
          <w:rFonts w:hAnsi="Calibri" w:cs="宋体"/>
          <w:szCs w:val="20"/>
        </w:rPr>
        <w:drawing>
          <wp:inline distT="0" distB="0" distL="114300" distR="114300">
            <wp:extent cx="5689600" cy="3526790"/>
            <wp:effectExtent l="0" t="0" r="6350" b="16510"/>
            <wp:docPr id="90" name="图片 441" descr="图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0" name="图片 441" descr="图2"/>
                    <pic:cNvPicPr>
                      <a:picLocks noChangeAspect="true"/>
                    </pic:cNvPicPr>
                  </pic:nvPicPr>
                  <pic:blipFill>
                    <a:blip r:embed="rId129"/>
                    <a:stretch>
                      <a:fillRect/>
                    </a:stretch>
                  </pic:blipFill>
                  <pic:spPr>
                    <a:xfrm>
                      <a:off x="0" y="0"/>
                      <a:ext cx="5689600" cy="3526790"/>
                    </a:xfrm>
                    <a:prstGeom prst="rect">
                      <a:avLst/>
                    </a:prstGeom>
                    <a:noFill/>
                    <a:ln>
                      <a:noFill/>
                    </a:ln>
                  </pic:spPr>
                </pic:pic>
              </a:graphicData>
            </a:graphic>
          </wp:inline>
        </w:drawing>
      </w:r>
    </w:p>
    <w:p>
      <w:pPr>
        <w:spacing w:line="240" w:lineRule="auto"/>
        <w:ind w:firstLine="0" w:firstLineChars="0"/>
        <w:jc w:val="center"/>
        <w:outlineLvl w:val="7"/>
        <w:rPr>
          <w:rFonts w:hint="default" w:ascii="Times New Roman" w:hAnsi="Times New Roman" w:eastAsia="方正黑体_GBK" w:cs="Times New Roman"/>
          <w:sz w:val="24"/>
          <w:szCs w:val="20"/>
        </w:rPr>
      </w:pPr>
      <w:r>
        <w:rPr>
          <w:rFonts w:hint="default" w:ascii="Times New Roman" w:hAnsi="Times New Roman" w:eastAsia="方正黑体_GBK" w:cs="Times New Roman"/>
          <w:sz w:val="24"/>
          <w:szCs w:val="20"/>
        </w:rPr>
        <w:t>图4.3</w:t>
      </w:r>
      <w:r>
        <w:rPr>
          <w:rFonts w:hint="default" w:ascii="Times New Roman" w:hAnsi="Times New Roman" w:eastAsia="方正黑体_GBK" w:cs="Times New Roman"/>
          <w:sz w:val="24"/>
          <w:szCs w:val="20"/>
          <w:lang w:eastAsia="zh-CN"/>
        </w:rPr>
        <w:t>—</w:t>
      </w:r>
      <w:r>
        <w:rPr>
          <w:rFonts w:hint="default" w:ascii="Times New Roman" w:hAnsi="Times New Roman" w:eastAsia="方正黑体_GBK" w:cs="Times New Roman"/>
          <w:sz w:val="24"/>
          <w:szCs w:val="20"/>
        </w:rPr>
        <w:t>3    綦</w:t>
      </w:r>
      <w:r>
        <w:rPr>
          <w:rFonts w:hint="eastAsia" w:ascii="方正黑体_GBK" w:hAnsi="方正黑体_GBK" w:eastAsia="方正黑体_GBK" w:cs="方正黑体_GBK"/>
          <w:sz w:val="24"/>
          <w:szCs w:val="20"/>
        </w:rPr>
        <w:t>江“</w:t>
      </w:r>
      <w:r>
        <w:rPr>
          <w:rFonts w:hint="default" w:ascii="Times New Roman" w:hAnsi="Times New Roman" w:eastAsia="方正黑体_GBK" w:cs="Times New Roman"/>
          <w:sz w:val="24"/>
          <w:szCs w:val="20"/>
        </w:rPr>
        <w:t>2020.6.22</w:t>
      </w:r>
      <w:r>
        <w:rPr>
          <w:rFonts w:hint="eastAsia" w:ascii="方正黑体_GBK" w:hAnsi="方正黑体_GBK" w:eastAsia="方正黑体_GBK" w:cs="方正黑体_GBK"/>
          <w:sz w:val="24"/>
          <w:szCs w:val="20"/>
        </w:rPr>
        <w:t>”洪水过程</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2</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kern w:val="2"/>
          <w:sz w:val="32"/>
          <w:szCs w:val="32"/>
          <w:lang w:val="en-US" w:eastAsia="zh-CN" w:bidi="ar-SA"/>
        </w:rPr>
        <w:t>洪水</w:t>
      </w:r>
      <w:r>
        <w:rPr>
          <w:rFonts w:hint="default" w:ascii="Times New Roman" w:hAnsi="Times New Roman" w:eastAsia="方正仿宋_GBK" w:cs="Times New Roman"/>
          <w:kern w:val="2"/>
          <w:sz w:val="32"/>
          <w:szCs w:val="32"/>
          <w:lang w:val="en-US" w:eastAsia="zh-CN" w:bidi="ar-SA"/>
        </w:rPr>
        <w:t>遭遇分析</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根据《水文年鉴》中洪水要素摘录表和降雨量摘录表，收集整理了綦江东溪站1971</w:t>
      </w:r>
      <w:r>
        <w:rPr>
          <w:rFonts w:hint="eastAsia" w:ascii="Times New Roman" w:eastAsia="方正仿宋_GBK" w:cs="Times New Roman"/>
          <w:kern w:val="2"/>
          <w:sz w:val="32"/>
          <w:szCs w:val="32"/>
          <w:lang w:val="en-US" w:eastAsia="zh-CN" w:bidi="ar-SA"/>
        </w:rPr>
        <w:t>—</w:t>
      </w:r>
      <w:r>
        <w:rPr>
          <w:rFonts w:hint="eastAsia" w:ascii="Times New Roman" w:hAnsi="Times New Roman" w:eastAsia="方正仿宋_GBK" w:cs="Times New Roman"/>
          <w:kern w:val="2"/>
          <w:sz w:val="32"/>
          <w:szCs w:val="32"/>
          <w:lang w:val="en-US" w:eastAsia="zh-CN" w:bidi="ar-SA"/>
        </w:rPr>
        <w:t>2020年发生2年一遇以上的洪水过程和同期（或前期）降雨资料（12h、24h）（松坎河降雨以夜郎、新站、松坎站雨量算术平均求得，藻渡河降雨以小河坝、羊蹬、藻渡站雨量算术平均求得），见表</w:t>
      </w:r>
      <w:r>
        <w:rPr>
          <w:rFonts w:hint="default" w:ascii="Times New Roman" w:hAnsi="Times New Roman" w:eastAsia="方正仿宋_GBK" w:cs="Times New Roman"/>
          <w:kern w:val="2"/>
          <w:sz w:val="32"/>
          <w:szCs w:val="32"/>
          <w:lang w:val="en-US" w:eastAsia="zh-CN" w:bidi="ar-SA"/>
        </w:rPr>
        <w:t>4.</w:t>
      </w:r>
      <w:r>
        <w:rPr>
          <w:rFonts w:hint="eastAsia" w:ascii="Times New Roman" w:hAnsi="Times New Roman" w:eastAsia="方正仿宋_GBK" w:cs="Times New Roman"/>
          <w:kern w:val="2"/>
          <w:sz w:val="32"/>
          <w:szCs w:val="32"/>
          <w:lang w:val="en-US" w:eastAsia="zh-CN" w:bidi="ar-SA"/>
        </w:rPr>
        <w:t>3</w:t>
      </w:r>
      <w:r>
        <w:rPr>
          <w:rFonts w:hint="eastAsia" w:ascii="Times New Roman" w:eastAsia="方正仿宋_GBK" w:cs="Times New Roman"/>
          <w:kern w:val="2"/>
          <w:sz w:val="32"/>
          <w:szCs w:val="32"/>
          <w:lang w:val="en-US" w:eastAsia="zh-CN" w:bidi="ar-SA"/>
        </w:rPr>
        <w:t>—</w:t>
      </w:r>
      <w:r>
        <w:rPr>
          <w:rFonts w:hint="default" w:ascii="Times New Roman" w:hAnsi="Times New Roman" w:eastAsia="方正仿宋_GBK" w:cs="Times New Roman"/>
          <w:kern w:val="2"/>
          <w:sz w:val="32"/>
          <w:szCs w:val="32"/>
          <w:lang w:val="en-US" w:eastAsia="zh-CN" w:bidi="ar-SA"/>
        </w:rPr>
        <w:t>3</w:t>
      </w:r>
      <w:r>
        <w:rPr>
          <w:rFonts w:hint="eastAsia" w:ascii="Times New Roman" w:hAnsi="Times New Roman" w:eastAsia="方正仿宋_GBK" w:cs="Times New Roman"/>
          <w:kern w:val="2"/>
          <w:sz w:val="32"/>
          <w:szCs w:val="32"/>
          <w:lang w:val="en-US" w:eastAsia="zh-CN" w:bidi="ar-SA"/>
        </w:rPr>
        <w:t>。</w:t>
      </w:r>
    </w:p>
    <w:p>
      <w:pPr>
        <w:spacing w:after="60"/>
        <w:ind w:firstLine="240" w:firstLineChars="100"/>
        <w:outlineLvl w:val="5"/>
        <w:rPr>
          <w:rFonts w:hint="default" w:ascii="Times New Roman" w:hAnsi="Times New Roman" w:eastAsia="黑体" w:cs="Times New Roman"/>
          <w:sz w:val="24"/>
          <w:szCs w:val="20"/>
        </w:rPr>
      </w:pPr>
      <w:r>
        <w:rPr>
          <w:rFonts w:hint="default" w:ascii="Times New Roman" w:hAnsi="Times New Roman" w:eastAsia="黑体" w:cs="Times New Roman"/>
          <w:sz w:val="24"/>
          <w:szCs w:val="20"/>
        </w:rPr>
        <w:t>表4.3</w:t>
      </w:r>
      <w:r>
        <w:rPr>
          <w:rFonts w:hint="default" w:ascii="Times New Roman" w:hAnsi="Times New Roman" w:eastAsia="黑体" w:cs="Times New Roman"/>
          <w:sz w:val="24"/>
          <w:szCs w:val="20"/>
          <w:lang w:eastAsia="zh-CN"/>
        </w:rPr>
        <w:t>—</w:t>
      </w:r>
      <w:r>
        <w:rPr>
          <w:rFonts w:hint="default" w:ascii="Times New Roman" w:hAnsi="Times New Roman" w:eastAsia="黑体" w:cs="Times New Roman"/>
          <w:sz w:val="24"/>
          <w:szCs w:val="20"/>
        </w:rPr>
        <w:t>3　　　　　　　　藻渡河与綦江干流洪水遭遇情况</w:t>
      </w:r>
    </w:p>
    <w:tbl>
      <w:tblPr>
        <w:tblStyle w:val="88"/>
        <w:tblW w:w="5000"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108" w:type="dxa"/>
          <w:bottom w:w="0" w:type="dxa"/>
          <w:right w:w="108" w:type="dxa"/>
        </w:tblCellMar>
      </w:tblPr>
      <w:tblGrid>
        <w:gridCol w:w="1039"/>
        <w:gridCol w:w="1686"/>
        <w:gridCol w:w="1686"/>
        <w:gridCol w:w="1170"/>
        <w:gridCol w:w="1268"/>
        <w:gridCol w:w="1223"/>
        <w:gridCol w:w="1215"/>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587" w:type="pct"/>
            <w:vMerge w:val="restar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年</w:t>
            </w:r>
          </w:p>
        </w:tc>
        <w:tc>
          <w:tcPr>
            <w:tcW w:w="929" w:type="pct"/>
            <w:vMerge w:val="restar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东溪站洪峰流量</w:t>
            </w:r>
          </w:p>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（m</w:t>
            </w:r>
            <w:r>
              <w:rPr>
                <w:rFonts w:hint="eastAsia" w:ascii="楷体_GB2312" w:hAnsi="Calibri" w:eastAsia="楷体_GB2312"/>
                <w:snapToGrid w:val="0"/>
                <w:kern w:val="0"/>
                <w:sz w:val="21"/>
                <w:szCs w:val="21"/>
                <w:vertAlign w:val="superscript"/>
              </w:rPr>
              <w:t>3</w:t>
            </w:r>
            <w:r>
              <w:rPr>
                <w:rFonts w:hint="eastAsia" w:ascii="楷体_GB2312" w:hAnsi="Calibri" w:eastAsia="楷体_GB2312"/>
                <w:snapToGrid w:val="0"/>
                <w:kern w:val="0"/>
                <w:sz w:val="21"/>
                <w:szCs w:val="21"/>
              </w:rPr>
              <w:t>/s）</w:t>
            </w:r>
          </w:p>
        </w:tc>
        <w:tc>
          <w:tcPr>
            <w:tcW w:w="929" w:type="pct"/>
            <w:vMerge w:val="restar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松坎站相应流量</w:t>
            </w:r>
          </w:p>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（m</w:t>
            </w:r>
            <w:r>
              <w:rPr>
                <w:rFonts w:hint="eastAsia" w:ascii="楷体_GB2312" w:hAnsi="Calibri" w:eastAsia="楷体_GB2312"/>
                <w:snapToGrid w:val="0"/>
                <w:kern w:val="0"/>
                <w:sz w:val="21"/>
                <w:szCs w:val="21"/>
                <w:vertAlign w:val="superscript"/>
              </w:rPr>
              <w:t>3</w:t>
            </w:r>
            <w:r>
              <w:rPr>
                <w:rFonts w:hint="eastAsia" w:ascii="楷体_GB2312" w:hAnsi="Calibri" w:eastAsia="楷体_GB2312"/>
                <w:snapToGrid w:val="0"/>
                <w:kern w:val="0"/>
                <w:sz w:val="21"/>
                <w:szCs w:val="21"/>
              </w:rPr>
              <w:t>/s）</w:t>
            </w:r>
          </w:p>
        </w:tc>
        <w:tc>
          <w:tcPr>
            <w:tcW w:w="1277" w:type="pct"/>
            <w:gridSpan w:val="2"/>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松坎河流域降雨（mm）</w:t>
            </w:r>
          </w:p>
        </w:tc>
        <w:tc>
          <w:tcPr>
            <w:tcW w:w="1276" w:type="pct"/>
            <w:gridSpan w:val="2"/>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藻渡河流域降雨（mm）</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587" w:type="pct"/>
            <w:vMerge w:val="continue"/>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p>
        </w:tc>
        <w:tc>
          <w:tcPr>
            <w:tcW w:w="929" w:type="pct"/>
            <w:vMerge w:val="continue"/>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p>
        </w:tc>
        <w:tc>
          <w:tcPr>
            <w:tcW w:w="929" w:type="pct"/>
            <w:vMerge w:val="continue"/>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p>
        </w:tc>
        <w:tc>
          <w:tcPr>
            <w:tcW w:w="613"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12h</w:t>
            </w:r>
          </w:p>
        </w:tc>
        <w:tc>
          <w:tcPr>
            <w:tcW w:w="664"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24h</w:t>
            </w:r>
          </w:p>
        </w:tc>
        <w:tc>
          <w:tcPr>
            <w:tcW w:w="640"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12h</w:t>
            </w:r>
          </w:p>
        </w:tc>
        <w:tc>
          <w:tcPr>
            <w:tcW w:w="636"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24h</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587"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1971</w:t>
            </w:r>
          </w:p>
        </w:tc>
        <w:tc>
          <w:tcPr>
            <w:tcW w:w="929"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1740</w:t>
            </w:r>
          </w:p>
        </w:tc>
        <w:tc>
          <w:tcPr>
            <w:tcW w:w="929"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524</w:t>
            </w:r>
          </w:p>
        </w:tc>
        <w:tc>
          <w:tcPr>
            <w:tcW w:w="613"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96</w:t>
            </w:r>
          </w:p>
        </w:tc>
        <w:tc>
          <w:tcPr>
            <w:tcW w:w="664"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100</w:t>
            </w:r>
          </w:p>
        </w:tc>
        <w:tc>
          <w:tcPr>
            <w:tcW w:w="640"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63</w:t>
            </w:r>
          </w:p>
        </w:tc>
        <w:tc>
          <w:tcPr>
            <w:tcW w:w="636"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104</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587"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1973</w:t>
            </w:r>
          </w:p>
        </w:tc>
        <w:tc>
          <w:tcPr>
            <w:tcW w:w="929"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2020</w:t>
            </w:r>
          </w:p>
        </w:tc>
        <w:tc>
          <w:tcPr>
            <w:tcW w:w="929"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564</w:t>
            </w:r>
          </w:p>
        </w:tc>
        <w:tc>
          <w:tcPr>
            <w:tcW w:w="613"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54</w:t>
            </w:r>
          </w:p>
        </w:tc>
        <w:tc>
          <w:tcPr>
            <w:tcW w:w="664"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61</w:t>
            </w:r>
          </w:p>
        </w:tc>
        <w:tc>
          <w:tcPr>
            <w:tcW w:w="640"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60</w:t>
            </w:r>
          </w:p>
        </w:tc>
        <w:tc>
          <w:tcPr>
            <w:tcW w:w="636"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64</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587"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1974</w:t>
            </w:r>
          </w:p>
        </w:tc>
        <w:tc>
          <w:tcPr>
            <w:tcW w:w="929"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1760</w:t>
            </w:r>
          </w:p>
        </w:tc>
        <w:tc>
          <w:tcPr>
            <w:tcW w:w="929"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478</w:t>
            </w:r>
          </w:p>
        </w:tc>
        <w:tc>
          <w:tcPr>
            <w:tcW w:w="613"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103</w:t>
            </w:r>
          </w:p>
        </w:tc>
        <w:tc>
          <w:tcPr>
            <w:tcW w:w="664"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111</w:t>
            </w:r>
          </w:p>
        </w:tc>
        <w:tc>
          <w:tcPr>
            <w:tcW w:w="640"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50</w:t>
            </w:r>
          </w:p>
        </w:tc>
        <w:tc>
          <w:tcPr>
            <w:tcW w:w="636"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57</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587"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1975</w:t>
            </w:r>
          </w:p>
        </w:tc>
        <w:tc>
          <w:tcPr>
            <w:tcW w:w="929"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1700</w:t>
            </w:r>
          </w:p>
        </w:tc>
        <w:tc>
          <w:tcPr>
            <w:tcW w:w="929"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304</w:t>
            </w:r>
          </w:p>
        </w:tc>
        <w:tc>
          <w:tcPr>
            <w:tcW w:w="613"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43</w:t>
            </w:r>
          </w:p>
        </w:tc>
        <w:tc>
          <w:tcPr>
            <w:tcW w:w="664"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44</w:t>
            </w:r>
          </w:p>
        </w:tc>
        <w:tc>
          <w:tcPr>
            <w:tcW w:w="640"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36</w:t>
            </w:r>
          </w:p>
        </w:tc>
        <w:tc>
          <w:tcPr>
            <w:tcW w:w="636"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54</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587"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1976</w:t>
            </w:r>
          </w:p>
        </w:tc>
        <w:tc>
          <w:tcPr>
            <w:tcW w:w="929"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2590</w:t>
            </w:r>
          </w:p>
        </w:tc>
        <w:tc>
          <w:tcPr>
            <w:tcW w:w="929"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822</w:t>
            </w:r>
          </w:p>
        </w:tc>
        <w:tc>
          <w:tcPr>
            <w:tcW w:w="613"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69</w:t>
            </w:r>
          </w:p>
        </w:tc>
        <w:tc>
          <w:tcPr>
            <w:tcW w:w="664"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71</w:t>
            </w:r>
          </w:p>
        </w:tc>
        <w:tc>
          <w:tcPr>
            <w:tcW w:w="640"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70</w:t>
            </w:r>
          </w:p>
        </w:tc>
        <w:tc>
          <w:tcPr>
            <w:tcW w:w="636"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73</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587"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1977</w:t>
            </w:r>
          </w:p>
        </w:tc>
        <w:tc>
          <w:tcPr>
            <w:tcW w:w="929"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2860</w:t>
            </w:r>
          </w:p>
        </w:tc>
        <w:tc>
          <w:tcPr>
            <w:tcW w:w="929"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770</w:t>
            </w:r>
          </w:p>
        </w:tc>
        <w:tc>
          <w:tcPr>
            <w:tcW w:w="613"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66</w:t>
            </w:r>
          </w:p>
        </w:tc>
        <w:tc>
          <w:tcPr>
            <w:tcW w:w="664"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71</w:t>
            </w:r>
          </w:p>
        </w:tc>
        <w:tc>
          <w:tcPr>
            <w:tcW w:w="640"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60</w:t>
            </w:r>
          </w:p>
        </w:tc>
        <w:tc>
          <w:tcPr>
            <w:tcW w:w="636"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63</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587"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1978</w:t>
            </w:r>
          </w:p>
        </w:tc>
        <w:tc>
          <w:tcPr>
            <w:tcW w:w="929"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1970</w:t>
            </w:r>
          </w:p>
        </w:tc>
        <w:tc>
          <w:tcPr>
            <w:tcW w:w="929"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57</w:t>
            </w:r>
          </w:p>
        </w:tc>
        <w:tc>
          <w:tcPr>
            <w:tcW w:w="613"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16</w:t>
            </w:r>
          </w:p>
        </w:tc>
        <w:tc>
          <w:tcPr>
            <w:tcW w:w="664"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17</w:t>
            </w:r>
          </w:p>
        </w:tc>
        <w:tc>
          <w:tcPr>
            <w:tcW w:w="640"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48</w:t>
            </w:r>
          </w:p>
        </w:tc>
        <w:tc>
          <w:tcPr>
            <w:tcW w:w="636"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56</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587"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1979</w:t>
            </w:r>
          </w:p>
        </w:tc>
        <w:tc>
          <w:tcPr>
            <w:tcW w:w="929"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3060</w:t>
            </w:r>
          </w:p>
        </w:tc>
        <w:tc>
          <w:tcPr>
            <w:tcW w:w="929"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814</w:t>
            </w:r>
          </w:p>
        </w:tc>
        <w:tc>
          <w:tcPr>
            <w:tcW w:w="613"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78</w:t>
            </w:r>
          </w:p>
        </w:tc>
        <w:tc>
          <w:tcPr>
            <w:tcW w:w="664"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79</w:t>
            </w:r>
          </w:p>
        </w:tc>
        <w:tc>
          <w:tcPr>
            <w:tcW w:w="640"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89</w:t>
            </w:r>
          </w:p>
        </w:tc>
        <w:tc>
          <w:tcPr>
            <w:tcW w:w="636"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93</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587"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1980</w:t>
            </w:r>
          </w:p>
        </w:tc>
        <w:tc>
          <w:tcPr>
            <w:tcW w:w="929"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2470</w:t>
            </w:r>
          </w:p>
        </w:tc>
        <w:tc>
          <w:tcPr>
            <w:tcW w:w="929"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642</w:t>
            </w:r>
          </w:p>
        </w:tc>
        <w:tc>
          <w:tcPr>
            <w:tcW w:w="613"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54</w:t>
            </w:r>
          </w:p>
        </w:tc>
        <w:tc>
          <w:tcPr>
            <w:tcW w:w="664"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77</w:t>
            </w:r>
          </w:p>
        </w:tc>
        <w:tc>
          <w:tcPr>
            <w:tcW w:w="640"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73</w:t>
            </w:r>
          </w:p>
        </w:tc>
        <w:tc>
          <w:tcPr>
            <w:tcW w:w="636"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96</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587"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1982</w:t>
            </w:r>
          </w:p>
        </w:tc>
        <w:tc>
          <w:tcPr>
            <w:tcW w:w="929"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1770</w:t>
            </w:r>
          </w:p>
        </w:tc>
        <w:tc>
          <w:tcPr>
            <w:tcW w:w="929"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807</w:t>
            </w:r>
          </w:p>
        </w:tc>
        <w:tc>
          <w:tcPr>
            <w:tcW w:w="613"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64</w:t>
            </w:r>
          </w:p>
        </w:tc>
        <w:tc>
          <w:tcPr>
            <w:tcW w:w="664"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64</w:t>
            </w:r>
          </w:p>
        </w:tc>
        <w:tc>
          <w:tcPr>
            <w:tcW w:w="640"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40</w:t>
            </w:r>
          </w:p>
        </w:tc>
        <w:tc>
          <w:tcPr>
            <w:tcW w:w="636"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44</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587"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1983</w:t>
            </w:r>
          </w:p>
        </w:tc>
        <w:tc>
          <w:tcPr>
            <w:tcW w:w="929"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2700</w:t>
            </w:r>
          </w:p>
        </w:tc>
        <w:tc>
          <w:tcPr>
            <w:tcW w:w="929"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798</w:t>
            </w:r>
          </w:p>
        </w:tc>
        <w:tc>
          <w:tcPr>
            <w:tcW w:w="613"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86</w:t>
            </w:r>
          </w:p>
        </w:tc>
        <w:tc>
          <w:tcPr>
            <w:tcW w:w="664"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91</w:t>
            </w:r>
          </w:p>
        </w:tc>
        <w:tc>
          <w:tcPr>
            <w:tcW w:w="640"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73</w:t>
            </w:r>
          </w:p>
        </w:tc>
        <w:tc>
          <w:tcPr>
            <w:tcW w:w="636"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88</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587"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1985</w:t>
            </w:r>
          </w:p>
        </w:tc>
        <w:tc>
          <w:tcPr>
            <w:tcW w:w="929"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1630</w:t>
            </w:r>
          </w:p>
        </w:tc>
        <w:tc>
          <w:tcPr>
            <w:tcW w:w="929"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621</w:t>
            </w:r>
          </w:p>
        </w:tc>
        <w:tc>
          <w:tcPr>
            <w:tcW w:w="613"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58</w:t>
            </w:r>
          </w:p>
        </w:tc>
        <w:tc>
          <w:tcPr>
            <w:tcW w:w="664"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74</w:t>
            </w:r>
          </w:p>
        </w:tc>
        <w:tc>
          <w:tcPr>
            <w:tcW w:w="640"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36</w:t>
            </w:r>
          </w:p>
        </w:tc>
        <w:tc>
          <w:tcPr>
            <w:tcW w:w="636"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587"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1986</w:t>
            </w:r>
          </w:p>
        </w:tc>
        <w:tc>
          <w:tcPr>
            <w:tcW w:w="929"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1950</w:t>
            </w:r>
          </w:p>
        </w:tc>
        <w:tc>
          <w:tcPr>
            <w:tcW w:w="929"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601</w:t>
            </w:r>
          </w:p>
        </w:tc>
        <w:tc>
          <w:tcPr>
            <w:tcW w:w="613"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59</w:t>
            </w:r>
          </w:p>
        </w:tc>
        <w:tc>
          <w:tcPr>
            <w:tcW w:w="664"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73</w:t>
            </w:r>
          </w:p>
        </w:tc>
        <w:tc>
          <w:tcPr>
            <w:tcW w:w="640"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21</w:t>
            </w:r>
          </w:p>
        </w:tc>
        <w:tc>
          <w:tcPr>
            <w:tcW w:w="636"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29</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587"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1988</w:t>
            </w:r>
          </w:p>
        </w:tc>
        <w:tc>
          <w:tcPr>
            <w:tcW w:w="929"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1890</w:t>
            </w:r>
          </w:p>
        </w:tc>
        <w:tc>
          <w:tcPr>
            <w:tcW w:w="929"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774</w:t>
            </w:r>
          </w:p>
        </w:tc>
        <w:tc>
          <w:tcPr>
            <w:tcW w:w="613"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60</w:t>
            </w:r>
          </w:p>
        </w:tc>
        <w:tc>
          <w:tcPr>
            <w:tcW w:w="664"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62</w:t>
            </w:r>
          </w:p>
        </w:tc>
        <w:tc>
          <w:tcPr>
            <w:tcW w:w="640"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34</w:t>
            </w:r>
          </w:p>
        </w:tc>
        <w:tc>
          <w:tcPr>
            <w:tcW w:w="636"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43</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587"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1998</w:t>
            </w:r>
          </w:p>
        </w:tc>
        <w:tc>
          <w:tcPr>
            <w:tcW w:w="929"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4620</w:t>
            </w:r>
          </w:p>
        </w:tc>
        <w:tc>
          <w:tcPr>
            <w:tcW w:w="929"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683</w:t>
            </w:r>
          </w:p>
        </w:tc>
        <w:tc>
          <w:tcPr>
            <w:tcW w:w="613"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67</w:t>
            </w:r>
          </w:p>
        </w:tc>
        <w:tc>
          <w:tcPr>
            <w:tcW w:w="664"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71</w:t>
            </w:r>
          </w:p>
        </w:tc>
        <w:tc>
          <w:tcPr>
            <w:tcW w:w="640"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111</w:t>
            </w:r>
          </w:p>
        </w:tc>
        <w:tc>
          <w:tcPr>
            <w:tcW w:w="636"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128</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587"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2002</w:t>
            </w:r>
          </w:p>
        </w:tc>
        <w:tc>
          <w:tcPr>
            <w:tcW w:w="929"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2410</w:t>
            </w:r>
          </w:p>
        </w:tc>
        <w:tc>
          <w:tcPr>
            <w:tcW w:w="929"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579</w:t>
            </w:r>
          </w:p>
        </w:tc>
        <w:tc>
          <w:tcPr>
            <w:tcW w:w="613"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54</w:t>
            </w:r>
          </w:p>
        </w:tc>
        <w:tc>
          <w:tcPr>
            <w:tcW w:w="664"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61</w:t>
            </w:r>
          </w:p>
        </w:tc>
        <w:tc>
          <w:tcPr>
            <w:tcW w:w="640"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51</w:t>
            </w:r>
          </w:p>
        </w:tc>
        <w:tc>
          <w:tcPr>
            <w:tcW w:w="636"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60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587"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2005</w:t>
            </w:r>
          </w:p>
        </w:tc>
        <w:tc>
          <w:tcPr>
            <w:tcW w:w="929"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2520</w:t>
            </w:r>
          </w:p>
        </w:tc>
        <w:tc>
          <w:tcPr>
            <w:tcW w:w="929"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197</w:t>
            </w:r>
          </w:p>
        </w:tc>
        <w:tc>
          <w:tcPr>
            <w:tcW w:w="613"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25</w:t>
            </w:r>
          </w:p>
        </w:tc>
        <w:tc>
          <w:tcPr>
            <w:tcW w:w="664"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27</w:t>
            </w:r>
          </w:p>
        </w:tc>
        <w:tc>
          <w:tcPr>
            <w:tcW w:w="640"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80</w:t>
            </w:r>
          </w:p>
        </w:tc>
        <w:tc>
          <w:tcPr>
            <w:tcW w:w="636"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85</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587"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2009</w:t>
            </w:r>
          </w:p>
        </w:tc>
        <w:tc>
          <w:tcPr>
            <w:tcW w:w="929"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1630</w:t>
            </w:r>
          </w:p>
        </w:tc>
        <w:tc>
          <w:tcPr>
            <w:tcW w:w="929"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358</w:t>
            </w:r>
          </w:p>
        </w:tc>
        <w:tc>
          <w:tcPr>
            <w:tcW w:w="613"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38</w:t>
            </w:r>
          </w:p>
        </w:tc>
        <w:tc>
          <w:tcPr>
            <w:tcW w:w="664"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66</w:t>
            </w:r>
          </w:p>
        </w:tc>
        <w:tc>
          <w:tcPr>
            <w:tcW w:w="640"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46</w:t>
            </w:r>
          </w:p>
        </w:tc>
        <w:tc>
          <w:tcPr>
            <w:tcW w:w="636"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58</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587"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2010</w:t>
            </w:r>
          </w:p>
        </w:tc>
        <w:tc>
          <w:tcPr>
            <w:tcW w:w="929"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2210</w:t>
            </w:r>
          </w:p>
        </w:tc>
        <w:tc>
          <w:tcPr>
            <w:tcW w:w="929"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767</w:t>
            </w:r>
          </w:p>
        </w:tc>
        <w:tc>
          <w:tcPr>
            <w:tcW w:w="613"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72</w:t>
            </w:r>
          </w:p>
        </w:tc>
        <w:tc>
          <w:tcPr>
            <w:tcW w:w="664"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72</w:t>
            </w:r>
          </w:p>
        </w:tc>
        <w:tc>
          <w:tcPr>
            <w:tcW w:w="640"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52</w:t>
            </w:r>
          </w:p>
        </w:tc>
        <w:tc>
          <w:tcPr>
            <w:tcW w:w="636"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52</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587"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2016</w:t>
            </w:r>
          </w:p>
        </w:tc>
        <w:tc>
          <w:tcPr>
            <w:tcW w:w="929"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2740</w:t>
            </w:r>
          </w:p>
        </w:tc>
        <w:tc>
          <w:tcPr>
            <w:tcW w:w="929"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20</w:t>
            </w:r>
          </w:p>
        </w:tc>
        <w:tc>
          <w:tcPr>
            <w:tcW w:w="613"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14</w:t>
            </w:r>
          </w:p>
        </w:tc>
        <w:tc>
          <w:tcPr>
            <w:tcW w:w="664"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51</w:t>
            </w:r>
          </w:p>
        </w:tc>
        <w:tc>
          <w:tcPr>
            <w:tcW w:w="640"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29</w:t>
            </w:r>
          </w:p>
        </w:tc>
        <w:tc>
          <w:tcPr>
            <w:tcW w:w="636"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97</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587"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2020</w:t>
            </w:r>
          </w:p>
        </w:tc>
        <w:tc>
          <w:tcPr>
            <w:tcW w:w="929"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4360</w:t>
            </w:r>
          </w:p>
        </w:tc>
        <w:tc>
          <w:tcPr>
            <w:tcW w:w="929"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60</w:t>
            </w:r>
          </w:p>
        </w:tc>
        <w:tc>
          <w:tcPr>
            <w:tcW w:w="613"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28</w:t>
            </w:r>
          </w:p>
        </w:tc>
        <w:tc>
          <w:tcPr>
            <w:tcW w:w="664"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63</w:t>
            </w:r>
          </w:p>
        </w:tc>
        <w:tc>
          <w:tcPr>
            <w:tcW w:w="640"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97</w:t>
            </w:r>
          </w:p>
        </w:tc>
        <w:tc>
          <w:tcPr>
            <w:tcW w:w="636"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140</w:t>
            </w:r>
          </w:p>
        </w:tc>
      </w:tr>
    </w:tbl>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由表可知，綦江东溪站发生2年一遇以上洪水时，藻渡河流域降雨量都较大，24</w:t>
      </w:r>
      <w:r>
        <w:rPr>
          <w:rFonts w:hint="default" w:ascii="Times New Roman" w:hAnsi="Times New Roman" w:eastAsia="方正仿宋_GBK" w:cs="Times New Roman"/>
          <w:kern w:val="2"/>
          <w:sz w:val="32"/>
          <w:szCs w:val="32"/>
          <w:lang w:val="en-US" w:eastAsia="zh-CN" w:bidi="ar-SA"/>
        </w:rPr>
        <w:t>h</w:t>
      </w:r>
      <w:r>
        <w:rPr>
          <w:rFonts w:hint="eastAsia" w:ascii="Times New Roman" w:hAnsi="Times New Roman" w:eastAsia="方正仿宋_GBK" w:cs="Times New Roman"/>
          <w:kern w:val="2"/>
          <w:sz w:val="32"/>
          <w:szCs w:val="32"/>
          <w:lang w:val="en-US" w:eastAsia="zh-CN" w:bidi="ar-SA"/>
        </w:rPr>
        <w:t>降雨量有14年大于或接近2年一遇降雨量（60</w:t>
      </w:r>
      <w:r>
        <w:rPr>
          <w:rFonts w:hint="default" w:ascii="Times New Roman" w:hAnsi="Times New Roman" w:eastAsia="方正仿宋_GBK" w:cs="Times New Roman"/>
          <w:kern w:val="2"/>
          <w:sz w:val="32"/>
          <w:szCs w:val="32"/>
          <w:lang w:val="en-US" w:eastAsia="zh-CN" w:bidi="ar-SA"/>
        </w:rPr>
        <w:t>mm</w:t>
      </w:r>
      <w:r>
        <w:rPr>
          <w:rFonts w:hint="eastAsia" w:ascii="Times New Roman" w:hAnsi="Times New Roman" w:eastAsia="方正仿宋_GBK" w:cs="Times New Roman"/>
          <w:kern w:val="2"/>
          <w:sz w:val="32"/>
          <w:szCs w:val="32"/>
          <w:lang w:val="en-US" w:eastAsia="zh-CN" w:bidi="ar-SA"/>
        </w:rPr>
        <w:t>），遭遇比例为73.7%；同时，大多数年份藻渡河流域降雨量与松坎河流域降雨量接近，个别年份（如1998年、2005年、2016年、2020年）藻渡河流域降雨量远大于松坎河流域降雨量。说明藻渡河洪水与綦江干流洪水遭遇几率高。</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kern w:val="2"/>
          <w:sz w:val="32"/>
          <w:szCs w:val="32"/>
          <w:lang w:val="zh-CN" w:eastAsia="zh-CN" w:bidi="ar-SA"/>
        </w:rPr>
      </w:pPr>
      <w:r>
        <w:rPr>
          <w:rFonts w:hint="eastAsia" w:ascii="Times New Roman" w:hAnsi="Times New Roman" w:eastAsia="方正仿宋_GBK" w:cs="Times New Roman"/>
          <w:kern w:val="2"/>
          <w:sz w:val="32"/>
          <w:szCs w:val="32"/>
          <w:lang w:val="en-US" w:eastAsia="zh-CN" w:bidi="ar-SA"/>
        </w:rPr>
        <w:t>结合松坎、东溪、五岔站资料情况，选取1973、1976、1977、1979、1980、1983、1998、2005、2016、2020年共10个洪水典型，</w:t>
      </w:r>
      <w:r>
        <w:rPr>
          <w:rFonts w:hint="eastAsia" w:ascii="Times New Roman" w:hAnsi="Times New Roman" w:eastAsia="方正仿宋_GBK" w:cs="Times New Roman"/>
          <w:kern w:val="2"/>
          <w:sz w:val="32"/>
          <w:szCs w:val="32"/>
          <w:lang w:val="zh-CN" w:eastAsia="zh-CN" w:bidi="ar-SA"/>
        </w:rPr>
        <w:t>各典型</w:t>
      </w:r>
      <w:r>
        <w:rPr>
          <w:rFonts w:hint="eastAsia" w:ascii="Times New Roman" w:hAnsi="Times New Roman" w:eastAsia="方正仿宋_GBK" w:cs="Times New Roman"/>
          <w:kern w:val="2"/>
          <w:sz w:val="32"/>
          <w:szCs w:val="32"/>
          <w:lang w:val="en-US" w:eastAsia="zh-CN" w:bidi="ar-SA"/>
        </w:rPr>
        <w:t>洪水不同断面洪峰和对应频率</w:t>
      </w:r>
      <w:r>
        <w:rPr>
          <w:rFonts w:hint="eastAsia" w:ascii="Times New Roman" w:hAnsi="Times New Roman" w:eastAsia="方正仿宋_GBK" w:cs="Times New Roman"/>
          <w:kern w:val="2"/>
          <w:sz w:val="32"/>
          <w:szCs w:val="32"/>
          <w:lang w:val="zh-CN" w:eastAsia="zh-CN" w:bidi="ar-SA"/>
        </w:rPr>
        <w:t>见表</w:t>
      </w:r>
      <w:r>
        <w:rPr>
          <w:rFonts w:hint="default" w:ascii="Times New Roman" w:hAnsi="Times New Roman" w:eastAsia="方正仿宋_GBK" w:cs="Times New Roman"/>
          <w:kern w:val="2"/>
          <w:sz w:val="32"/>
          <w:szCs w:val="32"/>
          <w:lang w:val="zh-CN" w:eastAsia="zh-CN" w:bidi="ar-SA"/>
        </w:rPr>
        <w:t>4</w:t>
      </w:r>
      <w:r>
        <w:rPr>
          <w:rFonts w:hint="eastAsia" w:ascii="Times New Roman" w:hAnsi="Times New Roman" w:eastAsia="方正仿宋_GBK" w:cs="Times New Roman"/>
          <w:kern w:val="2"/>
          <w:sz w:val="32"/>
          <w:szCs w:val="32"/>
          <w:lang w:val="zh-CN" w:eastAsia="zh-CN" w:bidi="ar-SA"/>
        </w:rPr>
        <w:t>.</w:t>
      </w:r>
      <w:r>
        <w:rPr>
          <w:rFonts w:hint="eastAsia" w:ascii="Times New Roman" w:hAnsi="Times New Roman" w:eastAsia="方正仿宋_GBK" w:cs="Times New Roman"/>
          <w:kern w:val="2"/>
          <w:sz w:val="32"/>
          <w:szCs w:val="32"/>
          <w:lang w:val="en-US" w:eastAsia="zh-CN" w:bidi="ar-SA"/>
        </w:rPr>
        <w:t>3</w:t>
      </w:r>
      <w:r>
        <w:rPr>
          <w:rFonts w:hint="eastAsia" w:ascii="Times New Roman" w:eastAsia="方正仿宋_GBK" w:cs="Times New Roman"/>
          <w:kern w:val="2"/>
          <w:sz w:val="32"/>
          <w:szCs w:val="32"/>
          <w:lang w:val="zh-CN" w:eastAsia="zh-CN" w:bidi="ar-SA"/>
        </w:rPr>
        <w:t>—</w:t>
      </w:r>
      <w:r>
        <w:rPr>
          <w:rFonts w:hint="default" w:ascii="Times New Roman" w:hAnsi="Times New Roman" w:eastAsia="方正仿宋_GBK" w:cs="Times New Roman"/>
          <w:kern w:val="2"/>
          <w:sz w:val="32"/>
          <w:szCs w:val="32"/>
          <w:lang w:val="zh-CN" w:eastAsia="zh-CN" w:bidi="ar-SA"/>
        </w:rPr>
        <w:t>4</w:t>
      </w:r>
      <w:r>
        <w:rPr>
          <w:rFonts w:hint="eastAsia" w:ascii="Times New Roman" w:hAnsi="Times New Roman" w:eastAsia="方正仿宋_GBK" w:cs="Times New Roman"/>
          <w:kern w:val="2"/>
          <w:sz w:val="32"/>
          <w:szCs w:val="32"/>
          <w:lang w:val="zh-CN" w:eastAsia="zh-CN" w:bidi="ar-SA"/>
        </w:rPr>
        <w:t>。</w:t>
      </w:r>
    </w:p>
    <w:p>
      <w:pPr>
        <w:spacing w:after="60"/>
        <w:ind w:firstLine="240" w:firstLineChars="100"/>
        <w:outlineLvl w:val="5"/>
        <w:rPr>
          <w:rFonts w:hint="default" w:ascii="Times New Roman" w:hAnsi="Times New Roman" w:eastAsia="黑体" w:cs="Times New Roman"/>
          <w:sz w:val="24"/>
          <w:szCs w:val="20"/>
        </w:rPr>
      </w:pPr>
      <w:r>
        <w:rPr>
          <w:rFonts w:hint="default" w:ascii="Times New Roman" w:hAnsi="Times New Roman" w:eastAsia="黑体" w:cs="Times New Roman"/>
          <w:sz w:val="24"/>
          <w:szCs w:val="20"/>
        </w:rPr>
        <w:t>表4.3</w:t>
      </w:r>
      <w:r>
        <w:rPr>
          <w:rFonts w:hint="default" w:ascii="Times New Roman" w:hAnsi="Times New Roman" w:eastAsia="黑体" w:cs="Times New Roman"/>
          <w:sz w:val="24"/>
          <w:szCs w:val="20"/>
          <w:lang w:eastAsia="zh-CN"/>
        </w:rPr>
        <w:t>—</w:t>
      </w:r>
      <w:r>
        <w:rPr>
          <w:rFonts w:hint="default" w:ascii="Times New Roman" w:hAnsi="Times New Roman" w:eastAsia="黑体" w:cs="Times New Roman"/>
          <w:sz w:val="24"/>
          <w:szCs w:val="20"/>
        </w:rPr>
        <w:t>4　　　　　　</w:t>
      </w:r>
      <w:r>
        <w:rPr>
          <w:rFonts w:hint="eastAsia" w:ascii="方正黑体_GBK" w:hAnsi="方正黑体_GBK" w:eastAsia="方正黑体_GBK" w:cs="方正黑体_GBK"/>
          <w:sz w:val="24"/>
          <w:szCs w:val="20"/>
        </w:rPr>
        <w:t>　各典型洪水不同断面洪峰和对应频率</w:t>
      </w:r>
      <w:r>
        <w:rPr>
          <w:rFonts w:hint="default" w:ascii="Times New Roman" w:hAnsi="Times New Roman" w:eastAsia="黑体" w:cs="Times New Roman"/>
          <w:sz w:val="24"/>
          <w:szCs w:val="20"/>
        </w:rPr>
        <w:t>　　　　单位：m</w:t>
      </w:r>
      <w:r>
        <w:rPr>
          <w:rFonts w:hint="default" w:ascii="Times New Roman" w:hAnsi="Times New Roman" w:eastAsia="黑体" w:cs="Times New Roman"/>
          <w:sz w:val="24"/>
          <w:szCs w:val="20"/>
          <w:vertAlign w:val="superscript"/>
        </w:rPr>
        <w:t>3</w:t>
      </w:r>
      <w:r>
        <w:rPr>
          <w:rFonts w:hint="default" w:ascii="Times New Roman" w:hAnsi="Times New Roman" w:eastAsia="黑体" w:cs="Times New Roman"/>
          <w:sz w:val="24"/>
          <w:szCs w:val="20"/>
        </w:rPr>
        <w:t>/s,%</w:t>
      </w:r>
    </w:p>
    <w:tbl>
      <w:tblPr>
        <w:tblStyle w:val="88"/>
        <w:tblW w:w="5000"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108" w:type="dxa"/>
          <w:bottom w:w="0" w:type="dxa"/>
          <w:right w:w="108" w:type="dxa"/>
        </w:tblCellMar>
      </w:tblPr>
      <w:tblGrid>
        <w:gridCol w:w="656"/>
        <w:gridCol w:w="737"/>
        <w:gridCol w:w="1035"/>
        <w:gridCol w:w="932"/>
        <w:gridCol w:w="1033"/>
        <w:gridCol w:w="932"/>
        <w:gridCol w:w="1031"/>
        <w:gridCol w:w="932"/>
        <w:gridCol w:w="1031"/>
        <w:gridCol w:w="968"/>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353" w:type="pct"/>
            <w:vMerge w:val="restar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序号</w:t>
            </w:r>
          </w:p>
        </w:tc>
        <w:tc>
          <w:tcPr>
            <w:tcW w:w="397" w:type="pct"/>
            <w:vMerge w:val="restar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年</w:t>
            </w:r>
          </w:p>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份</w:t>
            </w:r>
          </w:p>
        </w:tc>
        <w:tc>
          <w:tcPr>
            <w:tcW w:w="1058" w:type="pct"/>
            <w:gridSpan w:val="2"/>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东溪站</w:t>
            </w:r>
          </w:p>
        </w:tc>
        <w:tc>
          <w:tcPr>
            <w:tcW w:w="1058" w:type="pct"/>
            <w:gridSpan w:val="2"/>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五岔站</w:t>
            </w:r>
          </w:p>
        </w:tc>
        <w:tc>
          <w:tcPr>
            <w:tcW w:w="1057" w:type="pct"/>
            <w:gridSpan w:val="2"/>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綦江城区断面</w:t>
            </w:r>
          </w:p>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（推算）</w:t>
            </w:r>
          </w:p>
        </w:tc>
        <w:tc>
          <w:tcPr>
            <w:tcW w:w="1077" w:type="pct"/>
            <w:gridSpan w:val="2"/>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藻渡坝址洪峰流量</w:t>
            </w:r>
          </w:p>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（推算）</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353" w:type="pct"/>
            <w:vMerge w:val="continue"/>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p>
        </w:tc>
        <w:tc>
          <w:tcPr>
            <w:tcW w:w="397" w:type="pct"/>
            <w:vMerge w:val="continue"/>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p>
        </w:tc>
        <w:tc>
          <w:tcPr>
            <w:tcW w:w="557"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洪峰</w:t>
            </w:r>
          </w:p>
        </w:tc>
        <w:tc>
          <w:tcPr>
            <w:tcW w:w="502"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频率</w:t>
            </w:r>
          </w:p>
        </w:tc>
        <w:tc>
          <w:tcPr>
            <w:tcW w:w="556"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洪峰</w:t>
            </w:r>
          </w:p>
        </w:tc>
        <w:tc>
          <w:tcPr>
            <w:tcW w:w="502"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频率</w:t>
            </w:r>
          </w:p>
        </w:tc>
        <w:tc>
          <w:tcPr>
            <w:tcW w:w="555"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洪峰</w:t>
            </w:r>
          </w:p>
        </w:tc>
        <w:tc>
          <w:tcPr>
            <w:tcW w:w="502"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频率</w:t>
            </w:r>
          </w:p>
        </w:tc>
        <w:tc>
          <w:tcPr>
            <w:tcW w:w="555"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洪峰</w:t>
            </w:r>
          </w:p>
        </w:tc>
        <w:tc>
          <w:tcPr>
            <w:tcW w:w="522"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频率</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353"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w:t>
            </w:r>
          </w:p>
        </w:tc>
        <w:tc>
          <w:tcPr>
            <w:tcW w:w="397"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1998</w:t>
            </w:r>
          </w:p>
        </w:tc>
        <w:tc>
          <w:tcPr>
            <w:tcW w:w="557"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4620</w:t>
            </w:r>
          </w:p>
        </w:tc>
        <w:tc>
          <w:tcPr>
            <w:tcW w:w="502"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3.1%</w:t>
            </w:r>
          </w:p>
        </w:tc>
        <w:tc>
          <w:tcPr>
            <w:tcW w:w="556"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5220</w:t>
            </w:r>
          </w:p>
        </w:tc>
        <w:tc>
          <w:tcPr>
            <w:tcW w:w="502"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5%</w:t>
            </w:r>
          </w:p>
        </w:tc>
        <w:tc>
          <w:tcPr>
            <w:tcW w:w="555"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5020</w:t>
            </w:r>
          </w:p>
        </w:tc>
        <w:tc>
          <w:tcPr>
            <w:tcW w:w="502"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4.7%</w:t>
            </w:r>
          </w:p>
        </w:tc>
        <w:tc>
          <w:tcPr>
            <w:tcW w:w="555"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2300</w:t>
            </w:r>
          </w:p>
        </w:tc>
        <w:tc>
          <w:tcPr>
            <w:tcW w:w="522" w:type="pct"/>
            <w:noWrap/>
            <w:vAlign w:val="center"/>
          </w:tcPr>
          <w:p>
            <w:pPr>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5.7%</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353"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w:t>
            </w:r>
          </w:p>
        </w:tc>
        <w:tc>
          <w:tcPr>
            <w:tcW w:w="397"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1976</w:t>
            </w:r>
          </w:p>
        </w:tc>
        <w:tc>
          <w:tcPr>
            <w:tcW w:w="557"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2580</w:t>
            </w:r>
          </w:p>
        </w:tc>
        <w:tc>
          <w:tcPr>
            <w:tcW w:w="502"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17.6%</w:t>
            </w:r>
          </w:p>
        </w:tc>
        <w:tc>
          <w:tcPr>
            <w:tcW w:w="556"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4700</w:t>
            </w:r>
          </w:p>
        </w:tc>
        <w:tc>
          <w:tcPr>
            <w:tcW w:w="502"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7.8%</w:t>
            </w:r>
          </w:p>
        </w:tc>
        <w:tc>
          <w:tcPr>
            <w:tcW w:w="555"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3970</w:t>
            </w:r>
          </w:p>
        </w:tc>
        <w:tc>
          <w:tcPr>
            <w:tcW w:w="502"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12%</w:t>
            </w:r>
          </w:p>
        </w:tc>
        <w:tc>
          <w:tcPr>
            <w:tcW w:w="555"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1480</w:t>
            </w:r>
          </w:p>
        </w:tc>
        <w:tc>
          <w:tcPr>
            <w:tcW w:w="522" w:type="pct"/>
            <w:noWrap/>
            <w:vAlign w:val="center"/>
          </w:tcPr>
          <w:p>
            <w:pPr>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17.0%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353"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w:t>
            </w:r>
          </w:p>
        </w:tc>
        <w:tc>
          <w:tcPr>
            <w:tcW w:w="397"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1977</w:t>
            </w:r>
          </w:p>
        </w:tc>
        <w:tc>
          <w:tcPr>
            <w:tcW w:w="557"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2860</w:t>
            </w:r>
          </w:p>
        </w:tc>
        <w:tc>
          <w:tcPr>
            <w:tcW w:w="502"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13.8%</w:t>
            </w:r>
          </w:p>
        </w:tc>
        <w:tc>
          <w:tcPr>
            <w:tcW w:w="556"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4470</w:t>
            </w:r>
          </w:p>
        </w:tc>
        <w:tc>
          <w:tcPr>
            <w:tcW w:w="502"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9.6%</w:t>
            </w:r>
          </w:p>
        </w:tc>
        <w:tc>
          <w:tcPr>
            <w:tcW w:w="555"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3920</w:t>
            </w:r>
          </w:p>
        </w:tc>
        <w:tc>
          <w:tcPr>
            <w:tcW w:w="502"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13%</w:t>
            </w:r>
          </w:p>
        </w:tc>
        <w:tc>
          <w:tcPr>
            <w:tcW w:w="555"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1150</w:t>
            </w:r>
          </w:p>
        </w:tc>
        <w:tc>
          <w:tcPr>
            <w:tcW w:w="522" w:type="pct"/>
            <w:noWrap/>
            <w:vAlign w:val="center"/>
          </w:tcPr>
          <w:p>
            <w:pPr>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27.0%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353"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w:t>
            </w:r>
          </w:p>
        </w:tc>
        <w:tc>
          <w:tcPr>
            <w:tcW w:w="397"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1979</w:t>
            </w:r>
          </w:p>
        </w:tc>
        <w:tc>
          <w:tcPr>
            <w:tcW w:w="557"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3060</w:t>
            </w:r>
          </w:p>
        </w:tc>
        <w:tc>
          <w:tcPr>
            <w:tcW w:w="502"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11.7%</w:t>
            </w:r>
          </w:p>
        </w:tc>
        <w:tc>
          <w:tcPr>
            <w:tcW w:w="556"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4450</w:t>
            </w:r>
          </w:p>
        </w:tc>
        <w:tc>
          <w:tcPr>
            <w:tcW w:w="502"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9.7%</w:t>
            </w:r>
          </w:p>
        </w:tc>
        <w:tc>
          <w:tcPr>
            <w:tcW w:w="555"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3980</w:t>
            </w:r>
          </w:p>
        </w:tc>
        <w:tc>
          <w:tcPr>
            <w:tcW w:w="502"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12%</w:t>
            </w:r>
          </w:p>
        </w:tc>
        <w:tc>
          <w:tcPr>
            <w:tcW w:w="555"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1200</w:t>
            </w:r>
          </w:p>
        </w:tc>
        <w:tc>
          <w:tcPr>
            <w:tcW w:w="522" w:type="pct"/>
            <w:noWrap/>
            <w:vAlign w:val="center"/>
          </w:tcPr>
          <w:p>
            <w:pPr>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25.1%</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353"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5</w:t>
            </w:r>
          </w:p>
        </w:tc>
        <w:tc>
          <w:tcPr>
            <w:tcW w:w="397"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1983</w:t>
            </w:r>
          </w:p>
        </w:tc>
        <w:tc>
          <w:tcPr>
            <w:tcW w:w="557"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2640</w:t>
            </w:r>
          </w:p>
        </w:tc>
        <w:tc>
          <w:tcPr>
            <w:tcW w:w="502"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16.7%</w:t>
            </w:r>
          </w:p>
        </w:tc>
        <w:tc>
          <w:tcPr>
            <w:tcW w:w="556"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4220</w:t>
            </w:r>
          </w:p>
        </w:tc>
        <w:tc>
          <w:tcPr>
            <w:tcW w:w="502"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11.8%</w:t>
            </w:r>
          </w:p>
        </w:tc>
        <w:tc>
          <w:tcPr>
            <w:tcW w:w="555"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3680</w:t>
            </w:r>
          </w:p>
        </w:tc>
        <w:tc>
          <w:tcPr>
            <w:tcW w:w="502"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16%</w:t>
            </w:r>
          </w:p>
        </w:tc>
        <w:tc>
          <w:tcPr>
            <w:tcW w:w="555"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1250</w:t>
            </w:r>
          </w:p>
        </w:tc>
        <w:tc>
          <w:tcPr>
            <w:tcW w:w="522" w:type="pct"/>
            <w:noWrap/>
            <w:vAlign w:val="center"/>
          </w:tcPr>
          <w:p>
            <w:pPr>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23.4%</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353"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6</w:t>
            </w:r>
          </w:p>
        </w:tc>
        <w:tc>
          <w:tcPr>
            <w:tcW w:w="397"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2016</w:t>
            </w:r>
          </w:p>
        </w:tc>
        <w:tc>
          <w:tcPr>
            <w:tcW w:w="557"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2580</w:t>
            </w:r>
          </w:p>
        </w:tc>
        <w:tc>
          <w:tcPr>
            <w:tcW w:w="502"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17.6%</w:t>
            </w:r>
          </w:p>
        </w:tc>
        <w:tc>
          <w:tcPr>
            <w:tcW w:w="556"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4150</w:t>
            </w:r>
          </w:p>
        </w:tc>
        <w:tc>
          <w:tcPr>
            <w:tcW w:w="502"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12.5%</w:t>
            </w:r>
          </w:p>
        </w:tc>
        <w:tc>
          <w:tcPr>
            <w:tcW w:w="555"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3620</w:t>
            </w:r>
          </w:p>
        </w:tc>
        <w:tc>
          <w:tcPr>
            <w:tcW w:w="502"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17%</w:t>
            </w:r>
          </w:p>
        </w:tc>
        <w:tc>
          <w:tcPr>
            <w:tcW w:w="555"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2520</w:t>
            </w:r>
          </w:p>
        </w:tc>
        <w:tc>
          <w:tcPr>
            <w:tcW w:w="522" w:type="pct"/>
            <w:noWrap/>
            <w:vAlign w:val="center"/>
          </w:tcPr>
          <w:p>
            <w:pPr>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4.3%</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353"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7</w:t>
            </w:r>
          </w:p>
        </w:tc>
        <w:tc>
          <w:tcPr>
            <w:tcW w:w="397"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1980</w:t>
            </w:r>
          </w:p>
        </w:tc>
        <w:tc>
          <w:tcPr>
            <w:tcW w:w="557"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2470</w:t>
            </w:r>
          </w:p>
        </w:tc>
        <w:tc>
          <w:tcPr>
            <w:tcW w:w="502"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19.4%</w:t>
            </w:r>
          </w:p>
        </w:tc>
        <w:tc>
          <w:tcPr>
            <w:tcW w:w="556"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4100</w:t>
            </w:r>
          </w:p>
        </w:tc>
        <w:tc>
          <w:tcPr>
            <w:tcW w:w="502"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13.1%</w:t>
            </w:r>
          </w:p>
        </w:tc>
        <w:tc>
          <w:tcPr>
            <w:tcW w:w="555"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3540</w:t>
            </w:r>
          </w:p>
        </w:tc>
        <w:tc>
          <w:tcPr>
            <w:tcW w:w="502"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18%</w:t>
            </w:r>
          </w:p>
        </w:tc>
        <w:tc>
          <w:tcPr>
            <w:tcW w:w="555"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1160</w:t>
            </w:r>
          </w:p>
        </w:tc>
        <w:tc>
          <w:tcPr>
            <w:tcW w:w="522" w:type="pct"/>
            <w:noWrap/>
            <w:vAlign w:val="center"/>
          </w:tcPr>
          <w:p>
            <w:pPr>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26.7%</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353"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8</w:t>
            </w:r>
          </w:p>
        </w:tc>
        <w:tc>
          <w:tcPr>
            <w:tcW w:w="397"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1973</w:t>
            </w:r>
          </w:p>
        </w:tc>
        <w:tc>
          <w:tcPr>
            <w:tcW w:w="557"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1700</w:t>
            </w:r>
          </w:p>
        </w:tc>
        <w:tc>
          <w:tcPr>
            <w:tcW w:w="502"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38.5%</w:t>
            </w:r>
          </w:p>
        </w:tc>
        <w:tc>
          <w:tcPr>
            <w:tcW w:w="556"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3300</w:t>
            </w:r>
          </w:p>
        </w:tc>
        <w:tc>
          <w:tcPr>
            <w:tcW w:w="502"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25%</w:t>
            </w:r>
          </w:p>
        </w:tc>
        <w:tc>
          <w:tcPr>
            <w:tcW w:w="555"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2760</w:t>
            </w:r>
          </w:p>
        </w:tc>
        <w:tc>
          <w:tcPr>
            <w:tcW w:w="502"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34%</w:t>
            </w:r>
          </w:p>
        </w:tc>
        <w:tc>
          <w:tcPr>
            <w:tcW w:w="555"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966</w:t>
            </w:r>
          </w:p>
        </w:tc>
        <w:tc>
          <w:tcPr>
            <w:tcW w:w="522" w:type="pct"/>
            <w:noWrap/>
            <w:vAlign w:val="center"/>
          </w:tcPr>
          <w:p>
            <w:pPr>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35.5%</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353"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9</w:t>
            </w:r>
          </w:p>
        </w:tc>
        <w:tc>
          <w:tcPr>
            <w:tcW w:w="397"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2005</w:t>
            </w:r>
          </w:p>
        </w:tc>
        <w:tc>
          <w:tcPr>
            <w:tcW w:w="557"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1900</w:t>
            </w:r>
          </w:p>
        </w:tc>
        <w:tc>
          <w:tcPr>
            <w:tcW w:w="502"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32.1%</w:t>
            </w:r>
          </w:p>
        </w:tc>
        <w:tc>
          <w:tcPr>
            <w:tcW w:w="556"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2740</w:t>
            </w:r>
          </w:p>
        </w:tc>
        <w:tc>
          <w:tcPr>
            <w:tcW w:w="502"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38.2%</w:t>
            </w:r>
          </w:p>
        </w:tc>
        <w:tc>
          <w:tcPr>
            <w:tcW w:w="555"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2460</w:t>
            </w:r>
          </w:p>
        </w:tc>
        <w:tc>
          <w:tcPr>
            <w:tcW w:w="502"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37%</w:t>
            </w:r>
          </w:p>
        </w:tc>
        <w:tc>
          <w:tcPr>
            <w:tcW w:w="555"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1470</w:t>
            </w:r>
          </w:p>
        </w:tc>
        <w:tc>
          <w:tcPr>
            <w:tcW w:w="522" w:type="pct"/>
            <w:noWrap/>
            <w:vAlign w:val="center"/>
          </w:tcPr>
          <w:p>
            <w:pPr>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17.2%</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353"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10</w:t>
            </w:r>
          </w:p>
        </w:tc>
        <w:tc>
          <w:tcPr>
            <w:tcW w:w="397"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2020</w:t>
            </w:r>
          </w:p>
        </w:tc>
        <w:tc>
          <w:tcPr>
            <w:tcW w:w="557"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4360</w:t>
            </w:r>
          </w:p>
        </w:tc>
        <w:tc>
          <w:tcPr>
            <w:tcW w:w="502"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3.9%</w:t>
            </w:r>
          </w:p>
        </w:tc>
        <w:tc>
          <w:tcPr>
            <w:tcW w:w="556"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5360</w:t>
            </w:r>
          </w:p>
        </w:tc>
        <w:tc>
          <w:tcPr>
            <w:tcW w:w="502"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4.5%</w:t>
            </w:r>
          </w:p>
        </w:tc>
        <w:tc>
          <w:tcPr>
            <w:tcW w:w="555"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5060</w:t>
            </w:r>
          </w:p>
        </w:tc>
        <w:tc>
          <w:tcPr>
            <w:tcW w:w="502"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4.5%</w:t>
            </w:r>
          </w:p>
        </w:tc>
        <w:tc>
          <w:tcPr>
            <w:tcW w:w="555"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3310</w:t>
            </w:r>
          </w:p>
        </w:tc>
        <w:tc>
          <w:tcPr>
            <w:tcW w:w="522"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1.6%</w:t>
            </w:r>
          </w:p>
        </w:tc>
      </w:tr>
    </w:tbl>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kern w:val="2"/>
          <w:sz w:val="32"/>
          <w:szCs w:val="32"/>
          <w:lang w:val="zh-CN" w:eastAsia="zh-CN" w:bidi="ar-SA"/>
        </w:rPr>
      </w:pPr>
      <w:r>
        <w:rPr>
          <w:rFonts w:hint="eastAsia" w:ascii="Times New Roman" w:hAnsi="Times New Roman" w:eastAsia="方正仿宋_GBK" w:cs="Times New Roman"/>
          <w:kern w:val="2"/>
          <w:sz w:val="32"/>
          <w:szCs w:val="32"/>
          <w:lang w:val="zh-CN" w:eastAsia="zh-CN" w:bidi="ar-SA"/>
        </w:rPr>
        <w:t>从</w:t>
      </w:r>
      <w:r>
        <w:rPr>
          <w:rFonts w:hint="default" w:ascii="Times New Roman" w:hAnsi="Times New Roman" w:eastAsia="方正仿宋_GBK" w:cs="Times New Roman"/>
          <w:kern w:val="2"/>
          <w:sz w:val="32"/>
          <w:szCs w:val="32"/>
          <w:lang w:val="zh-CN" w:eastAsia="zh-CN" w:bidi="ar-SA"/>
        </w:rPr>
        <w:t>表中可见，在綦江城区断面发生</w:t>
      </w:r>
      <w:r>
        <w:rPr>
          <w:rFonts w:hint="eastAsia" w:ascii="Times New Roman" w:hAnsi="Times New Roman" w:eastAsia="方正仿宋_GBK" w:cs="Times New Roman"/>
          <w:kern w:val="2"/>
          <w:sz w:val="32"/>
          <w:szCs w:val="32"/>
          <w:lang w:val="zh-CN" w:eastAsia="zh-CN" w:bidi="ar-SA"/>
        </w:rPr>
        <w:t>较大</w:t>
      </w:r>
      <w:r>
        <w:rPr>
          <w:rFonts w:hint="default" w:ascii="Times New Roman" w:hAnsi="Times New Roman" w:eastAsia="方正仿宋_GBK" w:cs="Times New Roman"/>
          <w:kern w:val="2"/>
          <w:sz w:val="32"/>
          <w:szCs w:val="32"/>
          <w:lang w:val="zh-CN" w:eastAsia="zh-CN" w:bidi="ar-SA"/>
        </w:rPr>
        <w:t>洪水</w:t>
      </w:r>
      <w:r>
        <w:rPr>
          <w:rFonts w:hint="eastAsia" w:ascii="Times New Roman" w:hAnsi="Times New Roman" w:eastAsia="方正仿宋_GBK" w:cs="Times New Roman"/>
          <w:kern w:val="2"/>
          <w:sz w:val="32"/>
          <w:szCs w:val="32"/>
          <w:lang w:val="zh-CN" w:eastAsia="zh-CN" w:bidi="ar-SA"/>
        </w:rPr>
        <w:t>的</w:t>
      </w:r>
      <w:r>
        <w:rPr>
          <w:rFonts w:hint="eastAsia" w:ascii="Times New Roman" w:hAnsi="Times New Roman" w:eastAsia="方正仿宋_GBK" w:cs="Times New Roman"/>
          <w:kern w:val="2"/>
          <w:sz w:val="32"/>
          <w:szCs w:val="32"/>
          <w:lang w:val="en-US" w:eastAsia="zh-CN" w:bidi="ar-SA"/>
        </w:rPr>
        <w:t>10</w:t>
      </w:r>
      <w:r>
        <w:rPr>
          <w:rFonts w:hint="eastAsia" w:ascii="Times New Roman" w:hAnsi="Times New Roman" w:eastAsia="方正仿宋_GBK" w:cs="Times New Roman"/>
          <w:kern w:val="2"/>
          <w:sz w:val="32"/>
          <w:szCs w:val="32"/>
          <w:lang w:val="zh-CN" w:eastAsia="zh-CN" w:bidi="ar-SA"/>
        </w:rPr>
        <w:t>个典型年</w:t>
      </w:r>
      <w:r>
        <w:rPr>
          <w:rFonts w:hint="default" w:ascii="Times New Roman" w:hAnsi="Times New Roman" w:eastAsia="方正仿宋_GBK" w:cs="Times New Roman"/>
          <w:kern w:val="2"/>
          <w:sz w:val="32"/>
          <w:szCs w:val="32"/>
          <w:lang w:val="zh-CN" w:eastAsia="zh-CN" w:bidi="ar-SA"/>
        </w:rPr>
        <w:t>中，</w:t>
      </w:r>
      <w:r>
        <w:rPr>
          <w:rFonts w:hint="eastAsia" w:ascii="Times New Roman" w:hAnsi="Times New Roman" w:eastAsia="方正仿宋_GBK" w:cs="Times New Roman"/>
          <w:kern w:val="2"/>
          <w:sz w:val="32"/>
          <w:szCs w:val="32"/>
          <w:lang w:val="zh-CN" w:eastAsia="zh-CN" w:bidi="ar-SA"/>
        </w:rPr>
        <w:t>藻渡河</w:t>
      </w:r>
      <w:r>
        <w:rPr>
          <w:rFonts w:hint="default" w:ascii="Times New Roman" w:hAnsi="Times New Roman" w:eastAsia="方正仿宋_GBK" w:cs="Times New Roman"/>
          <w:kern w:val="2"/>
          <w:sz w:val="32"/>
          <w:szCs w:val="32"/>
          <w:lang w:val="zh-CN" w:eastAsia="zh-CN" w:bidi="ar-SA"/>
        </w:rPr>
        <w:t>均发生</w:t>
      </w:r>
      <w:r>
        <w:rPr>
          <w:rFonts w:hint="eastAsia" w:ascii="Times New Roman" w:hAnsi="Times New Roman" w:eastAsia="方正仿宋_GBK" w:cs="Times New Roman"/>
          <w:kern w:val="2"/>
          <w:sz w:val="32"/>
          <w:szCs w:val="32"/>
          <w:lang w:val="zh-CN" w:eastAsia="zh-CN" w:bidi="ar-SA"/>
        </w:rPr>
        <w:t>较大</w:t>
      </w:r>
      <w:r>
        <w:rPr>
          <w:rFonts w:hint="default" w:ascii="Times New Roman" w:hAnsi="Times New Roman" w:eastAsia="方正仿宋_GBK" w:cs="Times New Roman"/>
          <w:kern w:val="2"/>
          <w:sz w:val="32"/>
          <w:szCs w:val="32"/>
          <w:lang w:val="zh-CN" w:eastAsia="zh-CN" w:bidi="ar-SA"/>
        </w:rPr>
        <w:t>洪水</w:t>
      </w:r>
      <w:r>
        <w:rPr>
          <w:rFonts w:hint="eastAsia" w:ascii="Times New Roman" w:hAnsi="Times New Roman" w:eastAsia="方正仿宋_GBK" w:cs="Times New Roman"/>
          <w:kern w:val="2"/>
          <w:sz w:val="32"/>
          <w:szCs w:val="32"/>
          <w:lang w:val="zh-CN" w:eastAsia="zh-CN" w:bidi="ar-SA"/>
        </w:rPr>
        <w:t>。这</w:t>
      </w:r>
      <w:r>
        <w:rPr>
          <w:rFonts w:hint="eastAsia" w:ascii="Times New Roman" w:hAnsi="Times New Roman" w:eastAsia="方正仿宋_GBK" w:cs="Times New Roman"/>
          <w:kern w:val="2"/>
          <w:sz w:val="32"/>
          <w:szCs w:val="32"/>
          <w:lang w:val="en-US" w:eastAsia="zh-CN" w:bidi="ar-SA"/>
        </w:rPr>
        <w:t>说明綦江城区断面发生洪水时</w:t>
      </w:r>
      <w:r>
        <w:rPr>
          <w:rFonts w:hint="default" w:ascii="Times New Roman" w:hAnsi="Times New Roman" w:eastAsia="方正仿宋_GBK" w:cs="Times New Roman"/>
          <w:kern w:val="2"/>
          <w:sz w:val="32"/>
          <w:szCs w:val="32"/>
          <w:lang w:val="en-US" w:eastAsia="zh-CN" w:bidi="ar-SA"/>
        </w:rPr>
        <w:t>，</w:t>
      </w:r>
      <w:r>
        <w:rPr>
          <w:rFonts w:hint="eastAsia" w:ascii="Times New Roman" w:hAnsi="Times New Roman" w:eastAsia="方正仿宋_GBK" w:cs="Times New Roman"/>
          <w:kern w:val="2"/>
          <w:sz w:val="32"/>
          <w:szCs w:val="32"/>
          <w:lang w:val="en-US" w:eastAsia="zh-CN" w:bidi="ar-SA"/>
        </w:rPr>
        <w:t>绝大部分情况下藻渡河</w:t>
      </w:r>
      <w:r>
        <w:rPr>
          <w:rFonts w:hint="default" w:ascii="Times New Roman" w:hAnsi="Times New Roman" w:eastAsia="方正仿宋_GBK" w:cs="Times New Roman"/>
          <w:kern w:val="2"/>
          <w:sz w:val="32"/>
          <w:szCs w:val="32"/>
          <w:lang w:val="en-US" w:eastAsia="zh-CN" w:bidi="ar-SA"/>
        </w:rPr>
        <w:t>也发生</w:t>
      </w:r>
      <w:r>
        <w:rPr>
          <w:rFonts w:hint="eastAsia" w:ascii="Times New Roman" w:hAnsi="Times New Roman" w:eastAsia="方正仿宋_GBK" w:cs="Times New Roman"/>
          <w:kern w:val="2"/>
          <w:sz w:val="32"/>
          <w:szCs w:val="32"/>
          <w:lang w:val="en-US" w:eastAsia="zh-CN" w:bidi="ar-SA"/>
        </w:rPr>
        <w:t>较大洪水，其原因在于</w:t>
      </w:r>
      <w:r>
        <w:rPr>
          <w:rFonts w:hint="eastAsia" w:ascii="Times New Roman" w:hAnsi="Times New Roman" w:eastAsia="方正仿宋_GBK" w:cs="Times New Roman"/>
          <w:kern w:val="2"/>
          <w:sz w:val="32"/>
          <w:szCs w:val="32"/>
          <w:lang w:val="zh-CN" w:eastAsia="zh-CN" w:bidi="ar-SA"/>
        </w:rPr>
        <w:t>藻渡河上游为金佛山暴雨中心</w:t>
      </w:r>
      <w:r>
        <w:rPr>
          <w:rFonts w:hint="eastAsia" w:ascii="Times New Roman" w:hAnsi="Times New Roman" w:eastAsia="方正仿宋_GBK" w:cs="Times New Roman"/>
          <w:kern w:val="2"/>
          <w:sz w:val="32"/>
          <w:szCs w:val="32"/>
          <w:lang w:val="en-US" w:eastAsia="zh-CN" w:bidi="ar-SA"/>
        </w:rPr>
        <w:t>。</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kern w:val="2"/>
          <w:sz w:val="32"/>
          <w:szCs w:val="32"/>
          <w:lang w:val="zh-CN" w:eastAsia="zh-CN" w:bidi="ar-SA"/>
        </w:rPr>
      </w:pPr>
      <w:r>
        <w:rPr>
          <w:rFonts w:hint="eastAsia" w:ascii="Times New Roman" w:hAnsi="Times New Roman" w:eastAsia="方正仿宋_GBK" w:cs="Times New Roman"/>
          <w:kern w:val="2"/>
          <w:sz w:val="32"/>
          <w:szCs w:val="32"/>
          <w:lang w:val="zh-CN" w:eastAsia="zh-CN" w:bidi="ar-SA"/>
        </w:rPr>
        <w:t>綦江主城区</w:t>
      </w:r>
      <w:r>
        <w:rPr>
          <w:rFonts w:hint="default" w:ascii="Times New Roman" w:hAnsi="Times New Roman" w:eastAsia="方正仿宋_GBK" w:cs="Times New Roman"/>
          <w:kern w:val="2"/>
          <w:sz w:val="32"/>
          <w:szCs w:val="32"/>
          <w:lang w:val="zh-CN" w:eastAsia="zh-CN" w:bidi="ar-SA"/>
        </w:rPr>
        <w:t>洪水组成列于表4</w:t>
      </w:r>
      <w:r>
        <w:rPr>
          <w:rFonts w:hint="eastAsia" w:ascii="Times New Roman" w:hAnsi="Times New Roman" w:eastAsia="方正仿宋_GBK" w:cs="Times New Roman"/>
          <w:kern w:val="2"/>
          <w:sz w:val="32"/>
          <w:szCs w:val="32"/>
          <w:lang w:val="zh-CN" w:eastAsia="zh-CN" w:bidi="ar-SA"/>
        </w:rPr>
        <w:t>.</w:t>
      </w:r>
      <w:r>
        <w:rPr>
          <w:rFonts w:hint="eastAsia" w:ascii="Times New Roman" w:hAnsi="Times New Roman" w:eastAsia="方正仿宋_GBK" w:cs="Times New Roman"/>
          <w:kern w:val="2"/>
          <w:sz w:val="32"/>
          <w:szCs w:val="32"/>
          <w:lang w:val="en-US" w:eastAsia="zh-CN" w:bidi="ar-SA"/>
        </w:rPr>
        <w:t>3</w:t>
      </w:r>
      <w:r>
        <w:rPr>
          <w:rFonts w:hint="eastAsia" w:ascii="Times New Roman" w:eastAsia="方正仿宋_GBK" w:cs="Times New Roman"/>
          <w:kern w:val="2"/>
          <w:sz w:val="32"/>
          <w:szCs w:val="32"/>
          <w:lang w:val="zh-CN" w:eastAsia="zh-CN" w:bidi="ar-SA"/>
        </w:rPr>
        <w:t>—</w:t>
      </w:r>
      <w:r>
        <w:rPr>
          <w:rFonts w:hint="default" w:ascii="Times New Roman" w:hAnsi="Times New Roman" w:eastAsia="方正仿宋_GBK" w:cs="Times New Roman"/>
          <w:kern w:val="2"/>
          <w:sz w:val="32"/>
          <w:szCs w:val="32"/>
          <w:lang w:val="zh-CN" w:eastAsia="zh-CN" w:bidi="ar-SA"/>
        </w:rPr>
        <w:t>5。</w:t>
      </w:r>
      <w:r>
        <w:rPr>
          <w:rFonts w:hint="eastAsia" w:ascii="Times New Roman" w:hAnsi="Times New Roman" w:eastAsia="方正仿宋_GBK" w:cs="Times New Roman"/>
          <w:kern w:val="2"/>
          <w:sz w:val="32"/>
          <w:szCs w:val="32"/>
          <w:lang w:val="en-US" w:eastAsia="zh-CN" w:bidi="ar-SA"/>
        </w:rPr>
        <w:t>从表中可以看出，</w:t>
      </w:r>
      <w:r>
        <w:rPr>
          <w:rFonts w:hint="default" w:ascii="Times New Roman" w:hAnsi="Times New Roman" w:eastAsia="方正仿宋_GBK" w:cs="Times New Roman"/>
          <w:kern w:val="2"/>
          <w:sz w:val="32"/>
          <w:szCs w:val="32"/>
          <w:lang w:val="en-US" w:eastAsia="zh-CN" w:bidi="ar-SA"/>
        </w:rPr>
        <w:t>綦江主城区发生</w:t>
      </w:r>
      <w:r>
        <w:rPr>
          <w:rFonts w:hint="eastAsia" w:ascii="Times New Roman" w:hAnsi="Times New Roman" w:eastAsia="方正仿宋_GBK" w:cs="Times New Roman"/>
          <w:kern w:val="2"/>
          <w:sz w:val="32"/>
          <w:szCs w:val="32"/>
          <w:lang w:val="en-US" w:eastAsia="zh-CN" w:bidi="ar-SA"/>
        </w:rPr>
        <w:t>50年一遇洪水时，藻渡水库</w:t>
      </w:r>
      <w:r>
        <w:rPr>
          <w:rFonts w:hint="default" w:ascii="Times New Roman" w:hAnsi="Times New Roman" w:eastAsia="方正仿宋_GBK" w:cs="Times New Roman"/>
          <w:kern w:val="2"/>
          <w:sz w:val="32"/>
          <w:szCs w:val="32"/>
          <w:lang w:val="zh-CN" w:eastAsia="zh-CN" w:bidi="ar-SA"/>
        </w:rPr>
        <w:t>坝址相应洪水的</w:t>
      </w:r>
      <w:r>
        <w:rPr>
          <w:rFonts w:hint="eastAsia" w:ascii="Times New Roman" w:hAnsi="Times New Roman" w:eastAsia="方正仿宋_GBK" w:cs="Times New Roman"/>
          <w:kern w:val="2"/>
          <w:sz w:val="32"/>
          <w:szCs w:val="32"/>
          <w:lang w:val="zh-CN" w:eastAsia="zh-CN" w:bidi="ar-SA"/>
        </w:rPr>
        <w:t>洪峰</w:t>
      </w:r>
      <w:r>
        <w:rPr>
          <w:rFonts w:hint="default" w:ascii="Times New Roman" w:hAnsi="Times New Roman" w:eastAsia="方正仿宋_GBK" w:cs="Times New Roman"/>
          <w:kern w:val="2"/>
          <w:sz w:val="32"/>
          <w:szCs w:val="32"/>
          <w:lang w:val="zh-CN" w:eastAsia="zh-CN" w:bidi="ar-SA"/>
        </w:rPr>
        <w:t>变幅较大</w:t>
      </w:r>
      <w:r>
        <w:rPr>
          <w:rFonts w:hint="eastAsia" w:ascii="Times New Roman" w:hAnsi="Times New Roman" w:eastAsia="方正仿宋_GBK" w:cs="Times New Roman"/>
          <w:kern w:val="2"/>
          <w:sz w:val="32"/>
          <w:szCs w:val="32"/>
          <w:lang w:val="zh-CN" w:eastAsia="zh-CN" w:bidi="ar-SA"/>
        </w:rPr>
        <w:t>：最小的为</w:t>
      </w:r>
      <w:r>
        <w:rPr>
          <w:rFonts w:hint="default" w:ascii="Times New Roman" w:hAnsi="Times New Roman" w:eastAsia="方正仿宋_GBK" w:cs="Times New Roman"/>
          <w:kern w:val="2"/>
          <w:sz w:val="32"/>
          <w:szCs w:val="32"/>
          <w:lang w:val="zh-CN" w:eastAsia="zh-CN" w:bidi="ar-SA"/>
        </w:rPr>
        <w:t>1977</w:t>
      </w:r>
      <w:r>
        <w:rPr>
          <w:rFonts w:hint="eastAsia" w:ascii="Times New Roman" w:hAnsi="Times New Roman" w:eastAsia="方正仿宋_GBK" w:cs="Times New Roman"/>
          <w:kern w:val="2"/>
          <w:sz w:val="32"/>
          <w:szCs w:val="32"/>
          <w:lang w:val="zh-CN" w:eastAsia="zh-CN" w:bidi="ar-SA"/>
        </w:rPr>
        <w:t>年的</w:t>
      </w:r>
      <w:r>
        <w:rPr>
          <w:rFonts w:hint="default" w:ascii="Times New Roman" w:hAnsi="Times New Roman" w:eastAsia="方正仿宋_GBK" w:cs="Times New Roman"/>
          <w:kern w:val="2"/>
          <w:sz w:val="32"/>
          <w:szCs w:val="32"/>
          <w:lang w:val="zh-CN" w:eastAsia="zh-CN" w:bidi="ar-SA"/>
        </w:rPr>
        <w:t>1625</w:t>
      </w:r>
      <w:r>
        <w:rPr>
          <w:rFonts w:hint="eastAsia" w:ascii="Times New Roman" w:hAnsi="Times New Roman" w:eastAsia="方正仿宋_GBK" w:cs="Times New Roman"/>
          <w:kern w:val="2"/>
          <w:sz w:val="32"/>
          <w:szCs w:val="32"/>
          <w:lang w:val="zh-CN" w:eastAsia="zh-CN" w:bidi="ar-SA"/>
        </w:rPr>
        <w:t>m</w:t>
      </w:r>
      <w:r>
        <w:rPr>
          <w:rFonts w:hint="default" w:ascii="Times New Roman" w:hAnsi="Times New Roman" w:eastAsia="方正仿宋_GBK" w:cs="Times New Roman"/>
          <w:kern w:val="2"/>
          <w:sz w:val="32"/>
          <w:szCs w:val="32"/>
          <w:vertAlign w:val="superscript"/>
          <w:lang w:val="zh-CN" w:eastAsia="zh-CN" w:bidi="ar-SA"/>
        </w:rPr>
        <w:t>3</w:t>
      </w:r>
      <w:r>
        <w:rPr>
          <w:rFonts w:hint="eastAsia" w:ascii="Times New Roman" w:hAnsi="Times New Roman" w:eastAsia="方正仿宋_GBK" w:cs="Times New Roman"/>
          <w:kern w:val="2"/>
          <w:sz w:val="32"/>
          <w:szCs w:val="32"/>
          <w:lang w:val="zh-CN" w:eastAsia="zh-CN" w:bidi="ar-SA"/>
        </w:rPr>
        <w:t>/s、不足</w:t>
      </w:r>
      <w:r>
        <w:rPr>
          <w:rFonts w:hint="default" w:ascii="Times New Roman" w:hAnsi="Times New Roman" w:eastAsia="方正仿宋_GBK" w:cs="Times New Roman"/>
          <w:kern w:val="2"/>
          <w:sz w:val="32"/>
          <w:szCs w:val="32"/>
          <w:lang w:val="zh-CN" w:eastAsia="zh-CN" w:bidi="ar-SA"/>
        </w:rPr>
        <w:t>10</w:t>
      </w:r>
      <w:r>
        <w:rPr>
          <w:rFonts w:hint="eastAsia" w:ascii="Times New Roman" w:hAnsi="Times New Roman" w:eastAsia="方正仿宋_GBK" w:cs="Times New Roman"/>
          <w:kern w:val="2"/>
          <w:sz w:val="32"/>
          <w:szCs w:val="32"/>
          <w:lang w:val="zh-CN" w:eastAsia="zh-CN" w:bidi="ar-SA"/>
        </w:rPr>
        <w:t>年一遇；最大的为2016年的3616m</w:t>
      </w:r>
      <w:r>
        <w:rPr>
          <w:rFonts w:hint="default" w:ascii="Times New Roman" w:hAnsi="Times New Roman" w:eastAsia="方正仿宋_GBK" w:cs="Times New Roman"/>
          <w:kern w:val="2"/>
          <w:sz w:val="32"/>
          <w:szCs w:val="32"/>
          <w:vertAlign w:val="superscript"/>
          <w:lang w:val="zh-CN" w:eastAsia="zh-CN" w:bidi="ar-SA"/>
        </w:rPr>
        <w:t>3</w:t>
      </w:r>
      <w:r>
        <w:rPr>
          <w:rFonts w:hint="eastAsia" w:ascii="Times New Roman" w:hAnsi="Times New Roman" w:eastAsia="方正仿宋_GBK" w:cs="Times New Roman"/>
          <w:kern w:val="2"/>
          <w:sz w:val="32"/>
          <w:szCs w:val="32"/>
          <w:lang w:val="zh-CN" w:eastAsia="zh-CN" w:bidi="ar-SA"/>
        </w:rPr>
        <w:t>/s、次大的为1998年的3341m</w:t>
      </w:r>
      <w:r>
        <w:rPr>
          <w:rFonts w:hint="default" w:ascii="Times New Roman" w:hAnsi="Times New Roman" w:eastAsia="方正仿宋_GBK" w:cs="Times New Roman"/>
          <w:kern w:val="2"/>
          <w:sz w:val="32"/>
          <w:szCs w:val="32"/>
          <w:vertAlign w:val="superscript"/>
          <w:lang w:val="zh-CN" w:eastAsia="zh-CN" w:bidi="ar-SA"/>
        </w:rPr>
        <w:t>3</w:t>
      </w:r>
      <w:r>
        <w:rPr>
          <w:rFonts w:hint="eastAsia" w:ascii="Times New Roman" w:hAnsi="Times New Roman" w:eastAsia="方正仿宋_GBK" w:cs="Times New Roman"/>
          <w:kern w:val="2"/>
          <w:sz w:val="32"/>
          <w:szCs w:val="32"/>
          <w:lang w:val="zh-CN" w:eastAsia="zh-CN" w:bidi="ar-SA"/>
        </w:rPr>
        <w:t>/s，均超过100年一遇。这说明藻渡</w:t>
      </w:r>
      <w:r>
        <w:rPr>
          <w:rFonts w:hint="default" w:ascii="Times New Roman" w:hAnsi="Times New Roman" w:eastAsia="方正仿宋_GBK" w:cs="Times New Roman"/>
          <w:kern w:val="2"/>
          <w:sz w:val="32"/>
          <w:szCs w:val="32"/>
          <w:lang w:val="zh-CN" w:eastAsia="zh-CN" w:bidi="ar-SA"/>
        </w:rPr>
        <w:t>坝址和</w:t>
      </w:r>
      <w:r>
        <w:rPr>
          <w:rFonts w:hint="eastAsia" w:ascii="Times New Roman" w:hAnsi="Times New Roman" w:eastAsia="方正仿宋_GBK" w:cs="Times New Roman"/>
          <w:kern w:val="2"/>
          <w:sz w:val="32"/>
          <w:szCs w:val="32"/>
          <w:lang w:val="zh-CN" w:eastAsia="zh-CN" w:bidi="ar-SA"/>
        </w:rPr>
        <w:t>松坎大</w:t>
      </w:r>
      <w:r>
        <w:rPr>
          <w:rFonts w:hint="default" w:ascii="Times New Roman" w:hAnsi="Times New Roman" w:eastAsia="方正仿宋_GBK" w:cs="Times New Roman"/>
          <w:kern w:val="2"/>
          <w:sz w:val="32"/>
          <w:szCs w:val="32"/>
          <w:lang w:val="zh-CN" w:eastAsia="zh-CN" w:bidi="ar-SA"/>
        </w:rPr>
        <w:t>区间</w:t>
      </w:r>
      <w:r>
        <w:rPr>
          <w:rFonts w:hint="eastAsia" w:ascii="Times New Roman" w:hAnsi="Times New Roman" w:eastAsia="方正仿宋_GBK" w:cs="Times New Roman"/>
          <w:kern w:val="2"/>
          <w:sz w:val="32"/>
          <w:szCs w:val="32"/>
          <w:lang w:val="zh-CN" w:eastAsia="zh-CN" w:bidi="ar-SA"/>
        </w:rPr>
        <w:t>的</w:t>
      </w:r>
      <w:r>
        <w:rPr>
          <w:rFonts w:hint="default" w:ascii="Times New Roman" w:hAnsi="Times New Roman" w:eastAsia="方正仿宋_GBK" w:cs="Times New Roman"/>
          <w:kern w:val="2"/>
          <w:sz w:val="32"/>
          <w:szCs w:val="32"/>
          <w:lang w:val="zh-CN" w:eastAsia="zh-CN" w:bidi="ar-SA"/>
        </w:rPr>
        <w:t>洪水遭遇组成多变</w:t>
      </w:r>
      <w:r>
        <w:rPr>
          <w:rFonts w:hint="eastAsia" w:ascii="Times New Roman" w:hAnsi="Times New Roman" w:eastAsia="方正仿宋_GBK" w:cs="Times New Roman"/>
          <w:kern w:val="2"/>
          <w:sz w:val="32"/>
          <w:szCs w:val="32"/>
          <w:lang w:val="zh-CN" w:eastAsia="zh-CN" w:bidi="ar-SA"/>
        </w:rPr>
        <w:t>。</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对</w:t>
      </w:r>
      <w:r>
        <w:rPr>
          <w:rFonts w:hint="default" w:ascii="Times New Roman" w:hAnsi="Times New Roman" w:eastAsia="方正仿宋_GBK" w:cs="Times New Roman"/>
          <w:kern w:val="2"/>
          <w:sz w:val="32"/>
          <w:szCs w:val="32"/>
          <w:lang w:val="en-US" w:eastAsia="zh-CN" w:bidi="ar-SA"/>
        </w:rPr>
        <w:t>有水文观测资料以来的大洪水分析其地区组成，其中</w:t>
      </w:r>
      <w:r>
        <w:rPr>
          <w:rFonts w:hint="eastAsia" w:ascii="Times New Roman" w:hAnsi="Times New Roman" w:eastAsia="方正仿宋_GBK" w:cs="Times New Roman"/>
          <w:kern w:val="2"/>
          <w:sz w:val="32"/>
          <w:szCs w:val="32"/>
          <w:lang w:val="en-US" w:eastAsia="zh-CN" w:bidi="ar-SA"/>
        </w:rPr>
        <w:t>2005年</w:t>
      </w:r>
      <w:r>
        <w:rPr>
          <w:rFonts w:hint="default" w:ascii="Times New Roman" w:hAnsi="Times New Roman" w:eastAsia="方正仿宋_GBK" w:cs="Times New Roman"/>
          <w:kern w:val="2"/>
          <w:sz w:val="32"/>
          <w:szCs w:val="32"/>
          <w:lang w:val="en-US" w:eastAsia="zh-CN" w:bidi="ar-SA"/>
        </w:rPr>
        <w:t>、</w:t>
      </w:r>
      <w:r>
        <w:rPr>
          <w:rFonts w:hint="eastAsia" w:ascii="Times New Roman" w:hAnsi="Times New Roman" w:eastAsia="方正仿宋_GBK" w:cs="Times New Roman"/>
          <w:kern w:val="2"/>
          <w:sz w:val="32"/>
          <w:szCs w:val="32"/>
          <w:lang w:val="en-US" w:eastAsia="zh-CN" w:bidi="ar-SA"/>
        </w:rPr>
        <w:t>2016年洪水</w:t>
      </w:r>
      <w:r>
        <w:rPr>
          <w:rFonts w:hint="default" w:ascii="Times New Roman" w:hAnsi="Times New Roman" w:eastAsia="方正仿宋_GBK" w:cs="Times New Roman"/>
          <w:kern w:val="2"/>
          <w:sz w:val="32"/>
          <w:szCs w:val="32"/>
          <w:lang w:val="en-US" w:eastAsia="zh-CN" w:bidi="ar-SA"/>
        </w:rPr>
        <w:t>以藻渡河为主</w:t>
      </w:r>
      <w:r>
        <w:rPr>
          <w:rFonts w:hint="eastAsia" w:ascii="Times New Roman" w:hAnsi="Times New Roman" w:eastAsia="方正仿宋_GBK" w:cs="Times New Roman"/>
          <w:kern w:val="2"/>
          <w:sz w:val="32"/>
          <w:szCs w:val="32"/>
          <w:lang w:val="en-US" w:eastAsia="zh-CN" w:bidi="ar-SA"/>
        </w:rPr>
        <w:t>；1976年、</w:t>
      </w:r>
      <w:r>
        <w:rPr>
          <w:rFonts w:hint="default" w:ascii="Times New Roman" w:hAnsi="Times New Roman" w:eastAsia="方正仿宋_GBK" w:cs="Times New Roman"/>
          <w:kern w:val="2"/>
          <w:sz w:val="32"/>
          <w:szCs w:val="32"/>
          <w:lang w:val="en-US" w:eastAsia="zh-CN" w:bidi="ar-SA"/>
        </w:rPr>
        <w:t>1977</w:t>
      </w:r>
      <w:r>
        <w:rPr>
          <w:rFonts w:hint="eastAsia" w:ascii="Times New Roman" w:hAnsi="Times New Roman" w:eastAsia="方正仿宋_GBK" w:cs="Times New Roman"/>
          <w:kern w:val="2"/>
          <w:sz w:val="32"/>
          <w:szCs w:val="32"/>
          <w:lang w:val="en-US" w:eastAsia="zh-CN" w:bidi="ar-SA"/>
        </w:rPr>
        <w:t>年</w:t>
      </w:r>
      <w:r>
        <w:rPr>
          <w:rFonts w:hint="default" w:ascii="Times New Roman" w:hAnsi="Times New Roman" w:eastAsia="方正仿宋_GBK" w:cs="Times New Roman"/>
          <w:kern w:val="2"/>
          <w:sz w:val="32"/>
          <w:szCs w:val="32"/>
          <w:lang w:val="en-US" w:eastAsia="zh-CN" w:bidi="ar-SA"/>
        </w:rPr>
        <w:t>、</w:t>
      </w:r>
      <w:r>
        <w:rPr>
          <w:rFonts w:hint="eastAsia" w:ascii="Times New Roman" w:hAnsi="Times New Roman" w:eastAsia="方正仿宋_GBK" w:cs="Times New Roman"/>
          <w:kern w:val="2"/>
          <w:sz w:val="32"/>
          <w:szCs w:val="32"/>
          <w:lang w:val="en-US" w:eastAsia="zh-CN" w:bidi="ar-SA"/>
        </w:rPr>
        <w:t>1979年、2</w:t>
      </w:r>
      <w:r>
        <w:rPr>
          <w:rFonts w:hint="default" w:ascii="Times New Roman" w:hAnsi="Times New Roman" w:eastAsia="方正仿宋_GBK" w:cs="Times New Roman"/>
          <w:kern w:val="2"/>
          <w:sz w:val="32"/>
          <w:szCs w:val="32"/>
          <w:lang w:val="en-US" w:eastAsia="zh-CN" w:bidi="ar-SA"/>
        </w:rPr>
        <w:t>010</w:t>
      </w:r>
      <w:r>
        <w:rPr>
          <w:rFonts w:hint="eastAsia" w:ascii="Times New Roman" w:hAnsi="Times New Roman" w:eastAsia="方正仿宋_GBK" w:cs="Times New Roman"/>
          <w:kern w:val="2"/>
          <w:sz w:val="32"/>
          <w:szCs w:val="32"/>
          <w:lang w:val="en-US" w:eastAsia="zh-CN" w:bidi="ar-SA"/>
        </w:rPr>
        <w:t>年</w:t>
      </w:r>
      <w:r>
        <w:rPr>
          <w:rFonts w:hint="default" w:ascii="Times New Roman" w:hAnsi="Times New Roman" w:eastAsia="方正仿宋_GBK" w:cs="Times New Roman"/>
          <w:kern w:val="2"/>
          <w:sz w:val="32"/>
          <w:szCs w:val="32"/>
          <w:lang w:val="en-US" w:eastAsia="zh-CN" w:bidi="ar-SA"/>
        </w:rPr>
        <w:t>洪水</w:t>
      </w:r>
      <w:r>
        <w:rPr>
          <w:rFonts w:hint="eastAsia" w:ascii="Times New Roman" w:hAnsi="Times New Roman" w:eastAsia="方正仿宋_GBK" w:cs="Times New Roman"/>
          <w:kern w:val="2"/>
          <w:sz w:val="32"/>
          <w:szCs w:val="32"/>
          <w:lang w:val="en-US" w:eastAsia="zh-CN" w:bidi="ar-SA"/>
        </w:rPr>
        <w:t>以松坎大区间为主；1973年、1980年、1983年、1998年、2020年洪水为全流域洪水，藻渡河与松坎大区间来水均较大。</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kern w:val="2"/>
          <w:sz w:val="32"/>
          <w:szCs w:val="32"/>
          <w:lang w:val="en-US" w:eastAsia="zh-CN" w:bidi="ar-SA"/>
        </w:rPr>
        <w:sectPr>
          <w:headerReference r:id="rId22" w:type="default"/>
          <w:headerReference r:id="rId23" w:type="even"/>
          <w:pgSz w:w="11907" w:h="16840"/>
          <w:pgMar w:top="1616" w:right="1418" w:bottom="1616" w:left="1418" w:header="851" w:footer="1304" w:gutter="0"/>
          <w:pgBorders>
            <w:top w:val="none" w:sz="0" w:space="0"/>
            <w:left w:val="none" w:sz="0" w:space="0"/>
            <w:bottom w:val="none" w:sz="0" w:space="0"/>
            <w:right w:val="none" w:sz="0" w:space="0"/>
          </w:pgBorders>
          <w:pgNumType w:fmt="decimal"/>
          <w:cols w:space="720" w:num="1"/>
          <w:docGrid w:type="lines" w:linePitch="381" w:charSpace="0"/>
        </w:sectPr>
      </w:pPr>
    </w:p>
    <w:p>
      <w:pPr>
        <w:spacing w:after="60"/>
        <w:ind w:firstLine="240" w:firstLineChars="100"/>
        <w:outlineLvl w:val="5"/>
        <w:rPr>
          <w:rFonts w:hint="default" w:ascii="Times New Roman" w:hAnsi="Times New Roman" w:eastAsia="黑体" w:cs="Times New Roman"/>
          <w:sz w:val="24"/>
          <w:szCs w:val="20"/>
        </w:rPr>
      </w:pPr>
      <w:r>
        <w:rPr>
          <w:rFonts w:hint="default" w:ascii="Times New Roman" w:hAnsi="Times New Roman" w:eastAsia="黑体" w:cs="Times New Roman"/>
          <w:sz w:val="24"/>
          <w:szCs w:val="20"/>
        </w:rPr>
        <w:t>表4.3</w:t>
      </w:r>
      <w:r>
        <w:rPr>
          <w:rFonts w:hint="default" w:ascii="Times New Roman" w:hAnsi="Times New Roman" w:eastAsia="黑体" w:cs="Times New Roman"/>
          <w:sz w:val="24"/>
          <w:szCs w:val="20"/>
          <w:lang w:eastAsia="zh-CN"/>
        </w:rPr>
        <w:t>—</w:t>
      </w:r>
      <w:r>
        <w:rPr>
          <w:rFonts w:hint="default" w:ascii="Times New Roman" w:hAnsi="Times New Roman" w:eastAsia="黑体" w:cs="Times New Roman"/>
          <w:sz w:val="24"/>
          <w:szCs w:val="20"/>
        </w:rPr>
        <w:t>5　　　　　　    綦江主城区洪水组成表</w:t>
      </w:r>
    </w:p>
    <w:tbl>
      <w:tblPr>
        <w:tblStyle w:val="88"/>
        <w:tblW w:w="9072" w:type="dxa"/>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0" w:type="dxa"/>
          <w:bottom w:w="0" w:type="dxa"/>
          <w:right w:w="0" w:type="dxa"/>
        </w:tblCellMar>
      </w:tblPr>
      <w:tblGrid>
        <w:gridCol w:w="1148"/>
        <w:gridCol w:w="1272"/>
        <w:gridCol w:w="1981"/>
        <w:gridCol w:w="1557"/>
        <w:gridCol w:w="1557"/>
        <w:gridCol w:w="1557"/>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2426" w:type="pct"/>
            <w:gridSpan w:val="3"/>
            <w:noWrap/>
            <w:tcMar>
              <w:top w:w="28" w:type="dxa"/>
              <w:left w:w="15" w:type="dxa"/>
              <w:bottom w:w="28" w:type="dxa"/>
              <w:right w:w="15" w:type="dxa"/>
            </w:tcMar>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綦江洪水频率</w:t>
            </w:r>
          </w:p>
        </w:tc>
        <w:tc>
          <w:tcPr>
            <w:tcW w:w="858" w:type="pct"/>
            <w:noWrap/>
            <w:tcMar>
              <w:top w:w="28" w:type="dxa"/>
              <w:left w:w="15" w:type="dxa"/>
              <w:bottom w:w="28" w:type="dxa"/>
              <w:right w:w="15" w:type="dxa"/>
            </w:tcMar>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P=2%</w:t>
            </w:r>
          </w:p>
        </w:tc>
        <w:tc>
          <w:tcPr>
            <w:tcW w:w="858" w:type="pct"/>
            <w:noWrap/>
            <w:tcMar>
              <w:top w:w="28" w:type="dxa"/>
              <w:left w:w="15" w:type="dxa"/>
              <w:bottom w:w="28" w:type="dxa"/>
              <w:right w:w="15" w:type="dxa"/>
            </w:tcMar>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P=3.33%</w:t>
            </w:r>
          </w:p>
        </w:tc>
        <w:tc>
          <w:tcPr>
            <w:tcW w:w="858"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P=5%</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1334" w:type="pct"/>
            <w:gridSpan w:val="2"/>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綦江城区洪水</w:t>
            </w:r>
          </w:p>
        </w:tc>
        <w:tc>
          <w:tcPr>
            <w:tcW w:w="1092"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洪峰流量（m</w:t>
            </w:r>
            <w:r>
              <w:rPr>
                <w:rFonts w:hint="eastAsia" w:ascii="楷体_GB2312" w:hAnsi="Calibri" w:eastAsia="楷体_GB2312"/>
                <w:snapToGrid w:val="0"/>
                <w:kern w:val="0"/>
                <w:sz w:val="21"/>
                <w:szCs w:val="21"/>
                <w:vertAlign w:val="superscript"/>
              </w:rPr>
              <w:t>3</w:t>
            </w:r>
            <w:r>
              <w:rPr>
                <w:rFonts w:hint="eastAsia" w:ascii="楷体_GB2312" w:hAnsi="Calibri" w:eastAsia="楷体_GB2312"/>
                <w:snapToGrid w:val="0"/>
                <w:kern w:val="0"/>
                <w:sz w:val="21"/>
                <w:szCs w:val="21"/>
              </w:rPr>
              <w:t>/s）</w:t>
            </w:r>
          </w:p>
        </w:tc>
        <w:tc>
          <w:tcPr>
            <w:tcW w:w="858"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5950</w:t>
            </w:r>
          </w:p>
        </w:tc>
        <w:tc>
          <w:tcPr>
            <w:tcW w:w="858"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5390</w:t>
            </w:r>
          </w:p>
        </w:tc>
        <w:tc>
          <w:tcPr>
            <w:tcW w:w="858"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4920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633" w:type="pct"/>
            <w:vMerge w:val="restar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藻渡水库</w:t>
            </w:r>
          </w:p>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坝址洪水</w:t>
            </w:r>
          </w:p>
        </w:tc>
        <w:tc>
          <w:tcPr>
            <w:tcW w:w="701"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1973</w:t>
            </w:r>
          </w:p>
        </w:tc>
        <w:tc>
          <w:tcPr>
            <w:tcW w:w="1092"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洪峰流量（m</w:t>
            </w:r>
            <w:r>
              <w:rPr>
                <w:rFonts w:hint="eastAsia" w:ascii="楷体_GB2312" w:hAnsi="Calibri" w:eastAsia="楷体_GB2312"/>
                <w:snapToGrid w:val="0"/>
                <w:kern w:val="0"/>
                <w:sz w:val="21"/>
                <w:szCs w:val="21"/>
                <w:vertAlign w:val="superscript"/>
              </w:rPr>
              <w:t>3</w:t>
            </w:r>
            <w:r>
              <w:rPr>
                <w:rFonts w:hint="eastAsia" w:ascii="楷体_GB2312" w:hAnsi="Calibri" w:eastAsia="楷体_GB2312"/>
                <w:snapToGrid w:val="0"/>
                <w:kern w:val="0"/>
                <w:sz w:val="21"/>
                <w:szCs w:val="21"/>
              </w:rPr>
              <w:t>/s）</w:t>
            </w:r>
          </w:p>
        </w:tc>
        <w:tc>
          <w:tcPr>
            <w:tcW w:w="858"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2100</w:t>
            </w:r>
          </w:p>
        </w:tc>
        <w:tc>
          <w:tcPr>
            <w:tcW w:w="858"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1890</w:t>
            </w:r>
          </w:p>
        </w:tc>
        <w:tc>
          <w:tcPr>
            <w:tcW w:w="858"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1722</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633" w:type="pct"/>
            <w:vMerge w:val="continue"/>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p>
        </w:tc>
        <w:tc>
          <w:tcPr>
            <w:tcW w:w="701"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1976</w:t>
            </w:r>
          </w:p>
        </w:tc>
        <w:tc>
          <w:tcPr>
            <w:tcW w:w="1092"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洪峰流量（m</w:t>
            </w:r>
            <w:r>
              <w:rPr>
                <w:rFonts w:hint="eastAsia" w:ascii="楷体_GB2312" w:hAnsi="Calibri" w:eastAsia="楷体_GB2312"/>
                <w:snapToGrid w:val="0"/>
                <w:kern w:val="0"/>
                <w:sz w:val="21"/>
                <w:szCs w:val="21"/>
                <w:vertAlign w:val="superscript"/>
              </w:rPr>
              <w:t>3</w:t>
            </w:r>
            <w:r>
              <w:rPr>
                <w:rFonts w:hint="eastAsia" w:ascii="楷体_GB2312" w:hAnsi="Calibri" w:eastAsia="楷体_GB2312"/>
                <w:snapToGrid w:val="0"/>
                <w:kern w:val="0"/>
                <w:sz w:val="21"/>
                <w:szCs w:val="21"/>
              </w:rPr>
              <w:t>/s）</w:t>
            </w:r>
          </w:p>
        </w:tc>
        <w:tc>
          <w:tcPr>
            <w:tcW w:w="858"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2147</w:t>
            </w:r>
          </w:p>
        </w:tc>
        <w:tc>
          <w:tcPr>
            <w:tcW w:w="858"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1931</w:t>
            </w:r>
          </w:p>
        </w:tc>
        <w:tc>
          <w:tcPr>
            <w:tcW w:w="858"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1761</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633" w:type="pct"/>
            <w:vMerge w:val="continue"/>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p>
        </w:tc>
        <w:tc>
          <w:tcPr>
            <w:tcW w:w="701"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1977</w:t>
            </w:r>
          </w:p>
        </w:tc>
        <w:tc>
          <w:tcPr>
            <w:tcW w:w="1092"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洪峰流量（m</w:t>
            </w:r>
            <w:r>
              <w:rPr>
                <w:rFonts w:hint="eastAsia" w:ascii="楷体_GB2312" w:hAnsi="Calibri" w:eastAsia="楷体_GB2312"/>
                <w:snapToGrid w:val="0"/>
                <w:kern w:val="0"/>
                <w:sz w:val="21"/>
                <w:szCs w:val="21"/>
                <w:vertAlign w:val="superscript"/>
              </w:rPr>
              <w:t>3</w:t>
            </w:r>
            <w:r>
              <w:rPr>
                <w:rFonts w:hint="eastAsia" w:ascii="楷体_GB2312" w:hAnsi="Calibri" w:eastAsia="楷体_GB2312"/>
                <w:snapToGrid w:val="0"/>
                <w:kern w:val="0"/>
                <w:sz w:val="21"/>
                <w:szCs w:val="21"/>
              </w:rPr>
              <w:t>/s）</w:t>
            </w:r>
          </w:p>
        </w:tc>
        <w:tc>
          <w:tcPr>
            <w:tcW w:w="858"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1625</w:t>
            </w:r>
          </w:p>
        </w:tc>
        <w:tc>
          <w:tcPr>
            <w:tcW w:w="858"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1462</w:t>
            </w:r>
          </w:p>
        </w:tc>
        <w:tc>
          <w:tcPr>
            <w:tcW w:w="858"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1333</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633" w:type="pct"/>
            <w:vMerge w:val="continue"/>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p>
        </w:tc>
        <w:tc>
          <w:tcPr>
            <w:tcW w:w="701"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1979</w:t>
            </w:r>
          </w:p>
        </w:tc>
        <w:tc>
          <w:tcPr>
            <w:tcW w:w="1092"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洪峰流量（m</w:t>
            </w:r>
            <w:r>
              <w:rPr>
                <w:rFonts w:hint="eastAsia" w:ascii="楷体_GB2312" w:hAnsi="Calibri" w:eastAsia="楷体_GB2312"/>
                <w:snapToGrid w:val="0"/>
                <w:kern w:val="0"/>
                <w:sz w:val="21"/>
                <w:szCs w:val="21"/>
                <w:vertAlign w:val="superscript"/>
              </w:rPr>
              <w:t>3</w:t>
            </w:r>
            <w:r>
              <w:rPr>
                <w:rFonts w:hint="eastAsia" w:ascii="楷体_GB2312" w:hAnsi="Calibri" w:eastAsia="楷体_GB2312"/>
                <w:snapToGrid w:val="0"/>
                <w:kern w:val="0"/>
                <w:sz w:val="21"/>
                <w:szCs w:val="21"/>
              </w:rPr>
              <w:t>/s）</w:t>
            </w:r>
          </w:p>
        </w:tc>
        <w:tc>
          <w:tcPr>
            <w:tcW w:w="858"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1741</w:t>
            </w:r>
          </w:p>
        </w:tc>
        <w:tc>
          <w:tcPr>
            <w:tcW w:w="858"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1567</w:t>
            </w:r>
          </w:p>
        </w:tc>
        <w:tc>
          <w:tcPr>
            <w:tcW w:w="858"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1428</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633" w:type="pct"/>
            <w:vMerge w:val="continue"/>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p>
        </w:tc>
        <w:tc>
          <w:tcPr>
            <w:tcW w:w="701"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1980</w:t>
            </w:r>
          </w:p>
        </w:tc>
        <w:tc>
          <w:tcPr>
            <w:tcW w:w="1092"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洪峰流量（m</w:t>
            </w:r>
            <w:r>
              <w:rPr>
                <w:rFonts w:hint="eastAsia" w:ascii="楷体_GB2312" w:hAnsi="Calibri" w:eastAsia="楷体_GB2312"/>
                <w:snapToGrid w:val="0"/>
                <w:kern w:val="0"/>
                <w:sz w:val="21"/>
                <w:szCs w:val="21"/>
                <w:vertAlign w:val="superscript"/>
              </w:rPr>
              <w:t>3</w:t>
            </w:r>
            <w:r>
              <w:rPr>
                <w:rFonts w:hint="eastAsia" w:ascii="楷体_GB2312" w:hAnsi="Calibri" w:eastAsia="楷体_GB2312"/>
                <w:snapToGrid w:val="0"/>
                <w:kern w:val="0"/>
                <w:sz w:val="21"/>
                <w:szCs w:val="21"/>
              </w:rPr>
              <w:t>/s）</w:t>
            </w:r>
          </w:p>
        </w:tc>
        <w:tc>
          <w:tcPr>
            <w:tcW w:w="858"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1949</w:t>
            </w:r>
          </w:p>
        </w:tc>
        <w:tc>
          <w:tcPr>
            <w:tcW w:w="858"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1754</w:t>
            </w:r>
          </w:p>
        </w:tc>
        <w:tc>
          <w:tcPr>
            <w:tcW w:w="858"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1599</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633" w:type="pct"/>
            <w:vMerge w:val="continue"/>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p>
        </w:tc>
        <w:tc>
          <w:tcPr>
            <w:tcW w:w="701"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1983</w:t>
            </w:r>
          </w:p>
        </w:tc>
        <w:tc>
          <w:tcPr>
            <w:tcW w:w="1092"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洪峰流量（m</w:t>
            </w:r>
            <w:r>
              <w:rPr>
                <w:rFonts w:hint="eastAsia" w:ascii="楷体_GB2312" w:hAnsi="Calibri" w:eastAsia="楷体_GB2312"/>
                <w:snapToGrid w:val="0"/>
                <w:kern w:val="0"/>
                <w:sz w:val="21"/>
                <w:szCs w:val="21"/>
                <w:vertAlign w:val="superscript"/>
              </w:rPr>
              <w:t>3</w:t>
            </w:r>
            <w:r>
              <w:rPr>
                <w:rFonts w:hint="eastAsia" w:ascii="楷体_GB2312" w:hAnsi="Calibri" w:eastAsia="楷体_GB2312"/>
                <w:snapToGrid w:val="0"/>
                <w:kern w:val="0"/>
                <w:sz w:val="21"/>
                <w:szCs w:val="21"/>
              </w:rPr>
              <w:t>/s）</w:t>
            </w:r>
          </w:p>
        </w:tc>
        <w:tc>
          <w:tcPr>
            <w:tcW w:w="858"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1900</w:t>
            </w:r>
          </w:p>
        </w:tc>
        <w:tc>
          <w:tcPr>
            <w:tcW w:w="858"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1710</w:t>
            </w:r>
          </w:p>
        </w:tc>
        <w:tc>
          <w:tcPr>
            <w:tcW w:w="858"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1559</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633" w:type="pct"/>
            <w:vMerge w:val="continue"/>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p>
        </w:tc>
        <w:tc>
          <w:tcPr>
            <w:tcW w:w="701"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1998</w:t>
            </w:r>
          </w:p>
        </w:tc>
        <w:tc>
          <w:tcPr>
            <w:tcW w:w="1092"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洪峰流量（m</w:t>
            </w:r>
            <w:r>
              <w:rPr>
                <w:rFonts w:hint="eastAsia" w:ascii="楷体_GB2312" w:hAnsi="Calibri" w:eastAsia="楷体_GB2312"/>
                <w:snapToGrid w:val="0"/>
                <w:kern w:val="0"/>
                <w:sz w:val="21"/>
                <w:szCs w:val="21"/>
                <w:vertAlign w:val="superscript"/>
              </w:rPr>
              <w:t>3</w:t>
            </w:r>
            <w:r>
              <w:rPr>
                <w:rFonts w:hint="eastAsia" w:ascii="楷体_GB2312" w:hAnsi="Calibri" w:eastAsia="楷体_GB2312"/>
                <w:snapToGrid w:val="0"/>
                <w:kern w:val="0"/>
                <w:sz w:val="21"/>
                <w:szCs w:val="21"/>
              </w:rPr>
              <w:t>/s）</w:t>
            </w:r>
          </w:p>
        </w:tc>
        <w:tc>
          <w:tcPr>
            <w:tcW w:w="858"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3341</w:t>
            </w:r>
          </w:p>
        </w:tc>
        <w:tc>
          <w:tcPr>
            <w:tcW w:w="858"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3006</w:t>
            </w:r>
          </w:p>
        </w:tc>
        <w:tc>
          <w:tcPr>
            <w:tcW w:w="858"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2739</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633" w:type="pct"/>
            <w:vMerge w:val="continue"/>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p>
        </w:tc>
        <w:tc>
          <w:tcPr>
            <w:tcW w:w="701"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2005</w:t>
            </w:r>
          </w:p>
        </w:tc>
        <w:tc>
          <w:tcPr>
            <w:tcW w:w="1092"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洪峰流量（m</w:t>
            </w:r>
            <w:r>
              <w:rPr>
                <w:rFonts w:hint="eastAsia" w:ascii="楷体_GB2312" w:hAnsi="Calibri" w:eastAsia="楷体_GB2312"/>
                <w:snapToGrid w:val="0"/>
                <w:kern w:val="0"/>
                <w:sz w:val="21"/>
                <w:szCs w:val="21"/>
                <w:vertAlign w:val="superscript"/>
              </w:rPr>
              <w:t>3</w:t>
            </w:r>
            <w:r>
              <w:rPr>
                <w:rFonts w:hint="eastAsia" w:ascii="楷体_GB2312" w:hAnsi="Calibri" w:eastAsia="楷体_GB2312"/>
                <w:snapToGrid w:val="0"/>
                <w:kern w:val="0"/>
                <w:sz w:val="21"/>
                <w:szCs w:val="21"/>
              </w:rPr>
              <w:t>/s）</w:t>
            </w:r>
          </w:p>
        </w:tc>
        <w:tc>
          <w:tcPr>
            <w:tcW w:w="858"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2588</w:t>
            </w:r>
          </w:p>
        </w:tc>
        <w:tc>
          <w:tcPr>
            <w:tcW w:w="858"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2329</w:t>
            </w:r>
          </w:p>
        </w:tc>
        <w:tc>
          <w:tcPr>
            <w:tcW w:w="858"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2123</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633" w:type="pct"/>
            <w:vMerge w:val="continue"/>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p>
        </w:tc>
        <w:tc>
          <w:tcPr>
            <w:tcW w:w="701"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2016</w:t>
            </w:r>
          </w:p>
        </w:tc>
        <w:tc>
          <w:tcPr>
            <w:tcW w:w="1092"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洪峰流量（m</w:t>
            </w:r>
            <w:r>
              <w:rPr>
                <w:rFonts w:hint="eastAsia" w:ascii="楷体_GB2312" w:hAnsi="Calibri" w:eastAsia="楷体_GB2312"/>
                <w:snapToGrid w:val="0"/>
                <w:kern w:val="0"/>
                <w:sz w:val="21"/>
                <w:szCs w:val="21"/>
                <w:vertAlign w:val="superscript"/>
              </w:rPr>
              <w:t>3</w:t>
            </w:r>
            <w:r>
              <w:rPr>
                <w:rFonts w:hint="eastAsia" w:ascii="楷体_GB2312" w:hAnsi="Calibri" w:eastAsia="楷体_GB2312"/>
                <w:snapToGrid w:val="0"/>
                <w:kern w:val="0"/>
                <w:sz w:val="21"/>
                <w:szCs w:val="21"/>
              </w:rPr>
              <w:t>/s）</w:t>
            </w:r>
          </w:p>
        </w:tc>
        <w:tc>
          <w:tcPr>
            <w:tcW w:w="858"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3616</w:t>
            </w:r>
          </w:p>
        </w:tc>
        <w:tc>
          <w:tcPr>
            <w:tcW w:w="858"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3253</w:t>
            </w:r>
          </w:p>
        </w:tc>
        <w:tc>
          <w:tcPr>
            <w:tcW w:w="858"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2966</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633" w:type="pct"/>
            <w:vMerge w:val="restar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松坎大区间</w:t>
            </w:r>
          </w:p>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洪水</w:t>
            </w:r>
          </w:p>
        </w:tc>
        <w:tc>
          <w:tcPr>
            <w:tcW w:w="701"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1973</w:t>
            </w:r>
          </w:p>
        </w:tc>
        <w:tc>
          <w:tcPr>
            <w:tcW w:w="1092"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洪峰流量（m</w:t>
            </w:r>
            <w:r>
              <w:rPr>
                <w:rFonts w:hint="eastAsia" w:ascii="楷体_GB2312" w:hAnsi="Calibri" w:eastAsia="楷体_GB2312"/>
                <w:snapToGrid w:val="0"/>
                <w:kern w:val="0"/>
                <w:sz w:val="21"/>
                <w:szCs w:val="21"/>
                <w:vertAlign w:val="superscript"/>
              </w:rPr>
              <w:t>3</w:t>
            </w:r>
            <w:r>
              <w:rPr>
                <w:rFonts w:hint="eastAsia" w:ascii="楷体_GB2312" w:hAnsi="Calibri" w:eastAsia="楷体_GB2312"/>
                <w:snapToGrid w:val="0"/>
                <w:kern w:val="0"/>
                <w:sz w:val="21"/>
                <w:szCs w:val="21"/>
              </w:rPr>
              <w:t>/s）</w:t>
            </w:r>
          </w:p>
        </w:tc>
        <w:tc>
          <w:tcPr>
            <w:tcW w:w="858"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4217</w:t>
            </w:r>
          </w:p>
        </w:tc>
        <w:tc>
          <w:tcPr>
            <w:tcW w:w="858"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3830</w:t>
            </w:r>
          </w:p>
        </w:tc>
        <w:tc>
          <w:tcPr>
            <w:tcW w:w="858"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3497</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633" w:type="pct"/>
            <w:vMerge w:val="continue"/>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p>
        </w:tc>
        <w:tc>
          <w:tcPr>
            <w:tcW w:w="701"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1976</w:t>
            </w:r>
          </w:p>
        </w:tc>
        <w:tc>
          <w:tcPr>
            <w:tcW w:w="1092"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洪峰流量（m</w:t>
            </w:r>
            <w:r>
              <w:rPr>
                <w:rFonts w:hint="eastAsia" w:ascii="楷体_GB2312" w:hAnsi="Calibri" w:eastAsia="楷体_GB2312"/>
                <w:snapToGrid w:val="0"/>
                <w:kern w:val="0"/>
                <w:sz w:val="21"/>
                <w:szCs w:val="21"/>
                <w:vertAlign w:val="superscript"/>
              </w:rPr>
              <w:t>3</w:t>
            </w:r>
            <w:r>
              <w:rPr>
                <w:rFonts w:hint="eastAsia" w:ascii="楷体_GB2312" w:hAnsi="Calibri" w:eastAsia="楷体_GB2312"/>
                <w:snapToGrid w:val="0"/>
                <w:kern w:val="0"/>
                <w:sz w:val="21"/>
                <w:szCs w:val="21"/>
              </w:rPr>
              <w:t>/s）</w:t>
            </w:r>
          </w:p>
        </w:tc>
        <w:tc>
          <w:tcPr>
            <w:tcW w:w="858"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4931</w:t>
            </w:r>
          </w:p>
        </w:tc>
        <w:tc>
          <w:tcPr>
            <w:tcW w:w="858"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4474</w:t>
            </w:r>
          </w:p>
        </w:tc>
        <w:tc>
          <w:tcPr>
            <w:tcW w:w="858"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4084</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633" w:type="pct"/>
            <w:vMerge w:val="continue"/>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p>
        </w:tc>
        <w:tc>
          <w:tcPr>
            <w:tcW w:w="701"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1977</w:t>
            </w:r>
          </w:p>
        </w:tc>
        <w:tc>
          <w:tcPr>
            <w:tcW w:w="1092"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洪峰流量（m</w:t>
            </w:r>
            <w:r>
              <w:rPr>
                <w:rFonts w:hint="eastAsia" w:ascii="楷体_GB2312" w:hAnsi="Calibri" w:eastAsia="楷体_GB2312"/>
                <w:snapToGrid w:val="0"/>
                <w:kern w:val="0"/>
                <w:sz w:val="21"/>
                <w:szCs w:val="21"/>
                <w:vertAlign w:val="superscript"/>
              </w:rPr>
              <w:t>3</w:t>
            </w:r>
            <w:r>
              <w:rPr>
                <w:rFonts w:hint="eastAsia" w:ascii="楷体_GB2312" w:hAnsi="Calibri" w:eastAsia="楷体_GB2312"/>
                <w:snapToGrid w:val="0"/>
                <w:kern w:val="0"/>
                <w:sz w:val="21"/>
                <w:szCs w:val="21"/>
              </w:rPr>
              <w:t>/s）</w:t>
            </w:r>
          </w:p>
        </w:tc>
        <w:tc>
          <w:tcPr>
            <w:tcW w:w="858"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4737</w:t>
            </w:r>
          </w:p>
        </w:tc>
        <w:tc>
          <w:tcPr>
            <w:tcW w:w="858"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4299</w:t>
            </w:r>
          </w:p>
        </w:tc>
        <w:tc>
          <w:tcPr>
            <w:tcW w:w="858"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3926</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633" w:type="pct"/>
            <w:vMerge w:val="continue"/>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p>
        </w:tc>
        <w:tc>
          <w:tcPr>
            <w:tcW w:w="701"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1979</w:t>
            </w:r>
          </w:p>
        </w:tc>
        <w:tc>
          <w:tcPr>
            <w:tcW w:w="1092"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洪峰流量（m</w:t>
            </w:r>
            <w:r>
              <w:rPr>
                <w:rFonts w:hint="eastAsia" w:ascii="楷体_GB2312" w:hAnsi="Calibri" w:eastAsia="楷体_GB2312"/>
                <w:snapToGrid w:val="0"/>
                <w:kern w:val="0"/>
                <w:sz w:val="21"/>
                <w:szCs w:val="21"/>
                <w:vertAlign w:val="superscript"/>
              </w:rPr>
              <w:t>3</w:t>
            </w:r>
            <w:r>
              <w:rPr>
                <w:rFonts w:hint="eastAsia" w:ascii="楷体_GB2312" w:hAnsi="Calibri" w:eastAsia="楷体_GB2312"/>
                <w:snapToGrid w:val="0"/>
                <w:kern w:val="0"/>
                <w:sz w:val="21"/>
                <w:szCs w:val="21"/>
              </w:rPr>
              <w:t>/s）</w:t>
            </w:r>
          </w:p>
        </w:tc>
        <w:tc>
          <w:tcPr>
            <w:tcW w:w="858"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4687</w:t>
            </w:r>
          </w:p>
        </w:tc>
        <w:tc>
          <w:tcPr>
            <w:tcW w:w="858"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4254</w:t>
            </w:r>
          </w:p>
        </w:tc>
        <w:tc>
          <w:tcPr>
            <w:tcW w:w="858"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3884</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633" w:type="pct"/>
            <w:vMerge w:val="continue"/>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p>
        </w:tc>
        <w:tc>
          <w:tcPr>
            <w:tcW w:w="701"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1980</w:t>
            </w:r>
          </w:p>
        </w:tc>
        <w:tc>
          <w:tcPr>
            <w:tcW w:w="1092"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洪峰流量（m</w:t>
            </w:r>
            <w:r>
              <w:rPr>
                <w:rFonts w:hint="eastAsia" w:ascii="楷体_GB2312" w:hAnsi="Calibri" w:eastAsia="楷体_GB2312"/>
                <w:snapToGrid w:val="0"/>
                <w:kern w:val="0"/>
                <w:sz w:val="21"/>
                <w:szCs w:val="21"/>
                <w:vertAlign w:val="superscript"/>
              </w:rPr>
              <w:t>3</w:t>
            </w:r>
            <w:r>
              <w:rPr>
                <w:rFonts w:hint="eastAsia" w:ascii="楷体_GB2312" w:hAnsi="Calibri" w:eastAsia="楷体_GB2312"/>
                <w:snapToGrid w:val="0"/>
                <w:kern w:val="0"/>
                <w:sz w:val="21"/>
                <w:szCs w:val="21"/>
              </w:rPr>
              <w:t>/s）</w:t>
            </w:r>
          </w:p>
        </w:tc>
        <w:tc>
          <w:tcPr>
            <w:tcW w:w="858"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4245</w:t>
            </w:r>
          </w:p>
        </w:tc>
        <w:tc>
          <w:tcPr>
            <w:tcW w:w="858"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3839</w:t>
            </w:r>
          </w:p>
        </w:tc>
        <w:tc>
          <w:tcPr>
            <w:tcW w:w="858"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3506</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633" w:type="pct"/>
            <w:vMerge w:val="continue"/>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p>
        </w:tc>
        <w:tc>
          <w:tcPr>
            <w:tcW w:w="701"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1983</w:t>
            </w:r>
          </w:p>
        </w:tc>
        <w:tc>
          <w:tcPr>
            <w:tcW w:w="1092"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洪峰流量（m</w:t>
            </w:r>
            <w:r>
              <w:rPr>
                <w:rFonts w:hint="eastAsia" w:ascii="楷体_GB2312" w:hAnsi="Calibri" w:eastAsia="楷体_GB2312"/>
                <w:snapToGrid w:val="0"/>
                <w:kern w:val="0"/>
                <w:sz w:val="21"/>
                <w:szCs w:val="21"/>
                <w:vertAlign w:val="superscript"/>
              </w:rPr>
              <w:t>3</w:t>
            </w:r>
            <w:r>
              <w:rPr>
                <w:rFonts w:hint="eastAsia" w:ascii="楷体_GB2312" w:hAnsi="Calibri" w:eastAsia="楷体_GB2312"/>
                <w:snapToGrid w:val="0"/>
                <w:kern w:val="0"/>
                <w:sz w:val="21"/>
                <w:szCs w:val="21"/>
              </w:rPr>
              <w:t>/s）</w:t>
            </w:r>
          </w:p>
        </w:tc>
        <w:tc>
          <w:tcPr>
            <w:tcW w:w="858"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4257</w:t>
            </w:r>
          </w:p>
        </w:tc>
        <w:tc>
          <w:tcPr>
            <w:tcW w:w="858"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3866</w:t>
            </w:r>
          </w:p>
        </w:tc>
        <w:tc>
          <w:tcPr>
            <w:tcW w:w="858"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3531</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633" w:type="pct"/>
            <w:vMerge w:val="continue"/>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p>
        </w:tc>
        <w:tc>
          <w:tcPr>
            <w:tcW w:w="701"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1998</w:t>
            </w:r>
          </w:p>
        </w:tc>
        <w:tc>
          <w:tcPr>
            <w:tcW w:w="1092"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洪峰流量（m</w:t>
            </w:r>
            <w:r>
              <w:rPr>
                <w:rFonts w:hint="eastAsia" w:ascii="楷体_GB2312" w:hAnsi="Calibri" w:eastAsia="楷体_GB2312"/>
                <w:snapToGrid w:val="0"/>
                <w:kern w:val="0"/>
                <w:sz w:val="21"/>
                <w:szCs w:val="21"/>
                <w:vertAlign w:val="superscript"/>
              </w:rPr>
              <w:t>3</w:t>
            </w:r>
            <w:r>
              <w:rPr>
                <w:rFonts w:hint="eastAsia" w:ascii="楷体_GB2312" w:hAnsi="Calibri" w:eastAsia="楷体_GB2312"/>
                <w:snapToGrid w:val="0"/>
                <w:kern w:val="0"/>
                <w:sz w:val="21"/>
                <w:szCs w:val="21"/>
              </w:rPr>
              <w:t>/s）</w:t>
            </w:r>
          </w:p>
        </w:tc>
        <w:tc>
          <w:tcPr>
            <w:tcW w:w="858"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4236</w:t>
            </w:r>
          </w:p>
        </w:tc>
        <w:tc>
          <w:tcPr>
            <w:tcW w:w="858"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3817</w:t>
            </w:r>
          </w:p>
        </w:tc>
        <w:tc>
          <w:tcPr>
            <w:tcW w:w="858"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3487</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633" w:type="pct"/>
            <w:vMerge w:val="continue"/>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p>
        </w:tc>
        <w:tc>
          <w:tcPr>
            <w:tcW w:w="701"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2005</w:t>
            </w:r>
          </w:p>
        </w:tc>
        <w:tc>
          <w:tcPr>
            <w:tcW w:w="1092"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洪峰流量（m</w:t>
            </w:r>
            <w:r>
              <w:rPr>
                <w:rFonts w:hint="eastAsia" w:ascii="楷体_GB2312" w:hAnsi="Calibri" w:eastAsia="楷体_GB2312"/>
                <w:snapToGrid w:val="0"/>
                <w:kern w:val="0"/>
                <w:sz w:val="21"/>
                <w:szCs w:val="21"/>
                <w:vertAlign w:val="superscript"/>
              </w:rPr>
              <w:t>3</w:t>
            </w:r>
            <w:r>
              <w:rPr>
                <w:rFonts w:hint="eastAsia" w:ascii="楷体_GB2312" w:hAnsi="Calibri" w:eastAsia="楷体_GB2312"/>
                <w:snapToGrid w:val="0"/>
                <w:kern w:val="0"/>
                <w:sz w:val="21"/>
                <w:szCs w:val="21"/>
              </w:rPr>
              <w:t>/s）</w:t>
            </w:r>
          </w:p>
        </w:tc>
        <w:tc>
          <w:tcPr>
            <w:tcW w:w="858"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3687</w:t>
            </w:r>
          </w:p>
        </w:tc>
        <w:tc>
          <w:tcPr>
            <w:tcW w:w="858"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3353</w:t>
            </w:r>
          </w:p>
        </w:tc>
        <w:tc>
          <w:tcPr>
            <w:tcW w:w="858"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3064</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633" w:type="pct"/>
            <w:vMerge w:val="continue"/>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p>
        </w:tc>
        <w:tc>
          <w:tcPr>
            <w:tcW w:w="701"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2016</w:t>
            </w:r>
          </w:p>
        </w:tc>
        <w:tc>
          <w:tcPr>
            <w:tcW w:w="1092"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洪峰流量（m</w:t>
            </w:r>
            <w:r>
              <w:rPr>
                <w:rFonts w:hint="eastAsia" w:ascii="楷体_GB2312" w:hAnsi="Calibri" w:eastAsia="楷体_GB2312"/>
                <w:snapToGrid w:val="0"/>
                <w:kern w:val="0"/>
                <w:sz w:val="21"/>
                <w:szCs w:val="21"/>
                <w:vertAlign w:val="superscript"/>
              </w:rPr>
              <w:t>3</w:t>
            </w:r>
            <w:r>
              <w:rPr>
                <w:rFonts w:hint="eastAsia" w:ascii="楷体_GB2312" w:hAnsi="Calibri" w:eastAsia="楷体_GB2312"/>
                <w:snapToGrid w:val="0"/>
                <w:kern w:val="0"/>
                <w:sz w:val="21"/>
                <w:szCs w:val="21"/>
              </w:rPr>
              <w:t>/s）</w:t>
            </w:r>
          </w:p>
        </w:tc>
        <w:tc>
          <w:tcPr>
            <w:tcW w:w="858"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2644</w:t>
            </w:r>
          </w:p>
        </w:tc>
        <w:tc>
          <w:tcPr>
            <w:tcW w:w="858" w:type="pct"/>
            <w:noWrap/>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2416</w:t>
            </w:r>
          </w:p>
        </w:tc>
        <w:tc>
          <w:tcPr>
            <w:tcW w:w="858"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2208</w:t>
            </w:r>
          </w:p>
        </w:tc>
      </w:tr>
    </w:tbl>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outlineLvl w:val="1"/>
        <w:rPr>
          <w:rFonts w:hint="eastAsia" w:ascii="方正楷体_GBK" w:hAnsi="方正楷体_GBK" w:eastAsia="方正楷体_GBK" w:cs="方正楷体_GBK"/>
          <w:bCs/>
          <w:sz w:val="32"/>
        </w:rPr>
      </w:pPr>
      <w:bookmarkStart w:id="103" w:name="_Toc71782080"/>
      <w:bookmarkStart w:id="104" w:name="_Toc10988"/>
      <w:bookmarkStart w:id="105" w:name="_Toc71665863"/>
      <w:bookmarkStart w:id="106" w:name="_Toc27796"/>
      <w:r>
        <w:rPr>
          <w:rFonts w:hint="eastAsia" w:ascii="方正楷体_GBK" w:hAnsi="方正楷体_GBK" w:eastAsia="方正楷体_GBK" w:cs="方正楷体_GBK"/>
          <w:bCs/>
          <w:sz w:val="32"/>
          <w:lang w:eastAsia="zh-CN"/>
        </w:rPr>
        <w:t>（</w:t>
      </w:r>
      <w:r>
        <w:rPr>
          <w:rFonts w:hint="eastAsia" w:ascii="方正楷体_GBK" w:hAnsi="方正楷体_GBK" w:eastAsia="方正楷体_GBK" w:cs="方正楷体_GBK"/>
          <w:bCs/>
          <w:sz w:val="32"/>
          <w:lang w:val="en-US" w:eastAsia="zh-CN"/>
        </w:rPr>
        <w:t>四</w:t>
      </w:r>
      <w:r>
        <w:rPr>
          <w:rFonts w:hint="eastAsia" w:ascii="方正楷体_GBK" w:hAnsi="方正楷体_GBK" w:eastAsia="方正楷体_GBK" w:cs="方正楷体_GBK"/>
          <w:bCs/>
          <w:sz w:val="32"/>
          <w:lang w:eastAsia="zh-CN"/>
        </w:rPr>
        <w:t>）</w:t>
      </w:r>
      <w:r>
        <w:rPr>
          <w:rFonts w:hint="eastAsia" w:ascii="方正楷体_GBK" w:hAnsi="方正楷体_GBK" w:eastAsia="方正楷体_GBK" w:cs="方正楷体_GBK"/>
          <w:bCs/>
          <w:sz w:val="32"/>
        </w:rPr>
        <w:t>设计洪水</w:t>
      </w:r>
      <w:bookmarkEnd w:id="103"/>
      <w:bookmarkEnd w:id="104"/>
      <w:bookmarkEnd w:id="105"/>
      <w:bookmarkEnd w:id="106"/>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outlineLvl w:val="2"/>
        <w:rPr>
          <w:rFonts w:hint="default" w:ascii="Times New Roman" w:hAnsi="Times New Roman" w:eastAsia="方正仿宋_GBK" w:cs="Times New Roman"/>
          <w:bCs/>
          <w:sz w:val="32"/>
          <w:szCs w:val="32"/>
        </w:rPr>
      </w:pPr>
      <w:r>
        <w:rPr>
          <w:rFonts w:hint="default" w:ascii="Times New Roman" w:hAnsi="Times New Roman" w:eastAsia="方正仿宋_GBK" w:cs="Times New Roman"/>
          <w:bCs/>
          <w:sz w:val="32"/>
          <w:szCs w:val="32"/>
          <w:lang w:val="en-US" w:eastAsia="zh-CN"/>
        </w:rPr>
        <w:t>1</w:t>
      </w:r>
      <w:r>
        <w:rPr>
          <w:rFonts w:hint="eastAsia" w:ascii="Times New Roman" w:eastAsia="方正仿宋_GBK" w:cs="Times New Roman"/>
          <w:sz w:val="32"/>
          <w:szCs w:val="32"/>
          <w:lang w:val="en-US" w:eastAsia="zh-CN"/>
        </w:rPr>
        <w:t>．</w:t>
      </w:r>
      <w:r>
        <w:rPr>
          <w:rFonts w:hint="default" w:ascii="Times New Roman" w:hAnsi="Times New Roman" w:eastAsia="方正仿宋_GBK" w:cs="Times New Roman"/>
          <w:bCs/>
          <w:sz w:val="32"/>
          <w:szCs w:val="32"/>
        </w:rPr>
        <w:t>綦江干流主要站点设计洪水</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outlineLvl w:val="4"/>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1.1</w:t>
      </w:r>
      <w:r>
        <w:rPr>
          <w:rFonts w:hint="eastAsia" w:ascii="Times New Roman" w:eastAsia="方正仿宋_GBK" w:cs="Times New Roman"/>
          <w:sz w:val="32"/>
          <w:szCs w:val="32"/>
          <w:lang w:val="en-US" w:eastAsia="zh-CN"/>
        </w:rPr>
        <w:t xml:space="preserve"> </w:t>
      </w:r>
      <w:r>
        <w:rPr>
          <w:rFonts w:hint="default" w:ascii="Times New Roman" w:hAnsi="Times New Roman" w:eastAsia="方正仿宋_GBK" w:cs="Times New Roman"/>
          <w:sz w:val="32"/>
          <w:szCs w:val="32"/>
        </w:rPr>
        <w:t>松坎（三）站</w:t>
      </w:r>
    </w:p>
    <w:p>
      <w:pPr>
        <w:keepNext w:val="0"/>
        <w:keepLines w:val="0"/>
        <w:pageBreakBefore w:val="0"/>
        <w:widowControl w:val="0"/>
        <w:kinsoku/>
        <w:wordWrap/>
        <w:overflowPunct/>
        <w:topLinePunct w:val="0"/>
        <w:autoSpaceDE/>
        <w:autoSpaceDN/>
        <w:bidi w:val="0"/>
        <w:adjustRightInd/>
        <w:snapToGrid/>
        <w:spacing w:line="560" w:lineRule="exact"/>
        <w:ind w:firstLine="656" w:firstLineChars="200"/>
        <w:textAlignment w:val="auto"/>
        <w:rPr>
          <w:rFonts w:hint="default" w:ascii="Times New Roman" w:hAnsi="Times New Roman" w:eastAsia="方正仿宋_GBK" w:cs="Times New Roman"/>
          <w:spacing w:val="4"/>
          <w:sz w:val="32"/>
          <w:szCs w:val="32"/>
        </w:rPr>
      </w:pPr>
      <w:r>
        <w:rPr>
          <w:rFonts w:hint="default" w:ascii="Times New Roman" w:hAnsi="Times New Roman" w:eastAsia="方正仿宋_GBK" w:cs="Times New Roman"/>
          <w:spacing w:val="4"/>
          <w:sz w:val="32"/>
          <w:szCs w:val="32"/>
        </w:rPr>
        <w:t>1968年重庆市河流规划队和1980年遵义水文队及水电部八局对本河段进行洪水调查，调查到的洪水年份为1831、1913、1963、1977年。</w:t>
      </w:r>
    </w:p>
    <w:p>
      <w:pPr>
        <w:keepNext w:val="0"/>
        <w:keepLines w:val="0"/>
        <w:pageBreakBefore w:val="0"/>
        <w:widowControl w:val="0"/>
        <w:kinsoku/>
        <w:wordWrap/>
        <w:overflowPunct/>
        <w:topLinePunct w:val="0"/>
        <w:autoSpaceDE/>
        <w:autoSpaceDN/>
        <w:bidi w:val="0"/>
        <w:adjustRightInd/>
        <w:snapToGrid/>
        <w:spacing w:line="560" w:lineRule="exact"/>
        <w:ind w:firstLine="656" w:firstLineChars="200"/>
        <w:textAlignment w:val="auto"/>
        <w:rPr>
          <w:rFonts w:hint="default" w:ascii="Times New Roman" w:hAnsi="Times New Roman" w:eastAsia="方正仿宋_GBK" w:cs="Times New Roman"/>
          <w:spacing w:val="4"/>
          <w:sz w:val="32"/>
          <w:szCs w:val="32"/>
        </w:rPr>
      </w:pPr>
      <w:r>
        <w:rPr>
          <w:rFonts w:hint="default" w:ascii="Times New Roman" w:hAnsi="Times New Roman" w:eastAsia="方正仿宋_GBK" w:cs="Times New Roman"/>
          <w:spacing w:val="4"/>
          <w:sz w:val="32"/>
          <w:szCs w:val="32"/>
        </w:rPr>
        <w:t>根据遵义水文队1980年《松坎河段洪水调查整编情况说明表》，松坎河桐梓县三元公社河段调查的1831年洪水位为425.71米，</w:t>
      </w:r>
      <w:r>
        <w:rPr>
          <w:rFonts w:hint="default" w:ascii="Times New Roman" w:hAnsi="Times New Roman" w:eastAsia="方正仿宋_GBK" w:cs="Times New Roman"/>
          <w:sz w:val="32"/>
          <w:szCs w:val="32"/>
        </w:rPr>
        <w:t>但没有访问记录</w:t>
      </w:r>
      <w:r>
        <w:rPr>
          <w:rFonts w:hint="default" w:ascii="Times New Roman" w:hAnsi="Times New Roman" w:eastAsia="方正仿宋_GBK" w:cs="Times New Roman"/>
          <w:spacing w:val="4"/>
          <w:sz w:val="32"/>
          <w:szCs w:val="32"/>
        </w:rPr>
        <w:t>。调查到1913年洪痕1处，1963年4处，1977年为松坎水文站实测值。1831年为最大洪水，1913年为次大洪水，在松坎老街小学楼上留有洪痕点迹，1963年洪水，张启均（当年32岁）亲眼看到了洪水淹没之处。</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方正仿宋_GBK" w:cs="Times New Roman"/>
          <w:spacing w:val="4"/>
          <w:sz w:val="32"/>
          <w:szCs w:val="32"/>
        </w:rPr>
      </w:pPr>
      <w:r>
        <w:rPr>
          <w:rFonts w:hint="default" w:ascii="Times New Roman" w:hAnsi="Times New Roman" w:eastAsia="方正仿宋_GBK" w:cs="Times New Roman"/>
          <w:sz w:val="32"/>
          <w:szCs w:val="32"/>
        </w:rPr>
        <w:t>1831年洪调成果3590m</w:t>
      </w:r>
      <w:r>
        <w:rPr>
          <w:rFonts w:hint="default" w:ascii="Times New Roman" w:hAnsi="Times New Roman" w:eastAsia="方正仿宋_GBK" w:cs="Times New Roman"/>
          <w:sz w:val="32"/>
          <w:szCs w:val="32"/>
          <w:vertAlign w:val="superscript"/>
        </w:rPr>
        <w:t>3</w:t>
      </w:r>
      <w:r>
        <w:rPr>
          <w:rFonts w:hint="default" w:ascii="Times New Roman" w:hAnsi="Times New Roman" w:eastAsia="方正仿宋_GBK" w:cs="Times New Roman"/>
          <w:sz w:val="32"/>
          <w:szCs w:val="32"/>
        </w:rPr>
        <w:t>/s供参考，为1831年以来的最大洪水，重现期为189年。1913年洪峰流量2140</w:t>
      </w:r>
      <w:r>
        <w:rPr>
          <w:rFonts w:hint="default" w:ascii="Times New Roman" w:hAnsi="Times New Roman" w:eastAsia="方正仿宋_GBK" w:cs="Times New Roman"/>
          <w:kern w:val="0"/>
          <w:sz w:val="32"/>
          <w:szCs w:val="32"/>
        </w:rPr>
        <w:t>m</w:t>
      </w:r>
      <w:r>
        <w:rPr>
          <w:rFonts w:hint="default" w:ascii="Times New Roman" w:hAnsi="Times New Roman" w:eastAsia="方正仿宋_GBK" w:cs="Times New Roman"/>
          <w:kern w:val="0"/>
          <w:sz w:val="32"/>
          <w:szCs w:val="32"/>
          <w:vertAlign w:val="superscript"/>
        </w:rPr>
        <w:t>3</w:t>
      </w:r>
      <w:r>
        <w:rPr>
          <w:rFonts w:hint="default" w:ascii="Times New Roman" w:hAnsi="Times New Roman" w:eastAsia="方正仿宋_GBK" w:cs="Times New Roman"/>
          <w:kern w:val="0"/>
          <w:sz w:val="32"/>
          <w:szCs w:val="32"/>
        </w:rPr>
        <w:t>/s</w:t>
      </w:r>
      <w:r>
        <w:rPr>
          <w:rFonts w:hint="default" w:ascii="Times New Roman" w:hAnsi="Times New Roman" w:eastAsia="方正仿宋_GBK" w:cs="Times New Roman"/>
          <w:sz w:val="32"/>
          <w:szCs w:val="32"/>
        </w:rPr>
        <w:t>，为1831年以来的第二大洪水，洪水重现期可定为95年；1963年洪峰流量1910</w:t>
      </w:r>
      <w:r>
        <w:rPr>
          <w:rFonts w:hint="default" w:ascii="Times New Roman" w:hAnsi="Times New Roman" w:eastAsia="方正仿宋_GBK" w:cs="Times New Roman"/>
          <w:kern w:val="0"/>
          <w:sz w:val="32"/>
          <w:szCs w:val="32"/>
        </w:rPr>
        <w:t>m</w:t>
      </w:r>
      <w:r>
        <w:rPr>
          <w:rFonts w:hint="default" w:ascii="Times New Roman" w:hAnsi="Times New Roman" w:eastAsia="方正仿宋_GBK" w:cs="Times New Roman"/>
          <w:kern w:val="0"/>
          <w:sz w:val="32"/>
          <w:szCs w:val="32"/>
          <w:vertAlign w:val="superscript"/>
        </w:rPr>
        <w:t>3</w:t>
      </w:r>
      <w:r>
        <w:rPr>
          <w:rFonts w:hint="default" w:ascii="Times New Roman" w:hAnsi="Times New Roman" w:eastAsia="方正仿宋_GBK" w:cs="Times New Roman"/>
          <w:kern w:val="0"/>
          <w:sz w:val="32"/>
          <w:szCs w:val="32"/>
        </w:rPr>
        <w:t>/s</w:t>
      </w:r>
      <w:r>
        <w:rPr>
          <w:rFonts w:hint="default" w:ascii="Times New Roman" w:hAnsi="Times New Roman" w:eastAsia="方正仿宋_GBK" w:cs="Times New Roman"/>
          <w:sz w:val="32"/>
          <w:szCs w:val="32"/>
        </w:rPr>
        <w:t>，为1831年以来的第三大洪水，重现期为63年。</w:t>
      </w:r>
    </w:p>
    <w:p>
      <w:pPr>
        <w:pStyle w:val="2312"/>
        <w:ind w:firstLine="240"/>
        <w:rPr>
          <w:rFonts w:hint="default" w:ascii="Times New Roman" w:hAnsi="Times New Roman" w:eastAsia="华文仿宋" w:cs="Times New Roman"/>
        </w:rPr>
      </w:pPr>
      <w:r>
        <w:rPr>
          <w:rFonts w:hint="default" w:ascii="Times New Roman" w:hAnsi="Times New Roman" w:cs="Times New Roman"/>
        </w:rPr>
        <w:t>表4.4</w:t>
      </w:r>
      <w:r>
        <w:rPr>
          <w:rFonts w:hint="default" w:ascii="Times New Roman" w:hAnsi="Times New Roman" w:cs="Times New Roman"/>
          <w:lang w:eastAsia="zh-CN"/>
        </w:rPr>
        <w:t>—</w:t>
      </w:r>
      <w:r>
        <w:rPr>
          <w:rFonts w:hint="default" w:ascii="Times New Roman" w:hAnsi="Times New Roman" w:cs="Times New Roman"/>
        </w:rPr>
        <w:t>1            松坎（三）站站历史洪水资料统计表</w:t>
      </w:r>
    </w:p>
    <w:tbl>
      <w:tblPr>
        <w:tblStyle w:val="88"/>
        <w:tblW w:w="5000"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108" w:type="dxa"/>
          <w:bottom w:w="0" w:type="dxa"/>
          <w:right w:w="108" w:type="dxa"/>
        </w:tblCellMar>
      </w:tblPr>
      <w:tblGrid>
        <w:gridCol w:w="3300"/>
        <w:gridCol w:w="1995"/>
        <w:gridCol w:w="1995"/>
        <w:gridCol w:w="1997"/>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283" w:hRule="atLeast"/>
          <w:jc w:val="center"/>
        </w:trPr>
        <w:tc>
          <w:tcPr>
            <w:tcW w:w="1777"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年份</w:t>
            </w:r>
          </w:p>
        </w:tc>
        <w:tc>
          <w:tcPr>
            <w:tcW w:w="1074"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1831</w:t>
            </w:r>
          </w:p>
        </w:tc>
        <w:tc>
          <w:tcPr>
            <w:tcW w:w="1074"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1913</w:t>
            </w:r>
          </w:p>
        </w:tc>
        <w:tc>
          <w:tcPr>
            <w:tcW w:w="1075"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1963</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283" w:hRule="atLeast"/>
          <w:jc w:val="center"/>
        </w:trPr>
        <w:tc>
          <w:tcPr>
            <w:tcW w:w="1777"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水位（m）</w:t>
            </w:r>
          </w:p>
        </w:tc>
        <w:tc>
          <w:tcPr>
            <w:tcW w:w="1074"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425.71</w:t>
            </w:r>
          </w:p>
        </w:tc>
        <w:tc>
          <w:tcPr>
            <w:tcW w:w="1074"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421.12</w:t>
            </w:r>
          </w:p>
        </w:tc>
        <w:tc>
          <w:tcPr>
            <w:tcW w:w="1075"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420.30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283" w:hRule="atLeast"/>
          <w:jc w:val="center"/>
        </w:trPr>
        <w:tc>
          <w:tcPr>
            <w:tcW w:w="1777"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流量（m</w:t>
            </w:r>
            <w:r>
              <w:rPr>
                <w:rFonts w:hint="eastAsia" w:ascii="楷体_GB2312" w:hAnsi="Calibri" w:eastAsia="楷体_GB2312"/>
                <w:snapToGrid w:val="0"/>
                <w:kern w:val="0"/>
                <w:sz w:val="21"/>
                <w:szCs w:val="21"/>
                <w:vertAlign w:val="superscript"/>
              </w:rPr>
              <w:t>3</w:t>
            </w:r>
            <w:r>
              <w:rPr>
                <w:rFonts w:hint="eastAsia" w:ascii="楷体_GB2312" w:hAnsi="Calibri" w:eastAsia="楷体_GB2312"/>
                <w:snapToGrid w:val="0"/>
                <w:kern w:val="0"/>
                <w:sz w:val="21"/>
                <w:szCs w:val="21"/>
              </w:rPr>
              <w:t>/s）</w:t>
            </w:r>
          </w:p>
        </w:tc>
        <w:tc>
          <w:tcPr>
            <w:tcW w:w="1074"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3590</w:t>
            </w:r>
          </w:p>
        </w:tc>
        <w:tc>
          <w:tcPr>
            <w:tcW w:w="1074"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2140</w:t>
            </w:r>
          </w:p>
        </w:tc>
        <w:tc>
          <w:tcPr>
            <w:tcW w:w="1075"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1910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283" w:hRule="atLeast"/>
          <w:jc w:val="center"/>
        </w:trPr>
        <w:tc>
          <w:tcPr>
            <w:tcW w:w="1777"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可靠程度</w:t>
            </w:r>
          </w:p>
        </w:tc>
        <w:tc>
          <w:tcPr>
            <w:tcW w:w="1074"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供参考</w:t>
            </w:r>
          </w:p>
        </w:tc>
        <w:tc>
          <w:tcPr>
            <w:tcW w:w="1074"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较可靠</w:t>
            </w:r>
          </w:p>
        </w:tc>
        <w:tc>
          <w:tcPr>
            <w:tcW w:w="1075"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可靠</w:t>
            </w:r>
          </w:p>
        </w:tc>
      </w:tr>
    </w:tbl>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方正仿宋_GBK" w:cs="Times New Roman"/>
          <w:sz w:val="32"/>
          <w:szCs w:val="32"/>
        </w:rPr>
      </w:pPr>
      <w:r>
        <w:rPr>
          <w:rFonts w:hint="eastAsia" w:ascii="Times New Roman" w:hAnsi="Times New Roman" w:eastAsia="方正仿宋_GBK" w:cs="Times New Roman"/>
          <w:sz w:val="32"/>
          <w:szCs w:val="32"/>
        </w:rPr>
        <w:t>松坎（三）站设计洪峰频率计算采用1967</w:t>
      </w:r>
      <w:r>
        <w:rPr>
          <w:rFonts w:hint="eastAsia" w:ascii="Times New Roman" w:eastAsia="方正仿宋_GBK" w:cs="Times New Roman"/>
          <w:sz w:val="32"/>
          <w:szCs w:val="32"/>
          <w:lang w:eastAsia="zh-CN"/>
        </w:rPr>
        <w:t>—</w:t>
      </w:r>
      <w:r>
        <w:rPr>
          <w:rFonts w:hint="eastAsia" w:ascii="Times New Roman" w:hAnsi="Times New Roman" w:eastAsia="方正仿宋_GBK" w:cs="Times New Roman"/>
          <w:sz w:val="32"/>
          <w:szCs w:val="32"/>
        </w:rPr>
        <w:t>2020年实测系列与历史洪水1831年、1913年、1963年组成一个不连序系列。计算洪峰流量和24h洪量系列特征参数，采用P</w:t>
      </w:r>
      <w:r>
        <w:rPr>
          <w:rFonts w:hint="eastAsia" w:ascii="Times New Roman" w:eastAsia="方正仿宋_GBK" w:cs="Times New Roman"/>
          <w:sz w:val="32"/>
          <w:szCs w:val="32"/>
          <w:lang w:eastAsia="zh-CN"/>
        </w:rPr>
        <w:t>—</w:t>
      </w:r>
      <w:r>
        <w:rPr>
          <w:rFonts w:hint="eastAsia" w:ascii="Times New Roman" w:hAnsi="Times New Roman" w:eastAsia="方正仿宋_GBK" w:cs="Times New Roman"/>
          <w:sz w:val="32"/>
          <w:szCs w:val="32"/>
        </w:rPr>
        <w:t>Ⅲ型曲线适线，设计洪水成果见表</w:t>
      </w:r>
      <w:r>
        <w:rPr>
          <w:rFonts w:hint="default" w:ascii="Times New Roman" w:hAnsi="Times New Roman" w:eastAsia="方正仿宋_GBK" w:cs="Times New Roman"/>
          <w:sz w:val="32"/>
          <w:szCs w:val="32"/>
        </w:rPr>
        <w:t>4.</w:t>
      </w:r>
      <w:r>
        <w:rPr>
          <w:rFonts w:hint="eastAsia" w:ascii="Times New Roman" w:hAnsi="Times New Roman" w:eastAsia="方正仿宋_GBK" w:cs="Times New Roman"/>
          <w:sz w:val="32"/>
          <w:szCs w:val="32"/>
        </w:rPr>
        <w:t>4</w:t>
      </w:r>
      <w:r>
        <w:rPr>
          <w:rFonts w:hint="eastAsia" w:ascii="Times New Roman" w:eastAsia="方正仿宋_GBK" w:cs="Times New Roman"/>
          <w:sz w:val="32"/>
          <w:szCs w:val="32"/>
          <w:lang w:eastAsia="zh-CN"/>
        </w:rPr>
        <w:t>—</w:t>
      </w:r>
      <w:r>
        <w:rPr>
          <w:rFonts w:hint="eastAsia" w:ascii="Times New Roman" w:hAnsi="Times New Roman" w:eastAsia="方正仿宋_GBK" w:cs="Times New Roman"/>
          <w:sz w:val="32"/>
          <w:szCs w:val="32"/>
        </w:rPr>
        <w:t>2，洪峰频率曲线见图</w:t>
      </w:r>
      <w:r>
        <w:rPr>
          <w:rFonts w:hint="default" w:ascii="Times New Roman" w:hAnsi="Times New Roman" w:eastAsia="方正仿宋_GBK" w:cs="Times New Roman"/>
          <w:sz w:val="32"/>
          <w:szCs w:val="32"/>
        </w:rPr>
        <w:t>4.</w:t>
      </w:r>
      <w:r>
        <w:rPr>
          <w:rFonts w:hint="eastAsia" w:ascii="Times New Roman" w:hAnsi="Times New Roman" w:eastAsia="方正仿宋_GBK" w:cs="Times New Roman"/>
          <w:sz w:val="32"/>
          <w:szCs w:val="32"/>
        </w:rPr>
        <w:t>4</w:t>
      </w:r>
      <w:r>
        <w:rPr>
          <w:rFonts w:hint="eastAsia" w:ascii="Times New Roman" w:eastAsia="方正仿宋_GBK" w:cs="Times New Roman"/>
          <w:sz w:val="32"/>
          <w:szCs w:val="32"/>
          <w:lang w:eastAsia="zh-CN"/>
        </w:rPr>
        <w:t>—</w:t>
      </w:r>
      <w:r>
        <w:rPr>
          <w:rFonts w:hint="eastAsia" w:ascii="Times New Roman" w:hAnsi="Times New Roman" w:eastAsia="方正仿宋_GBK" w:cs="Times New Roman"/>
          <w:sz w:val="32"/>
          <w:szCs w:val="32"/>
        </w:rPr>
        <w:t>1。</w:t>
      </w:r>
    </w:p>
    <w:p>
      <w:pPr>
        <w:spacing w:after="60"/>
        <w:ind w:firstLine="240" w:firstLineChars="100"/>
        <w:outlineLvl w:val="5"/>
        <w:rPr>
          <w:rFonts w:hint="default" w:ascii="Times New Roman" w:hAnsi="Times New Roman" w:eastAsia="黑体" w:cs="Times New Roman"/>
          <w:sz w:val="24"/>
          <w:szCs w:val="20"/>
        </w:rPr>
      </w:pPr>
      <w:r>
        <w:rPr>
          <w:rFonts w:hint="default" w:ascii="Times New Roman" w:hAnsi="Times New Roman" w:eastAsia="黑体" w:cs="Times New Roman"/>
          <w:sz w:val="24"/>
          <w:szCs w:val="20"/>
        </w:rPr>
        <w:t>表4.4</w:t>
      </w:r>
      <w:r>
        <w:rPr>
          <w:rFonts w:hint="default" w:ascii="Times New Roman" w:hAnsi="Times New Roman" w:eastAsia="黑体" w:cs="Times New Roman"/>
          <w:sz w:val="24"/>
          <w:szCs w:val="20"/>
          <w:lang w:eastAsia="zh-CN"/>
        </w:rPr>
        <w:t>—</w:t>
      </w:r>
      <w:r>
        <w:rPr>
          <w:rFonts w:hint="default" w:ascii="Times New Roman" w:hAnsi="Times New Roman" w:eastAsia="黑体" w:cs="Times New Roman"/>
          <w:sz w:val="24"/>
          <w:szCs w:val="20"/>
        </w:rPr>
        <w:t>2               松坎（三）站设计洪水成果表</w:t>
      </w:r>
    </w:p>
    <w:tbl>
      <w:tblPr>
        <w:tblStyle w:val="88"/>
        <w:tblW w:w="5000"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0" w:type="dxa"/>
          <w:bottom w:w="0" w:type="dxa"/>
          <w:right w:w="0" w:type="dxa"/>
        </w:tblCellMar>
      </w:tblPr>
      <w:tblGrid>
        <w:gridCol w:w="1793"/>
        <w:gridCol w:w="1179"/>
        <w:gridCol w:w="711"/>
        <w:gridCol w:w="896"/>
        <w:gridCol w:w="898"/>
        <w:gridCol w:w="898"/>
        <w:gridCol w:w="898"/>
        <w:gridCol w:w="898"/>
        <w:gridCol w:w="916"/>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283" w:hRule="atLeast"/>
          <w:jc w:val="center"/>
        </w:trPr>
        <w:tc>
          <w:tcPr>
            <w:tcW w:w="987" w:type="pct"/>
            <w:vMerge w:val="restart"/>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snapToGrid w:val="0"/>
                <w:kern w:val="0"/>
                <w:sz w:val="21"/>
                <w:szCs w:val="21"/>
              </w:rPr>
              <w:t>项目</w:t>
            </w:r>
          </w:p>
        </w:tc>
        <w:tc>
          <w:tcPr>
            <w:tcW w:w="649" w:type="pct"/>
            <w:vMerge w:val="restart"/>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均值</w:t>
            </w:r>
          </w:p>
        </w:tc>
        <w:tc>
          <w:tcPr>
            <w:tcW w:w="391" w:type="pct"/>
            <w:vMerge w:val="restart"/>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Cv</w:t>
            </w:r>
          </w:p>
        </w:tc>
        <w:tc>
          <w:tcPr>
            <w:tcW w:w="493" w:type="pct"/>
            <w:vMerge w:val="restart"/>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Cs/Cv</w:t>
            </w:r>
          </w:p>
        </w:tc>
        <w:tc>
          <w:tcPr>
            <w:tcW w:w="2480" w:type="pct"/>
            <w:gridSpan w:val="5"/>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各 频 率 设 计 值 Xp</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283" w:hRule="atLeast"/>
          <w:jc w:val="center"/>
        </w:trPr>
        <w:tc>
          <w:tcPr>
            <w:tcW w:w="987" w:type="pct"/>
            <w:vMerge w:val="continue"/>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p>
        </w:tc>
        <w:tc>
          <w:tcPr>
            <w:tcW w:w="649" w:type="pct"/>
            <w:vMerge w:val="continue"/>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p>
        </w:tc>
        <w:tc>
          <w:tcPr>
            <w:tcW w:w="391" w:type="pct"/>
            <w:vMerge w:val="continue"/>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p>
        </w:tc>
        <w:tc>
          <w:tcPr>
            <w:tcW w:w="493" w:type="pct"/>
            <w:vMerge w:val="continue"/>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p>
        </w:tc>
        <w:tc>
          <w:tcPr>
            <w:tcW w:w="494" w:type="pct"/>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w:t>
            </w:r>
          </w:p>
        </w:tc>
        <w:tc>
          <w:tcPr>
            <w:tcW w:w="494" w:type="pct"/>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3.3%</w:t>
            </w:r>
          </w:p>
        </w:tc>
        <w:tc>
          <w:tcPr>
            <w:tcW w:w="494" w:type="pct"/>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w:t>
            </w:r>
          </w:p>
        </w:tc>
        <w:tc>
          <w:tcPr>
            <w:tcW w:w="494" w:type="pct"/>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10%</w:t>
            </w:r>
          </w:p>
        </w:tc>
        <w:tc>
          <w:tcPr>
            <w:tcW w:w="504" w:type="pct"/>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283" w:hRule="atLeast"/>
          <w:jc w:val="center"/>
        </w:trPr>
        <w:tc>
          <w:tcPr>
            <w:tcW w:w="987" w:type="pct"/>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Q</w:t>
            </w:r>
            <w:r>
              <w:rPr>
                <w:rFonts w:hint="eastAsia" w:ascii="楷体_GB2312" w:hAnsi="Calibri" w:eastAsia="楷体_GB2312"/>
                <w:kern w:val="0"/>
                <w:sz w:val="21"/>
                <w:szCs w:val="21"/>
                <w:vertAlign w:val="subscript"/>
              </w:rPr>
              <w:t>m</w:t>
            </w:r>
            <w:r>
              <w:rPr>
                <w:rFonts w:hint="eastAsia" w:ascii="楷体_GB2312" w:hAnsi="Calibri" w:eastAsia="楷体_GB2312"/>
                <w:kern w:val="0"/>
                <w:sz w:val="21"/>
                <w:szCs w:val="21"/>
              </w:rPr>
              <w:t>（m</w:t>
            </w:r>
            <w:r>
              <w:rPr>
                <w:rFonts w:hint="eastAsia" w:ascii="楷体_GB2312" w:hAnsi="Calibri" w:eastAsia="楷体_GB2312"/>
                <w:kern w:val="0"/>
                <w:sz w:val="21"/>
                <w:szCs w:val="21"/>
                <w:vertAlign w:val="superscript"/>
              </w:rPr>
              <w:t>3</w:t>
            </w:r>
            <w:r>
              <w:rPr>
                <w:rFonts w:hint="eastAsia" w:ascii="楷体_GB2312" w:hAnsi="Calibri" w:eastAsia="楷体_GB2312"/>
                <w:kern w:val="0"/>
                <w:sz w:val="21"/>
                <w:szCs w:val="21"/>
              </w:rPr>
              <w:t>/s）</w:t>
            </w:r>
          </w:p>
        </w:tc>
        <w:tc>
          <w:tcPr>
            <w:tcW w:w="649" w:type="pct"/>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660</w:t>
            </w:r>
          </w:p>
        </w:tc>
        <w:tc>
          <w:tcPr>
            <w:tcW w:w="391" w:type="pct"/>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0.70</w:t>
            </w:r>
          </w:p>
        </w:tc>
        <w:tc>
          <w:tcPr>
            <w:tcW w:w="493" w:type="pct"/>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3.50</w:t>
            </w:r>
          </w:p>
        </w:tc>
        <w:tc>
          <w:tcPr>
            <w:tcW w:w="494" w:type="pct"/>
            <w:noWrap w:val="0"/>
            <w:vAlign w:val="center"/>
          </w:tcPr>
          <w:p>
            <w:pPr>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2060</w:t>
            </w:r>
          </w:p>
        </w:tc>
        <w:tc>
          <w:tcPr>
            <w:tcW w:w="494" w:type="pct"/>
            <w:noWrap w:val="0"/>
            <w:vAlign w:val="center"/>
          </w:tcPr>
          <w:p>
            <w:pPr>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1800</w:t>
            </w:r>
          </w:p>
        </w:tc>
        <w:tc>
          <w:tcPr>
            <w:tcW w:w="494" w:type="pct"/>
            <w:noWrap w:val="0"/>
            <w:vAlign w:val="center"/>
          </w:tcPr>
          <w:p>
            <w:pPr>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1590</w:t>
            </w:r>
          </w:p>
        </w:tc>
        <w:tc>
          <w:tcPr>
            <w:tcW w:w="494" w:type="pct"/>
            <w:noWrap w:val="0"/>
            <w:vAlign w:val="center"/>
          </w:tcPr>
          <w:p>
            <w:pPr>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1240</w:t>
            </w:r>
          </w:p>
        </w:tc>
        <w:tc>
          <w:tcPr>
            <w:tcW w:w="504" w:type="pct"/>
            <w:noWrap w:val="0"/>
            <w:vAlign w:val="center"/>
          </w:tcPr>
          <w:p>
            <w:pPr>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904</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283" w:hRule="atLeast"/>
          <w:jc w:val="center"/>
        </w:trPr>
        <w:tc>
          <w:tcPr>
            <w:tcW w:w="987" w:type="pct"/>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W</w:t>
            </w:r>
            <w:r>
              <w:rPr>
                <w:rFonts w:hint="eastAsia" w:ascii="楷体_GB2312" w:hAnsi="Calibri" w:eastAsia="楷体_GB2312"/>
                <w:kern w:val="0"/>
                <w:sz w:val="21"/>
                <w:szCs w:val="21"/>
                <w:vertAlign w:val="subscript"/>
              </w:rPr>
              <w:t>24h</w:t>
            </w:r>
            <w:r>
              <w:rPr>
                <w:rFonts w:hint="eastAsia" w:ascii="楷体_GB2312" w:hAnsi="Calibri" w:eastAsia="楷体_GB2312"/>
                <w:kern w:val="0"/>
                <w:sz w:val="21"/>
                <w:szCs w:val="21"/>
              </w:rPr>
              <w:t>（亿m</w:t>
            </w:r>
            <w:r>
              <w:rPr>
                <w:rFonts w:hint="eastAsia" w:ascii="楷体_GB2312" w:hAnsi="Calibri" w:eastAsia="楷体_GB2312"/>
                <w:kern w:val="0"/>
                <w:sz w:val="21"/>
                <w:szCs w:val="21"/>
                <w:vertAlign w:val="superscript"/>
              </w:rPr>
              <w:t>3</w:t>
            </w:r>
            <w:r>
              <w:rPr>
                <w:rFonts w:hint="eastAsia" w:ascii="楷体_GB2312" w:hAnsi="Calibri" w:eastAsia="楷体_GB2312"/>
                <w:kern w:val="0"/>
                <w:sz w:val="21"/>
                <w:szCs w:val="21"/>
              </w:rPr>
              <w:t>）</w:t>
            </w:r>
          </w:p>
        </w:tc>
        <w:tc>
          <w:tcPr>
            <w:tcW w:w="649" w:type="pct"/>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0.231</w:t>
            </w:r>
          </w:p>
        </w:tc>
        <w:tc>
          <w:tcPr>
            <w:tcW w:w="391" w:type="pct"/>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0.64</w:t>
            </w:r>
          </w:p>
        </w:tc>
        <w:tc>
          <w:tcPr>
            <w:tcW w:w="493" w:type="pct"/>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3.50</w:t>
            </w:r>
          </w:p>
        </w:tc>
        <w:tc>
          <w:tcPr>
            <w:tcW w:w="494" w:type="pct"/>
            <w:noWrap w:val="0"/>
            <w:vAlign w:val="center"/>
          </w:tcPr>
          <w:p>
            <w:pPr>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0.672</w:t>
            </w:r>
          </w:p>
        </w:tc>
        <w:tc>
          <w:tcPr>
            <w:tcW w:w="494" w:type="pct"/>
            <w:noWrap w:val="0"/>
            <w:vAlign w:val="center"/>
          </w:tcPr>
          <w:p>
            <w:pPr>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0.593</w:t>
            </w:r>
          </w:p>
        </w:tc>
        <w:tc>
          <w:tcPr>
            <w:tcW w:w="494" w:type="pct"/>
            <w:noWrap w:val="0"/>
            <w:vAlign w:val="center"/>
          </w:tcPr>
          <w:p>
            <w:pPr>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0.528</w:t>
            </w:r>
          </w:p>
        </w:tc>
        <w:tc>
          <w:tcPr>
            <w:tcW w:w="494" w:type="pct"/>
            <w:noWrap w:val="0"/>
            <w:vAlign w:val="center"/>
          </w:tcPr>
          <w:p>
            <w:pPr>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0.420</w:t>
            </w:r>
          </w:p>
        </w:tc>
        <w:tc>
          <w:tcPr>
            <w:tcW w:w="504" w:type="pct"/>
            <w:noWrap w:val="0"/>
            <w:vAlign w:val="center"/>
          </w:tcPr>
          <w:p>
            <w:pPr>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0.315</w:t>
            </w:r>
          </w:p>
        </w:tc>
      </w:tr>
    </w:tbl>
    <w:p>
      <w:pPr>
        <w:spacing w:line="0" w:lineRule="atLeast"/>
        <w:ind w:firstLine="0" w:firstLineChars="0"/>
        <w:jc w:val="center"/>
        <w:rPr>
          <w:rFonts w:hint="eastAsia" w:hAnsi="Calibri"/>
          <w:snapToGrid w:val="0"/>
          <w:kern w:val="0"/>
          <w:sz w:val="21"/>
          <w:szCs w:val="20"/>
        </w:rPr>
      </w:pPr>
      <w:r>
        <w:rPr>
          <w:rFonts w:hint="eastAsia" w:eastAsia="黑体"/>
        </w:rPr>
        <w:drawing>
          <wp:inline distT="0" distB="0" distL="114300" distR="114300">
            <wp:extent cx="4378960" cy="3331210"/>
            <wp:effectExtent l="0" t="0" r="2540" b="2540"/>
            <wp:docPr id="91" name="图片 108" descr="松坎 洪峰"/>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1" name="图片 108" descr="松坎 洪峰"/>
                    <pic:cNvPicPr>
                      <a:picLocks noChangeAspect="true"/>
                    </pic:cNvPicPr>
                  </pic:nvPicPr>
                  <pic:blipFill>
                    <a:blip r:embed="rId130"/>
                    <a:stretch>
                      <a:fillRect/>
                    </a:stretch>
                  </pic:blipFill>
                  <pic:spPr>
                    <a:xfrm>
                      <a:off x="0" y="0"/>
                      <a:ext cx="4378960" cy="3331210"/>
                    </a:xfrm>
                    <a:prstGeom prst="rect">
                      <a:avLst/>
                    </a:prstGeom>
                    <a:noFill/>
                    <a:ln>
                      <a:noFill/>
                    </a:ln>
                  </pic:spPr>
                </pic:pic>
              </a:graphicData>
            </a:graphic>
          </wp:inline>
        </w:drawing>
      </w:r>
    </w:p>
    <w:p>
      <w:pPr>
        <w:spacing w:line="240" w:lineRule="auto"/>
        <w:ind w:firstLine="0" w:firstLineChars="0"/>
        <w:jc w:val="center"/>
        <w:outlineLvl w:val="7"/>
        <w:rPr>
          <w:rFonts w:hint="default" w:ascii="Times New Roman" w:hAnsi="Times New Roman" w:eastAsia="黑体" w:cs="Times New Roman"/>
          <w:sz w:val="24"/>
          <w:szCs w:val="20"/>
        </w:rPr>
      </w:pPr>
      <w:r>
        <w:rPr>
          <w:rFonts w:hint="default" w:ascii="Times New Roman" w:hAnsi="Times New Roman" w:eastAsia="黑体" w:cs="Times New Roman"/>
          <w:sz w:val="24"/>
          <w:szCs w:val="20"/>
        </w:rPr>
        <w:t>图4.4</w:t>
      </w:r>
      <w:r>
        <w:rPr>
          <w:rFonts w:hint="default" w:ascii="Times New Roman" w:hAnsi="Times New Roman" w:eastAsia="黑体" w:cs="Times New Roman"/>
          <w:sz w:val="24"/>
          <w:szCs w:val="20"/>
          <w:lang w:eastAsia="zh-CN"/>
        </w:rPr>
        <w:t>—</w:t>
      </w:r>
      <w:r>
        <w:rPr>
          <w:rFonts w:hint="default" w:ascii="Times New Roman" w:hAnsi="Times New Roman" w:eastAsia="黑体" w:cs="Times New Roman"/>
          <w:sz w:val="24"/>
          <w:szCs w:val="20"/>
        </w:rPr>
        <w:t>1    松坎站设计洪峰频率曲线</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lang w:val="en-US" w:eastAsia="zh-CN"/>
        </w:rPr>
        <w:t>1.2</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rPr>
        <w:t>东溪站</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rPr>
        <w:t>根据《四川省洪水调查资料》、《綦江县县志》、《赶水镇“三线”划定资料》及东溪站实测资料综合分析：盖石洞河段首大洪水为1786年，1933年为次大洪水，1786年洪水重现期定为234年，1933年洪水重现期为117年。</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rPr>
        <w:t>东溪水文站距下游盖石洞18.3km，将盖石洞历史洪调成果的1786年、1933年和1968年洪峰流量按面积比的0.67次方（根据东溪</w:t>
      </w:r>
      <w:r>
        <w:rPr>
          <w:rFonts w:hint="eastAsia" w:ascii="Times New Roman" w:eastAsia="方正仿宋_GBK" w:cs="Times New Roman"/>
          <w:sz w:val="32"/>
          <w:szCs w:val="32"/>
          <w:lang w:eastAsia="zh-CN"/>
        </w:rPr>
        <w:t>—</w:t>
      </w:r>
      <w:r>
        <w:rPr>
          <w:rFonts w:hint="eastAsia" w:ascii="Times New Roman" w:hAnsi="Times New Roman" w:eastAsia="方正仿宋_GBK" w:cs="Times New Roman"/>
          <w:sz w:val="32"/>
          <w:szCs w:val="32"/>
        </w:rPr>
        <w:t>五岔水文站多年较大洪峰流量与面积比相关关系而来）换算到东溪水文站处流量分别为7420m</w:t>
      </w:r>
      <w:r>
        <w:rPr>
          <w:rFonts w:hint="eastAsia" w:ascii="Times New Roman" w:hAnsi="Times New Roman" w:eastAsia="方正仿宋_GBK" w:cs="Times New Roman"/>
          <w:sz w:val="32"/>
          <w:szCs w:val="32"/>
          <w:vertAlign w:val="superscript"/>
        </w:rPr>
        <w:t>3</w:t>
      </w:r>
      <w:r>
        <w:rPr>
          <w:rFonts w:hint="eastAsia" w:ascii="Times New Roman" w:hAnsi="Times New Roman" w:eastAsia="方正仿宋_GBK" w:cs="Times New Roman"/>
          <w:sz w:val="32"/>
          <w:szCs w:val="32"/>
        </w:rPr>
        <w:t>/s、6190m</w:t>
      </w:r>
      <w:r>
        <w:rPr>
          <w:rFonts w:hint="eastAsia" w:ascii="Times New Roman" w:hAnsi="Times New Roman" w:eastAsia="方正仿宋_GBK" w:cs="Times New Roman"/>
          <w:sz w:val="32"/>
          <w:szCs w:val="32"/>
          <w:vertAlign w:val="superscript"/>
        </w:rPr>
        <w:t>3</w:t>
      </w:r>
      <w:r>
        <w:rPr>
          <w:rFonts w:hint="eastAsia" w:ascii="Times New Roman" w:hAnsi="Times New Roman" w:eastAsia="方正仿宋_GBK" w:cs="Times New Roman"/>
          <w:sz w:val="32"/>
          <w:szCs w:val="32"/>
        </w:rPr>
        <w:t>/s和4460m</w:t>
      </w:r>
      <w:r>
        <w:rPr>
          <w:rFonts w:hint="eastAsia" w:ascii="Times New Roman" w:hAnsi="Times New Roman" w:eastAsia="方正仿宋_GBK" w:cs="Times New Roman"/>
          <w:sz w:val="32"/>
          <w:szCs w:val="32"/>
          <w:vertAlign w:val="superscript"/>
        </w:rPr>
        <w:t>3</w:t>
      </w:r>
      <w:r>
        <w:rPr>
          <w:rFonts w:hint="eastAsia" w:ascii="Times New Roman" w:hAnsi="Times New Roman" w:eastAsia="方正仿宋_GBK" w:cs="Times New Roman"/>
          <w:sz w:val="32"/>
          <w:szCs w:val="32"/>
        </w:rPr>
        <w:t>/s。1998年东溪站实测最大洪峰4620m</w:t>
      </w:r>
      <w:r>
        <w:rPr>
          <w:rFonts w:hint="eastAsia" w:ascii="Times New Roman" w:hAnsi="Times New Roman" w:eastAsia="方正仿宋_GBK" w:cs="Times New Roman"/>
          <w:sz w:val="32"/>
          <w:szCs w:val="32"/>
          <w:vertAlign w:val="superscript"/>
        </w:rPr>
        <w:t>3</w:t>
      </w:r>
      <w:r>
        <w:rPr>
          <w:rFonts w:hint="eastAsia" w:ascii="Times New Roman" w:hAnsi="Times New Roman" w:eastAsia="方正仿宋_GBK" w:cs="Times New Roman"/>
          <w:sz w:val="32"/>
          <w:szCs w:val="32"/>
        </w:rPr>
        <w:t>/s。1913年洪水在下游五岔站进行了推流，洪峰流量为6240m</w:t>
      </w:r>
      <w:r>
        <w:rPr>
          <w:rFonts w:hint="eastAsia" w:ascii="Times New Roman" w:hAnsi="Times New Roman" w:eastAsia="方正仿宋_GBK" w:cs="Times New Roman"/>
          <w:sz w:val="32"/>
          <w:szCs w:val="32"/>
          <w:vertAlign w:val="superscript"/>
        </w:rPr>
        <w:t>3</w:t>
      </w:r>
      <w:r>
        <w:rPr>
          <w:rFonts w:hint="eastAsia" w:ascii="Times New Roman" w:hAnsi="Times New Roman" w:eastAsia="方正仿宋_GBK" w:cs="Times New Roman"/>
          <w:sz w:val="32"/>
          <w:szCs w:val="32"/>
        </w:rPr>
        <w:t>/s，但该历史洪水在上游东溪河段没有推流考证，根据流域上下游水文比拟初步分析，1913年东溪河段历史洪水要大于1998年。由此判断1998年洪水为第四大洪水，重现期为59年。1968年洪峰4460m</w:t>
      </w:r>
      <w:r>
        <w:rPr>
          <w:rFonts w:hint="eastAsia" w:ascii="Times New Roman" w:hAnsi="Times New Roman" w:eastAsia="方正仿宋_GBK" w:cs="Times New Roman"/>
          <w:sz w:val="32"/>
          <w:szCs w:val="32"/>
          <w:vertAlign w:val="superscript"/>
        </w:rPr>
        <w:t>3</w:t>
      </w:r>
      <w:r>
        <w:rPr>
          <w:rFonts w:hint="eastAsia" w:ascii="Times New Roman" w:hAnsi="Times New Roman" w:eastAsia="方正仿宋_GBK" w:cs="Times New Roman"/>
          <w:sz w:val="32"/>
          <w:szCs w:val="32"/>
        </w:rPr>
        <w:t>/s为第五大洪水，重现期为47年。2020年6月洪峰4360m</w:t>
      </w:r>
      <w:r>
        <w:rPr>
          <w:rFonts w:hint="eastAsia" w:ascii="Times New Roman" w:hAnsi="Times New Roman" w:eastAsia="方正仿宋_GBK" w:cs="Times New Roman"/>
          <w:sz w:val="32"/>
          <w:szCs w:val="32"/>
          <w:vertAlign w:val="superscript"/>
        </w:rPr>
        <w:t>3</w:t>
      </w:r>
      <w:r>
        <w:rPr>
          <w:rFonts w:hint="eastAsia" w:ascii="Times New Roman" w:hAnsi="Times New Roman" w:eastAsia="方正仿宋_GBK" w:cs="Times New Roman"/>
          <w:sz w:val="32"/>
          <w:szCs w:val="32"/>
        </w:rPr>
        <w:t>/s为第六大洪水，重现期为39年一遇。</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rPr>
        <w:t>本次收集到东溪水文站1970</w:t>
      </w:r>
      <w:r>
        <w:rPr>
          <w:rFonts w:hint="eastAsia" w:ascii="Times New Roman" w:eastAsia="方正仿宋_GBK" w:cs="Times New Roman"/>
          <w:sz w:val="32"/>
          <w:szCs w:val="32"/>
          <w:lang w:eastAsia="zh-CN"/>
        </w:rPr>
        <w:t>—</w:t>
      </w:r>
      <w:r>
        <w:rPr>
          <w:rFonts w:hint="eastAsia" w:ascii="Times New Roman" w:hAnsi="Times New Roman" w:eastAsia="方正仿宋_GBK" w:cs="Times New Roman"/>
          <w:sz w:val="32"/>
          <w:szCs w:val="32"/>
        </w:rPr>
        <w:t>2020年历年最大实测洪峰流量资料系列，加入1786年、1933年历史洪水，统计计算最大洪峰流量和24h洪量系列特征参数，采用P</w:t>
      </w:r>
      <w:r>
        <w:rPr>
          <w:rFonts w:hint="eastAsia" w:ascii="Times New Roman" w:eastAsia="方正仿宋_GBK" w:cs="Times New Roman"/>
          <w:sz w:val="32"/>
          <w:szCs w:val="32"/>
          <w:lang w:eastAsia="zh-CN"/>
        </w:rPr>
        <w:t>—</w:t>
      </w:r>
      <w:r>
        <w:rPr>
          <w:rFonts w:hint="eastAsia" w:ascii="Times New Roman" w:hAnsi="Times New Roman" w:eastAsia="方正仿宋_GBK" w:cs="Times New Roman"/>
          <w:sz w:val="32"/>
          <w:szCs w:val="32"/>
        </w:rPr>
        <w:t>Ⅲ型曲线适线。东溪站设计洪水成果见表4.4</w:t>
      </w:r>
      <w:r>
        <w:rPr>
          <w:rFonts w:hint="eastAsia" w:ascii="Times New Roman" w:eastAsia="方正仿宋_GBK" w:cs="Times New Roman"/>
          <w:sz w:val="32"/>
          <w:szCs w:val="32"/>
          <w:lang w:eastAsia="zh-CN"/>
        </w:rPr>
        <w:t>—</w:t>
      </w:r>
      <w:r>
        <w:rPr>
          <w:rFonts w:hint="eastAsia" w:ascii="Times New Roman" w:hAnsi="Times New Roman" w:eastAsia="方正仿宋_GBK" w:cs="Times New Roman"/>
          <w:sz w:val="32"/>
          <w:szCs w:val="32"/>
        </w:rPr>
        <w:t>3，洪峰频率曲线见图4.4</w:t>
      </w:r>
      <w:r>
        <w:rPr>
          <w:rFonts w:hint="eastAsia" w:ascii="Times New Roman" w:eastAsia="方正仿宋_GBK" w:cs="Times New Roman"/>
          <w:sz w:val="32"/>
          <w:szCs w:val="32"/>
          <w:lang w:eastAsia="zh-CN"/>
        </w:rPr>
        <w:t>—</w:t>
      </w:r>
      <w:r>
        <w:rPr>
          <w:rFonts w:hint="eastAsia" w:ascii="Times New Roman" w:hAnsi="Times New Roman" w:eastAsia="方正仿宋_GBK" w:cs="Times New Roman"/>
          <w:sz w:val="32"/>
          <w:szCs w:val="32"/>
        </w:rPr>
        <w:t>2。</w:t>
      </w:r>
    </w:p>
    <w:p>
      <w:pPr>
        <w:spacing w:after="60"/>
        <w:ind w:firstLine="240" w:firstLineChars="100"/>
        <w:outlineLvl w:val="5"/>
        <w:rPr>
          <w:rFonts w:hint="default" w:ascii="Times New Roman" w:hAnsi="Times New Roman" w:eastAsia="黑体" w:cs="Times New Roman"/>
          <w:sz w:val="24"/>
          <w:szCs w:val="20"/>
        </w:rPr>
      </w:pPr>
      <w:r>
        <w:rPr>
          <w:rFonts w:hint="default" w:ascii="Times New Roman" w:hAnsi="Times New Roman" w:eastAsia="黑体" w:cs="Times New Roman"/>
          <w:sz w:val="24"/>
          <w:szCs w:val="20"/>
        </w:rPr>
        <w:t>表4.4</w:t>
      </w:r>
      <w:r>
        <w:rPr>
          <w:rFonts w:hint="default" w:ascii="Times New Roman" w:hAnsi="Times New Roman" w:eastAsia="黑体" w:cs="Times New Roman"/>
          <w:sz w:val="24"/>
          <w:szCs w:val="20"/>
          <w:lang w:eastAsia="zh-CN"/>
        </w:rPr>
        <w:t>—</w:t>
      </w:r>
      <w:r>
        <w:rPr>
          <w:rFonts w:hint="default" w:ascii="Times New Roman" w:hAnsi="Times New Roman" w:eastAsia="黑体" w:cs="Times New Roman"/>
          <w:sz w:val="24"/>
          <w:szCs w:val="20"/>
        </w:rPr>
        <w:t>3                东溪站设计洪水成果表</w:t>
      </w:r>
    </w:p>
    <w:tbl>
      <w:tblPr>
        <w:tblStyle w:val="88"/>
        <w:tblW w:w="5000"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0" w:type="dxa"/>
          <w:bottom w:w="0" w:type="dxa"/>
          <w:right w:w="0" w:type="dxa"/>
        </w:tblCellMar>
      </w:tblPr>
      <w:tblGrid>
        <w:gridCol w:w="1793"/>
        <w:gridCol w:w="1179"/>
        <w:gridCol w:w="711"/>
        <w:gridCol w:w="896"/>
        <w:gridCol w:w="898"/>
        <w:gridCol w:w="898"/>
        <w:gridCol w:w="898"/>
        <w:gridCol w:w="898"/>
        <w:gridCol w:w="916"/>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283" w:hRule="atLeast"/>
          <w:jc w:val="center"/>
        </w:trPr>
        <w:tc>
          <w:tcPr>
            <w:tcW w:w="987" w:type="pct"/>
            <w:vMerge w:val="restar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snapToGrid w:val="0"/>
                <w:kern w:val="0"/>
                <w:sz w:val="21"/>
                <w:szCs w:val="21"/>
              </w:rPr>
              <w:t>项目</w:t>
            </w:r>
          </w:p>
        </w:tc>
        <w:tc>
          <w:tcPr>
            <w:tcW w:w="649" w:type="pct"/>
            <w:vMerge w:val="restar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均值</w:t>
            </w:r>
          </w:p>
        </w:tc>
        <w:tc>
          <w:tcPr>
            <w:tcW w:w="391" w:type="pct"/>
            <w:vMerge w:val="restar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Cv</w:t>
            </w:r>
          </w:p>
        </w:tc>
        <w:tc>
          <w:tcPr>
            <w:tcW w:w="493" w:type="pct"/>
            <w:vMerge w:val="restar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Cs/Cv</w:t>
            </w:r>
          </w:p>
        </w:tc>
        <w:tc>
          <w:tcPr>
            <w:tcW w:w="2480" w:type="pct"/>
            <w:gridSpan w:val="5"/>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各 频 率 设 计 值 Xp</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283" w:hRule="atLeast"/>
          <w:jc w:val="center"/>
        </w:trPr>
        <w:tc>
          <w:tcPr>
            <w:tcW w:w="987" w:type="pct"/>
            <w:vMerge w:val="continue"/>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p>
        </w:tc>
        <w:tc>
          <w:tcPr>
            <w:tcW w:w="649" w:type="pct"/>
            <w:vMerge w:val="continue"/>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p>
        </w:tc>
        <w:tc>
          <w:tcPr>
            <w:tcW w:w="391" w:type="pct"/>
            <w:vMerge w:val="continue"/>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p>
        </w:tc>
        <w:tc>
          <w:tcPr>
            <w:tcW w:w="493" w:type="pct"/>
            <w:vMerge w:val="continue"/>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p>
        </w:tc>
        <w:tc>
          <w:tcPr>
            <w:tcW w:w="494"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w:t>
            </w:r>
          </w:p>
        </w:tc>
        <w:tc>
          <w:tcPr>
            <w:tcW w:w="494"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3.3%</w:t>
            </w:r>
          </w:p>
        </w:tc>
        <w:tc>
          <w:tcPr>
            <w:tcW w:w="494"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w:t>
            </w:r>
          </w:p>
        </w:tc>
        <w:tc>
          <w:tcPr>
            <w:tcW w:w="494"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10%</w:t>
            </w:r>
          </w:p>
        </w:tc>
        <w:tc>
          <w:tcPr>
            <w:tcW w:w="504"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283" w:hRule="atLeast"/>
          <w:jc w:val="center"/>
        </w:trPr>
        <w:tc>
          <w:tcPr>
            <w:tcW w:w="987"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Q</w:t>
            </w:r>
            <w:r>
              <w:rPr>
                <w:rFonts w:hint="eastAsia" w:ascii="楷体_GB2312" w:hAnsi="Calibri" w:eastAsia="楷体_GB2312"/>
                <w:kern w:val="0"/>
                <w:sz w:val="21"/>
                <w:szCs w:val="21"/>
                <w:vertAlign w:val="subscript"/>
              </w:rPr>
              <w:t>m</w:t>
            </w:r>
            <w:r>
              <w:rPr>
                <w:rFonts w:hint="eastAsia" w:ascii="楷体_GB2312" w:hAnsi="Calibri" w:eastAsia="楷体_GB2312"/>
                <w:kern w:val="0"/>
                <w:sz w:val="21"/>
                <w:szCs w:val="21"/>
              </w:rPr>
              <w:t>（m</w:t>
            </w:r>
            <w:r>
              <w:rPr>
                <w:rFonts w:hint="eastAsia" w:ascii="楷体_GB2312" w:hAnsi="Calibri" w:eastAsia="楷体_GB2312"/>
                <w:kern w:val="0"/>
                <w:sz w:val="21"/>
                <w:szCs w:val="21"/>
                <w:vertAlign w:val="superscript"/>
              </w:rPr>
              <w:t>3</w:t>
            </w:r>
            <w:r>
              <w:rPr>
                <w:rFonts w:hint="eastAsia" w:ascii="楷体_GB2312" w:hAnsi="Calibri" w:eastAsia="楷体_GB2312"/>
                <w:kern w:val="0"/>
                <w:sz w:val="21"/>
                <w:szCs w:val="21"/>
              </w:rPr>
              <w:t>/s）</w:t>
            </w:r>
          </w:p>
        </w:tc>
        <w:tc>
          <w:tcPr>
            <w:tcW w:w="649"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snapToGrid w:val="0"/>
                <w:kern w:val="0"/>
                <w:sz w:val="21"/>
                <w:szCs w:val="21"/>
              </w:rPr>
              <w:t>1790</w:t>
            </w:r>
          </w:p>
        </w:tc>
        <w:tc>
          <w:tcPr>
            <w:tcW w:w="391"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snapToGrid w:val="0"/>
                <w:kern w:val="0"/>
                <w:sz w:val="21"/>
                <w:szCs w:val="21"/>
              </w:rPr>
              <w:t>0.63</w:t>
            </w:r>
          </w:p>
        </w:tc>
        <w:tc>
          <w:tcPr>
            <w:tcW w:w="493"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snapToGrid w:val="0"/>
                <w:kern w:val="0"/>
                <w:sz w:val="21"/>
                <w:szCs w:val="21"/>
              </w:rPr>
              <w:t>3.50</w:t>
            </w:r>
          </w:p>
        </w:tc>
        <w:tc>
          <w:tcPr>
            <w:tcW w:w="494"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snapToGrid w:val="0"/>
                <w:kern w:val="0"/>
                <w:sz w:val="21"/>
                <w:szCs w:val="21"/>
              </w:rPr>
              <w:t>5140</w:t>
            </w:r>
          </w:p>
        </w:tc>
        <w:tc>
          <w:tcPr>
            <w:tcW w:w="494"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snapToGrid w:val="0"/>
                <w:kern w:val="0"/>
                <w:sz w:val="21"/>
                <w:szCs w:val="21"/>
              </w:rPr>
              <w:t>4530</w:t>
            </w:r>
          </w:p>
        </w:tc>
        <w:tc>
          <w:tcPr>
            <w:tcW w:w="494"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snapToGrid w:val="0"/>
                <w:kern w:val="0"/>
                <w:sz w:val="21"/>
                <w:szCs w:val="21"/>
              </w:rPr>
              <w:t>4050</w:t>
            </w:r>
          </w:p>
        </w:tc>
        <w:tc>
          <w:tcPr>
            <w:tcW w:w="494"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snapToGrid w:val="0"/>
                <w:kern w:val="0"/>
                <w:sz w:val="21"/>
                <w:szCs w:val="21"/>
              </w:rPr>
              <w:t>3240</w:t>
            </w:r>
          </w:p>
        </w:tc>
        <w:tc>
          <w:tcPr>
            <w:tcW w:w="504"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snapToGrid w:val="0"/>
                <w:kern w:val="0"/>
                <w:sz w:val="21"/>
                <w:szCs w:val="21"/>
              </w:rPr>
              <w:t>2440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283" w:hRule="atLeast"/>
          <w:jc w:val="center"/>
        </w:trPr>
        <w:tc>
          <w:tcPr>
            <w:tcW w:w="987"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W</w:t>
            </w:r>
            <w:r>
              <w:rPr>
                <w:rFonts w:hint="eastAsia" w:ascii="楷体_GB2312" w:hAnsi="Calibri" w:eastAsia="楷体_GB2312"/>
                <w:kern w:val="0"/>
                <w:sz w:val="21"/>
                <w:szCs w:val="21"/>
                <w:vertAlign w:val="subscript"/>
              </w:rPr>
              <w:t>24h</w:t>
            </w:r>
            <w:r>
              <w:rPr>
                <w:rFonts w:hint="eastAsia" w:ascii="楷体_GB2312" w:hAnsi="Calibri" w:eastAsia="楷体_GB2312"/>
                <w:kern w:val="0"/>
                <w:sz w:val="21"/>
                <w:szCs w:val="21"/>
              </w:rPr>
              <w:t>（亿m</w:t>
            </w:r>
            <w:r>
              <w:rPr>
                <w:rFonts w:hint="eastAsia" w:ascii="楷体_GB2312" w:hAnsi="Calibri" w:eastAsia="楷体_GB2312"/>
                <w:kern w:val="0"/>
                <w:sz w:val="21"/>
                <w:szCs w:val="21"/>
                <w:vertAlign w:val="superscript"/>
              </w:rPr>
              <w:t>3</w:t>
            </w:r>
            <w:r>
              <w:rPr>
                <w:rFonts w:hint="eastAsia" w:ascii="楷体_GB2312" w:hAnsi="Calibri" w:eastAsia="楷体_GB2312"/>
                <w:kern w:val="0"/>
                <w:sz w:val="21"/>
                <w:szCs w:val="21"/>
              </w:rPr>
              <w:t>）</w:t>
            </w:r>
          </w:p>
        </w:tc>
        <w:tc>
          <w:tcPr>
            <w:tcW w:w="649"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snapToGrid w:val="0"/>
                <w:kern w:val="0"/>
                <w:sz w:val="21"/>
                <w:szCs w:val="21"/>
              </w:rPr>
              <w:t>0.96</w:t>
            </w:r>
          </w:p>
        </w:tc>
        <w:tc>
          <w:tcPr>
            <w:tcW w:w="391"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snapToGrid w:val="0"/>
                <w:kern w:val="0"/>
                <w:sz w:val="21"/>
                <w:szCs w:val="21"/>
              </w:rPr>
              <w:t>0.63</w:t>
            </w:r>
          </w:p>
        </w:tc>
        <w:tc>
          <w:tcPr>
            <w:tcW w:w="493"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snapToGrid w:val="0"/>
                <w:kern w:val="0"/>
                <w:sz w:val="21"/>
                <w:szCs w:val="21"/>
              </w:rPr>
              <w:t>3.50</w:t>
            </w:r>
          </w:p>
        </w:tc>
        <w:tc>
          <w:tcPr>
            <w:tcW w:w="494"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snapToGrid w:val="0"/>
                <w:kern w:val="0"/>
                <w:sz w:val="21"/>
                <w:szCs w:val="21"/>
              </w:rPr>
              <w:t>2.76</w:t>
            </w:r>
          </w:p>
        </w:tc>
        <w:tc>
          <w:tcPr>
            <w:tcW w:w="494"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snapToGrid w:val="0"/>
                <w:kern w:val="0"/>
                <w:sz w:val="21"/>
                <w:szCs w:val="21"/>
              </w:rPr>
              <w:t>2.43</w:t>
            </w:r>
          </w:p>
        </w:tc>
        <w:tc>
          <w:tcPr>
            <w:tcW w:w="494"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snapToGrid w:val="0"/>
                <w:kern w:val="0"/>
                <w:sz w:val="21"/>
                <w:szCs w:val="21"/>
              </w:rPr>
              <w:t>2.17</w:t>
            </w:r>
          </w:p>
        </w:tc>
        <w:tc>
          <w:tcPr>
            <w:tcW w:w="494"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snapToGrid w:val="0"/>
                <w:kern w:val="0"/>
                <w:sz w:val="21"/>
                <w:szCs w:val="21"/>
              </w:rPr>
              <w:t>1.74</w:t>
            </w:r>
          </w:p>
        </w:tc>
        <w:tc>
          <w:tcPr>
            <w:tcW w:w="504"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snapToGrid w:val="0"/>
                <w:kern w:val="0"/>
                <w:sz w:val="21"/>
                <w:szCs w:val="21"/>
              </w:rPr>
              <w:t>1.31</w:t>
            </w:r>
          </w:p>
        </w:tc>
      </w:tr>
    </w:tbl>
    <w:p>
      <w:pPr>
        <w:spacing w:line="0" w:lineRule="atLeast"/>
        <w:ind w:firstLine="0" w:firstLineChars="0"/>
        <w:jc w:val="center"/>
        <w:rPr>
          <w:rFonts w:hint="eastAsia" w:hAnsi="Calibri"/>
          <w:snapToGrid w:val="0"/>
          <w:kern w:val="0"/>
          <w:sz w:val="5"/>
          <w:szCs w:val="20"/>
        </w:rPr>
      </w:pPr>
    </w:p>
    <w:p>
      <w:pPr>
        <w:adjustRightInd w:val="0"/>
        <w:snapToGrid w:val="0"/>
        <w:spacing w:line="240" w:lineRule="auto"/>
        <w:ind w:firstLine="0" w:firstLineChars="0"/>
        <w:jc w:val="center"/>
        <w:rPr>
          <w:rFonts w:hint="eastAsia" w:ascii="黑体" w:hAnsi="Calibri" w:eastAsia="黑体" w:cs="宋体"/>
          <w:snapToGrid w:val="0"/>
          <w:sz w:val="24"/>
          <w:szCs w:val="20"/>
        </w:rPr>
      </w:pPr>
      <w:r>
        <w:rPr>
          <w:rFonts w:hint="eastAsia" w:ascii="黑体" w:eastAsia="黑体" w:cs="宋体"/>
          <w:sz w:val="24"/>
          <w:szCs w:val="20"/>
        </w:rPr>
        <w:drawing>
          <wp:inline distT="0" distB="0" distL="114300" distR="114300">
            <wp:extent cx="5443855" cy="3995420"/>
            <wp:effectExtent l="0" t="0" r="4445" b="5080"/>
            <wp:docPr id="92" name="图片 92" descr="东溪洪峰20201025-Model"/>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2" name="图片 92" descr="东溪洪峰20201025-Model"/>
                    <pic:cNvPicPr>
                      <a:picLocks noChangeAspect="true"/>
                    </pic:cNvPicPr>
                  </pic:nvPicPr>
                  <pic:blipFill>
                    <a:blip r:embed="rId131"/>
                    <a:stretch>
                      <a:fillRect/>
                    </a:stretch>
                  </pic:blipFill>
                  <pic:spPr>
                    <a:xfrm>
                      <a:off x="0" y="0"/>
                      <a:ext cx="5443855" cy="3995420"/>
                    </a:xfrm>
                    <a:prstGeom prst="rect">
                      <a:avLst/>
                    </a:prstGeom>
                    <a:noFill/>
                    <a:ln>
                      <a:noFill/>
                    </a:ln>
                  </pic:spPr>
                </pic:pic>
              </a:graphicData>
            </a:graphic>
          </wp:inline>
        </w:drawing>
      </w:r>
    </w:p>
    <w:p>
      <w:pPr>
        <w:spacing w:line="240" w:lineRule="auto"/>
        <w:ind w:firstLine="0" w:firstLineChars="0"/>
        <w:jc w:val="center"/>
        <w:outlineLvl w:val="7"/>
        <w:rPr>
          <w:rFonts w:hint="default" w:ascii="Times New Roman" w:hAnsi="Times New Roman" w:eastAsia="黑体" w:cs="Times New Roman"/>
          <w:sz w:val="24"/>
          <w:szCs w:val="20"/>
        </w:rPr>
      </w:pPr>
      <w:r>
        <w:rPr>
          <w:rFonts w:hint="default" w:ascii="Times New Roman" w:hAnsi="Times New Roman" w:eastAsia="黑体" w:cs="Times New Roman"/>
          <w:sz w:val="24"/>
          <w:szCs w:val="20"/>
        </w:rPr>
        <w:t>图4.4</w:t>
      </w:r>
      <w:r>
        <w:rPr>
          <w:rFonts w:hint="default" w:ascii="Times New Roman" w:hAnsi="Times New Roman" w:eastAsia="黑体" w:cs="Times New Roman"/>
          <w:sz w:val="24"/>
          <w:szCs w:val="20"/>
          <w:lang w:eastAsia="zh-CN"/>
        </w:rPr>
        <w:t>—</w:t>
      </w:r>
      <w:r>
        <w:rPr>
          <w:rFonts w:hint="default" w:ascii="Times New Roman" w:hAnsi="Times New Roman" w:eastAsia="黑体" w:cs="Times New Roman"/>
          <w:sz w:val="24"/>
          <w:szCs w:val="20"/>
        </w:rPr>
        <w:t>2    东溪站设计洪峰频率曲线</w:t>
      </w:r>
    </w:p>
    <w:p>
      <w:pPr>
        <w:keepNext w:val="0"/>
        <w:keepLines w:val="0"/>
        <w:pageBreakBefore w:val="0"/>
        <w:widowControl w:val="0"/>
        <w:tabs>
          <w:tab w:val="left" w:pos="486"/>
        </w:tabs>
        <w:kinsoku/>
        <w:wordWrap/>
        <w:overflowPunct/>
        <w:topLinePunct w:val="0"/>
        <w:autoSpaceDE/>
        <w:autoSpaceDN/>
        <w:bidi w:val="0"/>
        <w:snapToGrid/>
        <w:ind w:firstLine="560"/>
        <w:outlineLvl w:val="4"/>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1.3</w:t>
      </w:r>
      <w:r>
        <w:rPr>
          <w:rFonts w:hint="eastAsia" w:ascii="Times New Roman" w:eastAsia="方正仿宋_GBK" w:cs="Times New Roman"/>
          <w:sz w:val="32"/>
          <w:szCs w:val="32"/>
          <w:lang w:val="en-US" w:eastAsia="zh-CN"/>
        </w:rPr>
        <w:t xml:space="preserve"> </w:t>
      </w:r>
      <w:r>
        <w:rPr>
          <w:rFonts w:hint="default" w:ascii="Times New Roman" w:hAnsi="Times New Roman" w:eastAsia="方正仿宋_GBK" w:cs="Times New Roman"/>
          <w:sz w:val="32"/>
          <w:szCs w:val="32"/>
        </w:rPr>
        <w:t>五岔站</w:t>
      </w:r>
    </w:p>
    <w:p>
      <w:pPr>
        <w:keepNext w:val="0"/>
        <w:keepLines w:val="0"/>
        <w:pageBreakBefore w:val="0"/>
        <w:widowControl w:val="0"/>
        <w:kinsoku/>
        <w:wordWrap/>
        <w:overflowPunct/>
        <w:topLinePunct w:val="0"/>
        <w:autoSpaceDE/>
        <w:autoSpaceDN/>
        <w:bidi w:val="0"/>
        <w:adjustRightInd w:val="0"/>
        <w:snapToGrid/>
        <w:ind w:firstLine="560"/>
        <w:textAlignment w:val="baseline"/>
        <w:rPr>
          <w:rFonts w:hint="default" w:ascii="Times New Roman" w:hAnsi="Times New Roman" w:eastAsia="方正仿宋_GBK" w:cs="Times New Roman"/>
          <w:kern w:val="0"/>
          <w:sz w:val="32"/>
          <w:szCs w:val="32"/>
        </w:rPr>
      </w:pPr>
      <w:r>
        <w:rPr>
          <w:rFonts w:hint="default" w:ascii="Times New Roman" w:hAnsi="Times New Roman" w:eastAsia="方正仿宋_GBK" w:cs="Times New Roman"/>
          <w:kern w:val="0"/>
          <w:sz w:val="32"/>
          <w:szCs w:val="32"/>
        </w:rPr>
        <w:t>根据《綦江县县城古南镇河段防洪“三线”划定报告》，五岔站调查到的最大洪水为1913年，且进行了推流，其洪峰流量为6240m</w:t>
      </w:r>
      <w:r>
        <w:rPr>
          <w:rFonts w:hint="default" w:ascii="Times New Roman" w:hAnsi="Times New Roman" w:eastAsia="方正仿宋_GBK" w:cs="Times New Roman"/>
          <w:kern w:val="0"/>
          <w:sz w:val="32"/>
          <w:szCs w:val="32"/>
          <w:vertAlign w:val="superscript"/>
        </w:rPr>
        <w:t>3</w:t>
      </w:r>
      <w:r>
        <w:rPr>
          <w:rFonts w:hint="default" w:ascii="Times New Roman" w:hAnsi="Times New Roman" w:eastAsia="方正仿宋_GBK" w:cs="Times New Roman"/>
          <w:kern w:val="0"/>
          <w:sz w:val="32"/>
          <w:szCs w:val="32"/>
        </w:rPr>
        <w:t>/s。</w:t>
      </w:r>
      <w:r>
        <w:rPr>
          <w:rFonts w:hint="default" w:ascii="Times New Roman" w:hAnsi="Times New Roman" w:eastAsia="方正仿宋_GBK" w:cs="Times New Roman"/>
          <w:sz w:val="32"/>
          <w:szCs w:val="32"/>
        </w:rPr>
        <w:t>参照本流域上游綦江县城河段和盖石洞河段洪水分析成果，五岔河段1913年洪水为1913年以来第二大洪水，重现期约为55年一遇</w:t>
      </w:r>
      <w:r>
        <w:rPr>
          <w:rFonts w:hint="default" w:ascii="Times New Roman" w:hAnsi="Times New Roman" w:eastAsia="方正仿宋_GBK" w:cs="Times New Roman"/>
          <w:kern w:val="0"/>
          <w:sz w:val="32"/>
          <w:szCs w:val="32"/>
        </w:rPr>
        <w:t>。根据五岔站1952</w:t>
      </w:r>
      <w:r>
        <w:rPr>
          <w:rFonts w:hint="eastAsia" w:ascii="Times New Roman" w:eastAsia="方正仿宋_GBK" w:cs="Times New Roman"/>
          <w:kern w:val="0"/>
          <w:sz w:val="32"/>
          <w:szCs w:val="32"/>
          <w:lang w:eastAsia="zh-CN"/>
        </w:rPr>
        <w:t>—</w:t>
      </w:r>
      <w:r>
        <w:rPr>
          <w:rFonts w:hint="default" w:ascii="Times New Roman" w:hAnsi="Times New Roman" w:eastAsia="方正仿宋_GBK" w:cs="Times New Roman"/>
          <w:kern w:val="0"/>
          <w:sz w:val="32"/>
          <w:szCs w:val="32"/>
        </w:rPr>
        <w:t>2020年实测资料分析，1998年和2020年实测最大洪峰流量为5220m</w:t>
      </w:r>
      <w:r>
        <w:rPr>
          <w:rFonts w:hint="default" w:ascii="Times New Roman" w:hAnsi="Times New Roman" w:eastAsia="方正仿宋_GBK" w:cs="Times New Roman"/>
          <w:kern w:val="0"/>
          <w:sz w:val="32"/>
          <w:szCs w:val="32"/>
          <w:vertAlign w:val="superscript"/>
        </w:rPr>
        <w:t>3</w:t>
      </w:r>
      <w:r>
        <w:rPr>
          <w:rFonts w:hint="default" w:ascii="Times New Roman" w:hAnsi="Times New Roman" w:eastAsia="方正仿宋_GBK" w:cs="Times New Roman"/>
          <w:kern w:val="0"/>
          <w:sz w:val="32"/>
          <w:szCs w:val="32"/>
        </w:rPr>
        <w:t>/s、5360m</w:t>
      </w:r>
      <w:r>
        <w:rPr>
          <w:rFonts w:hint="default" w:ascii="Times New Roman" w:hAnsi="Times New Roman" w:eastAsia="方正仿宋_GBK" w:cs="Times New Roman"/>
          <w:kern w:val="0"/>
          <w:sz w:val="32"/>
          <w:szCs w:val="32"/>
          <w:vertAlign w:val="superscript"/>
        </w:rPr>
        <w:t>3</w:t>
      </w:r>
      <w:r>
        <w:rPr>
          <w:rFonts w:hint="default" w:ascii="Times New Roman" w:hAnsi="Times New Roman" w:eastAsia="方正仿宋_GBK" w:cs="Times New Roman"/>
          <w:kern w:val="0"/>
          <w:sz w:val="32"/>
          <w:szCs w:val="32"/>
        </w:rPr>
        <w:t>/s。</w:t>
      </w:r>
      <w:r>
        <w:rPr>
          <w:rFonts w:hint="default" w:ascii="Times New Roman" w:hAnsi="Times New Roman" w:eastAsia="方正仿宋_GBK" w:cs="Times New Roman"/>
          <w:bCs/>
          <w:kern w:val="0"/>
          <w:sz w:val="32"/>
          <w:szCs w:val="32"/>
        </w:rPr>
        <w:t>2020年洪水</w:t>
      </w:r>
      <w:r>
        <w:rPr>
          <w:rFonts w:hint="default" w:ascii="Times New Roman" w:hAnsi="Times New Roman" w:eastAsia="方正仿宋_GBK" w:cs="Times New Roman"/>
          <w:sz w:val="32"/>
          <w:szCs w:val="32"/>
        </w:rPr>
        <w:t>为1933年以来第三大洪水，重现期为36年，</w:t>
      </w:r>
      <w:r>
        <w:rPr>
          <w:rFonts w:hint="default" w:ascii="Times New Roman" w:hAnsi="Times New Roman" w:eastAsia="方正仿宋_GBK" w:cs="Times New Roman"/>
          <w:kern w:val="0"/>
          <w:sz w:val="32"/>
          <w:szCs w:val="32"/>
        </w:rPr>
        <w:t>1998年为第四大洪水</w:t>
      </w:r>
      <w:r>
        <w:rPr>
          <w:rFonts w:hint="default" w:ascii="Times New Roman" w:hAnsi="Times New Roman" w:eastAsia="方正仿宋_GBK" w:cs="Times New Roman"/>
          <w:sz w:val="32"/>
          <w:szCs w:val="32"/>
        </w:rPr>
        <w:t>，重现期为27年</w:t>
      </w:r>
      <w:r>
        <w:rPr>
          <w:rFonts w:hint="default" w:ascii="Times New Roman" w:hAnsi="Times New Roman" w:eastAsia="方正仿宋_GBK" w:cs="Times New Roman"/>
          <w:kern w:val="0"/>
          <w:sz w:val="32"/>
          <w:szCs w:val="32"/>
        </w:rPr>
        <w:t>。</w:t>
      </w:r>
    </w:p>
    <w:p>
      <w:pPr>
        <w:keepNext w:val="0"/>
        <w:keepLines w:val="0"/>
        <w:pageBreakBefore w:val="0"/>
        <w:widowControl w:val="0"/>
        <w:kinsoku/>
        <w:wordWrap/>
        <w:overflowPunct/>
        <w:topLinePunct w:val="0"/>
        <w:autoSpaceDE/>
        <w:autoSpaceDN/>
        <w:bidi w:val="0"/>
        <w:adjustRightInd w:val="0"/>
        <w:snapToGrid/>
        <w:ind w:firstLine="560"/>
        <w:textAlignment w:val="baseline"/>
        <w:rPr>
          <w:rFonts w:hint="default" w:ascii="Times New Roman" w:hAnsi="Times New Roman" w:eastAsia="方正仿宋_GBK" w:cs="Times New Roman"/>
          <w:kern w:val="0"/>
          <w:sz w:val="32"/>
          <w:szCs w:val="32"/>
        </w:rPr>
      </w:pPr>
      <w:r>
        <w:rPr>
          <w:rFonts w:hint="default" w:ascii="Times New Roman" w:hAnsi="Times New Roman" w:eastAsia="方正仿宋_GBK" w:cs="Times New Roman"/>
          <w:kern w:val="0"/>
          <w:sz w:val="32"/>
          <w:szCs w:val="32"/>
        </w:rPr>
        <w:t>本次收集到五岔站1952</w:t>
      </w:r>
      <w:r>
        <w:rPr>
          <w:rFonts w:hint="eastAsia" w:ascii="Times New Roman" w:eastAsia="方正仿宋_GBK" w:cs="Times New Roman"/>
          <w:kern w:val="0"/>
          <w:sz w:val="32"/>
          <w:szCs w:val="32"/>
          <w:lang w:eastAsia="zh-CN"/>
        </w:rPr>
        <w:t>—</w:t>
      </w:r>
      <w:r>
        <w:rPr>
          <w:rFonts w:hint="default" w:ascii="Times New Roman" w:hAnsi="Times New Roman" w:eastAsia="方正仿宋_GBK" w:cs="Times New Roman"/>
          <w:kern w:val="0"/>
          <w:sz w:val="32"/>
          <w:szCs w:val="32"/>
        </w:rPr>
        <w:t>2020年历年实测最大洪峰流量资料系列，加入1913年历史洪水，将2020年实测值作为特大值，统计计算最大洪峰流量和洪量系列特征参数，采用P</w:t>
      </w:r>
      <w:r>
        <w:rPr>
          <w:rFonts w:hint="eastAsia" w:ascii="Times New Roman" w:eastAsia="方正仿宋_GBK" w:cs="Times New Roman"/>
          <w:kern w:val="0"/>
          <w:sz w:val="32"/>
          <w:szCs w:val="32"/>
          <w:lang w:eastAsia="zh-CN"/>
        </w:rPr>
        <w:t>—</w:t>
      </w:r>
      <w:r>
        <w:rPr>
          <w:rFonts w:hint="default" w:ascii="Times New Roman" w:hAnsi="Times New Roman" w:eastAsia="方正仿宋_GBK" w:cs="Times New Roman"/>
          <w:kern w:val="0"/>
          <w:sz w:val="32"/>
          <w:szCs w:val="32"/>
        </w:rPr>
        <w:t>Ⅲ型曲线适线。五岔站设计洪水成果见表4.4</w:t>
      </w:r>
      <w:r>
        <w:rPr>
          <w:rFonts w:hint="eastAsia" w:ascii="Times New Roman" w:eastAsia="方正仿宋_GBK" w:cs="Times New Roman"/>
          <w:kern w:val="0"/>
          <w:sz w:val="32"/>
          <w:szCs w:val="32"/>
          <w:lang w:eastAsia="zh-CN"/>
        </w:rPr>
        <w:t>—</w:t>
      </w:r>
      <w:r>
        <w:rPr>
          <w:rFonts w:hint="default" w:ascii="Times New Roman" w:hAnsi="Times New Roman" w:eastAsia="方正仿宋_GBK" w:cs="Times New Roman"/>
          <w:kern w:val="0"/>
          <w:sz w:val="32"/>
          <w:szCs w:val="32"/>
        </w:rPr>
        <w:t>4，洪峰频率曲线见图4.4</w:t>
      </w:r>
      <w:r>
        <w:rPr>
          <w:rFonts w:hint="eastAsia" w:ascii="Times New Roman" w:eastAsia="方正仿宋_GBK" w:cs="Times New Roman"/>
          <w:kern w:val="0"/>
          <w:sz w:val="32"/>
          <w:szCs w:val="32"/>
          <w:lang w:eastAsia="zh-CN"/>
        </w:rPr>
        <w:t>—</w:t>
      </w:r>
      <w:r>
        <w:rPr>
          <w:rFonts w:hint="default" w:ascii="Times New Roman" w:hAnsi="Times New Roman" w:eastAsia="方正仿宋_GBK" w:cs="Times New Roman"/>
          <w:kern w:val="0"/>
          <w:sz w:val="32"/>
          <w:szCs w:val="32"/>
        </w:rPr>
        <w:t>3。</w:t>
      </w:r>
    </w:p>
    <w:p>
      <w:pPr>
        <w:spacing w:after="60"/>
        <w:ind w:firstLine="240" w:firstLineChars="100"/>
        <w:outlineLvl w:val="5"/>
        <w:rPr>
          <w:rFonts w:hint="default" w:ascii="Times New Roman" w:hAnsi="Times New Roman" w:eastAsia="黑体" w:cs="Times New Roman"/>
          <w:sz w:val="24"/>
          <w:szCs w:val="20"/>
        </w:rPr>
      </w:pPr>
      <w:r>
        <w:rPr>
          <w:rFonts w:hint="default" w:ascii="Times New Roman" w:hAnsi="Times New Roman" w:eastAsia="黑体" w:cs="Times New Roman"/>
          <w:sz w:val="24"/>
          <w:szCs w:val="20"/>
        </w:rPr>
        <w:t>表4.4</w:t>
      </w:r>
      <w:r>
        <w:rPr>
          <w:rFonts w:hint="default" w:ascii="Times New Roman" w:hAnsi="Times New Roman" w:eastAsia="黑体" w:cs="Times New Roman"/>
          <w:sz w:val="24"/>
          <w:szCs w:val="20"/>
          <w:lang w:eastAsia="zh-CN"/>
        </w:rPr>
        <w:t>—</w:t>
      </w:r>
      <w:r>
        <w:rPr>
          <w:rFonts w:hint="default" w:ascii="Times New Roman" w:hAnsi="Times New Roman" w:eastAsia="黑体" w:cs="Times New Roman"/>
          <w:sz w:val="24"/>
          <w:szCs w:val="20"/>
        </w:rPr>
        <w:t>4                 五岔站设计洪水成果表</w:t>
      </w:r>
    </w:p>
    <w:tbl>
      <w:tblPr>
        <w:tblStyle w:val="88"/>
        <w:tblW w:w="5000"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0" w:type="dxa"/>
          <w:bottom w:w="0" w:type="dxa"/>
          <w:right w:w="0" w:type="dxa"/>
        </w:tblCellMar>
      </w:tblPr>
      <w:tblGrid>
        <w:gridCol w:w="1793"/>
        <w:gridCol w:w="1179"/>
        <w:gridCol w:w="711"/>
        <w:gridCol w:w="896"/>
        <w:gridCol w:w="898"/>
        <w:gridCol w:w="898"/>
        <w:gridCol w:w="898"/>
        <w:gridCol w:w="898"/>
        <w:gridCol w:w="916"/>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987" w:type="pct"/>
            <w:vMerge w:val="restar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snapToGrid w:val="0"/>
                <w:kern w:val="0"/>
                <w:sz w:val="21"/>
                <w:szCs w:val="21"/>
              </w:rPr>
              <w:t>项目</w:t>
            </w:r>
          </w:p>
        </w:tc>
        <w:tc>
          <w:tcPr>
            <w:tcW w:w="649" w:type="pct"/>
            <w:vMerge w:val="restar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均值</w:t>
            </w:r>
          </w:p>
        </w:tc>
        <w:tc>
          <w:tcPr>
            <w:tcW w:w="391" w:type="pct"/>
            <w:vMerge w:val="restar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Cv</w:t>
            </w:r>
          </w:p>
        </w:tc>
        <w:tc>
          <w:tcPr>
            <w:tcW w:w="493" w:type="pct"/>
            <w:vMerge w:val="restar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Cs/Cv</w:t>
            </w:r>
          </w:p>
        </w:tc>
        <w:tc>
          <w:tcPr>
            <w:tcW w:w="2480" w:type="pct"/>
            <w:gridSpan w:val="5"/>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各 频 率 设 计 值 Xp</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987" w:type="pct"/>
            <w:vMerge w:val="continue"/>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p>
        </w:tc>
        <w:tc>
          <w:tcPr>
            <w:tcW w:w="649" w:type="pct"/>
            <w:vMerge w:val="continue"/>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p>
        </w:tc>
        <w:tc>
          <w:tcPr>
            <w:tcW w:w="391" w:type="pct"/>
            <w:vMerge w:val="continue"/>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p>
        </w:tc>
        <w:tc>
          <w:tcPr>
            <w:tcW w:w="493" w:type="pct"/>
            <w:vMerge w:val="continue"/>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p>
        </w:tc>
        <w:tc>
          <w:tcPr>
            <w:tcW w:w="494"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w:t>
            </w:r>
          </w:p>
        </w:tc>
        <w:tc>
          <w:tcPr>
            <w:tcW w:w="494"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3.3%</w:t>
            </w:r>
          </w:p>
        </w:tc>
        <w:tc>
          <w:tcPr>
            <w:tcW w:w="494"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w:t>
            </w:r>
          </w:p>
        </w:tc>
        <w:tc>
          <w:tcPr>
            <w:tcW w:w="494"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10%</w:t>
            </w:r>
          </w:p>
        </w:tc>
        <w:tc>
          <w:tcPr>
            <w:tcW w:w="504"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987"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Q</w:t>
            </w:r>
            <w:r>
              <w:rPr>
                <w:rFonts w:hint="eastAsia" w:ascii="楷体_GB2312" w:hAnsi="Calibri" w:eastAsia="楷体_GB2312"/>
                <w:kern w:val="0"/>
                <w:sz w:val="21"/>
                <w:szCs w:val="21"/>
                <w:vertAlign w:val="subscript"/>
              </w:rPr>
              <w:t>m</w:t>
            </w:r>
            <w:r>
              <w:rPr>
                <w:rFonts w:hint="eastAsia" w:ascii="楷体_GB2312" w:hAnsi="Calibri" w:eastAsia="楷体_GB2312"/>
                <w:kern w:val="0"/>
                <w:sz w:val="21"/>
                <w:szCs w:val="21"/>
              </w:rPr>
              <w:t>（m</w:t>
            </w:r>
            <w:r>
              <w:rPr>
                <w:rFonts w:hint="eastAsia" w:ascii="楷体_GB2312" w:hAnsi="Calibri" w:eastAsia="楷体_GB2312"/>
                <w:kern w:val="0"/>
                <w:sz w:val="21"/>
                <w:szCs w:val="21"/>
                <w:vertAlign w:val="superscript"/>
              </w:rPr>
              <w:t>3</w:t>
            </w:r>
            <w:r>
              <w:rPr>
                <w:rFonts w:hint="eastAsia" w:ascii="楷体_GB2312" w:hAnsi="Calibri" w:eastAsia="楷体_GB2312"/>
                <w:kern w:val="0"/>
                <w:sz w:val="21"/>
                <w:szCs w:val="21"/>
              </w:rPr>
              <w:t>/s）</w:t>
            </w:r>
          </w:p>
        </w:tc>
        <w:tc>
          <w:tcPr>
            <w:tcW w:w="649"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snapToGrid w:val="0"/>
                <w:kern w:val="0"/>
                <w:sz w:val="21"/>
                <w:szCs w:val="21"/>
              </w:rPr>
              <w:t>2630</w:t>
            </w:r>
          </w:p>
        </w:tc>
        <w:tc>
          <w:tcPr>
            <w:tcW w:w="391"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snapToGrid w:val="0"/>
                <w:kern w:val="0"/>
                <w:sz w:val="21"/>
                <w:szCs w:val="21"/>
              </w:rPr>
              <w:t>0.52</w:t>
            </w:r>
          </w:p>
        </w:tc>
        <w:tc>
          <w:tcPr>
            <w:tcW w:w="493"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snapToGrid w:val="0"/>
                <w:kern w:val="0"/>
                <w:sz w:val="21"/>
                <w:szCs w:val="21"/>
              </w:rPr>
              <w:t>2.50</w:t>
            </w:r>
          </w:p>
        </w:tc>
        <w:tc>
          <w:tcPr>
            <w:tcW w:w="494"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6280</w:t>
            </w:r>
          </w:p>
        </w:tc>
        <w:tc>
          <w:tcPr>
            <w:tcW w:w="494"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5730</w:t>
            </w:r>
          </w:p>
        </w:tc>
        <w:tc>
          <w:tcPr>
            <w:tcW w:w="494"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5260</w:t>
            </w:r>
          </w:p>
        </w:tc>
        <w:tc>
          <w:tcPr>
            <w:tcW w:w="494"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4460</w:t>
            </w:r>
          </w:p>
        </w:tc>
        <w:tc>
          <w:tcPr>
            <w:tcW w:w="504"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3610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987"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W</w:t>
            </w:r>
            <w:r>
              <w:rPr>
                <w:rFonts w:hint="eastAsia" w:ascii="楷体_GB2312" w:hAnsi="Calibri" w:eastAsia="楷体_GB2312"/>
                <w:kern w:val="0"/>
                <w:sz w:val="21"/>
                <w:szCs w:val="21"/>
                <w:vertAlign w:val="subscript"/>
              </w:rPr>
              <w:t>24h</w:t>
            </w:r>
            <w:r>
              <w:rPr>
                <w:rFonts w:hint="eastAsia" w:ascii="楷体_GB2312" w:hAnsi="Calibri" w:eastAsia="楷体_GB2312"/>
                <w:kern w:val="0"/>
                <w:sz w:val="21"/>
                <w:szCs w:val="21"/>
              </w:rPr>
              <w:t>（亿m</w:t>
            </w:r>
            <w:r>
              <w:rPr>
                <w:rFonts w:hint="eastAsia" w:ascii="楷体_GB2312" w:hAnsi="Calibri" w:eastAsia="楷体_GB2312"/>
                <w:kern w:val="0"/>
                <w:sz w:val="21"/>
                <w:szCs w:val="21"/>
                <w:vertAlign w:val="superscript"/>
              </w:rPr>
              <w:t>3</w:t>
            </w:r>
            <w:r>
              <w:rPr>
                <w:rFonts w:hint="eastAsia" w:ascii="楷体_GB2312" w:hAnsi="Calibri" w:eastAsia="楷体_GB2312"/>
                <w:kern w:val="0"/>
                <w:sz w:val="21"/>
                <w:szCs w:val="21"/>
              </w:rPr>
              <w:t>）</w:t>
            </w:r>
          </w:p>
        </w:tc>
        <w:tc>
          <w:tcPr>
            <w:tcW w:w="649"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snapToGrid w:val="0"/>
                <w:kern w:val="0"/>
                <w:sz w:val="21"/>
                <w:szCs w:val="21"/>
              </w:rPr>
              <w:t>1.59</w:t>
            </w:r>
          </w:p>
        </w:tc>
        <w:tc>
          <w:tcPr>
            <w:tcW w:w="391"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snapToGrid w:val="0"/>
                <w:kern w:val="0"/>
                <w:sz w:val="21"/>
                <w:szCs w:val="21"/>
              </w:rPr>
              <w:t>0.50</w:t>
            </w:r>
          </w:p>
        </w:tc>
        <w:tc>
          <w:tcPr>
            <w:tcW w:w="493"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snapToGrid w:val="0"/>
                <w:kern w:val="0"/>
                <w:sz w:val="21"/>
                <w:szCs w:val="21"/>
              </w:rPr>
              <w:t>3.00</w:t>
            </w:r>
          </w:p>
        </w:tc>
        <w:tc>
          <w:tcPr>
            <w:tcW w:w="494"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snapToGrid w:val="0"/>
                <w:kern w:val="0"/>
                <w:sz w:val="21"/>
                <w:szCs w:val="21"/>
              </w:rPr>
              <w:t>3.77</w:t>
            </w:r>
          </w:p>
        </w:tc>
        <w:tc>
          <w:tcPr>
            <w:tcW w:w="494"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snapToGrid w:val="0"/>
                <w:kern w:val="0"/>
                <w:sz w:val="21"/>
                <w:szCs w:val="21"/>
              </w:rPr>
              <w:t>3.42</w:t>
            </w:r>
          </w:p>
        </w:tc>
        <w:tc>
          <w:tcPr>
            <w:tcW w:w="494"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snapToGrid w:val="0"/>
                <w:kern w:val="0"/>
                <w:sz w:val="21"/>
                <w:szCs w:val="21"/>
              </w:rPr>
              <w:t>3.14</w:t>
            </w:r>
          </w:p>
        </w:tc>
        <w:tc>
          <w:tcPr>
            <w:tcW w:w="494"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snapToGrid w:val="0"/>
                <w:kern w:val="0"/>
                <w:sz w:val="21"/>
                <w:szCs w:val="21"/>
              </w:rPr>
              <w:t>2.65</w:t>
            </w:r>
          </w:p>
        </w:tc>
        <w:tc>
          <w:tcPr>
            <w:tcW w:w="504" w:type="pct"/>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snapToGrid w:val="0"/>
                <w:kern w:val="0"/>
                <w:sz w:val="21"/>
                <w:szCs w:val="21"/>
              </w:rPr>
              <w:t>2.14</w:t>
            </w:r>
          </w:p>
        </w:tc>
      </w:tr>
    </w:tbl>
    <w:p>
      <w:pPr>
        <w:spacing w:line="240" w:lineRule="auto"/>
        <w:ind w:firstLine="0" w:firstLineChars="0"/>
        <w:jc w:val="center"/>
        <w:rPr>
          <w:rFonts w:hint="eastAsia" w:ascii="黑体" w:hAnsi="Calibri" w:eastAsia="黑体" w:cs="宋体"/>
          <w:snapToGrid w:val="0"/>
          <w:sz w:val="24"/>
          <w:szCs w:val="20"/>
        </w:rPr>
      </w:pPr>
      <w:r>
        <w:drawing>
          <wp:inline distT="0" distB="0" distL="114300" distR="114300">
            <wp:extent cx="4570095" cy="2954655"/>
            <wp:effectExtent l="0" t="0" r="1905" b="17145"/>
            <wp:docPr id="93" name="图片 443" descr="五岔洪峰系列20201105-Model"/>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3" name="图片 443" descr="五岔洪峰系列20201105-Model"/>
                    <pic:cNvPicPr>
                      <a:picLocks noChangeAspect="true"/>
                    </pic:cNvPicPr>
                  </pic:nvPicPr>
                  <pic:blipFill>
                    <a:blip r:embed="rId132"/>
                    <a:stretch>
                      <a:fillRect/>
                    </a:stretch>
                  </pic:blipFill>
                  <pic:spPr>
                    <a:xfrm>
                      <a:off x="0" y="0"/>
                      <a:ext cx="4570095" cy="2954655"/>
                    </a:xfrm>
                    <a:prstGeom prst="rect">
                      <a:avLst/>
                    </a:prstGeom>
                    <a:noFill/>
                    <a:ln>
                      <a:noFill/>
                    </a:ln>
                  </pic:spPr>
                </pic:pic>
              </a:graphicData>
            </a:graphic>
          </wp:inline>
        </w:drawing>
      </w:r>
    </w:p>
    <w:p>
      <w:pPr>
        <w:spacing w:line="240" w:lineRule="auto"/>
        <w:ind w:firstLine="0" w:firstLineChars="0"/>
        <w:jc w:val="center"/>
        <w:outlineLvl w:val="7"/>
        <w:rPr>
          <w:rFonts w:hint="default" w:ascii="Times New Roman" w:hAnsi="Times New Roman" w:eastAsia="黑体" w:cs="Times New Roman"/>
          <w:sz w:val="24"/>
          <w:szCs w:val="20"/>
        </w:rPr>
      </w:pPr>
      <w:r>
        <w:rPr>
          <w:rFonts w:hint="default" w:ascii="Times New Roman" w:hAnsi="Times New Roman" w:eastAsia="黑体" w:cs="Times New Roman"/>
          <w:sz w:val="24"/>
          <w:szCs w:val="20"/>
        </w:rPr>
        <w:t>图4.4</w:t>
      </w:r>
      <w:r>
        <w:rPr>
          <w:rFonts w:hint="default" w:ascii="Times New Roman" w:hAnsi="Times New Roman" w:eastAsia="黑体" w:cs="Times New Roman"/>
          <w:sz w:val="24"/>
          <w:szCs w:val="20"/>
          <w:lang w:eastAsia="zh-CN"/>
        </w:rPr>
        <w:t>—</w:t>
      </w:r>
      <w:r>
        <w:rPr>
          <w:rFonts w:hint="default" w:ascii="Times New Roman" w:hAnsi="Times New Roman" w:eastAsia="黑体" w:cs="Times New Roman"/>
          <w:sz w:val="24"/>
          <w:szCs w:val="20"/>
        </w:rPr>
        <w:t>3    五岔站设计洪峰频率曲线</w:t>
      </w:r>
    </w:p>
    <w:p>
      <w:pPr>
        <w:keepNext w:val="0"/>
        <w:keepLines w:val="0"/>
        <w:pageBreakBefore w:val="0"/>
        <w:widowControl w:val="0"/>
        <w:tabs>
          <w:tab w:val="left" w:pos="486"/>
        </w:tabs>
        <w:kinsoku/>
        <w:wordWrap/>
        <w:overflowPunct/>
        <w:topLinePunct w:val="0"/>
        <w:autoSpaceDE/>
        <w:autoSpaceDN/>
        <w:bidi w:val="0"/>
        <w:snapToGrid/>
        <w:ind w:firstLine="560"/>
        <w:outlineLvl w:val="4"/>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2</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綦江典型断面设计洪水</w:t>
      </w:r>
    </w:p>
    <w:p>
      <w:pPr>
        <w:keepNext w:val="0"/>
        <w:keepLines w:val="0"/>
        <w:pageBreakBefore w:val="0"/>
        <w:widowControl w:val="0"/>
        <w:tabs>
          <w:tab w:val="left" w:pos="486"/>
        </w:tabs>
        <w:kinsoku/>
        <w:wordWrap/>
        <w:overflowPunct/>
        <w:topLinePunct w:val="0"/>
        <w:autoSpaceDE/>
        <w:autoSpaceDN/>
        <w:bidi w:val="0"/>
        <w:snapToGrid/>
        <w:ind w:firstLine="560"/>
        <w:outlineLvl w:val="4"/>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结合测站分布情况，本次设计洪水计算将松坎（三）站、东溪站、五岔站作为参证站，松坎河出口处设计洪水采用松坎水文站进行水文比拟；綦江干流赶水镇至蒲河汇合口段各断面处设计洪水采用东溪站进行水文比拟；綦江干流蒲河汇合口至五岔段各断面处设计洪水采用五岔</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东溪区间内插法计算。</w:t>
      </w:r>
    </w:p>
    <w:p>
      <w:pPr>
        <w:keepNext w:val="0"/>
        <w:keepLines w:val="0"/>
        <w:pageBreakBefore w:val="0"/>
        <w:widowControl w:val="0"/>
        <w:tabs>
          <w:tab w:val="left" w:pos="486"/>
        </w:tabs>
        <w:kinsoku/>
        <w:wordWrap/>
        <w:overflowPunct/>
        <w:topLinePunct w:val="0"/>
        <w:autoSpaceDE/>
        <w:autoSpaceDN/>
        <w:bidi w:val="0"/>
        <w:snapToGrid/>
        <w:ind w:firstLine="560"/>
        <w:outlineLvl w:val="4"/>
        <w:rPr>
          <w:rFonts w:hint="default"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2.1</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en-US" w:eastAsia="zh-CN"/>
        </w:rPr>
        <w:t>藻渡水库坝址设计洪水</w:t>
      </w:r>
    </w:p>
    <w:p>
      <w:pPr>
        <w:keepNext w:val="0"/>
        <w:keepLines w:val="0"/>
        <w:pageBreakBefore w:val="0"/>
        <w:widowControl w:val="0"/>
        <w:tabs>
          <w:tab w:val="left" w:pos="486"/>
        </w:tabs>
        <w:kinsoku/>
        <w:wordWrap/>
        <w:overflowPunct/>
        <w:topLinePunct w:val="0"/>
        <w:autoSpaceDE/>
        <w:autoSpaceDN/>
        <w:bidi w:val="0"/>
        <w:snapToGrid/>
        <w:ind w:firstLine="560"/>
        <w:outlineLvl w:val="4"/>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藻渡水库所在的藻渡河新炉水文站资料年限短，水库坝址下游綦江干流有东溪和五岔水文站，綦江干流上游松坎河有松坎水文站。结合测站分布情况，设计洪水计算以松坎站、东溪站作为参证站进行比选。</w:t>
      </w:r>
    </w:p>
    <w:p>
      <w:pPr>
        <w:keepNext w:val="0"/>
        <w:keepLines w:val="0"/>
        <w:pageBreakBefore w:val="0"/>
        <w:widowControl w:val="0"/>
        <w:tabs>
          <w:tab w:val="left" w:pos="486"/>
        </w:tabs>
        <w:kinsoku/>
        <w:wordWrap/>
        <w:overflowPunct/>
        <w:topLinePunct w:val="0"/>
        <w:autoSpaceDE/>
        <w:autoSpaceDN/>
        <w:bidi w:val="0"/>
        <w:snapToGrid/>
        <w:ind w:firstLine="560"/>
        <w:outlineLvl w:val="4"/>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采用东溪站、松坎站水文比拟法推求藻渡水库坝址设计洪水，洪峰面积比指数n采用0.67。藻渡水库坝址各频率设计洪水成果见见表</w:t>
      </w:r>
      <w:r>
        <w:rPr>
          <w:rFonts w:hint="default" w:ascii="Times New Roman" w:hAnsi="Times New Roman" w:eastAsia="方正仿宋_GBK" w:cs="Times New Roman"/>
          <w:sz w:val="32"/>
          <w:szCs w:val="32"/>
          <w:lang w:val="en-US" w:eastAsia="zh-CN"/>
        </w:rPr>
        <w:t>4.</w:t>
      </w:r>
      <w:r>
        <w:rPr>
          <w:rFonts w:hint="eastAsia" w:ascii="Times New Roman" w:hAnsi="Times New Roman" w:eastAsia="方正仿宋_GBK" w:cs="Times New Roman"/>
          <w:sz w:val="32"/>
          <w:szCs w:val="32"/>
          <w:lang w:val="en-US" w:eastAsia="zh-CN"/>
        </w:rPr>
        <w:t>4</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5。</w:t>
      </w:r>
    </w:p>
    <w:p>
      <w:pPr>
        <w:ind w:firstLine="480"/>
        <w:outlineLvl w:val="5"/>
        <w:rPr>
          <w:rFonts w:hint="default" w:ascii="Times New Roman" w:hAnsi="Times New Roman" w:eastAsia="黑体" w:cs="Times New Roman"/>
          <w:sz w:val="24"/>
          <w:szCs w:val="20"/>
        </w:rPr>
      </w:pPr>
      <w:r>
        <w:rPr>
          <w:rFonts w:hint="default" w:ascii="Times New Roman" w:hAnsi="Times New Roman" w:eastAsia="黑体" w:cs="Times New Roman"/>
          <w:sz w:val="24"/>
          <w:szCs w:val="20"/>
        </w:rPr>
        <w:t>表4.4</w:t>
      </w:r>
      <w:r>
        <w:rPr>
          <w:rFonts w:hint="default" w:ascii="Times New Roman" w:hAnsi="Times New Roman" w:eastAsia="黑体" w:cs="Times New Roman"/>
          <w:sz w:val="24"/>
          <w:szCs w:val="20"/>
          <w:lang w:eastAsia="zh-CN"/>
        </w:rPr>
        <w:t>—</w:t>
      </w:r>
      <w:r>
        <w:rPr>
          <w:rFonts w:hint="default" w:ascii="Times New Roman" w:hAnsi="Times New Roman" w:eastAsia="黑体" w:cs="Times New Roman"/>
          <w:sz w:val="24"/>
          <w:szCs w:val="20"/>
        </w:rPr>
        <w:t>5　　　　　　　 藻渡水库设计洪峰流量成果对比表</w:t>
      </w:r>
    </w:p>
    <w:tbl>
      <w:tblPr>
        <w:tblStyle w:val="88"/>
        <w:tblW w:w="9086" w:type="dxa"/>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fixed"/>
        <w:tblCellMar>
          <w:top w:w="0" w:type="dxa"/>
          <w:left w:w="0" w:type="dxa"/>
          <w:bottom w:w="0" w:type="dxa"/>
          <w:right w:w="0" w:type="dxa"/>
        </w:tblCellMar>
      </w:tblPr>
      <w:tblGrid>
        <w:gridCol w:w="575"/>
        <w:gridCol w:w="709"/>
        <w:gridCol w:w="851"/>
        <w:gridCol w:w="708"/>
        <w:gridCol w:w="567"/>
        <w:gridCol w:w="567"/>
        <w:gridCol w:w="567"/>
        <w:gridCol w:w="522"/>
        <w:gridCol w:w="845"/>
        <w:gridCol w:w="845"/>
        <w:gridCol w:w="845"/>
        <w:gridCol w:w="845"/>
        <w:gridCol w:w="640"/>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cantSplit/>
          <w:trHeight w:val="340" w:hRule="atLeast"/>
          <w:jc w:val="center"/>
        </w:trPr>
        <w:tc>
          <w:tcPr>
            <w:tcW w:w="575" w:type="dxa"/>
            <w:vMerge w:val="restart"/>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站点/</w:t>
            </w:r>
          </w:p>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位置</w:t>
            </w:r>
          </w:p>
        </w:tc>
        <w:tc>
          <w:tcPr>
            <w:tcW w:w="709" w:type="dxa"/>
            <w:vMerge w:val="restart"/>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面积</w:t>
            </w:r>
          </w:p>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（km</w:t>
            </w:r>
            <w:r>
              <w:rPr>
                <w:rFonts w:hint="eastAsia" w:ascii="楷体_GB2312" w:hAnsi="Calibri" w:eastAsia="楷体_GB2312"/>
                <w:snapToGrid w:val="0"/>
                <w:kern w:val="0"/>
                <w:sz w:val="21"/>
                <w:szCs w:val="21"/>
                <w:vertAlign w:val="superscript"/>
              </w:rPr>
              <w:t>2</w:t>
            </w:r>
            <w:r>
              <w:rPr>
                <w:rFonts w:hint="eastAsia" w:ascii="楷体_GB2312" w:hAnsi="Calibri" w:eastAsia="楷体_GB2312"/>
                <w:snapToGrid w:val="0"/>
                <w:kern w:val="0"/>
                <w:sz w:val="21"/>
                <w:szCs w:val="21"/>
              </w:rPr>
              <w:t>）</w:t>
            </w:r>
          </w:p>
        </w:tc>
        <w:tc>
          <w:tcPr>
            <w:tcW w:w="851" w:type="dxa"/>
            <w:vMerge w:val="restart"/>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计算方法</w:t>
            </w:r>
          </w:p>
        </w:tc>
        <w:tc>
          <w:tcPr>
            <w:tcW w:w="6951" w:type="dxa"/>
            <w:gridSpan w:val="10"/>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各频率设计值Xp（m</w:t>
            </w:r>
            <w:r>
              <w:rPr>
                <w:rFonts w:hint="eastAsia" w:ascii="楷体_GB2312" w:hAnsi="Calibri" w:eastAsia="楷体_GB2312"/>
                <w:snapToGrid w:val="0"/>
                <w:kern w:val="0"/>
                <w:sz w:val="21"/>
                <w:szCs w:val="21"/>
                <w:vertAlign w:val="superscript"/>
              </w:rPr>
              <w:t>3</w:t>
            </w:r>
            <w:r>
              <w:rPr>
                <w:rFonts w:hint="eastAsia" w:ascii="楷体_GB2312" w:hAnsi="Calibri" w:eastAsia="楷体_GB2312"/>
                <w:snapToGrid w:val="0"/>
                <w:kern w:val="0"/>
                <w:sz w:val="21"/>
                <w:szCs w:val="21"/>
              </w:rPr>
              <w:t>/s）</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cantSplit/>
          <w:trHeight w:val="340" w:hRule="atLeast"/>
          <w:jc w:val="center"/>
        </w:trPr>
        <w:tc>
          <w:tcPr>
            <w:tcW w:w="575" w:type="dxa"/>
            <w:vMerge w:val="continue"/>
            <w:noWrap w:val="0"/>
            <w:vAlign w:val="center"/>
          </w:tcPr>
          <w:p>
            <w:pPr>
              <w:spacing w:line="0" w:lineRule="atLeast"/>
              <w:ind w:firstLine="0" w:firstLineChars="0"/>
              <w:jc w:val="center"/>
              <w:rPr>
                <w:rFonts w:hint="eastAsia" w:ascii="楷体_GB2312" w:hAnsi="Calibri" w:eastAsia="楷体_GB2312"/>
                <w:snapToGrid w:val="0"/>
                <w:kern w:val="0"/>
                <w:sz w:val="21"/>
                <w:szCs w:val="21"/>
              </w:rPr>
            </w:pPr>
          </w:p>
        </w:tc>
        <w:tc>
          <w:tcPr>
            <w:tcW w:w="709" w:type="dxa"/>
            <w:vMerge w:val="continue"/>
            <w:noWrap w:val="0"/>
            <w:vAlign w:val="center"/>
          </w:tcPr>
          <w:p>
            <w:pPr>
              <w:spacing w:line="0" w:lineRule="atLeast"/>
              <w:ind w:firstLine="0" w:firstLineChars="0"/>
              <w:jc w:val="center"/>
              <w:rPr>
                <w:rFonts w:hint="eastAsia" w:ascii="楷体_GB2312" w:hAnsi="Calibri" w:eastAsia="楷体_GB2312"/>
                <w:snapToGrid w:val="0"/>
                <w:kern w:val="0"/>
                <w:sz w:val="21"/>
                <w:szCs w:val="21"/>
              </w:rPr>
            </w:pPr>
          </w:p>
        </w:tc>
        <w:tc>
          <w:tcPr>
            <w:tcW w:w="851" w:type="dxa"/>
            <w:vMerge w:val="continue"/>
            <w:noWrap w:val="0"/>
            <w:vAlign w:val="center"/>
          </w:tcPr>
          <w:p>
            <w:pPr>
              <w:spacing w:line="0" w:lineRule="atLeast"/>
              <w:ind w:firstLine="0" w:firstLineChars="0"/>
              <w:jc w:val="center"/>
              <w:rPr>
                <w:rFonts w:hint="eastAsia" w:ascii="楷体_GB2312" w:hAnsi="Calibri" w:eastAsia="楷体_GB2312"/>
                <w:snapToGrid w:val="0"/>
                <w:kern w:val="0"/>
                <w:sz w:val="21"/>
                <w:szCs w:val="21"/>
              </w:rPr>
            </w:pPr>
          </w:p>
        </w:tc>
        <w:tc>
          <w:tcPr>
            <w:tcW w:w="708"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0.05%</w:t>
            </w:r>
          </w:p>
        </w:tc>
        <w:tc>
          <w:tcPr>
            <w:tcW w:w="567"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0.1%</w:t>
            </w:r>
          </w:p>
        </w:tc>
        <w:tc>
          <w:tcPr>
            <w:tcW w:w="567"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0.2%</w:t>
            </w:r>
          </w:p>
        </w:tc>
        <w:tc>
          <w:tcPr>
            <w:tcW w:w="567"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0.5%</w:t>
            </w:r>
          </w:p>
        </w:tc>
        <w:tc>
          <w:tcPr>
            <w:tcW w:w="522"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w:t>
            </w:r>
          </w:p>
        </w:tc>
        <w:tc>
          <w:tcPr>
            <w:tcW w:w="845"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w:t>
            </w:r>
          </w:p>
        </w:tc>
        <w:tc>
          <w:tcPr>
            <w:tcW w:w="845"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3.3%</w:t>
            </w:r>
          </w:p>
        </w:tc>
        <w:tc>
          <w:tcPr>
            <w:tcW w:w="845"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5%</w:t>
            </w:r>
          </w:p>
        </w:tc>
        <w:tc>
          <w:tcPr>
            <w:tcW w:w="845"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10%</w:t>
            </w:r>
          </w:p>
        </w:tc>
        <w:tc>
          <w:tcPr>
            <w:tcW w:w="640"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cantSplit/>
          <w:trHeight w:val="340" w:hRule="atLeast"/>
          <w:jc w:val="center"/>
        </w:trPr>
        <w:tc>
          <w:tcPr>
            <w:tcW w:w="575"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东溪</w:t>
            </w:r>
          </w:p>
        </w:tc>
        <w:tc>
          <w:tcPr>
            <w:tcW w:w="709"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3097</w:t>
            </w:r>
          </w:p>
        </w:tc>
        <w:tc>
          <w:tcPr>
            <w:tcW w:w="851"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频率适线</w:t>
            </w:r>
          </w:p>
        </w:tc>
        <w:tc>
          <w:tcPr>
            <w:tcW w:w="708"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9600</w:t>
            </w:r>
          </w:p>
        </w:tc>
        <w:tc>
          <w:tcPr>
            <w:tcW w:w="567"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8750</w:t>
            </w:r>
          </w:p>
        </w:tc>
        <w:tc>
          <w:tcPr>
            <w:tcW w:w="567"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7910</w:t>
            </w:r>
          </w:p>
        </w:tc>
        <w:tc>
          <w:tcPr>
            <w:tcW w:w="567"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6810</w:t>
            </w:r>
          </w:p>
        </w:tc>
        <w:tc>
          <w:tcPr>
            <w:tcW w:w="522"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5970</w:t>
            </w:r>
          </w:p>
        </w:tc>
        <w:tc>
          <w:tcPr>
            <w:tcW w:w="845"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5140</w:t>
            </w:r>
          </w:p>
        </w:tc>
        <w:tc>
          <w:tcPr>
            <w:tcW w:w="845"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4530</w:t>
            </w:r>
          </w:p>
        </w:tc>
        <w:tc>
          <w:tcPr>
            <w:tcW w:w="845"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4050</w:t>
            </w:r>
          </w:p>
        </w:tc>
        <w:tc>
          <w:tcPr>
            <w:tcW w:w="845"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3240</w:t>
            </w:r>
          </w:p>
        </w:tc>
        <w:tc>
          <w:tcPr>
            <w:tcW w:w="640"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2440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cantSplit/>
          <w:trHeight w:val="340" w:hRule="atLeast"/>
          <w:jc w:val="center"/>
        </w:trPr>
        <w:tc>
          <w:tcPr>
            <w:tcW w:w="575"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松坎</w:t>
            </w:r>
          </w:p>
        </w:tc>
        <w:tc>
          <w:tcPr>
            <w:tcW w:w="709"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639</w:t>
            </w:r>
          </w:p>
        </w:tc>
        <w:tc>
          <w:tcPr>
            <w:tcW w:w="851"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频率适线</w:t>
            </w:r>
          </w:p>
        </w:tc>
        <w:tc>
          <w:tcPr>
            <w:tcW w:w="708"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4030</w:t>
            </w:r>
          </w:p>
        </w:tc>
        <w:tc>
          <w:tcPr>
            <w:tcW w:w="567"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3660</w:t>
            </w:r>
          </w:p>
        </w:tc>
        <w:tc>
          <w:tcPr>
            <w:tcW w:w="567"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3280</w:t>
            </w:r>
          </w:p>
        </w:tc>
        <w:tc>
          <w:tcPr>
            <w:tcW w:w="567"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2790</w:t>
            </w:r>
          </w:p>
        </w:tc>
        <w:tc>
          <w:tcPr>
            <w:tcW w:w="522"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2430</w:t>
            </w:r>
          </w:p>
        </w:tc>
        <w:tc>
          <w:tcPr>
            <w:tcW w:w="845"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2060</w:t>
            </w:r>
          </w:p>
        </w:tc>
        <w:tc>
          <w:tcPr>
            <w:tcW w:w="845"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1800</w:t>
            </w:r>
          </w:p>
        </w:tc>
        <w:tc>
          <w:tcPr>
            <w:tcW w:w="845"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1590</w:t>
            </w:r>
          </w:p>
        </w:tc>
        <w:tc>
          <w:tcPr>
            <w:tcW w:w="845"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1240</w:t>
            </w:r>
          </w:p>
        </w:tc>
        <w:tc>
          <w:tcPr>
            <w:tcW w:w="640"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904</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cantSplit/>
          <w:trHeight w:val="340" w:hRule="atLeast"/>
          <w:jc w:val="center"/>
        </w:trPr>
        <w:tc>
          <w:tcPr>
            <w:tcW w:w="575" w:type="dxa"/>
            <w:vMerge w:val="restart"/>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藻渡</w:t>
            </w:r>
          </w:p>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坝址</w:t>
            </w:r>
          </w:p>
        </w:tc>
        <w:tc>
          <w:tcPr>
            <w:tcW w:w="709" w:type="dxa"/>
            <w:vMerge w:val="restart"/>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1179</w:t>
            </w:r>
          </w:p>
        </w:tc>
        <w:tc>
          <w:tcPr>
            <w:tcW w:w="851"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东溪推算</w:t>
            </w:r>
          </w:p>
        </w:tc>
        <w:tc>
          <w:tcPr>
            <w:tcW w:w="708"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5030</w:t>
            </w:r>
          </w:p>
        </w:tc>
        <w:tc>
          <w:tcPr>
            <w:tcW w:w="567"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4580</w:t>
            </w:r>
          </w:p>
        </w:tc>
        <w:tc>
          <w:tcPr>
            <w:tcW w:w="567"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4140</w:t>
            </w:r>
          </w:p>
        </w:tc>
        <w:tc>
          <w:tcPr>
            <w:tcW w:w="567"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3570</w:t>
            </w:r>
          </w:p>
        </w:tc>
        <w:tc>
          <w:tcPr>
            <w:tcW w:w="522"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3130</w:t>
            </w:r>
          </w:p>
        </w:tc>
        <w:tc>
          <w:tcPr>
            <w:tcW w:w="845"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2690</w:t>
            </w:r>
          </w:p>
        </w:tc>
        <w:tc>
          <w:tcPr>
            <w:tcW w:w="845"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2370</w:t>
            </w:r>
          </w:p>
        </w:tc>
        <w:tc>
          <w:tcPr>
            <w:tcW w:w="845"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2120</w:t>
            </w:r>
          </w:p>
        </w:tc>
        <w:tc>
          <w:tcPr>
            <w:tcW w:w="845"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1700</w:t>
            </w:r>
          </w:p>
        </w:tc>
        <w:tc>
          <w:tcPr>
            <w:tcW w:w="640"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1280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cantSplit/>
          <w:trHeight w:val="340" w:hRule="atLeast"/>
          <w:jc w:val="center"/>
        </w:trPr>
        <w:tc>
          <w:tcPr>
            <w:tcW w:w="575" w:type="dxa"/>
            <w:vMerge w:val="continue"/>
            <w:noWrap w:val="0"/>
            <w:vAlign w:val="center"/>
          </w:tcPr>
          <w:p>
            <w:pPr>
              <w:spacing w:line="0" w:lineRule="atLeast"/>
              <w:ind w:firstLine="0" w:firstLineChars="0"/>
              <w:jc w:val="center"/>
              <w:rPr>
                <w:rFonts w:hint="eastAsia" w:ascii="楷体_GB2312" w:hAnsi="Calibri" w:eastAsia="楷体_GB2312"/>
                <w:snapToGrid w:val="0"/>
                <w:kern w:val="0"/>
                <w:sz w:val="21"/>
                <w:szCs w:val="21"/>
              </w:rPr>
            </w:pPr>
          </w:p>
        </w:tc>
        <w:tc>
          <w:tcPr>
            <w:tcW w:w="709" w:type="dxa"/>
            <w:vMerge w:val="continue"/>
            <w:noWrap w:val="0"/>
            <w:vAlign w:val="center"/>
          </w:tcPr>
          <w:p>
            <w:pPr>
              <w:spacing w:line="0" w:lineRule="atLeast"/>
              <w:ind w:firstLine="0" w:firstLineChars="0"/>
              <w:jc w:val="center"/>
              <w:rPr>
                <w:rFonts w:hint="eastAsia" w:ascii="楷体_GB2312" w:hAnsi="Calibri" w:eastAsia="楷体_GB2312"/>
                <w:snapToGrid w:val="0"/>
                <w:kern w:val="0"/>
                <w:sz w:val="21"/>
                <w:szCs w:val="21"/>
              </w:rPr>
            </w:pPr>
          </w:p>
        </w:tc>
        <w:tc>
          <w:tcPr>
            <w:tcW w:w="851"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松坎推算</w:t>
            </w:r>
          </w:p>
        </w:tc>
        <w:tc>
          <w:tcPr>
            <w:tcW w:w="708"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6070</w:t>
            </w:r>
          </w:p>
        </w:tc>
        <w:tc>
          <w:tcPr>
            <w:tcW w:w="567"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5520</w:t>
            </w:r>
          </w:p>
        </w:tc>
        <w:tc>
          <w:tcPr>
            <w:tcW w:w="567"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4940</w:t>
            </w:r>
          </w:p>
        </w:tc>
        <w:tc>
          <w:tcPr>
            <w:tcW w:w="567"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4210</w:t>
            </w:r>
          </w:p>
        </w:tc>
        <w:tc>
          <w:tcPr>
            <w:tcW w:w="522"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3660</w:t>
            </w:r>
          </w:p>
        </w:tc>
        <w:tc>
          <w:tcPr>
            <w:tcW w:w="845"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3110</w:t>
            </w:r>
          </w:p>
        </w:tc>
        <w:tc>
          <w:tcPr>
            <w:tcW w:w="845"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2710</w:t>
            </w:r>
          </w:p>
        </w:tc>
        <w:tc>
          <w:tcPr>
            <w:tcW w:w="845"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2400</w:t>
            </w:r>
          </w:p>
        </w:tc>
        <w:tc>
          <w:tcPr>
            <w:tcW w:w="845"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1870</w:t>
            </w:r>
          </w:p>
        </w:tc>
        <w:tc>
          <w:tcPr>
            <w:tcW w:w="640" w:type="dxa"/>
            <w:noWrap w:val="0"/>
            <w:vAlign w:val="center"/>
          </w:tcPr>
          <w:p>
            <w:pPr>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1360</w:t>
            </w:r>
          </w:p>
        </w:tc>
      </w:tr>
    </w:tbl>
    <w:p>
      <w:pPr>
        <w:keepNext w:val="0"/>
        <w:keepLines w:val="0"/>
        <w:pageBreakBefore w:val="0"/>
        <w:widowControl w:val="0"/>
        <w:tabs>
          <w:tab w:val="left" w:pos="486"/>
        </w:tabs>
        <w:kinsoku/>
        <w:wordWrap/>
        <w:overflowPunct/>
        <w:topLinePunct w:val="0"/>
        <w:autoSpaceDE/>
        <w:autoSpaceDN/>
        <w:bidi w:val="0"/>
        <w:snapToGrid/>
        <w:ind w:firstLine="560"/>
        <w:outlineLvl w:val="4"/>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从表</w:t>
      </w:r>
      <w:r>
        <w:rPr>
          <w:rFonts w:hint="default" w:ascii="Times New Roman" w:hAnsi="Times New Roman" w:eastAsia="方正仿宋_GBK" w:cs="Times New Roman"/>
          <w:sz w:val="32"/>
          <w:szCs w:val="32"/>
          <w:lang w:val="en-US" w:eastAsia="zh-CN"/>
        </w:rPr>
        <w:t>4.</w:t>
      </w:r>
      <w:r>
        <w:rPr>
          <w:rFonts w:hint="eastAsia" w:ascii="Times New Roman" w:hAnsi="Times New Roman" w:eastAsia="方正仿宋_GBK" w:cs="Times New Roman"/>
          <w:sz w:val="32"/>
          <w:szCs w:val="32"/>
          <w:lang w:val="en-US" w:eastAsia="zh-CN"/>
        </w:rPr>
        <w:t>4</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5看出，东溪站面积偏大且水文比拟法计算成果偏小，松坎站水文比拟法计算成果稍大，因此采用松坎站水文比拟法推求的设计洪水成果。</w:t>
      </w:r>
    </w:p>
    <w:p>
      <w:pPr>
        <w:keepNext w:val="0"/>
        <w:keepLines w:val="0"/>
        <w:pageBreakBefore w:val="0"/>
        <w:widowControl w:val="0"/>
        <w:tabs>
          <w:tab w:val="left" w:pos="486"/>
        </w:tabs>
        <w:kinsoku/>
        <w:wordWrap/>
        <w:overflowPunct/>
        <w:topLinePunct w:val="0"/>
        <w:autoSpaceDE/>
        <w:autoSpaceDN/>
        <w:bidi w:val="0"/>
        <w:snapToGrid/>
        <w:ind w:firstLine="560"/>
        <w:outlineLvl w:val="4"/>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2.2</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en-US" w:eastAsia="zh-CN"/>
        </w:rPr>
        <w:t>綦江城区断面设计洪水</w:t>
      </w:r>
    </w:p>
    <w:p>
      <w:pPr>
        <w:keepNext w:val="0"/>
        <w:keepLines w:val="0"/>
        <w:pageBreakBefore w:val="0"/>
        <w:widowControl w:val="0"/>
        <w:tabs>
          <w:tab w:val="left" w:pos="486"/>
        </w:tabs>
        <w:kinsoku/>
        <w:wordWrap/>
        <w:overflowPunct/>
        <w:topLinePunct w:val="0"/>
        <w:autoSpaceDE/>
        <w:autoSpaceDN/>
        <w:bidi w:val="0"/>
        <w:snapToGrid/>
        <w:ind w:firstLine="560"/>
        <w:outlineLvl w:val="4"/>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綦江城区防洪控制断面为城北大桥，集雨面积4723k</w:t>
      </w:r>
      <w:r>
        <w:rPr>
          <w:rFonts w:hint="eastAsia" w:ascii="Times New Roman" w:hAnsi="Times New Roman" w:eastAsia="方正仿宋_GBK" w:cs="Times New Roman"/>
          <w:kern w:val="2"/>
          <w:sz w:val="32"/>
          <w:szCs w:val="32"/>
          <w:lang w:val="en-US" w:eastAsia="zh-CN" w:bidi="ar-SA"/>
        </w:rPr>
        <w:t>m</w:t>
      </w:r>
      <w:r>
        <w:rPr>
          <w:rFonts w:hint="eastAsia" w:ascii="Times New Roman" w:hAnsi="Times New Roman" w:eastAsia="方正仿宋_GBK" w:cs="Times New Roman"/>
          <w:kern w:val="2"/>
          <w:sz w:val="32"/>
          <w:szCs w:val="32"/>
          <w:vertAlign w:val="superscript"/>
          <w:lang w:val="en-US" w:eastAsia="zh-CN" w:bidi="ar-SA"/>
        </w:rPr>
        <w:t>2</w:t>
      </w:r>
      <w:r>
        <w:rPr>
          <w:rFonts w:hint="eastAsia" w:ascii="Times New Roman" w:hAnsi="Times New Roman" w:eastAsia="方正仿宋_GBK" w:cs="Times New Roman"/>
          <w:sz w:val="32"/>
          <w:szCs w:val="32"/>
          <w:lang w:val="en-US" w:eastAsia="zh-CN"/>
        </w:rPr>
        <w:t>。本阶段采用水文比拟法和内插法计算綦江城区设计洪水。</w:t>
      </w:r>
    </w:p>
    <w:p>
      <w:pPr>
        <w:keepNext w:val="0"/>
        <w:keepLines w:val="0"/>
        <w:pageBreakBefore w:val="0"/>
        <w:widowControl w:val="0"/>
        <w:tabs>
          <w:tab w:val="left" w:pos="486"/>
        </w:tabs>
        <w:kinsoku/>
        <w:wordWrap/>
        <w:overflowPunct/>
        <w:topLinePunct w:val="0"/>
        <w:autoSpaceDE/>
        <w:autoSpaceDN/>
        <w:bidi w:val="0"/>
        <w:snapToGrid/>
        <w:ind w:firstLine="560"/>
        <w:outlineLvl w:val="4"/>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2.2.1</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en-US" w:eastAsia="zh-CN"/>
        </w:rPr>
        <w:t>水文比拟法</w:t>
      </w:r>
    </w:p>
    <w:p>
      <w:pPr>
        <w:keepNext w:val="0"/>
        <w:keepLines w:val="0"/>
        <w:pageBreakBefore w:val="0"/>
        <w:widowControl w:val="0"/>
        <w:tabs>
          <w:tab w:val="left" w:pos="486"/>
        </w:tabs>
        <w:kinsoku/>
        <w:wordWrap/>
        <w:overflowPunct/>
        <w:topLinePunct w:val="0"/>
        <w:autoSpaceDE/>
        <w:autoSpaceDN/>
        <w:bidi w:val="0"/>
        <w:snapToGrid/>
        <w:ind w:firstLine="560"/>
        <w:outlineLvl w:val="4"/>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綦江城区城北大桥控制集雨面积4723k</w:t>
      </w:r>
      <w:r>
        <w:rPr>
          <w:rFonts w:hint="eastAsia" w:ascii="Times New Roman" w:hAnsi="Times New Roman" w:eastAsia="方正仿宋_GBK" w:cs="Times New Roman"/>
          <w:kern w:val="2"/>
          <w:sz w:val="32"/>
          <w:szCs w:val="32"/>
          <w:lang w:val="en-US" w:eastAsia="zh-CN" w:bidi="ar-SA"/>
        </w:rPr>
        <w:t>m</w:t>
      </w:r>
      <w:r>
        <w:rPr>
          <w:rFonts w:hint="eastAsia" w:ascii="Times New Roman" w:hAnsi="Times New Roman" w:eastAsia="方正仿宋_GBK" w:cs="Times New Roman"/>
          <w:kern w:val="2"/>
          <w:sz w:val="32"/>
          <w:szCs w:val="32"/>
          <w:vertAlign w:val="superscript"/>
          <w:lang w:val="en-US" w:eastAsia="zh-CN" w:bidi="ar-SA"/>
        </w:rPr>
        <w:t>2</w:t>
      </w:r>
      <w:r>
        <w:rPr>
          <w:rFonts w:hint="eastAsia" w:ascii="Times New Roman" w:hAnsi="Times New Roman" w:eastAsia="方正仿宋_GBK" w:cs="Times New Roman"/>
          <w:sz w:val="32"/>
          <w:szCs w:val="32"/>
          <w:lang w:val="en-US" w:eastAsia="zh-CN"/>
        </w:rPr>
        <w:t>，与五岔站集雨面积相差15.1</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，与东溪站集雨面积相差52.5</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，将五岔站设计洪水用面积比推算到本工程各断面处。本断面位于东溪站与五岔站之</w:t>
      </w:r>
      <w:r>
        <w:rPr>
          <w:rFonts w:hint="eastAsia" w:ascii="Times New Roman" w:hAnsi="Times New Roman" w:eastAsia="方正仿宋_GBK" w:cs="Times New Roman"/>
          <w:spacing w:val="-11"/>
          <w:sz w:val="32"/>
          <w:szCs w:val="32"/>
          <w:lang w:val="en-US" w:eastAsia="zh-CN"/>
        </w:rPr>
        <w:t>间，面积比指数取0.67，水文比拟法移用五岔站洪水成果见表</w:t>
      </w:r>
      <w:r>
        <w:rPr>
          <w:rFonts w:hint="default" w:ascii="Times New Roman" w:hAnsi="Times New Roman" w:eastAsia="方正仿宋_GBK" w:cs="Times New Roman"/>
          <w:spacing w:val="-11"/>
          <w:sz w:val="32"/>
          <w:szCs w:val="32"/>
          <w:lang w:val="en-US" w:eastAsia="zh-CN"/>
        </w:rPr>
        <w:t>4.</w:t>
      </w:r>
      <w:r>
        <w:rPr>
          <w:rFonts w:hint="eastAsia" w:ascii="Times New Roman" w:hAnsi="Times New Roman" w:eastAsia="方正仿宋_GBK" w:cs="Times New Roman"/>
          <w:spacing w:val="-11"/>
          <w:sz w:val="32"/>
          <w:szCs w:val="32"/>
          <w:lang w:val="en-US" w:eastAsia="zh-CN"/>
        </w:rPr>
        <w:t>4</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6。</w:t>
      </w:r>
    </w:p>
    <w:p>
      <w:pPr>
        <w:spacing w:after="60"/>
        <w:ind w:firstLine="240" w:firstLineChars="100"/>
        <w:jc w:val="center"/>
        <w:outlineLvl w:val="5"/>
        <w:rPr>
          <w:rFonts w:hint="default" w:ascii="Times New Roman" w:hAnsi="Times New Roman" w:eastAsia="黑体" w:cs="Times New Roman"/>
          <w:sz w:val="24"/>
          <w:szCs w:val="20"/>
        </w:rPr>
      </w:pPr>
      <w:r>
        <w:rPr>
          <w:rFonts w:hint="default" w:ascii="Times New Roman" w:hAnsi="Times New Roman" w:eastAsia="黑体" w:cs="Times New Roman"/>
          <w:sz w:val="24"/>
          <w:szCs w:val="20"/>
        </w:rPr>
        <w:t>表4.4</w:t>
      </w:r>
      <w:r>
        <w:rPr>
          <w:rFonts w:hint="default" w:ascii="Times New Roman" w:hAnsi="Times New Roman" w:eastAsia="黑体" w:cs="Times New Roman"/>
          <w:sz w:val="24"/>
          <w:szCs w:val="20"/>
          <w:lang w:eastAsia="zh-CN"/>
        </w:rPr>
        <w:t>—</w:t>
      </w:r>
      <w:r>
        <w:rPr>
          <w:rFonts w:hint="default" w:ascii="Times New Roman" w:hAnsi="Times New Roman" w:eastAsia="黑体" w:cs="Times New Roman"/>
          <w:sz w:val="24"/>
          <w:szCs w:val="20"/>
        </w:rPr>
        <w:t>6                綦江城区设计洪水成果比较表</w:t>
      </w:r>
    </w:p>
    <w:tbl>
      <w:tblPr>
        <w:tblStyle w:val="88"/>
        <w:tblW w:w="9072" w:type="dxa"/>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108" w:type="dxa"/>
          <w:bottom w:w="0" w:type="dxa"/>
          <w:right w:w="108" w:type="dxa"/>
        </w:tblCellMar>
      </w:tblPr>
      <w:tblGrid>
        <w:gridCol w:w="3994"/>
        <w:gridCol w:w="1060"/>
        <w:gridCol w:w="951"/>
        <w:gridCol w:w="947"/>
        <w:gridCol w:w="1060"/>
        <w:gridCol w:w="1060"/>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2202"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计算方法</w:t>
            </w:r>
          </w:p>
        </w:tc>
        <w:tc>
          <w:tcPr>
            <w:tcW w:w="584"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w:t>
            </w:r>
          </w:p>
        </w:tc>
        <w:tc>
          <w:tcPr>
            <w:tcW w:w="524"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w:t>
            </w:r>
          </w:p>
        </w:tc>
        <w:tc>
          <w:tcPr>
            <w:tcW w:w="522"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5%</w:t>
            </w:r>
          </w:p>
        </w:tc>
        <w:tc>
          <w:tcPr>
            <w:tcW w:w="584"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10%</w:t>
            </w:r>
          </w:p>
        </w:tc>
        <w:tc>
          <w:tcPr>
            <w:tcW w:w="584"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2202" w:type="pct"/>
            <w:noWrap w:val="0"/>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水文比拟法</w:t>
            </w:r>
            <w:r>
              <w:rPr>
                <w:rFonts w:hint="eastAsia" w:ascii="楷体_GB2312" w:hAnsi="Calibri" w:eastAsia="楷体_GB2312"/>
                <w:kern w:val="0"/>
                <w:sz w:val="21"/>
                <w:szCs w:val="21"/>
              </w:rPr>
              <w:t>（m</w:t>
            </w:r>
            <w:r>
              <w:rPr>
                <w:rFonts w:hint="eastAsia" w:ascii="楷体_GB2312" w:hAnsi="Calibri" w:eastAsia="楷体_GB2312"/>
                <w:kern w:val="0"/>
                <w:sz w:val="21"/>
                <w:szCs w:val="21"/>
                <w:vertAlign w:val="superscript"/>
              </w:rPr>
              <w:t>3</w:t>
            </w:r>
            <w:r>
              <w:rPr>
                <w:rFonts w:hint="eastAsia" w:ascii="楷体_GB2312" w:hAnsi="Calibri" w:eastAsia="楷体_GB2312"/>
                <w:kern w:val="0"/>
                <w:sz w:val="21"/>
                <w:szCs w:val="21"/>
              </w:rPr>
              <w:t>/s）</w:t>
            </w:r>
          </w:p>
        </w:tc>
        <w:tc>
          <w:tcPr>
            <w:tcW w:w="584"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 xml:space="preserve">5630 </w:t>
            </w:r>
          </w:p>
        </w:tc>
        <w:tc>
          <w:tcPr>
            <w:tcW w:w="524"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 xml:space="preserve">5130 </w:t>
            </w:r>
          </w:p>
        </w:tc>
        <w:tc>
          <w:tcPr>
            <w:tcW w:w="522"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 xml:space="preserve">4710 </w:t>
            </w:r>
          </w:p>
        </w:tc>
        <w:tc>
          <w:tcPr>
            <w:tcW w:w="584"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 xml:space="preserve">4000 </w:t>
            </w:r>
          </w:p>
        </w:tc>
        <w:tc>
          <w:tcPr>
            <w:tcW w:w="584"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 xml:space="preserve">3230 </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2202"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内插法</w:t>
            </w:r>
            <w:r>
              <w:rPr>
                <w:rFonts w:hint="eastAsia" w:ascii="楷体_GB2312" w:hAnsi="Calibri" w:eastAsia="楷体_GB2312"/>
                <w:kern w:val="0"/>
                <w:sz w:val="21"/>
                <w:szCs w:val="21"/>
              </w:rPr>
              <w:t>（m</w:t>
            </w:r>
            <w:r>
              <w:rPr>
                <w:rFonts w:hint="eastAsia" w:ascii="楷体_GB2312" w:hAnsi="Calibri" w:eastAsia="楷体_GB2312"/>
                <w:kern w:val="0"/>
                <w:sz w:val="21"/>
                <w:szCs w:val="21"/>
                <w:vertAlign w:val="superscript"/>
              </w:rPr>
              <w:t>3</w:t>
            </w:r>
            <w:r>
              <w:rPr>
                <w:rFonts w:hint="eastAsia" w:ascii="楷体_GB2312" w:hAnsi="Calibri" w:eastAsia="楷体_GB2312"/>
                <w:kern w:val="0"/>
                <w:sz w:val="21"/>
                <w:szCs w:val="21"/>
              </w:rPr>
              <w:t>/s）</w:t>
            </w:r>
          </w:p>
        </w:tc>
        <w:tc>
          <w:tcPr>
            <w:tcW w:w="584"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 xml:space="preserve">5890 </w:t>
            </w:r>
          </w:p>
        </w:tc>
        <w:tc>
          <w:tcPr>
            <w:tcW w:w="524"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 xml:space="preserve">5320 </w:t>
            </w:r>
          </w:p>
        </w:tc>
        <w:tc>
          <w:tcPr>
            <w:tcW w:w="522"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4850</w:t>
            </w:r>
          </w:p>
        </w:tc>
        <w:tc>
          <w:tcPr>
            <w:tcW w:w="584"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 xml:space="preserve">4040 </w:t>
            </w:r>
          </w:p>
        </w:tc>
        <w:tc>
          <w:tcPr>
            <w:tcW w:w="584"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 xml:space="preserve">3210 </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2202"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綦江堤防设计成果</w:t>
            </w:r>
            <w:r>
              <w:rPr>
                <w:rFonts w:hint="eastAsia" w:ascii="楷体_GB2312" w:hAnsi="Calibri" w:eastAsia="楷体_GB2312"/>
                <w:kern w:val="0"/>
                <w:sz w:val="21"/>
                <w:szCs w:val="21"/>
              </w:rPr>
              <w:t>（m</w:t>
            </w:r>
            <w:r>
              <w:rPr>
                <w:rFonts w:hint="eastAsia" w:ascii="楷体_GB2312" w:hAnsi="Calibri" w:eastAsia="楷体_GB2312"/>
                <w:kern w:val="0"/>
                <w:sz w:val="21"/>
                <w:szCs w:val="21"/>
                <w:vertAlign w:val="superscript"/>
              </w:rPr>
              <w:t>3</w:t>
            </w:r>
            <w:r>
              <w:rPr>
                <w:rFonts w:hint="eastAsia" w:ascii="楷体_GB2312" w:hAnsi="Calibri" w:eastAsia="楷体_GB2312"/>
                <w:kern w:val="0"/>
                <w:sz w:val="21"/>
                <w:szCs w:val="21"/>
              </w:rPr>
              <w:t>/s）</w:t>
            </w:r>
          </w:p>
        </w:tc>
        <w:tc>
          <w:tcPr>
            <w:tcW w:w="584"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5950</w:t>
            </w:r>
          </w:p>
        </w:tc>
        <w:tc>
          <w:tcPr>
            <w:tcW w:w="524"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5390</w:t>
            </w:r>
          </w:p>
        </w:tc>
        <w:tc>
          <w:tcPr>
            <w:tcW w:w="522"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4920</w:t>
            </w:r>
          </w:p>
        </w:tc>
        <w:tc>
          <w:tcPr>
            <w:tcW w:w="584"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4120</w:t>
            </w:r>
          </w:p>
        </w:tc>
        <w:tc>
          <w:tcPr>
            <w:tcW w:w="584" w:type="pct"/>
            <w:noWrap/>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3290</w:t>
            </w:r>
          </w:p>
        </w:tc>
      </w:tr>
    </w:tbl>
    <w:p>
      <w:pPr>
        <w:keepNext w:val="0"/>
        <w:keepLines w:val="0"/>
        <w:pageBreakBefore w:val="0"/>
        <w:widowControl w:val="0"/>
        <w:tabs>
          <w:tab w:val="left" w:pos="486"/>
        </w:tabs>
        <w:kinsoku/>
        <w:wordWrap/>
        <w:overflowPunct/>
        <w:topLinePunct w:val="0"/>
        <w:autoSpaceDE/>
        <w:autoSpaceDN/>
        <w:bidi w:val="0"/>
        <w:snapToGrid/>
        <w:ind w:firstLine="560"/>
        <w:outlineLvl w:val="4"/>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2.2</w:t>
      </w:r>
      <w:r>
        <w:rPr>
          <w:rFonts w:hint="eastAsia" w:hAnsi="Calibri" w:cs="宋体"/>
          <w:szCs w:val="20"/>
          <w:lang w:val="en-US" w:eastAsia="zh-CN"/>
        </w:rPr>
        <w:t>.</w:t>
      </w:r>
      <w:r>
        <w:rPr>
          <w:rFonts w:hint="eastAsia" w:ascii="Times New Roman" w:hAnsi="Times New Roman" w:eastAsia="方正仿宋_GBK" w:cs="Times New Roman"/>
          <w:sz w:val="32"/>
          <w:szCs w:val="32"/>
          <w:lang w:val="en-US" w:eastAsia="zh-CN"/>
        </w:rPr>
        <w:t>2</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en-US" w:eastAsia="zh-CN"/>
        </w:rPr>
        <w:t>内插法</w:t>
      </w:r>
    </w:p>
    <w:p>
      <w:pPr>
        <w:keepNext w:val="0"/>
        <w:keepLines w:val="0"/>
        <w:pageBreakBefore w:val="0"/>
        <w:widowControl w:val="0"/>
        <w:tabs>
          <w:tab w:val="left" w:pos="486"/>
        </w:tabs>
        <w:kinsoku/>
        <w:wordWrap/>
        <w:overflowPunct/>
        <w:topLinePunct w:val="0"/>
        <w:autoSpaceDE/>
        <w:autoSpaceDN/>
        <w:bidi w:val="0"/>
        <w:snapToGrid/>
        <w:ind w:firstLine="560"/>
        <w:outlineLvl w:val="4"/>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綦江城区河段上下游干流有东溪水文站、下游有五岔水文站，且2站资料系列较长，精度好。本次计算将东溪站作为上游参证站，五岔站作为下游参证站，城区河段为设计站。</w:t>
      </w:r>
    </w:p>
    <w:p>
      <w:pPr>
        <w:keepNext w:val="0"/>
        <w:keepLines w:val="0"/>
        <w:pageBreakBefore w:val="0"/>
        <w:widowControl w:val="0"/>
        <w:tabs>
          <w:tab w:val="left" w:pos="486"/>
        </w:tabs>
        <w:kinsoku/>
        <w:wordWrap/>
        <w:overflowPunct/>
        <w:topLinePunct w:val="0"/>
        <w:autoSpaceDE/>
        <w:autoSpaceDN/>
        <w:bidi w:val="0"/>
        <w:snapToGrid/>
        <w:ind w:firstLine="560"/>
        <w:outlineLvl w:val="4"/>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2.2.3</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en-US" w:eastAsia="zh-CN"/>
        </w:rPr>
        <w:t>成果采用及合理性分析</w:t>
      </w:r>
    </w:p>
    <w:p>
      <w:pPr>
        <w:keepNext w:val="0"/>
        <w:keepLines w:val="0"/>
        <w:pageBreakBefore w:val="0"/>
        <w:widowControl w:val="0"/>
        <w:tabs>
          <w:tab w:val="left" w:pos="486"/>
        </w:tabs>
        <w:kinsoku/>
        <w:wordWrap/>
        <w:overflowPunct/>
        <w:topLinePunct w:val="0"/>
        <w:autoSpaceDE/>
        <w:autoSpaceDN/>
        <w:bidi w:val="0"/>
        <w:snapToGrid/>
        <w:ind w:firstLine="560"/>
        <w:outlineLvl w:val="4"/>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经对比分析，两种方法计算的各频率设计洪水成果最大相差4</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，内插法计算成果比水文比拟法成果大，同时小于綦江堤防设计洪水成果。綦江堤防设计洪水成果来源于2008年綦江城区防洪护岸综合整治工程初步设计报告，重庆市水利局以“渝水许可</w:t>
      </w:r>
      <w:r>
        <w:rPr>
          <w:rFonts w:hint="default" w:ascii="Times New Roman" w:hAnsi="Times New Roman" w:eastAsia="方正仿宋_GBK" w:cs="Times New Roman"/>
          <w:sz w:val="32"/>
          <w:szCs w:val="32"/>
          <w:lang w:val="en-US" w:eastAsia="zh-CN"/>
        </w:rPr>
        <w:t>〔2008〕105</w:t>
      </w:r>
      <w:r>
        <w:rPr>
          <w:rFonts w:hint="eastAsia" w:ascii="方正仿宋_GBK" w:hAnsi="方正仿宋_GBK" w:eastAsia="方正仿宋_GBK" w:cs="方正仿宋_GBK"/>
          <w:sz w:val="32"/>
          <w:szCs w:val="32"/>
          <w:lang w:val="en-US" w:eastAsia="zh-CN"/>
        </w:rPr>
        <w:t>号”</w:t>
      </w:r>
      <w:r>
        <w:rPr>
          <w:rFonts w:hint="eastAsia" w:ascii="Times New Roman" w:hAnsi="Times New Roman" w:eastAsia="方正仿宋_GBK" w:cs="Times New Roman"/>
          <w:sz w:val="32"/>
          <w:szCs w:val="32"/>
          <w:lang w:val="en-US" w:eastAsia="zh-CN"/>
        </w:rPr>
        <w:t>文进行批复。本次仍然采用綦江堤防设计洪水成果作为本次成果。</w:t>
      </w:r>
    </w:p>
    <w:p>
      <w:pPr>
        <w:keepNext w:val="0"/>
        <w:keepLines w:val="0"/>
        <w:pageBreakBefore w:val="0"/>
        <w:widowControl w:val="0"/>
        <w:tabs>
          <w:tab w:val="left" w:pos="486"/>
        </w:tabs>
        <w:kinsoku/>
        <w:wordWrap/>
        <w:overflowPunct/>
        <w:topLinePunct w:val="0"/>
        <w:autoSpaceDE/>
        <w:autoSpaceDN/>
        <w:bidi w:val="0"/>
        <w:snapToGrid/>
        <w:ind w:firstLine="560"/>
        <w:outlineLvl w:val="4"/>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2.3</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en-US" w:eastAsia="zh-CN"/>
        </w:rPr>
        <w:t>松坎大区间设计洪水</w:t>
      </w:r>
    </w:p>
    <w:p>
      <w:pPr>
        <w:keepNext w:val="0"/>
        <w:keepLines w:val="0"/>
        <w:pageBreakBefore w:val="0"/>
        <w:widowControl w:val="0"/>
        <w:tabs>
          <w:tab w:val="left" w:pos="486"/>
        </w:tabs>
        <w:kinsoku/>
        <w:wordWrap/>
        <w:overflowPunct/>
        <w:topLinePunct w:val="0"/>
        <w:autoSpaceDE/>
        <w:autoSpaceDN/>
        <w:bidi w:val="0"/>
        <w:snapToGrid/>
        <w:ind w:firstLine="560"/>
        <w:outlineLvl w:val="4"/>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将綦江城区断面以上区间扣除藻渡坝址控制区间合并为松坎大区间，集雨面积为3544 km</w:t>
      </w:r>
      <w:r>
        <w:rPr>
          <w:rFonts w:hint="eastAsia" w:ascii="Times New Roman" w:hAnsi="Times New Roman" w:eastAsia="方正仿宋_GBK" w:cs="Times New Roman"/>
          <w:sz w:val="32"/>
          <w:szCs w:val="32"/>
          <w:vertAlign w:val="superscript"/>
          <w:lang w:val="en-US" w:eastAsia="zh-CN"/>
        </w:rPr>
        <w:t>2</w:t>
      </w:r>
      <w:r>
        <w:rPr>
          <w:rFonts w:hint="eastAsia" w:ascii="Times New Roman" w:hAnsi="Times New Roman" w:eastAsia="方正仿宋_GBK" w:cs="Times New Roman"/>
          <w:sz w:val="32"/>
          <w:szCs w:val="32"/>
          <w:lang w:val="en-US" w:eastAsia="zh-CN"/>
        </w:rPr>
        <w:t>，采用五岔站、东溪站区间内插法计算设计洪水洪峰</w:t>
      </w:r>
      <w:r>
        <w:rPr>
          <w:rFonts w:hint="eastAsia" w:ascii="Times New Roman" w:eastAsia="方正仿宋_GBK" w:cs="Times New Roman"/>
          <w:sz w:val="32"/>
          <w:szCs w:val="32"/>
          <w:lang w:val="en-US" w:eastAsia="zh-CN"/>
        </w:rPr>
        <w:t>，见表4.4—7</w:t>
      </w:r>
      <w:r>
        <w:rPr>
          <w:rFonts w:hint="eastAsia" w:ascii="Times New Roman" w:hAnsi="Times New Roman" w:eastAsia="方正仿宋_GBK" w:cs="Times New Roman"/>
          <w:sz w:val="32"/>
          <w:szCs w:val="32"/>
          <w:lang w:val="en-US" w:eastAsia="zh-CN"/>
        </w:rPr>
        <w:t>。</w:t>
      </w:r>
    </w:p>
    <w:p>
      <w:pPr>
        <w:ind w:firstLine="480"/>
        <w:outlineLvl w:val="5"/>
        <w:rPr>
          <w:rFonts w:hint="default" w:ascii="Times New Roman" w:hAnsi="Times New Roman" w:eastAsia="黑体" w:cs="Times New Roman"/>
          <w:sz w:val="24"/>
          <w:szCs w:val="20"/>
        </w:rPr>
      </w:pPr>
      <w:r>
        <w:rPr>
          <w:rFonts w:hint="default" w:ascii="Times New Roman" w:hAnsi="Times New Roman" w:eastAsia="黑体" w:cs="Times New Roman"/>
          <w:sz w:val="24"/>
          <w:szCs w:val="20"/>
        </w:rPr>
        <w:t>表4.4</w:t>
      </w:r>
      <w:r>
        <w:rPr>
          <w:rFonts w:hint="default" w:ascii="Times New Roman" w:hAnsi="Times New Roman" w:eastAsia="黑体" w:cs="Times New Roman"/>
          <w:sz w:val="24"/>
          <w:szCs w:val="20"/>
          <w:lang w:eastAsia="zh-CN"/>
        </w:rPr>
        <w:t>—</w:t>
      </w:r>
      <w:r>
        <w:rPr>
          <w:rFonts w:hint="default" w:ascii="Times New Roman" w:hAnsi="Times New Roman" w:eastAsia="黑体" w:cs="Times New Roman"/>
          <w:sz w:val="24"/>
          <w:szCs w:val="20"/>
        </w:rPr>
        <w:t>7　　　　　　　　　綦江城区各区间设计洪峰</w:t>
      </w:r>
    </w:p>
    <w:tbl>
      <w:tblPr>
        <w:tblStyle w:val="88"/>
        <w:tblW w:w="4999"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108" w:type="dxa"/>
          <w:bottom w:w="0" w:type="dxa"/>
          <w:right w:w="108" w:type="dxa"/>
        </w:tblCellMar>
      </w:tblPr>
      <w:tblGrid>
        <w:gridCol w:w="2142"/>
        <w:gridCol w:w="1187"/>
        <w:gridCol w:w="1189"/>
        <w:gridCol w:w="1189"/>
        <w:gridCol w:w="1189"/>
        <w:gridCol w:w="1189"/>
        <w:gridCol w:w="1200"/>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1153" w:type="pct"/>
            <w:vMerge w:val="restart"/>
            <w:noWrap w:val="0"/>
            <w:vAlign w:val="center"/>
          </w:tcPr>
          <w:p>
            <w:pPr>
              <w:adjustRightIn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区域</w:t>
            </w:r>
          </w:p>
        </w:tc>
        <w:tc>
          <w:tcPr>
            <w:tcW w:w="639" w:type="pct"/>
            <w:vMerge w:val="restart"/>
            <w:noWrap/>
            <w:vAlign w:val="center"/>
          </w:tcPr>
          <w:p>
            <w:pPr>
              <w:adjustRightIn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面积</w:t>
            </w:r>
          </w:p>
          <w:p>
            <w:pPr>
              <w:adjustRightIn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（km</w:t>
            </w:r>
            <w:r>
              <w:rPr>
                <w:rFonts w:hint="eastAsia" w:ascii="楷体_GB2312" w:hAnsi="Calibri" w:eastAsia="楷体_GB2312"/>
                <w:snapToGrid w:val="0"/>
                <w:kern w:val="0"/>
                <w:sz w:val="21"/>
                <w:szCs w:val="21"/>
                <w:vertAlign w:val="superscript"/>
              </w:rPr>
              <w:t>2</w:t>
            </w:r>
            <w:r>
              <w:rPr>
                <w:rFonts w:hint="eastAsia" w:ascii="楷体_GB2312" w:hAnsi="Calibri" w:eastAsia="楷体_GB2312"/>
                <w:snapToGrid w:val="0"/>
                <w:kern w:val="0"/>
                <w:sz w:val="21"/>
                <w:szCs w:val="21"/>
              </w:rPr>
              <w:t>）</w:t>
            </w:r>
          </w:p>
        </w:tc>
        <w:tc>
          <w:tcPr>
            <w:tcW w:w="3206" w:type="pct"/>
            <w:gridSpan w:val="5"/>
            <w:noWrap w:val="0"/>
            <w:vAlign w:val="center"/>
          </w:tcPr>
          <w:p>
            <w:pPr>
              <w:adjustRightIn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设计洪峰流量（m</w:t>
            </w:r>
            <w:r>
              <w:rPr>
                <w:rFonts w:hint="eastAsia" w:ascii="楷体_GB2312" w:hAnsi="Calibri" w:eastAsia="楷体_GB2312"/>
                <w:snapToGrid w:val="0"/>
                <w:kern w:val="0"/>
                <w:sz w:val="21"/>
                <w:szCs w:val="21"/>
                <w:vertAlign w:val="superscript"/>
              </w:rPr>
              <w:t>3</w:t>
            </w:r>
            <w:r>
              <w:rPr>
                <w:rFonts w:hint="eastAsia" w:ascii="楷体_GB2312" w:hAnsi="Calibri" w:eastAsia="楷体_GB2312"/>
                <w:snapToGrid w:val="0"/>
                <w:kern w:val="0"/>
                <w:sz w:val="21"/>
                <w:szCs w:val="21"/>
              </w:rPr>
              <w:t>/s）</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1153" w:type="pct"/>
            <w:vMerge w:val="continue"/>
            <w:noWrap w:val="0"/>
            <w:vAlign w:val="center"/>
          </w:tcPr>
          <w:p>
            <w:pPr>
              <w:adjustRightInd w:val="0"/>
              <w:spacing w:line="0" w:lineRule="atLeast"/>
              <w:ind w:firstLine="0" w:firstLineChars="0"/>
              <w:jc w:val="center"/>
              <w:rPr>
                <w:rFonts w:hint="eastAsia" w:ascii="楷体_GB2312" w:hAnsi="Calibri" w:eastAsia="楷体_GB2312"/>
                <w:snapToGrid w:val="0"/>
                <w:kern w:val="0"/>
                <w:sz w:val="21"/>
                <w:szCs w:val="21"/>
              </w:rPr>
            </w:pPr>
          </w:p>
        </w:tc>
        <w:tc>
          <w:tcPr>
            <w:tcW w:w="639" w:type="pct"/>
            <w:vMerge w:val="continue"/>
            <w:noWrap/>
            <w:vAlign w:val="center"/>
          </w:tcPr>
          <w:p>
            <w:pPr>
              <w:adjustRightInd w:val="0"/>
              <w:spacing w:line="0" w:lineRule="atLeast"/>
              <w:ind w:firstLine="0" w:firstLineChars="0"/>
              <w:jc w:val="center"/>
              <w:rPr>
                <w:rFonts w:hint="eastAsia" w:ascii="楷体_GB2312" w:hAnsi="Calibri" w:eastAsia="楷体_GB2312"/>
                <w:snapToGrid w:val="0"/>
                <w:kern w:val="0"/>
                <w:sz w:val="21"/>
                <w:szCs w:val="21"/>
              </w:rPr>
            </w:pPr>
          </w:p>
        </w:tc>
        <w:tc>
          <w:tcPr>
            <w:tcW w:w="640" w:type="pct"/>
            <w:noWrap w:val="0"/>
            <w:vAlign w:val="center"/>
          </w:tcPr>
          <w:p>
            <w:pPr>
              <w:adjustRightIn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w:t>
            </w:r>
          </w:p>
        </w:tc>
        <w:tc>
          <w:tcPr>
            <w:tcW w:w="640" w:type="pct"/>
            <w:noWrap/>
            <w:vAlign w:val="center"/>
          </w:tcPr>
          <w:p>
            <w:pPr>
              <w:adjustRightIn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3.3%</w:t>
            </w:r>
          </w:p>
        </w:tc>
        <w:tc>
          <w:tcPr>
            <w:tcW w:w="640" w:type="pct"/>
            <w:noWrap/>
            <w:vAlign w:val="center"/>
          </w:tcPr>
          <w:p>
            <w:pPr>
              <w:adjustRightIn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5%</w:t>
            </w:r>
          </w:p>
        </w:tc>
        <w:tc>
          <w:tcPr>
            <w:tcW w:w="640" w:type="pct"/>
            <w:noWrap/>
            <w:vAlign w:val="center"/>
          </w:tcPr>
          <w:p>
            <w:pPr>
              <w:adjustRightIn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10%</w:t>
            </w:r>
          </w:p>
        </w:tc>
        <w:tc>
          <w:tcPr>
            <w:tcW w:w="646" w:type="pct"/>
            <w:noWrap/>
            <w:vAlign w:val="center"/>
          </w:tcPr>
          <w:p>
            <w:pPr>
              <w:adjustRightIn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1153" w:type="pct"/>
            <w:noWrap w:val="0"/>
            <w:vAlign w:val="center"/>
          </w:tcPr>
          <w:p>
            <w:pPr>
              <w:adjustRightIn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松坎大区间</w:t>
            </w:r>
          </w:p>
        </w:tc>
        <w:tc>
          <w:tcPr>
            <w:tcW w:w="639" w:type="pct"/>
            <w:noWrap/>
            <w:vAlign w:val="center"/>
          </w:tcPr>
          <w:p>
            <w:pPr>
              <w:adjustRightIn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3544</w:t>
            </w:r>
          </w:p>
        </w:tc>
        <w:tc>
          <w:tcPr>
            <w:tcW w:w="640" w:type="pct"/>
            <w:noWrap w:val="0"/>
            <w:vAlign w:val="center"/>
          </w:tcPr>
          <w:p>
            <w:pPr>
              <w:adjustRightIn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5300</w:t>
            </w:r>
          </w:p>
        </w:tc>
        <w:tc>
          <w:tcPr>
            <w:tcW w:w="640" w:type="pct"/>
            <w:noWrap/>
            <w:vAlign w:val="center"/>
          </w:tcPr>
          <w:p>
            <w:pPr>
              <w:adjustRightIn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4730</w:t>
            </w:r>
          </w:p>
        </w:tc>
        <w:tc>
          <w:tcPr>
            <w:tcW w:w="640" w:type="pct"/>
            <w:noWrap/>
            <w:vAlign w:val="center"/>
          </w:tcPr>
          <w:p>
            <w:pPr>
              <w:adjustRightIn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4250</w:t>
            </w:r>
          </w:p>
        </w:tc>
        <w:tc>
          <w:tcPr>
            <w:tcW w:w="640" w:type="pct"/>
            <w:noWrap/>
            <w:vAlign w:val="center"/>
          </w:tcPr>
          <w:p>
            <w:pPr>
              <w:adjustRightIn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3440</w:t>
            </w:r>
          </w:p>
        </w:tc>
        <w:tc>
          <w:tcPr>
            <w:tcW w:w="646" w:type="pct"/>
            <w:noWrap/>
            <w:vAlign w:val="center"/>
          </w:tcPr>
          <w:p>
            <w:pPr>
              <w:adjustRightIn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2670</w:t>
            </w:r>
          </w:p>
        </w:tc>
      </w:tr>
    </w:tbl>
    <w:p>
      <w:pPr>
        <w:keepNext w:val="0"/>
        <w:keepLines w:val="0"/>
        <w:pageBreakBefore w:val="0"/>
        <w:widowControl w:val="0"/>
        <w:tabs>
          <w:tab w:val="left" w:pos="486"/>
        </w:tabs>
        <w:kinsoku/>
        <w:wordWrap/>
        <w:overflowPunct/>
        <w:topLinePunct w:val="0"/>
        <w:autoSpaceDE/>
        <w:autoSpaceDN/>
        <w:bidi w:val="0"/>
        <w:snapToGrid/>
        <w:ind w:firstLine="560"/>
        <w:outlineLvl w:val="4"/>
        <w:rPr>
          <w:rFonts w:hint="default" w:ascii="Times New Roman" w:hAnsi="Times New Roman" w:eastAsia="方正仿宋_GBK" w:cs="Times New Roman"/>
          <w:sz w:val="32"/>
          <w:szCs w:val="32"/>
          <w:lang w:val="en-US" w:eastAsia="zh-CN"/>
        </w:rPr>
      </w:pPr>
      <w:r>
        <w:rPr>
          <w:rFonts w:hint="default" w:ascii="Times New Roman" w:hAnsi="Times New Roman" w:eastAsia="方正仿宋_GBK" w:cs="Times New Roman"/>
          <w:sz w:val="32"/>
          <w:szCs w:val="32"/>
          <w:lang w:val="en-US" w:eastAsia="zh-CN"/>
        </w:rPr>
        <w:t>2.4</w:t>
      </w:r>
      <w:r>
        <w:rPr>
          <w:rFonts w:hint="eastAsia" w:ascii="Times New Roman" w:eastAsia="方正仿宋_GBK" w:cs="Times New Roman"/>
          <w:sz w:val="32"/>
          <w:szCs w:val="32"/>
          <w:lang w:val="en-US" w:eastAsia="zh-CN"/>
        </w:rPr>
        <w:t xml:space="preserve"> </w:t>
      </w:r>
      <w:r>
        <w:rPr>
          <w:rFonts w:hint="default" w:ascii="Times New Roman" w:hAnsi="Times New Roman" w:eastAsia="方正仿宋_GBK" w:cs="Times New Roman"/>
          <w:sz w:val="32"/>
          <w:szCs w:val="32"/>
          <w:lang w:val="en-US" w:eastAsia="zh-CN"/>
        </w:rPr>
        <w:t>綦江干流其他断面设计洪水</w:t>
      </w:r>
    </w:p>
    <w:p>
      <w:pPr>
        <w:keepNext w:val="0"/>
        <w:keepLines w:val="0"/>
        <w:pageBreakBefore w:val="0"/>
        <w:widowControl w:val="0"/>
        <w:tabs>
          <w:tab w:val="left" w:pos="486"/>
        </w:tabs>
        <w:kinsoku/>
        <w:wordWrap/>
        <w:overflowPunct/>
        <w:topLinePunct w:val="0"/>
        <w:autoSpaceDE/>
        <w:autoSpaceDN/>
        <w:bidi w:val="0"/>
        <w:adjustRightInd/>
        <w:snapToGrid/>
        <w:ind w:firstLine="560"/>
        <w:textAlignment w:val="auto"/>
        <w:outlineLvl w:val="4"/>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松坎河出</w:t>
      </w:r>
      <w:r>
        <w:rPr>
          <w:rFonts w:hint="default" w:ascii="Times New Roman" w:hAnsi="Times New Roman" w:eastAsia="方正仿宋_GBK" w:cs="Times New Roman"/>
          <w:sz w:val="32"/>
          <w:szCs w:val="32"/>
        </w:rPr>
        <w:t>口处设计洪水采用松坎水文站进行水文比拟，面积比指数取0.67。藻渡汇合口以下赶水镇断面设计洪水采用东溪水文站进行水文比拟，面积比指数取0.67。赶水镇断面到蒲河汇合口上游断面集水面积为2996</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3414km</w:t>
      </w:r>
      <w:r>
        <w:rPr>
          <w:rFonts w:hint="default" w:ascii="Times New Roman" w:hAnsi="Times New Roman" w:eastAsia="方正仿宋_GBK" w:cs="Times New Roman"/>
          <w:sz w:val="32"/>
          <w:szCs w:val="32"/>
          <w:vertAlign w:val="superscript"/>
        </w:rPr>
        <w:t>2</w:t>
      </w:r>
      <w:r>
        <w:rPr>
          <w:rFonts w:hint="default" w:ascii="Times New Roman" w:hAnsi="Times New Roman" w:eastAsia="方正仿宋_GBK" w:cs="Times New Roman"/>
          <w:sz w:val="32"/>
          <w:szCs w:val="32"/>
        </w:rPr>
        <w:t>，与东溪站集雨面积相差3.3%</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10%，将东溪站设计洪水用面积比推算到本河段各断面处，面积比指数取0.67。蒲河汇合口下游断面到五岔站设计洪水将东溪站作为上游参证站，五岔站作为下游参证站，城北大桥作为中间控制断面，采用东溪</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城北大桥、城北大桥</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五岔区间内插法计算。以上计算成果见表4.4</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8。</w:t>
      </w:r>
    </w:p>
    <w:p>
      <w:pPr>
        <w:keepNext w:val="0"/>
        <w:keepLines w:val="0"/>
        <w:pageBreakBefore w:val="0"/>
        <w:widowControl w:val="0"/>
        <w:kinsoku/>
        <w:wordWrap/>
        <w:overflowPunct/>
        <w:topLinePunct w:val="0"/>
        <w:autoSpaceDE/>
        <w:autoSpaceDN/>
        <w:bidi w:val="0"/>
        <w:adjustRightInd/>
        <w:snapToGrid/>
        <w:spacing w:after="60"/>
        <w:ind w:firstLine="480" w:firstLineChars="200"/>
        <w:jc w:val="left"/>
        <w:textAlignment w:val="auto"/>
        <w:outlineLvl w:val="5"/>
        <w:rPr>
          <w:rFonts w:hint="default" w:ascii="Times New Roman" w:hAnsi="Times New Roman" w:eastAsia="黑体" w:cs="Times New Roman"/>
          <w:sz w:val="24"/>
          <w:szCs w:val="20"/>
        </w:rPr>
      </w:pPr>
      <w:r>
        <w:rPr>
          <w:rFonts w:hint="default" w:ascii="Times New Roman" w:hAnsi="Times New Roman" w:eastAsia="黑体" w:cs="Times New Roman"/>
          <w:sz w:val="24"/>
          <w:szCs w:val="20"/>
        </w:rPr>
        <w:t>表4.4</w:t>
      </w:r>
      <w:r>
        <w:rPr>
          <w:rFonts w:hint="default" w:ascii="Times New Roman" w:hAnsi="Times New Roman" w:eastAsia="黑体" w:cs="Times New Roman"/>
          <w:sz w:val="24"/>
          <w:szCs w:val="20"/>
          <w:lang w:eastAsia="zh-CN"/>
        </w:rPr>
        <w:t>—</w:t>
      </w:r>
      <w:r>
        <w:rPr>
          <w:rFonts w:hint="default" w:ascii="Times New Roman" w:hAnsi="Times New Roman" w:eastAsia="黑体" w:cs="Times New Roman"/>
          <w:sz w:val="24"/>
          <w:szCs w:val="20"/>
        </w:rPr>
        <w:t xml:space="preserve">8      </w:t>
      </w:r>
      <w:r>
        <w:rPr>
          <w:rFonts w:hint="eastAsia" w:ascii="Times New Roman" w:hAnsi="Times New Roman" w:eastAsia="黑体" w:cs="Times New Roman"/>
          <w:sz w:val="24"/>
          <w:szCs w:val="20"/>
          <w:lang w:val="en-US" w:eastAsia="zh-CN"/>
        </w:rPr>
        <w:t xml:space="preserve">        </w:t>
      </w:r>
      <w:r>
        <w:rPr>
          <w:rFonts w:hint="default" w:ascii="Times New Roman" w:hAnsi="Times New Roman" w:eastAsia="黑体" w:cs="Times New Roman"/>
          <w:sz w:val="24"/>
          <w:szCs w:val="20"/>
        </w:rPr>
        <w:t xml:space="preserve"> 綦江河段设计洪水成果表</w:t>
      </w:r>
    </w:p>
    <w:tbl>
      <w:tblPr>
        <w:tblStyle w:val="88"/>
        <w:tblW w:w="0" w:type="auto"/>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fixed"/>
        <w:tblCellMar>
          <w:top w:w="0" w:type="dxa"/>
          <w:left w:w="108" w:type="dxa"/>
          <w:bottom w:w="0" w:type="dxa"/>
          <w:right w:w="108" w:type="dxa"/>
        </w:tblCellMar>
      </w:tblPr>
      <w:tblGrid>
        <w:gridCol w:w="636"/>
        <w:gridCol w:w="3441"/>
        <w:gridCol w:w="1134"/>
        <w:gridCol w:w="851"/>
        <w:gridCol w:w="850"/>
        <w:gridCol w:w="709"/>
        <w:gridCol w:w="795"/>
        <w:gridCol w:w="871"/>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636" w:type="dxa"/>
            <w:vMerge w:val="restar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河段</w:t>
            </w:r>
          </w:p>
        </w:tc>
        <w:tc>
          <w:tcPr>
            <w:tcW w:w="3441" w:type="dxa"/>
            <w:vMerge w:val="restar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断面位置</w:t>
            </w:r>
          </w:p>
        </w:tc>
        <w:tc>
          <w:tcPr>
            <w:tcW w:w="1134" w:type="dxa"/>
            <w:vMerge w:val="restart"/>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集雨面积（km</w:t>
            </w:r>
            <w:r>
              <w:rPr>
                <w:rFonts w:hint="eastAsia" w:ascii="楷体_GB2312" w:hAnsi="Calibri" w:eastAsia="楷体_GB2312"/>
                <w:kern w:val="0"/>
                <w:sz w:val="21"/>
                <w:szCs w:val="21"/>
                <w:vertAlign w:val="superscript"/>
              </w:rPr>
              <w:t>2</w:t>
            </w:r>
            <w:r>
              <w:rPr>
                <w:rFonts w:hint="eastAsia" w:ascii="楷体_GB2312" w:hAnsi="Calibri" w:eastAsia="楷体_GB2312"/>
                <w:kern w:val="0"/>
                <w:sz w:val="21"/>
                <w:szCs w:val="21"/>
              </w:rPr>
              <w:t>）</w:t>
            </w:r>
          </w:p>
        </w:tc>
        <w:tc>
          <w:tcPr>
            <w:tcW w:w="4076" w:type="dxa"/>
            <w:gridSpan w:val="5"/>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各频率设计值Xp（m</w:t>
            </w:r>
            <w:r>
              <w:rPr>
                <w:rFonts w:hint="eastAsia" w:ascii="楷体_GB2312" w:hAnsi="Calibri" w:eastAsia="楷体_GB2312"/>
                <w:kern w:val="0"/>
                <w:sz w:val="21"/>
                <w:szCs w:val="21"/>
                <w:vertAlign w:val="superscript"/>
              </w:rPr>
              <w:t>3</w:t>
            </w:r>
            <w:r>
              <w:rPr>
                <w:rFonts w:hint="eastAsia" w:ascii="楷体_GB2312" w:hAnsi="Calibri" w:eastAsia="楷体_GB2312"/>
                <w:kern w:val="0"/>
                <w:sz w:val="21"/>
                <w:szCs w:val="21"/>
              </w:rPr>
              <w:t>/s）</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636" w:type="dxa"/>
            <w:vMerge w:val="continue"/>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p>
        </w:tc>
        <w:tc>
          <w:tcPr>
            <w:tcW w:w="3441" w:type="dxa"/>
            <w:vMerge w:val="continue"/>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p>
        </w:tc>
        <w:tc>
          <w:tcPr>
            <w:tcW w:w="1134" w:type="dxa"/>
            <w:vMerge w:val="continue"/>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p>
        </w:tc>
        <w:tc>
          <w:tcPr>
            <w:tcW w:w="851" w:type="dxa"/>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w:t>
            </w:r>
          </w:p>
        </w:tc>
        <w:tc>
          <w:tcPr>
            <w:tcW w:w="850" w:type="dxa"/>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3.30%</w:t>
            </w:r>
          </w:p>
        </w:tc>
        <w:tc>
          <w:tcPr>
            <w:tcW w:w="709" w:type="dxa"/>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w:t>
            </w:r>
          </w:p>
        </w:tc>
        <w:tc>
          <w:tcPr>
            <w:tcW w:w="795" w:type="dxa"/>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10%</w:t>
            </w:r>
          </w:p>
        </w:tc>
        <w:tc>
          <w:tcPr>
            <w:tcW w:w="871" w:type="dxa"/>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636" w:type="dxa"/>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w:t>
            </w:r>
          </w:p>
        </w:tc>
        <w:tc>
          <w:tcPr>
            <w:tcW w:w="344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松坎水文站</w:t>
            </w:r>
          </w:p>
        </w:tc>
        <w:tc>
          <w:tcPr>
            <w:tcW w:w="1134"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639</w:t>
            </w:r>
          </w:p>
        </w:tc>
        <w:tc>
          <w:tcPr>
            <w:tcW w:w="85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2060</w:t>
            </w:r>
          </w:p>
        </w:tc>
        <w:tc>
          <w:tcPr>
            <w:tcW w:w="850"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1800</w:t>
            </w:r>
          </w:p>
        </w:tc>
        <w:tc>
          <w:tcPr>
            <w:tcW w:w="709"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1590</w:t>
            </w:r>
          </w:p>
        </w:tc>
        <w:tc>
          <w:tcPr>
            <w:tcW w:w="795"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1240</w:t>
            </w:r>
          </w:p>
        </w:tc>
        <w:tc>
          <w:tcPr>
            <w:tcW w:w="87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904</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636" w:type="dxa"/>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w:t>
            </w:r>
          </w:p>
        </w:tc>
        <w:tc>
          <w:tcPr>
            <w:tcW w:w="344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松坎河出口处</w:t>
            </w:r>
          </w:p>
        </w:tc>
        <w:tc>
          <w:tcPr>
            <w:tcW w:w="1134"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1396</w:t>
            </w:r>
          </w:p>
        </w:tc>
        <w:tc>
          <w:tcPr>
            <w:tcW w:w="85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3430</w:t>
            </w:r>
          </w:p>
        </w:tc>
        <w:tc>
          <w:tcPr>
            <w:tcW w:w="850"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3000</w:t>
            </w:r>
          </w:p>
        </w:tc>
        <w:tc>
          <w:tcPr>
            <w:tcW w:w="709"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2650</w:t>
            </w:r>
          </w:p>
        </w:tc>
        <w:tc>
          <w:tcPr>
            <w:tcW w:w="795"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2080</w:t>
            </w:r>
          </w:p>
        </w:tc>
        <w:tc>
          <w:tcPr>
            <w:tcW w:w="87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1520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636" w:type="dxa"/>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w:t>
            </w:r>
          </w:p>
        </w:tc>
        <w:tc>
          <w:tcPr>
            <w:tcW w:w="344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赶水镇</w:t>
            </w:r>
          </w:p>
        </w:tc>
        <w:tc>
          <w:tcPr>
            <w:tcW w:w="1134"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2996</w:t>
            </w:r>
          </w:p>
        </w:tc>
        <w:tc>
          <w:tcPr>
            <w:tcW w:w="85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5027</w:t>
            </w:r>
          </w:p>
        </w:tc>
        <w:tc>
          <w:tcPr>
            <w:tcW w:w="850"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4430</w:t>
            </w:r>
          </w:p>
        </w:tc>
        <w:tc>
          <w:tcPr>
            <w:tcW w:w="709"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3961</w:t>
            </w:r>
          </w:p>
        </w:tc>
        <w:tc>
          <w:tcPr>
            <w:tcW w:w="795"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3169</w:t>
            </w:r>
          </w:p>
        </w:tc>
        <w:tc>
          <w:tcPr>
            <w:tcW w:w="87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2386</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636" w:type="dxa"/>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w:t>
            </w:r>
          </w:p>
        </w:tc>
        <w:tc>
          <w:tcPr>
            <w:tcW w:w="344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丁山河汇合口上游</w:t>
            </w:r>
          </w:p>
        </w:tc>
        <w:tc>
          <w:tcPr>
            <w:tcW w:w="1134"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2996</w:t>
            </w:r>
          </w:p>
        </w:tc>
        <w:tc>
          <w:tcPr>
            <w:tcW w:w="85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5027</w:t>
            </w:r>
          </w:p>
        </w:tc>
        <w:tc>
          <w:tcPr>
            <w:tcW w:w="850"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4430</w:t>
            </w:r>
          </w:p>
        </w:tc>
        <w:tc>
          <w:tcPr>
            <w:tcW w:w="709"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3961</w:t>
            </w:r>
          </w:p>
        </w:tc>
        <w:tc>
          <w:tcPr>
            <w:tcW w:w="795"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3169</w:t>
            </w:r>
          </w:p>
        </w:tc>
        <w:tc>
          <w:tcPr>
            <w:tcW w:w="87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2386</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636" w:type="dxa"/>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w:t>
            </w:r>
          </w:p>
        </w:tc>
        <w:tc>
          <w:tcPr>
            <w:tcW w:w="344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丁山河汇合口下游（东溪水文站）</w:t>
            </w:r>
          </w:p>
        </w:tc>
        <w:tc>
          <w:tcPr>
            <w:tcW w:w="1134"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3097</w:t>
            </w:r>
          </w:p>
        </w:tc>
        <w:tc>
          <w:tcPr>
            <w:tcW w:w="85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5140</w:t>
            </w:r>
          </w:p>
        </w:tc>
        <w:tc>
          <w:tcPr>
            <w:tcW w:w="850"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4530</w:t>
            </w:r>
          </w:p>
        </w:tc>
        <w:tc>
          <w:tcPr>
            <w:tcW w:w="709"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4050</w:t>
            </w:r>
          </w:p>
        </w:tc>
        <w:tc>
          <w:tcPr>
            <w:tcW w:w="795"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3240</w:t>
            </w:r>
          </w:p>
        </w:tc>
        <w:tc>
          <w:tcPr>
            <w:tcW w:w="87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2440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636" w:type="dxa"/>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6</w:t>
            </w:r>
          </w:p>
        </w:tc>
        <w:tc>
          <w:tcPr>
            <w:tcW w:w="344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镇紫河汇合口上游</w:t>
            </w:r>
          </w:p>
        </w:tc>
        <w:tc>
          <w:tcPr>
            <w:tcW w:w="1134"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3106</w:t>
            </w:r>
          </w:p>
        </w:tc>
        <w:tc>
          <w:tcPr>
            <w:tcW w:w="85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5150</w:t>
            </w:r>
          </w:p>
        </w:tc>
        <w:tc>
          <w:tcPr>
            <w:tcW w:w="850"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4539</w:t>
            </w:r>
          </w:p>
        </w:tc>
        <w:tc>
          <w:tcPr>
            <w:tcW w:w="709"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4058</w:t>
            </w:r>
          </w:p>
        </w:tc>
        <w:tc>
          <w:tcPr>
            <w:tcW w:w="795"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3246</w:t>
            </w:r>
          </w:p>
        </w:tc>
        <w:tc>
          <w:tcPr>
            <w:tcW w:w="87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2445</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636" w:type="dxa"/>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7</w:t>
            </w:r>
          </w:p>
        </w:tc>
        <w:tc>
          <w:tcPr>
            <w:tcW w:w="344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镇紫河汇合口下游</w:t>
            </w:r>
          </w:p>
        </w:tc>
        <w:tc>
          <w:tcPr>
            <w:tcW w:w="1134"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3167</w:t>
            </w:r>
          </w:p>
        </w:tc>
        <w:tc>
          <w:tcPr>
            <w:tcW w:w="85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5218</w:t>
            </w:r>
          </w:p>
        </w:tc>
        <w:tc>
          <w:tcPr>
            <w:tcW w:w="850"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4598</w:t>
            </w:r>
          </w:p>
        </w:tc>
        <w:tc>
          <w:tcPr>
            <w:tcW w:w="709"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4111</w:t>
            </w:r>
          </w:p>
        </w:tc>
        <w:tc>
          <w:tcPr>
            <w:tcW w:w="795"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3289</w:t>
            </w:r>
          </w:p>
        </w:tc>
        <w:tc>
          <w:tcPr>
            <w:tcW w:w="87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2477</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636" w:type="dxa"/>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8</w:t>
            </w:r>
          </w:p>
        </w:tc>
        <w:tc>
          <w:tcPr>
            <w:tcW w:w="344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扶欢河汇合口上游</w:t>
            </w:r>
          </w:p>
        </w:tc>
        <w:tc>
          <w:tcPr>
            <w:tcW w:w="1134"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3167</w:t>
            </w:r>
          </w:p>
        </w:tc>
        <w:tc>
          <w:tcPr>
            <w:tcW w:w="85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5218</w:t>
            </w:r>
          </w:p>
        </w:tc>
        <w:tc>
          <w:tcPr>
            <w:tcW w:w="850"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4598</w:t>
            </w:r>
          </w:p>
        </w:tc>
        <w:tc>
          <w:tcPr>
            <w:tcW w:w="709"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4111</w:t>
            </w:r>
          </w:p>
        </w:tc>
        <w:tc>
          <w:tcPr>
            <w:tcW w:w="795"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3289</w:t>
            </w:r>
          </w:p>
        </w:tc>
        <w:tc>
          <w:tcPr>
            <w:tcW w:w="87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2477</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636" w:type="dxa"/>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9</w:t>
            </w:r>
          </w:p>
        </w:tc>
        <w:tc>
          <w:tcPr>
            <w:tcW w:w="344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扶欢河汇合口下游</w:t>
            </w:r>
          </w:p>
        </w:tc>
        <w:tc>
          <w:tcPr>
            <w:tcW w:w="1134"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3300</w:t>
            </w:r>
          </w:p>
        </w:tc>
        <w:tc>
          <w:tcPr>
            <w:tcW w:w="85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5363</w:t>
            </w:r>
          </w:p>
        </w:tc>
        <w:tc>
          <w:tcPr>
            <w:tcW w:w="850"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4727</w:t>
            </w:r>
          </w:p>
        </w:tc>
        <w:tc>
          <w:tcPr>
            <w:tcW w:w="709"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4226</w:t>
            </w:r>
          </w:p>
        </w:tc>
        <w:tc>
          <w:tcPr>
            <w:tcW w:w="795"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3381</w:t>
            </w:r>
          </w:p>
        </w:tc>
        <w:tc>
          <w:tcPr>
            <w:tcW w:w="87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2546</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636" w:type="dxa"/>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10</w:t>
            </w:r>
          </w:p>
        </w:tc>
        <w:tc>
          <w:tcPr>
            <w:tcW w:w="344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郭扶河汇合口上游</w:t>
            </w:r>
          </w:p>
        </w:tc>
        <w:tc>
          <w:tcPr>
            <w:tcW w:w="1134"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3300</w:t>
            </w:r>
          </w:p>
        </w:tc>
        <w:tc>
          <w:tcPr>
            <w:tcW w:w="85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5363</w:t>
            </w:r>
          </w:p>
        </w:tc>
        <w:tc>
          <w:tcPr>
            <w:tcW w:w="850"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4727</w:t>
            </w:r>
          </w:p>
        </w:tc>
        <w:tc>
          <w:tcPr>
            <w:tcW w:w="709"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4226</w:t>
            </w:r>
          </w:p>
        </w:tc>
        <w:tc>
          <w:tcPr>
            <w:tcW w:w="795"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3381</w:t>
            </w:r>
          </w:p>
        </w:tc>
        <w:tc>
          <w:tcPr>
            <w:tcW w:w="87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2546</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636" w:type="dxa"/>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11</w:t>
            </w:r>
          </w:p>
        </w:tc>
        <w:tc>
          <w:tcPr>
            <w:tcW w:w="344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郭扶河汇合口下游</w:t>
            </w:r>
          </w:p>
        </w:tc>
        <w:tc>
          <w:tcPr>
            <w:tcW w:w="1134"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3414</w:t>
            </w:r>
          </w:p>
        </w:tc>
        <w:tc>
          <w:tcPr>
            <w:tcW w:w="85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5487</w:t>
            </w:r>
          </w:p>
        </w:tc>
        <w:tc>
          <w:tcPr>
            <w:tcW w:w="850"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4836</w:t>
            </w:r>
          </w:p>
        </w:tc>
        <w:tc>
          <w:tcPr>
            <w:tcW w:w="709"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4323</w:t>
            </w:r>
          </w:p>
        </w:tc>
        <w:tc>
          <w:tcPr>
            <w:tcW w:w="795"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3459</w:t>
            </w:r>
          </w:p>
        </w:tc>
        <w:tc>
          <w:tcPr>
            <w:tcW w:w="87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2605</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636" w:type="dxa"/>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12</w:t>
            </w:r>
          </w:p>
        </w:tc>
        <w:tc>
          <w:tcPr>
            <w:tcW w:w="344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蒲河汇合口上游（三江街道）</w:t>
            </w:r>
          </w:p>
        </w:tc>
        <w:tc>
          <w:tcPr>
            <w:tcW w:w="1134"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3414</w:t>
            </w:r>
          </w:p>
        </w:tc>
        <w:tc>
          <w:tcPr>
            <w:tcW w:w="85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5487</w:t>
            </w:r>
          </w:p>
        </w:tc>
        <w:tc>
          <w:tcPr>
            <w:tcW w:w="850"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4836</w:t>
            </w:r>
          </w:p>
        </w:tc>
        <w:tc>
          <w:tcPr>
            <w:tcW w:w="709"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4323</w:t>
            </w:r>
          </w:p>
        </w:tc>
        <w:tc>
          <w:tcPr>
            <w:tcW w:w="795"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3459</w:t>
            </w:r>
          </w:p>
        </w:tc>
        <w:tc>
          <w:tcPr>
            <w:tcW w:w="87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2605</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636" w:type="dxa"/>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13</w:t>
            </w:r>
          </w:p>
        </w:tc>
        <w:tc>
          <w:tcPr>
            <w:tcW w:w="344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蒲河汇合口下游</w:t>
            </w:r>
          </w:p>
        </w:tc>
        <w:tc>
          <w:tcPr>
            <w:tcW w:w="1134"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4247</w:t>
            </w:r>
          </w:p>
        </w:tc>
        <w:tc>
          <w:tcPr>
            <w:tcW w:w="85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5806</w:t>
            </w:r>
          </w:p>
        </w:tc>
        <w:tc>
          <w:tcPr>
            <w:tcW w:w="850"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5244</w:t>
            </w:r>
          </w:p>
        </w:tc>
        <w:tc>
          <w:tcPr>
            <w:tcW w:w="709"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4779</w:t>
            </w:r>
          </w:p>
        </w:tc>
        <w:tc>
          <w:tcPr>
            <w:tcW w:w="795"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3984</w:t>
            </w:r>
          </w:p>
        </w:tc>
        <w:tc>
          <w:tcPr>
            <w:tcW w:w="87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3165</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636" w:type="dxa"/>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14</w:t>
            </w:r>
          </w:p>
        </w:tc>
        <w:tc>
          <w:tcPr>
            <w:tcW w:w="344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通惠河汇合口上游（彩虹桥）</w:t>
            </w:r>
          </w:p>
        </w:tc>
        <w:tc>
          <w:tcPr>
            <w:tcW w:w="1134"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4451</w:t>
            </w:r>
          </w:p>
        </w:tc>
        <w:tc>
          <w:tcPr>
            <w:tcW w:w="85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5868</w:t>
            </w:r>
          </w:p>
        </w:tc>
        <w:tc>
          <w:tcPr>
            <w:tcW w:w="850"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5307</w:t>
            </w:r>
          </w:p>
        </w:tc>
        <w:tc>
          <w:tcPr>
            <w:tcW w:w="709"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4841</w:t>
            </w:r>
          </w:p>
        </w:tc>
        <w:tc>
          <w:tcPr>
            <w:tcW w:w="795"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4044</w:t>
            </w:r>
          </w:p>
        </w:tc>
        <w:tc>
          <w:tcPr>
            <w:tcW w:w="87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3220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636" w:type="dxa"/>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15</w:t>
            </w:r>
          </w:p>
        </w:tc>
        <w:tc>
          <w:tcPr>
            <w:tcW w:w="344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通惠河汇合口下游（綦江大桥）</w:t>
            </w:r>
          </w:p>
        </w:tc>
        <w:tc>
          <w:tcPr>
            <w:tcW w:w="1134"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4644</w:t>
            </w:r>
          </w:p>
        </w:tc>
        <w:tc>
          <w:tcPr>
            <w:tcW w:w="85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5927</w:t>
            </w:r>
          </w:p>
        </w:tc>
        <w:tc>
          <w:tcPr>
            <w:tcW w:w="850"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5366</w:t>
            </w:r>
          </w:p>
        </w:tc>
        <w:tc>
          <w:tcPr>
            <w:tcW w:w="709"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4900</w:t>
            </w:r>
          </w:p>
        </w:tc>
        <w:tc>
          <w:tcPr>
            <w:tcW w:w="795"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4101</w:t>
            </w:r>
          </w:p>
        </w:tc>
        <w:tc>
          <w:tcPr>
            <w:tcW w:w="87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3272</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636" w:type="dxa"/>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16</w:t>
            </w:r>
          </w:p>
        </w:tc>
        <w:tc>
          <w:tcPr>
            <w:tcW w:w="344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沙溪河汇合口上游（大常枢纽）</w:t>
            </w:r>
          </w:p>
        </w:tc>
        <w:tc>
          <w:tcPr>
            <w:tcW w:w="1134"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4644</w:t>
            </w:r>
          </w:p>
        </w:tc>
        <w:tc>
          <w:tcPr>
            <w:tcW w:w="85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5927</w:t>
            </w:r>
          </w:p>
        </w:tc>
        <w:tc>
          <w:tcPr>
            <w:tcW w:w="850"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5366</w:t>
            </w:r>
          </w:p>
        </w:tc>
        <w:tc>
          <w:tcPr>
            <w:tcW w:w="709"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4900</w:t>
            </w:r>
          </w:p>
        </w:tc>
        <w:tc>
          <w:tcPr>
            <w:tcW w:w="795"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4101</w:t>
            </w:r>
          </w:p>
        </w:tc>
        <w:tc>
          <w:tcPr>
            <w:tcW w:w="87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3272</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636" w:type="dxa"/>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17</w:t>
            </w:r>
          </w:p>
        </w:tc>
        <w:tc>
          <w:tcPr>
            <w:tcW w:w="344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沙溪河汇合口下游</w:t>
            </w:r>
          </w:p>
        </w:tc>
        <w:tc>
          <w:tcPr>
            <w:tcW w:w="1134"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4650</w:t>
            </w:r>
          </w:p>
        </w:tc>
        <w:tc>
          <w:tcPr>
            <w:tcW w:w="85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5929</w:t>
            </w:r>
          </w:p>
        </w:tc>
        <w:tc>
          <w:tcPr>
            <w:tcW w:w="850"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5368</w:t>
            </w:r>
          </w:p>
        </w:tc>
        <w:tc>
          <w:tcPr>
            <w:tcW w:w="709"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4901</w:t>
            </w:r>
          </w:p>
        </w:tc>
        <w:tc>
          <w:tcPr>
            <w:tcW w:w="795"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4102</w:t>
            </w:r>
          </w:p>
        </w:tc>
        <w:tc>
          <w:tcPr>
            <w:tcW w:w="87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3274</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636" w:type="dxa"/>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18</w:t>
            </w:r>
          </w:p>
        </w:tc>
        <w:tc>
          <w:tcPr>
            <w:tcW w:w="344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綦江城区防洪控制断面（城北大桥）</w:t>
            </w:r>
          </w:p>
        </w:tc>
        <w:tc>
          <w:tcPr>
            <w:tcW w:w="1134"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4723</w:t>
            </w:r>
          </w:p>
        </w:tc>
        <w:tc>
          <w:tcPr>
            <w:tcW w:w="85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5950</w:t>
            </w:r>
          </w:p>
        </w:tc>
        <w:tc>
          <w:tcPr>
            <w:tcW w:w="850"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5390</w:t>
            </w:r>
          </w:p>
        </w:tc>
        <w:tc>
          <w:tcPr>
            <w:tcW w:w="709"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4920</w:t>
            </w:r>
          </w:p>
        </w:tc>
        <w:tc>
          <w:tcPr>
            <w:tcW w:w="795"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4120</w:t>
            </w:r>
          </w:p>
        </w:tc>
        <w:tc>
          <w:tcPr>
            <w:tcW w:w="87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3290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636" w:type="dxa"/>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19</w:t>
            </w:r>
          </w:p>
        </w:tc>
        <w:tc>
          <w:tcPr>
            <w:tcW w:w="344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清溪河汇合口上游</w:t>
            </w:r>
          </w:p>
        </w:tc>
        <w:tc>
          <w:tcPr>
            <w:tcW w:w="1134"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4752</w:t>
            </w:r>
          </w:p>
        </w:tc>
        <w:tc>
          <w:tcPr>
            <w:tcW w:w="85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5960</w:t>
            </w:r>
          </w:p>
        </w:tc>
        <w:tc>
          <w:tcPr>
            <w:tcW w:w="850"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5400</w:t>
            </w:r>
          </w:p>
        </w:tc>
        <w:tc>
          <w:tcPr>
            <w:tcW w:w="709"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4930</w:t>
            </w:r>
          </w:p>
        </w:tc>
        <w:tc>
          <w:tcPr>
            <w:tcW w:w="795"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4130</w:t>
            </w:r>
          </w:p>
        </w:tc>
        <w:tc>
          <w:tcPr>
            <w:tcW w:w="87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3300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636" w:type="dxa"/>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20</w:t>
            </w:r>
          </w:p>
        </w:tc>
        <w:tc>
          <w:tcPr>
            <w:tcW w:w="344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清溪河汇合口下游</w:t>
            </w:r>
          </w:p>
        </w:tc>
        <w:tc>
          <w:tcPr>
            <w:tcW w:w="1134"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5249</w:t>
            </w:r>
          </w:p>
        </w:tc>
        <w:tc>
          <w:tcPr>
            <w:tcW w:w="85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6113</w:t>
            </w:r>
          </w:p>
        </w:tc>
        <w:tc>
          <w:tcPr>
            <w:tcW w:w="850"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5552</w:t>
            </w:r>
          </w:p>
        </w:tc>
        <w:tc>
          <w:tcPr>
            <w:tcW w:w="709"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5084</w:t>
            </w:r>
          </w:p>
        </w:tc>
        <w:tc>
          <w:tcPr>
            <w:tcW w:w="795"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4280</w:t>
            </w:r>
          </w:p>
        </w:tc>
        <w:tc>
          <w:tcPr>
            <w:tcW w:w="87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3440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636" w:type="dxa"/>
            <w:noWrap w:val="0"/>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21</w:t>
            </w:r>
          </w:p>
        </w:tc>
        <w:tc>
          <w:tcPr>
            <w:tcW w:w="344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五岔水文站</w:t>
            </w:r>
          </w:p>
        </w:tc>
        <w:tc>
          <w:tcPr>
            <w:tcW w:w="1134"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5566</w:t>
            </w:r>
          </w:p>
        </w:tc>
        <w:tc>
          <w:tcPr>
            <w:tcW w:w="85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6280</w:t>
            </w:r>
          </w:p>
        </w:tc>
        <w:tc>
          <w:tcPr>
            <w:tcW w:w="850"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5730</w:t>
            </w:r>
          </w:p>
        </w:tc>
        <w:tc>
          <w:tcPr>
            <w:tcW w:w="709"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5260</w:t>
            </w:r>
          </w:p>
        </w:tc>
        <w:tc>
          <w:tcPr>
            <w:tcW w:w="795"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4460</w:t>
            </w:r>
          </w:p>
        </w:tc>
        <w:tc>
          <w:tcPr>
            <w:tcW w:w="871" w:type="dxa"/>
            <w:noWrap/>
            <w:vAlign w:val="center"/>
          </w:tcPr>
          <w:p>
            <w:pPr>
              <w:adjustRightInd w:val="0"/>
              <w:snapToGrid w:val="0"/>
              <w:spacing w:line="0" w:lineRule="atLeas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3610</w:t>
            </w:r>
          </w:p>
        </w:tc>
      </w:tr>
    </w:tbl>
    <w:p>
      <w:pPr>
        <w:keepNext w:val="0"/>
        <w:keepLines w:val="0"/>
        <w:pageBreakBefore w:val="0"/>
        <w:widowControl w:val="0"/>
        <w:tabs>
          <w:tab w:val="left" w:pos="486"/>
        </w:tabs>
        <w:kinsoku/>
        <w:wordWrap/>
        <w:overflowPunct/>
        <w:topLinePunct w:val="0"/>
        <w:autoSpaceDE/>
        <w:autoSpaceDN/>
        <w:bidi w:val="0"/>
        <w:adjustRightInd/>
        <w:snapToGrid/>
        <w:ind w:firstLine="560"/>
        <w:textAlignment w:val="auto"/>
        <w:outlineLvl w:val="4"/>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3</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綦江支流</w:t>
      </w:r>
      <w:r>
        <w:rPr>
          <w:rFonts w:hint="default" w:ascii="Times New Roman" w:hAnsi="Times New Roman" w:eastAsia="方正仿宋_GBK" w:cs="Times New Roman"/>
          <w:sz w:val="32"/>
          <w:szCs w:val="32"/>
          <w:lang w:val="en-US" w:eastAsia="zh-CN"/>
        </w:rPr>
        <w:t>设计洪水</w:t>
      </w:r>
    </w:p>
    <w:p>
      <w:pPr>
        <w:keepNext w:val="0"/>
        <w:keepLines w:val="0"/>
        <w:pageBreakBefore w:val="0"/>
        <w:widowControl w:val="0"/>
        <w:tabs>
          <w:tab w:val="left" w:pos="486"/>
        </w:tabs>
        <w:kinsoku/>
        <w:wordWrap/>
        <w:overflowPunct/>
        <w:topLinePunct w:val="0"/>
        <w:autoSpaceDE/>
        <w:autoSpaceDN/>
        <w:bidi w:val="0"/>
        <w:adjustRightInd/>
        <w:snapToGrid/>
        <w:ind w:firstLine="560"/>
        <w:textAlignment w:val="auto"/>
        <w:outlineLvl w:val="4"/>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根据《重庆市綦江区城乡总体规划》可知，綦江城市规划区内涉及綦江河支流有：沙溪河、通惠河、桥河、蒲河、登瀛河。蒲河流域上有石角水文站，该站有较长实测洪水系列资料，可计算蒲河设计洪水。因沙溪河、通惠河、桥河、登瀛</w:t>
      </w:r>
      <w:r>
        <w:rPr>
          <w:rFonts w:hint="eastAsia" w:hAnsi="Calibri"/>
          <w:kern w:val="0"/>
        </w:rPr>
        <w:t>河流域均无实测洪水资料，且集雨</w:t>
      </w:r>
      <w:r>
        <w:rPr>
          <w:rFonts w:hint="eastAsia" w:ascii="Times New Roman" w:hAnsi="Times New Roman" w:eastAsia="方正仿宋_GBK" w:cs="Times New Roman"/>
          <w:sz w:val="32"/>
          <w:szCs w:val="32"/>
          <w:lang w:val="en-US" w:eastAsia="zh-CN"/>
        </w:rPr>
        <w:t>面积均小于1000km</w:t>
      </w:r>
      <w:r>
        <w:rPr>
          <w:rFonts w:hint="eastAsia" w:ascii="Times New Roman" w:hAnsi="Times New Roman" w:eastAsia="方正仿宋_GBK" w:cs="Times New Roman"/>
          <w:sz w:val="32"/>
          <w:szCs w:val="32"/>
          <w:vertAlign w:val="superscript"/>
          <w:lang w:val="en-US" w:eastAsia="zh-CN"/>
        </w:rPr>
        <w:t>2</w:t>
      </w:r>
      <w:r>
        <w:rPr>
          <w:rFonts w:hint="eastAsia" w:ascii="Times New Roman" w:hAnsi="Times New Roman" w:eastAsia="方正仿宋_GBK" w:cs="Times New Roman"/>
          <w:sz w:val="32"/>
          <w:szCs w:val="32"/>
          <w:lang w:val="en-US" w:eastAsia="zh-CN"/>
        </w:rPr>
        <w:t>，因此采用设计暴雨推求洪水的方法计算沙溪河、通惠河、桥河、登瀛河设计洪水。</w:t>
      </w:r>
    </w:p>
    <w:p>
      <w:pPr>
        <w:keepNext w:val="0"/>
        <w:keepLines w:val="0"/>
        <w:pageBreakBefore w:val="0"/>
        <w:widowControl w:val="0"/>
        <w:tabs>
          <w:tab w:val="left" w:pos="486"/>
        </w:tabs>
        <w:kinsoku/>
        <w:wordWrap/>
        <w:overflowPunct/>
        <w:topLinePunct w:val="0"/>
        <w:autoSpaceDE/>
        <w:autoSpaceDN/>
        <w:bidi w:val="0"/>
        <w:adjustRightInd/>
        <w:snapToGrid/>
        <w:ind w:firstLine="560"/>
        <w:textAlignment w:val="auto"/>
        <w:outlineLvl w:val="4"/>
        <w:rPr>
          <w:rFonts w:hint="default"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3.1蒲河设计洪水</w:t>
      </w:r>
    </w:p>
    <w:p>
      <w:pPr>
        <w:keepNext w:val="0"/>
        <w:keepLines w:val="0"/>
        <w:pageBreakBefore w:val="0"/>
        <w:widowControl w:val="0"/>
        <w:tabs>
          <w:tab w:val="left" w:pos="486"/>
        </w:tabs>
        <w:kinsoku/>
        <w:wordWrap/>
        <w:overflowPunct/>
        <w:topLinePunct w:val="0"/>
        <w:autoSpaceDE/>
        <w:autoSpaceDN/>
        <w:bidi w:val="0"/>
        <w:adjustRightInd/>
        <w:snapToGrid/>
        <w:ind w:firstLine="560"/>
        <w:textAlignment w:val="auto"/>
        <w:outlineLvl w:val="4"/>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利用蒲河石角水文站实测资料进行设计洪水计算。收集到石角水文站1959</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2020年（缺1962.1</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1965.3）洪峰流量系列，但1962年1月</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1965年3月有实测最高洪水位资料，根据石角站综合水位流量关系曲线插补得该站1962.1</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1965.3洪峰流量，从而得到石角站1959</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2020年共62年洪峰流量资料。将石角水文站1959</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2020年实测年最大洪峰流量系列进行频率分析，采用P</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Ⅲ型曲线，以矩法计算为初始值，然后经验适线优选参数，石角设计洪水成果见表4.4</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9和图4.4</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4。</w:t>
      </w:r>
    </w:p>
    <w:p>
      <w:pPr>
        <w:pStyle w:val="2"/>
        <w:rPr>
          <w:rFonts w:hint="eastAsia" w:ascii="Times New Roman" w:hAnsi="Times New Roman" w:eastAsia="方正仿宋_GBK" w:cs="Times New Roman"/>
          <w:sz w:val="32"/>
          <w:szCs w:val="32"/>
          <w:lang w:val="en-US" w:eastAsia="zh-CN"/>
        </w:rPr>
      </w:pPr>
    </w:p>
    <w:p>
      <w:pPr>
        <w:pStyle w:val="2"/>
        <w:rPr>
          <w:rFonts w:hint="eastAsia" w:ascii="Times New Roman" w:hAnsi="Times New Roman" w:eastAsia="方正仿宋_GBK" w:cs="Times New Roman"/>
          <w:sz w:val="32"/>
          <w:szCs w:val="32"/>
          <w:lang w:val="en-US" w:eastAsia="zh-CN"/>
        </w:rPr>
      </w:pPr>
    </w:p>
    <w:p>
      <w:pPr>
        <w:pStyle w:val="2"/>
        <w:rPr>
          <w:rFonts w:hint="eastAsia" w:ascii="Times New Roman" w:hAnsi="Times New Roman" w:eastAsia="方正仿宋_GBK" w:cs="Times New Roman"/>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after="60"/>
        <w:ind w:firstLine="480" w:firstLineChars="200"/>
        <w:textAlignment w:val="auto"/>
        <w:outlineLvl w:val="5"/>
        <w:rPr>
          <w:rFonts w:hint="default" w:ascii="Times New Roman" w:hAnsi="Times New Roman" w:eastAsia="黑体" w:cs="Times New Roman"/>
          <w:sz w:val="24"/>
          <w:szCs w:val="20"/>
        </w:rPr>
      </w:pPr>
      <w:r>
        <w:rPr>
          <w:rFonts w:hint="default" w:ascii="Times New Roman" w:hAnsi="Times New Roman" w:eastAsia="黑体" w:cs="Times New Roman"/>
          <w:sz w:val="24"/>
          <w:szCs w:val="20"/>
        </w:rPr>
        <w:t>表4.4</w:t>
      </w:r>
      <w:r>
        <w:rPr>
          <w:rFonts w:hint="default" w:ascii="Times New Roman" w:hAnsi="Times New Roman" w:eastAsia="黑体" w:cs="Times New Roman"/>
          <w:sz w:val="24"/>
          <w:szCs w:val="20"/>
          <w:lang w:eastAsia="zh-CN"/>
        </w:rPr>
        <w:t>—</w:t>
      </w:r>
      <w:r>
        <w:rPr>
          <w:rFonts w:hint="default" w:ascii="Times New Roman" w:hAnsi="Times New Roman" w:eastAsia="黑体" w:cs="Times New Roman"/>
          <w:sz w:val="24"/>
          <w:szCs w:val="20"/>
        </w:rPr>
        <w:t>9　　　　　</w:t>
      </w:r>
      <w:r>
        <w:rPr>
          <w:rFonts w:hint="eastAsia" w:ascii="Times New Roman" w:hAnsi="Times New Roman" w:eastAsia="黑体" w:cs="Times New Roman"/>
          <w:sz w:val="24"/>
          <w:szCs w:val="20"/>
          <w:lang w:val="en-US" w:eastAsia="zh-CN"/>
        </w:rPr>
        <w:t xml:space="preserve">  </w:t>
      </w:r>
      <w:r>
        <w:rPr>
          <w:rFonts w:hint="default" w:ascii="Times New Roman" w:hAnsi="Times New Roman" w:eastAsia="黑体" w:cs="Times New Roman"/>
          <w:sz w:val="24"/>
          <w:szCs w:val="20"/>
        </w:rPr>
        <w:t>　　石角站设计洪水成果表</w:t>
      </w:r>
    </w:p>
    <w:tbl>
      <w:tblPr>
        <w:tblStyle w:val="88"/>
        <w:tblW w:w="5000"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0" w:type="dxa"/>
          <w:bottom w:w="0" w:type="dxa"/>
          <w:right w:w="0" w:type="dxa"/>
        </w:tblCellMar>
      </w:tblPr>
      <w:tblGrid>
        <w:gridCol w:w="1905"/>
        <w:gridCol w:w="840"/>
        <w:gridCol w:w="602"/>
        <w:gridCol w:w="780"/>
        <w:gridCol w:w="845"/>
        <w:gridCol w:w="845"/>
        <w:gridCol w:w="836"/>
        <w:gridCol w:w="798"/>
        <w:gridCol w:w="818"/>
        <w:gridCol w:w="818"/>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1049" w:type="pct"/>
            <w:vMerge w:val="restart"/>
            <w:noWrap w:val="0"/>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p>
        </w:tc>
        <w:tc>
          <w:tcPr>
            <w:tcW w:w="462" w:type="pct"/>
            <w:vMerge w:val="restart"/>
            <w:noWrap w:val="0"/>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均值</w:t>
            </w:r>
          </w:p>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（m</w:t>
            </w:r>
            <w:r>
              <w:rPr>
                <w:rFonts w:hint="eastAsia" w:ascii="楷体_GB2312" w:hAnsi="Calibri" w:eastAsia="楷体_GB2312"/>
                <w:snapToGrid w:val="0"/>
                <w:kern w:val="0"/>
                <w:sz w:val="21"/>
                <w:szCs w:val="21"/>
                <w:vertAlign w:val="superscript"/>
              </w:rPr>
              <w:t>3</w:t>
            </w:r>
            <w:r>
              <w:rPr>
                <w:rFonts w:hint="eastAsia" w:ascii="楷体_GB2312" w:hAnsi="Calibri" w:eastAsia="楷体_GB2312"/>
                <w:snapToGrid w:val="0"/>
                <w:kern w:val="0"/>
                <w:sz w:val="21"/>
                <w:szCs w:val="21"/>
              </w:rPr>
              <w:t>/s）</w:t>
            </w:r>
          </w:p>
        </w:tc>
        <w:tc>
          <w:tcPr>
            <w:tcW w:w="331" w:type="pct"/>
            <w:vMerge w:val="restart"/>
            <w:noWrap w:val="0"/>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Cv</w:t>
            </w:r>
          </w:p>
        </w:tc>
        <w:tc>
          <w:tcPr>
            <w:tcW w:w="429" w:type="pct"/>
            <w:vMerge w:val="restart"/>
            <w:noWrap w:val="0"/>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Cs/Cv</w:t>
            </w:r>
          </w:p>
        </w:tc>
        <w:tc>
          <w:tcPr>
            <w:tcW w:w="2729" w:type="pct"/>
            <w:gridSpan w:val="6"/>
            <w:noWrap w:val="0"/>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各 频 率 设 计 值 Xp（m</w:t>
            </w:r>
            <w:r>
              <w:rPr>
                <w:rFonts w:hint="eastAsia" w:ascii="楷体_GB2312" w:hAnsi="Calibri" w:eastAsia="楷体_GB2312"/>
                <w:snapToGrid w:val="0"/>
                <w:kern w:val="0"/>
                <w:sz w:val="21"/>
                <w:szCs w:val="21"/>
                <w:vertAlign w:val="superscript"/>
              </w:rPr>
              <w:t>3</w:t>
            </w:r>
            <w:r>
              <w:rPr>
                <w:rFonts w:hint="eastAsia" w:ascii="楷体_GB2312" w:hAnsi="Calibri" w:eastAsia="楷体_GB2312"/>
                <w:snapToGrid w:val="0"/>
                <w:kern w:val="0"/>
                <w:sz w:val="21"/>
                <w:szCs w:val="21"/>
              </w:rPr>
              <w:t>/s）</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1049" w:type="pct"/>
            <w:vMerge w:val="continue"/>
            <w:noWrap w:val="0"/>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p>
        </w:tc>
        <w:tc>
          <w:tcPr>
            <w:tcW w:w="462" w:type="pct"/>
            <w:vMerge w:val="continue"/>
            <w:noWrap w:val="0"/>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p>
        </w:tc>
        <w:tc>
          <w:tcPr>
            <w:tcW w:w="331" w:type="pct"/>
            <w:vMerge w:val="continue"/>
            <w:noWrap w:val="0"/>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p>
        </w:tc>
        <w:tc>
          <w:tcPr>
            <w:tcW w:w="429" w:type="pct"/>
            <w:vMerge w:val="continue"/>
            <w:noWrap w:val="0"/>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p>
        </w:tc>
        <w:tc>
          <w:tcPr>
            <w:tcW w:w="465" w:type="pct"/>
            <w:noWrap w:val="0"/>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w:t>
            </w:r>
          </w:p>
        </w:tc>
        <w:tc>
          <w:tcPr>
            <w:tcW w:w="465" w:type="pct"/>
            <w:noWrap w:val="0"/>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w:t>
            </w:r>
          </w:p>
        </w:tc>
        <w:tc>
          <w:tcPr>
            <w:tcW w:w="460" w:type="pct"/>
            <w:noWrap w:val="0"/>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3.3%</w:t>
            </w:r>
          </w:p>
        </w:tc>
        <w:tc>
          <w:tcPr>
            <w:tcW w:w="439" w:type="pct"/>
            <w:noWrap w:val="0"/>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5%</w:t>
            </w:r>
          </w:p>
        </w:tc>
        <w:tc>
          <w:tcPr>
            <w:tcW w:w="450" w:type="pct"/>
            <w:noWrap w:val="0"/>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10%</w:t>
            </w:r>
          </w:p>
        </w:tc>
        <w:tc>
          <w:tcPr>
            <w:tcW w:w="449" w:type="pct"/>
            <w:noWrap w:val="0"/>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1049" w:type="pct"/>
            <w:noWrap w:val="0"/>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本次计算</w:t>
            </w:r>
          </w:p>
        </w:tc>
        <w:tc>
          <w:tcPr>
            <w:tcW w:w="462" w:type="pct"/>
            <w:noWrap w:val="0"/>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450</w:t>
            </w:r>
          </w:p>
        </w:tc>
        <w:tc>
          <w:tcPr>
            <w:tcW w:w="331" w:type="pct"/>
            <w:noWrap w:val="0"/>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0.51</w:t>
            </w:r>
          </w:p>
        </w:tc>
        <w:tc>
          <w:tcPr>
            <w:tcW w:w="429" w:type="pct"/>
            <w:noWrap w:val="0"/>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3.0</w:t>
            </w:r>
          </w:p>
        </w:tc>
        <w:tc>
          <w:tcPr>
            <w:tcW w:w="465" w:type="pct"/>
            <w:noWrap w:val="0"/>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1220</w:t>
            </w:r>
          </w:p>
        </w:tc>
        <w:tc>
          <w:tcPr>
            <w:tcW w:w="465" w:type="pct"/>
            <w:noWrap w:val="0"/>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1080</w:t>
            </w:r>
          </w:p>
        </w:tc>
        <w:tc>
          <w:tcPr>
            <w:tcW w:w="460" w:type="pct"/>
            <w:noWrap w:val="0"/>
            <w:vAlign w:val="center"/>
          </w:tcPr>
          <w:p>
            <w:pPr>
              <w:adjustRightInd w:val="0"/>
              <w:snapToGrid w:val="0"/>
              <w:spacing w:line="0" w:lineRule="atLeast"/>
              <w:ind w:firstLine="0" w:firstLineChars="0"/>
              <w:jc w:val="center"/>
              <w:rPr>
                <w:rFonts w:ascii="楷体_GB2312" w:hAnsi="Calibri" w:eastAsia="楷体_GB2312"/>
                <w:snapToGrid w:val="0"/>
                <w:kern w:val="0"/>
                <w:sz w:val="21"/>
                <w:szCs w:val="21"/>
              </w:rPr>
            </w:pPr>
            <w:r>
              <w:rPr>
                <w:rFonts w:hint="eastAsia" w:ascii="楷体_GB2312" w:hAnsi="Calibri" w:eastAsia="楷体_GB2312"/>
                <w:snapToGrid w:val="0"/>
                <w:kern w:val="0"/>
                <w:sz w:val="21"/>
                <w:szCs w:val="21"/>
              </w:rPr>
              <w:t>982</w:t>
            </w:r>
          </w:p>
        </w:tc>
        <w:tc>
          <w:tcPr>
            <w:tcW w:w="439" w:type="pct"/>
            <w:noWrap w:val="0"/>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899</w:t>
            </w:r>
          </w:p>
        </w:tc>
        <w:tc>
          <w:tcPr>
            <w:tcW w:w="450" w:type="pct"/>
            <w:noWrap w:val="0"/>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756</w:t>
            </w:r>
          </w:p>
        </w:tc>
        <w:tc>
          <w:tcPr>
            <w:tcW w:w="449" w:type="pct"/>
            <w:noWrap w:val="0"/>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607</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1049" w:type="pct"/>
            <w:noWrap w:val="0"/>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綦江堤防设计成果</w:t>
            </w:r>
          </w:p>
        </w:tc>
        <w:tc>
          <w:tcPr>
            <w:tcW w:w="462" w:type="pct"/>
            <w:noWrap w:val="0"/>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422</w:t>
            </w:r>
          </w:p>
        </w:tc>
        <w:tc>
          <w:tcPr>
            <w:tcW w:w="331" w:type="pct"/>
            <w:noWrap w:val="0"/>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0.55</w:t>
            </w:r>
          </w:p>
        </w:tc>
        <w:tc>
          <w:tcPr>
            <w:tcW w:w="429" w:type="pct"/>
            <w:noWrap w:val="0"/>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3.5</w:t>
            </w:r>
          </w:p>
        </w:tc>
        <w:tc>
          <w:tcPr>
            <w:tcW w:w="465" w:type="pct"/>
            <w:noWrap w:val="0"/>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1250</w:t>
            </w:r>
          </w:p>
        </w:tc>
        <w:tc>
          <w:tcPr>
            <w:tcW w:w="465" w:type="pct"/>
            <w:noWrap w:val="0"/>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1090</w:t>
            </w:r>
          </w:p>
        </w:tc>
        <w:tc>
          <w:tcPr>
            <w:tcW w:w="460" w:type="pct"/>
            <w:noWrap w:val="0"/>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978</w:t>
            </w:r>
          </w:p>
        </w:tc>
        <w:tc>
          <w:tcPr>
            <w:tcW w:w="439" w:type="pct"/>
            <w:noWrap w:val="0"/>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884</w:t>
            </w:r>
          </w:p>
        </w:tc>
        <w:tc>
          <w:tcPr>
            <w:tcW w:w="450" w:type="pct"/>
            <w:noWrap w:val="0"/>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725</w:t>
            </w:r>
          </w:p>
        </w:tc>
        <w:tc>
          <w:tcPr>
            <w:tcW w:w="449" w:type="pct"/>
            <w:noWrap w:val="0"/>
            <w:vAlign w:val="center"/>
          </w:tcPr>
          <w:p>
            <w:pPr>
              <w:adjustRightInd w:val="0"/>
              <w:snapToGri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566</w:t>
            </w:r>
          </w:p>
        </w:tc>
      </w:tr>
    </w:tbl>
    <w:p>
      <w:pPr>
        <w:widowControl/>
        <w:spacing w:line="240" w:lineRule="auto"/>
        <w:ind w:firstLine="0" w:firstLineChars="0"/>
        <w:jc w:val="center"/>
        <w:rPr>
          <w:rFonts w:hint="default" w:ascii="Times New Roman" w:hAnsi="Times New Roman" w:cs="Times New Roman"/>
          <w:kern w:val="0"/>
          <w:szCs w:val="24"/>
        </w:rPr>
      </w:pPr>
      <w:r>
        <w:rPr>
          <w:rFonts w:ascii="宋体" w:hAnsi="宋体" w:cs="宋体"/>
          <w:kern w:val="0"/>
          <w:szCs w:val="24"/>
        </w:rPr>
        <w:drawing>
          <wp:inline distT="0" distB="0" distL="114300" distR="114300">
            <wp:extent cx="4829810" cy="3735070"/>
            <wp:effectExtent l="0" t="0" r="8890" b="17780"/>
            <wp:docPr id="94" name="图片 352" descr="石角洪峰"/>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4" name="图片 352" descr="石角洪峰"/>
                    <pic:cNvPicPr>
                      <a:picLocks noChangeAspect="true"/>
                    </pic:cNvPicPr>
                  </pic:nvPicPr>
                  <pic:blipFill>
                    <a:blip r:embed="rId133"/>
                    <a:stretch>
                      <a:fillRect/>
                    </a:stretch>
                  </pic:blipFill>
                  <pic:spPr>
                    <a:xfrm>
                      <a:off x="0" y="0"/>
                      <a:ext cx="4829810" cy="3735070"/>
                    </a:xfrm>
                    <a:prstGeom prst="rect">
                      <a:avLst/>
                    </a:prstGeom>
                    <a:noFill/>
                    <a:ln>
                      <a:noFill/>
                    </a:ln>
                  </pic:spPr>
                </pic:pic>
              </a:graphicData>
            </a:graphic>
          </wp:inline>
        </w:drawing>
      </w:r>
    </w:p>
    <w:p>
      <w:pPr>
        <w:spacing w:line="240" w:lineRule="auto"/>
        <w:ind w:firstLine="0" w:firstLineChars="0"/>
        <w:jc w:val="center"/>
        <w:outlineLvl w:val="7"/>
        <w:rPr>
          <w:rFonts w:hint="eastAsia" w:ascii="黑体" w:hAnsi="黑体" w:eastAsia="黑体" w:cs="宋体"/>
          <w:sz w:val="24"/>
          <w:szCs w:val="20"/>
        </w:rPr>
      </w:pPr>
      <w:r>
        <w:rPr>
          <w:rFonts w:hint="eastAsia" w:ascii="黑体" w:hAnsi="黑体" w:eastAsia="黑体" w:cs="宋体"/>
          <w:sz w:val="24"/>
          <w:szCs w:val="20"/>
        </w:rPr>
        <w:t>图</w:t>
      </w:r>
      <w:r>
        <w:rPr>
          <w:rFonts w:ascii="黑体" w:hAnsi="黑体" w:eastAsia="黑体" w:cs="宋体"/>
          <w:sz w:val="24"/>
          <w:szCs w:val="20"/>
        </w:rPr>
        <w:t>4</w:t>
      </w:r>
      <w:r>
        <w:rPr>
          <w:rFonts w:hint="eastAsia" w:ascii="黑体" w:hAnsi="黑体" w:eastAsia="黑体" w:cs="宋体"/>
          <w:sz w:val="24"/>
          <w:szCs w:val="20"/>
        </w:rPr>
        <w:t>.4</w:t>
      </w:r>
      <w:r>
        <w:rPr>
          <w:rFonts w:hint="eastAsia" w:ascii="黑体" w:hAnsi="黑体" w:eastAsia="黑体" w:cs="宋体"/>
          <w:sz w:val="24"/>
          <w:szCs w:val="20"/>
          <w:lang w:eastAsia="zh-CN"/>
        </w:rPr>
        <w:t>—</w:t>
      </w:r>
      <w:r>
        <w:rPr>
          <w:rFonts w:hint="eastAsia" w:ascii="黑体" w:hAnsi="黑体" w:eastAsia="黑体" w:cs="宋体"/>
          <w:sz w:val="24"/>
          <w:szCs w:val="20"/>
        </w:rPr>
        <w:t>4　　石角站设计洪峰频率曲线</w:t>
      </w:r>
    </w:p>
    <w:p>
      <w:pPr>
        <w:keepNext w:val="0"/>
        <w:keepLines w:val="0"/>
        <w:pageBreakBefore w:val="0"/>
        <w:widowControl w:val="0"/>
        <w:tabs>
          <w:tab w:val="left" w:pos="486"/>
        </w:tabs>
        <w:kinsoku/>
        <w:wordWrap/>
        <w:overflowPunct/>
        <w:topLinePunct w:val="0"/>
        <w:autoSpaceDE/>
        <w:autoSpaceDN/>
        <w:bidi w:val="0"/>
        <w:adjustRightInd/>
        <w:snapToGrid/>
        <w:ind w:firstLine="560"/>
        <w:textAlignment w:val="auto"/>
        <w:outlineLvl w:val="4"/>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本次计算成果与《綦江城区防洪护岸综合整治工程初步设计报告》（2008年）设计洪水相差不大，仍采用《綦江城区防洪护岸综合整治工程初步设计报告》（2008年）设计洪水成果。</w:t>
      </w:r>
    </w:p>
    <w:p>
      <w:pPr>
        <w:keepNext w:val="0"/>
        <w:keepLines w:val="0"/>
        <w:pageBreakBefore w:val="0"/>
        <w:widowControl w:val="0"/>
        <w:tabs>
          <w:tab w:val="left" w:pos="486"/>
        </w:tabs>
        <w:kinsoku/>
        <w:wordWrap/>
        <w:overflowPunct/>
        <w:topLinePunct w:val="0"/>
        <w:autoSpaceDE/>
        <w:autoSpaceDN/>
        <w:bidi w:val="0"/>
        <w:adjustRightInd/>
        <w:snapToGrid/>
        <w:ind w:firstLine="560"/>
        <w:textAlignment w:val="auto"/>
        <w:outlineLvl w:val="4"/>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3.2其他支流设计洪水</w:t>
      </w:r>
    </w:p>
    <w:p>
      <w:pPr>
        <w:keepNext w:val="0"/>
        <w:keepLines w:val="0"/>
        <w:pageBreakBefore w:val="0"/>
        <w:widowControl w:val="0"/>
        <w:tabs>
          <w:tab w:val="left" w:pos="486"/>
        </w:tabs>
        <w:kinsoku/>
        <w:wordWrap/>
        <w:overflowPunct/>
        <w:topLinePunct w:val="0"/>
        <w:autoSpaceDE/>
        <w:autoSpaceDN/>
        <w:bidi w:val="0"/>
        <w:adjustRightInd/>
        <w:snapToGrid/>
        <w:ind w:firstLine="560"/>
        <w:textAlignment w:val="auto"/>
        <w:outlineLvl w:val="4"/>
        <w:rPr>
          <w:rFonts w:hint="eastAsia" w:hAnsi="Calibri"/>
          <w:kern w:val="0"/>
        </w:rPr>
      </w:pPr>
      <w:r>
        <w:rPr>
          <w:rFonts w:hint="eastAsia" w:ascii="Times New Roman" w:hAnsi="Times New Roman" w:eastAsia="方正仿宋_GBK" w:cs="Times New Roman"/>
          <w:sz w:val="32"/>
          <w:szCs w:val="32"/>
          <w:lang w:val="en-US" w:eastAsia="zh-CN"/>
        </w:rPr>
        <w:t>綦江河支流各河流流域特征值见表4.4</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10：</w:t>
      </w:r>
    </w:p>
    <w:p>
      <w:pPr>
        <w:keepNext w:val="0"/>
        <w:keepLines w:val="0"/>
        <w:pageBreakBefore w:val="0"/>
        <w:widowControl w:val="0"/>
        <w:kinsoku/>
        <w:wordWrap/>
        <w:overflowPunct/>
        <w:topLinePunct w:val="0"/>
        <w:autoSpaceDE/>
        <w:autoSpaceDN/>
        <w:bidi w:val="0"/>
        <w:adjustRightInd/>
        <w:snapToGrid/>
        <w:spacing w:after="60"/>
        <w:ind w:firstLine="480" w:firstLineChars="200"/>
        <w:jc w:val="both"/>
        <w:textAlignment w:val="auto"/>
        <w:outlineLvl w:val="5"/>
        <w:rPr>
          <w:rFonts w:hint="default" w:ascii="Times New Roman" w:hAnsi="Times New Roman" w:eastAsia="方正楷体_GBK" w:cs="Times New Roman"/>
        </w:rPr>
      </w:pPr>
      <w:r>
        <w:rPr>
          <w:rFonts w:hint="default" w:ascii="Times New Roman" w:hAnsi="Times New Roman" w:eastAsia="黑体" w:cs="Times New Roman"/>
          <w:sz w:val="24"/>
          <w:szCs w:val="20"/>
        </w:rPr>
        <w:t>表4.4</w:t>
      </w:r>
      <w:r>
        <w:rPr>
          <w:rFonts w:hint="default" w:ascii="Times New Roman" w:hAnsi="Times New Roman" w:eastAsia="黑体" w:cs="Times New Roman"/>
          <w:sz w:val="24"/>
          <w:szCs w:val="20"/>
          <w:lang w:eastAsia="zh-CN"/>
        </w:rPr>
        <w:t>—</w:t>
      </w:r>
      <w:r>
        <w:rPr>
          <w:rFonts w:hint="default" w:ascii="Times New Roman" w:hAnsi="Times New Roman" w:eastAsia="黑体" w:cs="Times New Roman"/>
          <w:sz w:val="24"/>
          <w:szCs w:val="20"/>
        </w:rPr>
        <w:t xml:space="preserve">10         </w:t>
      </w:r>
      <w:r>
        <w:rPr>
          <w:rFonts w:hint="eastAsia" w:ascii="Times New Roman" w:hAnsi="Times New Roman" w:eastAsia="黑体" w:cs="Times New Roman"/>
          <w:sz w:val="24"/>
          <w:szCs w:val="20"/>
          <w:lang w:val="en-US" w:eastAsia="zh-CN"/>
        </w:rPr>
        <w:t xml:space="preserve">  </w:t>
      </w:r>
      <w:r>
        <w:rPr>
          <w:rFonts w:hint="default" w:ascii="Times New Roman" w:hAnsi="Times New Roman" w:eastAsia="黑体" w:cs="Times New Roman"/>
          <w:sz w:val="24"/>
          <w:szCs w:val="20"/>
        </w:rPr>
        <w:t>綦江城市规划区内各支流流域特征值</w:t>
      </w:r>
    </w:p>
    <w:tbl>
      <w:tblPr>
        <w:tblStyle w:val="88"/>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2549"/>
        <w:gridCol w:w="2172"/>
        <w:gridCol w:w="2178"/>
        <w:gridCol w:w="217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25" w:hRule="atLeast"/>
          <w:jc w:val="center"/>
        </w:trPr>
        <w:tc>
          <w:tcPr>
            <w:tcW w:w="1404" w:type="pct"/>
            <w:noWrap w:val="0"/>
            <w:vAlign w:val="center"/>
          </w:tcPr>
          <w:p>
            <w:pPr>
              <w:adjustRightIn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控制断面</w:t>
            </w:r>
          </w:p>
        </w:tc>
        <w:tc>
          <w:tcPr>
            <w:tcW w:w="1196" w:type="pct"/>
            <w:noWrap w:val="0"/>
            <w:vAlign w:val="center"/>
          </w:tcPr>
          <w:p>
            <w:pPr>
              <w:adjustRightIn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F（km</w:t>
            </w:r>
            <w:r>
              <w:rPr>
                <w:rFonts w:hint="eastAsia" w:ascii="楷体_GB2312" w:hAnsi="Calibri" w:eastAsia="楷体_GB2312"/>
                <w:snapToGrid w:val="0"/>
                <w:kern w:val="0"/>
                <w:sz w:val="21"/>
                <w:szCs w:val="21"/>
                <w:vertAlign w:val="superscript"/>
              </w:rPr>
              <w:t>2</w:t>
            </w:r>
            <w:r>
              <w:rPr>
                <w:rFonts w:hint="eastAsia" w:ascii="楷体_GB2312" w:hAnsi="Calibri" w:eastAsia="楷体_GB2312"/>
                <w:snapToGrid w:val="0"/>
                <w:kern w:val="0"/>
                <w:sz w:val="21"/>
                <w:szCs w:val="21"/>
              </w:rPr>
              <w:t>)</w:t>
            </w:r>
          </w:p>
        </w:tc>
        <w:tc>
          <w:tcPr>
            <w:tcW w:w="1199" w:type="pct"/>
            <w:noWrap w:val="0"/>
            <w:vAlign w:val="center"/>
          </w:tcPr>
          <w:p>
            <w:pPr>
              <w:adjustRightIn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L（km）</w:t>
            </w:r>
          </w:p>
        </w:tc>
        <w:tc>
          <w:tcPr>
            <w:tcW w:w="1199" w:type="pct"/>
            <w:noWrap w:val="0"/>
            <w:vAlign w:val="center"/>
          </w:tcPr>
          <w:p>
            <w:pPr>
              <w:adjustRightIn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J（‰）</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90" w:hRule="atLeast"/>
          <w:jc w:val="center"/>
        </w:trPr>
        <w:tc>
          <w:tcPr>
            <w:tcW w:w="1404" w:type="pct"/>
            <w:noWrap w:val="0"/>
            <w:vAlign w:val="center"/>
          </w:tcPr>
          <w:p>
            <w:pPr>
              <w:adjustRightIn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沙溪河</w:t>
            </w:r>
          </w:p>
        </w:tc>
        <w:tc>
          <w:tcPr>
            <w:tcW w:w="1196" w:type="pct"/>
            <w:noWrap w:val="0"/>
            <w:vAlign w:val="center"/>
          </w:tcPr>
          <w:p>
            <w:pPr>
              <w:adjustRightIn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72.7</w:t>
            </w:r>
          </w:p>
        </w:tc>
        <w:tc>
          <w:tcPr>
            <w:tcW w:w="1199" w:type="pct"/>
            <w:noWrap w:val="0"/>
            <w:vAlign w:val="center"/>
          </w:tcPr>
          <w:p>
            <w:pPr>
              <w:adjustRightIn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24.3</w:t>
            </w:r>
          </w:p>
        </w:tc>
        <w:tc>
          <w:tcPr>
            <w:tcW w:w="1199" w:type="pct"/>
            <w:noWrap w:val="0"/>
            <w:vAlign w:val="center"/>
          </w:tcPr>
          <w:p>
            <w:pPr>
              <w:adjustRightIn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9.4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30" w:hRule="atLeast"/>
          <w:jc w:val="center"/>
        </w:trPr>
        <w:tc>
          <w:tcPr>
            <w:tcW w:w="1404" w:type="pct"/>
            <w:noWrap w:val="0"/>
            <w:vAlign w:val="center"/>
          </w:tcPr>
          <w:p>
            <w:pPr>
              <w:adjustRightIn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通惠河</w:t>
            </w:r>
          </w:p>
        </w:tc>
        <w:tc>
          <w:tcPr>
            <w:tcW w:w="1196" w:type="pct"/>
            <w:noWrap w:val="0"/>
            <w:vAlign w:val="center"/>
          </w:tcPr>
          <w:p>
            <w:pPr>
              <w:adjustRightInd w:val="0"/>
              <w:spacing w:line="0" w:lineRule="atLeast"/>
              <w:ind w:firstLine="0" w:firstLineChars="0"/>
              <w:jc w:val="center"/>
              <w:rPr>
                <w:rFonts w:ascii="楷体_GB2312" w:hAnsi="Calibri" w:eastAsia="楷体_GB2312"/>
                <w:snapToGrid w:val="0"/>
                <w:kern w:val="0"/>
                <w:sz w:val="21"/>
                <w:szCs w:val="21"/>
              </w:rPr>
            </w:pPr>
            <w:r>
              <w:rPr>
                <w:rFonts w:hint="eastAsia" w:ascii="楷体_GB2312" w:hAnsi="Calibri" w:eastAsia="楷体_GB2312"/>
                <w:snapToGrid w:val="0"/>
                <w:kern w:val="0"/>
                <w:sz w:val="21"/>
                <w:szCs w:val="21"/>
              </w:rPr>
              <w:t>193</w:t>
            </w:r>
          </w:p>
        </w:tc>
        <w:tc>
          <w:tcPr>
            <w:tcW w:w="1199" w:type="pct"/>
            <w:noWrap w:val="0"/>
            <w:vAlign w:val="center"/>
          </w:tcPr>
          <w:p>
            <w:pPr>
              <w:adjustRightIn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37</w:t>
            </w:r>
          </w:p>
        </w:tc>
        <w:tc>
          <w:tcPr>
            <w:tcW w:w="1199" w:type="pct"/>
            <w:noWrap w:val="0"/>
            <w:vAlign w:val="center"/>
          </w:tcPr>
          <w:p>
            <w:pPr>
              <w:adjustRightInd w:val="0"/>
              <w:spacing w:line="0" w:lineRule="atLeast"/>
              <w:ind w:firstLine="0" w:firstLineChars="0"/>
              <w:jc w:val="center"/>
              <w:rPr>
                <w:rFonts w:ascii="楷体_GB2312" w:hAnsi="Calibri" w:eastAsia="楷体_GB2312"/>
                <w:snapToGrid w:val="0"/>
                <w:kern w:val="0"/>
                <w:sz w:val="21"/>
                <w:szCs w:val="21"/>
              </w:rPr>
            </w:pPr>
            <w:r>
              <w:rPr>
                <w:rFonts w:hint="eastAsia" w:ascii="楷体_GB2312" w:hAnsi="Calibri" w:eastAsia="楷体_GB2312"/>
                <w:snapToGrid w:val="0"/>
                <w:kern w:val="0"/>
                <w:sz w:val="21"/>
                <w:szCs w:val="21"/>
              </w:rPr>
              <w:t>9.54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90" w:hRule="atLeast"/>
          <w:jc w:val="center"/>
        </w:trPr>
        <w:tc>
          <w:tcPr>
            <w:tcW w:w="1404" w:type="pct"/>
            <w:noWrap w:val="0"/>
            <w:vAlign w:val="center"/>
          </w:tcPr>
          <w:p>
            <w:pPr>
              <w:adjustRightIn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桥河</w:t>
            </w:r>
          </w:p>
        </w:tc>
        <w:tc>
          <w:tcPr>
            <w:tcW w:w="1196" w:type="pct"/>
            <w:noWrap w:val="0"/>
            <w:vAlign w:val="center"/>
          </w:tcPr>
          <w:p>
            <w:pPr>
              <w:adjustRightIn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30</w:t>
            </w:r>
          </w:p>
        </w:tc>
        <w:tc>
          <w:tcPr>
            <w:tcW w:w="1199" w:type="pct"/>
            <w:noWrap w:val="0"/>
            <w:vAlign w:val="center"/>
          </w:tcPr>
          <w:p>
            <w:pPr>
              <w:adjustRightIn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9.8</w:t>
            </w:r>
          </w:p>
        </w:tc>
        <w:tc>
          <w:tcPr>
            <w:tcW w:w="1199" w:type="pct"/>
            <w:noWrap w:val="0"/>
            <w:vAlign w:val="center"/>
          </w:tcPr>
          <w:p>
            <w:pPr>
              <w:adjustRightIn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67.3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75" w:hRule="atLeast"/>
          <w:jc w:val="center"/>
        </w:trPr>
        <w:tc>
          <w:tcPr>
            <w:tcW w:w="1404" w:type="pct"/>
            <w:noWrap w:val="0"/>
            <w:vAlign w:val="center"/>
          </w:tcPr>
          <w:p>
            <w:pPr>
              <w:adjustRightIn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登瀛河</w:t>
            </w:r>
          </w:p>
        </w:tc>
        <w:tc>
          <w:tcPr>
            <w:tcW w:w="1196" w:type="pct"/>
            <w:noWrap w:val="0"/>
            <w:vAlign w:val="center"/>
          </w:tcPr>
          <w:p>
            <w:pPr>
              <w:adjustRightIn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26.2</w:t>
            </w:r>
          </w:p>
        </w:tc>
        <w:tc>
          <w:tcPr>
            <w:tcW w:w="1199" w:type="pct"/>
            <w:noWrap w:val="0"/>
            <w:vAlign w:val="center"/>
          </w:tcPr>
          <w:p>
            <w:pPr>
              <w:adjustRightIn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12.67</w:t>
            </w:r>
          </w:p>
        </w:tc>
        <w:tc>
          <w:tcPr>
            <w:tcW w:w="1199" w:type="pct"/>
            <w:noWrap w:val="0"/>
            <w:vAlign w:val="center"/>
          </w:tcPr>
          <w:p>
            <w:pPr>
              <w:adjustRightInd w:val="0"/>
              <w:spacing w:line="0" w:lineRule="atLeas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38.3</w:t>
            </w:r>
          </w:p>
        </w:tc>
      </w:tr>
    </w:tbl>
    <w:p>
      <w:pPr>
        <w:keepNext w:val="0"/>
        <w:keepLines w:val="0"/>
        <w:pageBreakBefore w:val="0"/>
        <w:widowControl w:val="0"/>
        <w:tabs>
          <w:tab w:val="left" w:pos="486"/>
        </w:tabs>
        <w:kinsoku/>
        <w:wordWrap/>
        <w:overflowPunct/>
        <w:topLinePunct w:val="0"/>
        <w:autoSpaceDE/>
        <w:autoSpaceDN/>
        <w:bidi w:val="0"/>
        <w:adjustRightInd/>
        <w:snapToGrid/>
        <w:ind w:firstLine="560"/>
        <w:textAlignment w:val="auto"/>
        <w:outlineLvl w:val="4"/>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本阶段设计收集了綦江气象站1961</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2016年24h和1979</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2016年1/6h、1h、6h短历时暴雨资料，对其进行频率计算，用P</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Ⅲ型曲线适线，适线时曲线在通过点群重心的同时尽量照顾上部，分析计算得出白綦江气象站的年最大10分钟、1小时、6小时、24小时暴雨成果，暴雨参数比较见表4.4</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11。</w:t>
      </w:r>
    </w:p>
    <w:p>
      <w:pPr>
        <w:ind w:firstLine="480"/>
        <w:jc w:val="center"/>
        <w:outlineLvl w:val="5"/>
        <w:rPr>
          <w:rFonts w:hint="default" w:ascii="Times New Roman" w:hAnsi="Times New Roman" w:eastAsia="黑体" w:cs="Times New Roman"/>
          <w:sz w:val="24"/>
          <w:szCs w:val="20"/>
        </w:rPr>
      </w:pPr>
      <w:r>
        <w:rPr>
          <w:rFonts w:hint="default" w:ascii="Times New Roman" w:hAnsi="Times New Roman" w:eastAsia="黑体" w:cs="Times New Roman"/>
          <w:sz w:val="24"/>
          <w:szCs w:val="20"/>
        </w:rPr>
        <w:t>表4.4</w:t>
      </w:r>
      <w:r>
        <w:rPr>
          <w:rFonts w:hint="default" w:ascii="Times New Roman" w:hAnsi="Times New Roman" w:eastAsia="黑体" w:cs="Times New Roman"/>
          <w:sz w:val="24"/>
          <w:szCs w:val="20"/>
          <w:lang w:eastAsia="zh-CN"/>
        </w:rPr>
        <w:t>—</w:t>
      </w:r>
      <w:r>
        <w:rPr>
          <w:rFonts w:hint="default" w:ascii="Times New Roman" w:hAnsi="Times New Roman" w:eastAsia="黑体" w:cs="Times New Roman"/>
          <w:sz w:val="24"/>
          <w:szCs w:val="20"/>
        </w:rPr>
        <w:t>11                  暴雨参数分析成果表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6"/>
        <w:gridCol w:w="1841"/>
        <w:gridCol w:w="1776"/>
        <w:gridCol w:w="1776"/>
        <w:gridCol w:w="17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1144" w:type="pct"/>
            <w:noWrap w:val="0"/>
            <w:vAlign w:val="center"/>
          </w:tcPr>
          <w:p>
            <w:pPr>
              <w:adjustRightIn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站点</w:t>
            </w:r>
          </w:p>
        </w:tc>
        <w:tc>
          <w:tcPr>
            <w:tcW w:w="991" w:type="pct"/>
            <w:noWrap w:val="0"/>
            <w:vAlign w:val="center"/>
          </w:tcPr>
          <w:p>
            <w:pPr>
              <w:adjustRightIn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时 段</w:t>
            </w:r>
          </w:p>
        </w:tc>
        <w:tc>
          <w:tcPr>
            <w:tcW w:w="956" w:type="pct"/>
            <w:noWrap w:val="0"/>
            <w:vAlign w:val="center"/>
          </w:tcPr>
          <w:p>
            <w:pPr>
              <w:adjustRightIn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均值（mm）</w:t>
            </w:r>
          </w:p>
        </w:tc>
        <w:tc>
          <w:tcPr>
            <w:tcW w:w="956" w:type="pct"/>
            <w:noWrap w:val="0"/>
            <w:vAlign w:val="center"/>
          </w:tcPr>
          <w:p>
            <w:pPr>
              <w:adjustRightIn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Cv</w:t>
            </w:r>
          </w:p>
        </w:tc>
        <w:tc>
          <w:tcPr>
            <w:tcW w:w="951" w:type="pct"/>
            <w:noWrap w:val="0"/>
            <w:vAlign w:val="center"/>
          </w:tcPr>
          <w:p>
            <w:pPr>
              <w:adjustRightIn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Cs/Cv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1144" w:type="pct"/>
            <w:vMerge w:val="restar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綦江气象站</w:t>
            </w:r>
          </w:p>
        </w:tc>
        <w:tc>
          <w:tcPr>
            <w:tcW w:w="991"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1/6h</w:t>
            </w:r>
          </w:p>
        </w:tc>
        <w:tc>
          <w:tcPr>
            <w:tcW w:w="956"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16.61</w:t>
            </w:r>
          </w:p>
        </w:tc>
        <w:tc>
          <w:tcPr>
            <w:tcW w:w="956"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0.31</w:t>
            </w:r>
          </w:p>
        </w:tc>
        <w:tc>
          <w:tcPr>
            <w:tcW w:w="951"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1144" w:type="pct"/>
            <w:vMerge w:val="continue"/>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p>
        </w:tc>
        <w:tc>
          <w:tcPr>
            <w:tcW w:w="991"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1h</w:t>
            </w:r>
          </w:p>
        </w:tc>
        <w:tc>
          <w:tcPr>
            <w:tcW w:w="956"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40.72</w:t>
            </w:r>
          </w:p>
        </w:tc>
        <w:tc>
          <w:tcPr>
            <w:tcW w:w="956"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0.36</w:t>
            </w:r>
          </w:p>
        </w:tc>
        <w:tc>
          <w:tcPr>
            <w:tcW w:w="951"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1144" w:type="pct"/>
            <w:vMerge w:val="continue"/>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p>
        </w:tc>
        <w:tc>
          <w:tcPr>
            <w:tcW w:w="991"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6h</w:t>
            </w:r>
          </w:p>
        </w:tc>
        <w:tc>
          <w:tcPr>
            <w:tcW w:w="956"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61.42</w:t>
            </w:r>
          </w:p>
        </w:tc>
        <w:tc>
          <w:tcPr>
            <w:tcW w:w="956"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0.38</w:t>
            </w:r>
          </w:p>
        </w:tc>
        <w:tc>
          <w:tcPr>
            <w:tcW w:w="951"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1144" w:type="pct"/>
            <w:vMerge w:val="continue"/>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p>
        </w:tc>
        <w:tc>
          <w:tcPr>
            <w:tcW w:w="991"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24h</w:t>
            </w:r>
          </w:p>
        </w:tc>
        <w:tc>
          <w:tcPr>
            <w:tcW w:w="956"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80.67</w:t>
            </w:r>
          </w:p>
        </w:tc>
        <w:tc>
          <w:tcPr>
            <w:tcW w:w="956"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0.40</w:t>
            </w:r>
          </w:p>
        </w:tc>
        <w:tc>
          <w:tcPr>
            <w:tcW w:w="951"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3.5</w:t>
            </w:r>
          </w:p>
        </w:tc>
      </w:tr>
    </w:tbl>
    <w:p>
      <w:pPr>
        <w:keepNext w:val="0"/>
        <w:keepLines w:val="0"/>
        <w:pageBreakBefore w:val="0"/>
        <w:widowControl w:val="0"/>
        <w:tabs>
          <w:tab w:val="left" w:pos="486"/>
        </w:tabs>
        <w:kinsoku/>
        <w:wordWrap/>
        <w:overflowPunct/>
        <w:topLinePunct w:val="0"/>
        <w:autoSpaceDE/>
        <w:autoSpaceDN/>
        <w:bidi w:val="0"/>
        <w:adjustRightInd/>
        <w:snapToGrid/>
        <w:ind w:firstLine="560"/>
        <w:textAlignment w:val="auto"/>
        <w:outlineLvl w:val="4"/>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本阶段设计采用推理公式法计算设计洪水。</w:t>
      </w:r>
    </w:p>
    <w:p>
      <w:pPr>
        <w:keepNext w:val="0"/>
        <w:keepLines w:val="0"/>
        <w:pageBreakBefore w:val="0"/>
        <w:widowControl w:val="0"/>
        <w:tabs>
          <w:tab w:val="left" w:pos="486"/>
        </w:tabs>
        <w:kinsoku/>
        <w:wordWrap/>
        <w:overflowPunct/>
        <w:topLinePunct w:val="0"/>
        <w:autoSpaceDE/>
        <w:autoSpaceDN/>
        <w:bidi w:val="0"/>
        <w:adjustRightInd/>
        <w:snapToGrid/>
        <w:ind w:firstLine="560"/>
        <w:textAlignment w:val="auto"/>
        <w:outlineLvl w:val="4"/>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①流域形状系数θ：</w:t>
      </w:r>
      <w:r>
        <w:rPr>
          <w:rFonts w:hint="eastAsia" w:ascii="Times New Roman" w:hAnsi="Times New Roman" w:eastAsia="方正仿宋_GBK" w:cs="Times New Roman"/>
          <w:sz w:val="32"/>
          <w:szCs w:val="32"/>
          <w:lang w:val="en-US" w:eastAsia="zh-CN"/>
        </w:rPr>
        <w:drawing>
          <wp:inline distT="0" distB="0" distL="114300" distR="114300">
            <wp:extent cx="923925" cy="561975"/>
            <wp:effectExtent l="0" t="0" r="0" b="8255"/>
            <wp:docPr id="95" name="图片 35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5" name="图片 353"/>
                    <pic:cNvPicPr>
                      <a:picLocks noChangeAspect="true"/>
                    </pic:cNvPicPr>
                  </pic:nvPicPr>
                  <pic:blipFill>
                    <a:blip r:embed="rId134"/>
                    <a:stretch>
                      <a:fillRect/>
                    </a:stretch>
                  </pic:blipFill>
                  <pic:spPr>
                    <a:xfrm>
                      <a:off x="0" y="0"/>
                      <a:ext cx="923925" cy="561975"/>
                    </a:xfrm>
                    <a:prstGeom prst="rect">
                      <a:avLst/>
                    </a:prstGeom>
                    <a:noFill/>
                    <a:ln>
                      <a:noFill/>
                    </a:ln>
                  </pic:spPr>
                </pic:pic>
              </a:graphicData>
            </a:graphic>
          </wp:inline>
        </w:drawing>
      </w:r>
      <w:r>
        <w:rPr>
          <w:rFonts w:hint="eastAsia" w:ascii="Times New Roman" w:hAnsi="Times New Roman" w:eastAsia="方正仿宋_GBK" w:cs="Times New Roman"/>
          <w:sz w:val="32"/>
          <w:szCs w:val="32"/>
          <w:lang w:val="en-US" w:eastAsia="zh-CN"/>
        </w:rPr>
        <w:t xml:space="preserve"> =15.634</w:t>
      </w:r>
    </w:p>
    <w:p>
      <w:pPr>
        <w:keepNext w:val="0"/>
        <w:keepLines w:val="0"/>
        <w:pageBreakBefore w:val="0"/>
        <w:widowControl w:val="0"/>
        <w:tabs>
          <w:tab w:val="left" w:pos="486"/>
        </w:tabs>
        <w:kinsoku/>
        <w:wordWrap/>
        <w:overflowPunct/>
        <w:topLinePunct w:val="0"/>
        <w:autoSpaceDE/>
        <w:autoSpaceDN/>
        <w:bidi w:val="0"/>
        <w:adjustRightInd/>
        <w:snapToGrid/>
        <w:ind w:firstLine="560"/>
        <w:textAlignment w:val="auto"/>
        <w:outlineLvl w:val="4"/>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②暴雨参数</w:t>
      </w:r>
    </w:p>
    <w:p>
      <w:pPr>
        <w:keepNext w:val="0"/>
        <w:keepLines w:val="0"/>
        <w:pageBreakBefore w:val="0"/>
        <w:widowControl w:val="0"/>
        <w:tabs>
          <w:tab w:val="left" w:pos="486"/>
        </w:tabs>
        <w:kinsoku/>
        <w:wordWrap/>
        <w:overflowPunct/>
        <w:topLinePunct w:val="0"/>
        <w:autoSpaceDE/>
        <w:autoSpaceDN/>
        <w:bidi w:val="0"/>
        <w:adjustRightInd/>
        <w:snapToGrid/>
        <w:ind w:firstLine="560"/>
        <w:textAlignment w:val="auto"/>
        <w:outlineLvl w:val="4"/>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雨力SP：采用手册推荐公式</w:t>
      </w:r>
      <w:r>
        <w:rPr>
          <w:rFonts w:hint="eastAsia" w:ascii="Times New Roman" w:hAnsi="Times New Roman" w:eastAsia="方正仿宋_GBK" w:cs="Times New Roman"/>
          <w:sz w:val="32"/>
          <w:szCs w:val="32"/>
          <w:lang w:val="en-US" w:eastAsia="zh-CN"/>
        </w:rPr>
        <w:drawing>
          <wp:inline distT="0" distB="0" distL="114300" distR="114300">
            <wp:extent cx="1151890" cy="238125"/>
            <wp:effectExtent l="0" t="0" r="0" b="7620"/>
            <wp:docPr id="96" name="图片 35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6" name="图片 354"/>
                    <pic:cNvPicPr>
                      <a:picLocks noChangeAspect="true"/>
                    </pic:cNvPicPr>
                  </pic:nvPicPr>
                  <pic:blipFill>
                    <a:blip r:embed="rId135"/>
                    <a:stretch>
                      <a:fillRect/>
                    </a:stretch>
                  </pic:blipFill>
                  <pic:spPr>
                    <a:xfrm>
                      <a:off x="0" y="0"/>
                      <a:ext cx="1151890" cy="238125"/>
                    </a:xfrm>
                    <a:prstGeom prst="rect">
                      <a:avLst/>
                    </a:prstGeom>
                    <a:noFill/>
                    <a:ln>
                      <a:noFill/>
                    </a:ln>
                  </pic:spPr>
                </pic:pic>
              </a:graphicData>
            </a:graphic>
          </wp:inline>
        </w:drawing>
      </w:r>
      <w:r>
        <w:rPr>
          <w:rFonts w:hint="eastAsia" w:ascii="Times New Roman" w:hAnsi="Times New Roman" w:eastAsia="方正仿宋_GBK" w:cs="Times New Roman"/>
          <w:sz w:val="32"/>
          <w:szCs w:val="32"/>
          <w:lang w:val="en-US" w:eastAsia="zh-CN"/>
        </w:rPr>
        <w:t>进行计算。</w:t>
      </w:r>
    </w:p>
    <w:p>
      <w:pPr>
        <w:keepNext w:val="0"/>
        <w:keepLines w:val="0"/>
        <w:pageBreakBefore w:val="0"/>
        <w:widowControl w:val="0"/>
        <w:tabs>
          <w:tab w:val="left" w:pos="486"/>
        </w:tabs>
        <w:kinsoku/>
        <w:wordWrap/>
        <w:overflowPunct/>
        <w:topLinePunct w:val="0"/>
        <w:autoSpaceDE/>
        <w:autoSpaceDN/>
        <w:bidi w:val="0"/>
        <w:adjustRightInd/>
        <w:snapToGrid/>
        <w:ind w:firstLine="560"/>
        <w:textAlignment w:val="auto"/>
        <w:outlineLvl w:val="4"/>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drawing>
          <wp:anchor distT="0" distB="0" distL="114300" distR="114300" simplePos="0" relativeHeight="251684864" behindDoc="0" locked="0" layoutInCell="1" allowOverlap="1">
            <wp:simplePos x="0" y="0"/>
            <wp:positionH relativeFrom="column">
              <wp:posOffset>1531620</wp:posOffset>
            </wp:positionH>
            <wp:positionV relativeFrom="paragraph">
              <wp:posOffset>33655</wp:posOffset>
            </wp:positionV>
            <wp:extent cx="1256665" cy="466725"/>
            <wp:effectExtent l="0" t="0" r="0" b="5080"/>
            <wp:wrapSquare wrapText="bothSides"/>
            <wp:docPr id="97" name="图片 35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7" name="图片 355"/>
                    <pic:cNvPicPr>
                      <a:picLocks noChangeAspect="true"/>
                    </pic:cNvPicPr>
                  </pic:nvPicPr>
                  <pic:blipFill>
                    <a:blip r:embed="rId136"/>
                    <a:stretch>
                      <a:fillRect/>
                    </a:stretch>
                  </pic:blipFill>
                  <pic:spPr>
                    <a:xfrm>
                      <a:off x="0" y="0"/>
                      <a:ext cx="1256665" cy="466725"/>
                    </a:xfrm>
                    <a:prstGeom prst="rect">
                      <a:avLst/>
                    </a:prstGeom>
                    <a:noFill/>
                    <a:ln>
                      <a:noFill/>
                    </a:ln>
                  </pic:spPr>
                </pic:pic>
              </a:graphicData>
            </a:graphic>
          </wp:anchor>
        </w:drawing>
      </w:r>
      <w:r>
        <w:rPr>
          <w:rFonts w:hint="eastAsia" w:ascii="Times New Roman" w:hAnsi="Times New Roman" w:eastAsia="方正仿宋_GBK" w:cs="Times New Roman"/>
          <w:sz w:val="32"/>
          <w:szCs w:val="32"/>
          <w:lang w:val="en-US" w:eastAsia="zh-CN"/>
        </w:rPr>
        <w:t>洪峰系数</w:t>
      </w:r>
    </w:p>
    <w:p>
      <w:pPr>
        <w:keepNext w:val="0"/>
        <w:keepLines w:val="0"/>
        <w:pageBreakBefore w:val="0"/>
        <w:widowControl w:val="0"/>
        <w:tabs>
          <w:tab w:val="left" w:pos="486"/>
        </w:tabs>
        <w:kinsoku/>
        <w:wordWrap/>
        <w:overflowPunct/>
        <w:topLinePunct w:val="0"/>
        <w:autoSpaceDE/>
        <w:autoSpaceDN/>
        <w:bidi w:val="0"/>
        <w:adjustRightInd/>
        <w:snapToGrid/>
        <w:ind w:firstLine="560"/>
        <w:textAlignment w:val="auto"/>
        <w:outlineLvl w:val="4"/>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drawing>
          <wp:anchor distT="0" distB="0" distL="114300" distR="114300" simplePos="0" relativeHeight="251686912" behindDoc="0" locked="0" layoutInCell="1" allowOverlap="1">
            <wp:simplePos x="0" y="0"/>
            <wp:positionH relativeFrom="column">
              <wp:posOffset>2195830</wp:posOffset>
            </wp:positionH>
            <wp:positionV relativeFrom="paragraph">
              <wp:posOffset>137795</wp:posOffset>
            </wp:positionV>
            <wp:extent cx="809625" cy="742950"/>
            <wp:effectExtent l="0" t="0" r="13335" b="3175"/>
            <wp:wrapSquare wrapText="bothSides"/>
            <wp:docPr id="99" name="图片 35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9" name="图片 357"/>
                    <pic:cNvPicPr>
                      <a:picLocks noChangeAspect="true"/>
                    </pic:cNvPicPr>
                  </pic:nvPicPr>
                  <pic:blipFill>
                    <a:blip r:embed="rId137"/>
                    <a:stretch>
                      <a:fillRect/>
                    </a:stretch>
                  </pic:blipFill>
                  <pic:spPr>
                    <a:xfrm>
                      <a:off x="0" y="0"/>
                      <a:ext cx="809625" cy="742950"/>
                    </a:xfrm>
                    <a:prstGeom prst="rect">
                      <a:avLst/>
                    </a:prstGeom>
                    <a:noFill/>
                    <a:ln>
                      <a:noFill/>
                    </a:ln>
                  </pic:spPr>
                </pic:pic>
              </a:graphicData>
            </a:graphic>
          </wp:anchor>
        </w:drawing>
      </w:r>
    </w:p>
    <w:p>
      <w:pPr>
        <w:keepNext w:val="0"/>
        <w:keepLines w:val="0"/>
        <w:pageBreakBefore w:val="0"/>
        <w:widowControl w:val="0"/>
        <w:tabs>
          <w:tab w:val="left" w:pos="486"/>
        </w:tabs>
        <w:kinsoku/>
        <w:wordWrap/>
        <w:overflowPunct/>
        <w:topLinePunct w:val="0"/>
        <w:autoSpaceDE/>
        <w:autoSpaceDN/>
        <w:bidi w:val="0"/>
        <w:adjustRightInd/>
        <w:snapToGrid/>
        <w:ind w:firstLine="560"/>
        <w:textAlignment w:val="auto"/>
        <w:outlineLvl w:val="4"/>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drawing>
          <wp:anchor distT="0" distB="0" distL="114300" distR="114300" simplePos="0" relativeHeight="251685888" behindDoc="0" locked="0" layoutInCell="1" allowOverlap="1">
            <wp:simplePos x="0" y="0"/>
            <wp:positionH relativeFrom="column">
              <wp:posOffset>1401445</wp:posOffset>
            </wp:positionH>
            <wp:positionV relativeFrom="paragraph">
              <wp:posOffset>46355</wp:posOffset>
            </wp:positionV>
            <wp:extent cx="428625" cy="314325"/>
            <wp:effectExtent l="0" t="0" r="0" b="0"/>
            <wp:wrapSquare wrapText="bothSides"/>
            <wp:docPr id="98" name="图片 35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8" name="图片 356"/>
                    <pic:cNvPicPr>
                      <a:picLocks noChangeAspect="true"/>
                    </pic:cNvPicPr>
                  </pic:nvPicPr>
                  <pic:blipFill>
                    <a:blip r:embed="rId138"/>
                    <a:stretch>
                      <a:fillRect/>
                    </a:stretch>
                  </pic:blipFill>
                  <pic:spPr>
                    <a:xfrm>
                      <a:off x="0" y="0"/>
                      <a:ext cx="428625" cy="314325"/>
                    </a:xfrm>
                    <a:prstGeom prst="rect">
                      <a:avLst/>
                    </a:prstGeom>
                    <a:noFill/>
                    <a:ln>
                      <a:noFill/>
                    </a:ln>
                  </pic:spPr>
                </pic:pic>
              </a:graphicData>
            </a:graphic>
          </wp:anchor>
        </w:drawing>
      </w:r>
      <w:r>
        <w:rPr>
          <w:rFonts w:hint="eastAsia" w:ascii="Times New Roman" w:hAnsi="Times New Roman" w:eastAsia="方正仿宋_GBK" w:cs="Times New Roman"/>
          <w:sz w:val="32"/>
          <w:szCs w:val="32"/>
          <w:lang w:val="en-US" w:eastAsia="zh-CN"/>
        </w:rPr>
        <w:t xml:space="preserve">汇流时间：  </w:t>
      </w:r>
      <w:r>
        <w:rPr>
          <w:rFonts w:hint="eastAsia" w:ascii="Times New Roman" w:hAnsi="Times New Roman" w:eastAsia="方正仿宋_GBK" w:cs="Times New Roman"/>
          <w:sz w:val="32"/>
          <w:szCs w:val="32"/>
          <w:lang w:val="en-US" w:eastAsia="zh-CN"/>
        </w:rPr>
        <w:drawing>
          <wp:anchor distT="0" distB="0" distL="114300" distR="114300" simplePos="0" relativeHeight="251687936" behindDoc="0" locked="0" layoutInCell="1" allowOverlap="1">
            <wp:simplePos x="0" y="0"/>
            <wp:positionH relativeFrom="column">
              <wp:posOffset>3133090</wp:posOffset>
            </wp:positionH>
            <wp:positionV relativeFrom="paragraph">
              <wp:posOffset>-81915</wp:posOffset>
            </wp:positionV>
            <wp:extent cx="752475" cy="352425"/>
            <wp:effectExtent l="0" t="0" r="9525" b="13970"/>
            <wp:wrapSquare wrapText="bothSides"/>
            <wp:docPr id="100" name="图片 35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0" name="图片 358"/>
                    <pic:cNvPicPr>
                      <a:picLocks noChangeAspect="true"/>
                    </pic:cNvPicPr>
                  </pic:nvPicPr>
                  <pic:blipFill>
                    <a:blip r:embed="rId139"/>
                    <a:stretch>
                      <a:fillRect/>
                    </a:stretch>
                  </pic:blipFill>
                  <pic:spPr>
                    <a:xfrm>
                      <a:off x="0" y="0"/>
                      <a:ext cx="752475" cy="352425"/>
                    </a:xfrm>
                    <a:prstGeom prst="rect">
                      <a:avLst/>
                    </a:prstGeom>
                    <a:noFill/>
                    <a:ln>
                      <a:noFill/>
                    </a:ln>
                  </pic:spPr>
                </pic:pic>
              </a:graphicData>
            </a:graphic>
          </wp:anchor>
        </w:drawing>
      </w:r>
    </w:p>
    <w:p>
      <w:pPr>
        <w:keepNext w:val="0"/>
        <w:keepLines w:val="0"/>
        <w:pageBreakBefore w:val="0"/>
        <w:widowControl w:val="0"/>
        <w:tabs>
          <w:tab w:val="left" w:pos="486"/>
        </w:tabs>
        <w:kinsoku/>
        <w:wordWrap/>
        <w:overflowPunct/>
        <w:topLinePunct w:val="0"/>
        <w:autoSpaceDE/>
        <w:autoSpaceDN/>
        <w:bidi w:val="0"/>
        <w:adjustRightInd/>
        <w:snapToGrid/>
        <w:ind w:firstLine="560"/>
        <w:textAlignment w:val="auto"/>
        <w:outlineLvl w:val="4"/>
        <w:rPr>
          <w:rFonts w:hint="eastAsia" w:ascii="Times New Roman" w:hAnsi="Times New Roman" w:eastAsia="方正仿宋_GBK" w:cs="Times New Roman"/>
          <w:sz w:val="32"/>
          <w:szCs w:val="32"/>
          <w:lang w:val="en-US" w:eastAsia="zh-CN"/>
        </w:rPr>
      </w:pPr>
    </w:p>
    <w:p>
      <w:pPr>
        <w:keepNext w:val="0"/>
        <w:keepLines w:val="0"/>
        <w:pageBreakBefore w:val="0"/>
        <w:widowControl w:val="0"/>
        <w:tabs>
          <w:tab w:val="left" w:pos="486"/>
        </w:tabs>
        <w:kinsoku/>
        <w:wordWrap/>
        <w:overflowPunct/>
        <w:topLinePunct w:val="0"/>
        <w:autoSpaceDE/>
        <w:autoSpaceDN/>
        <w:bidi w:val="0"/>
        <w:adjustRightInd/>
        <w:snapToGrid/>
        <w:ind w:firstLine="560"/>
        <w:textAlignment w:val="auto"/>
        <w:outlineLvl w:val="4"/>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③产、汇流参数</w:t>
      </w:r>
    </w:p>
    <w:p>
      <w:pPr>
        <w:keepNext w:val="0"/>
        <w:keepLines w:val="0"/>
        <w:pageBreakBefore w:val="0"/>
        <w:widowControl w:val="0"/>
        <w:tabs>
          <w:tab w:val="left" w:pos="486"/>
        </w:tabs>
        <w:kinsoku/>
        <w:wordWrap/>
        <w:overflowPunct/>
        <w:topLinePunct w:val="0"/>
        <w:autoSpaceDE/>
        <w:autoSpaceDN/>
        <w:bidi w:val="0"/>
        <w:adjustRightInd/>
        <w:snapToGrid/>
        <w:ind w:firstLine="560"/>
        <w:textAlignment w:val="auto"/>
        <w:outlineLvl w:val="4"/>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产流参数μP：流域内相对高差多在200m以内，故本阶段设计采用盆地丘陵区计算公式</w:t>
      </w:r>
      <w:r>
        <w:rPr>
          <w:rFonts w:hint="eastAsia" w:ascii="Times New Roman" w:hAnsi="Times New Roman" w:eastAsia="方正仿宋_GBK" w:cs="Times New Roman"/>
          <w:sz w:val="32"/>
          <w:szCs w:val="32"/>
          <w:lang w:val="en-US" w:eastAsia="zh-CN"/>
        </w:rPr>
        <w:drawing>
          <wp:inline distT="0" distB="0" distL="114300" distR="114300">
            <wp:extent cx="1591310" cy="238125"/>
            <wp:effectExtent l="0" t="0" r="8890" b="8255"/>
            <wp:docPr id="101" name="图片 35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1" name="图片 359"/>
                    <pic:cNvPicPr>
                      <a:picLocks noChangeAspect="true"/>
                    </pic:cNvPicPr>
                  </pic:nvPicPr>
                  <pic:blipFill>
                    <a:blip r:embed="rId140"/>
                    <a:stretch>
                      <a:fillRect/>
                    </a:stretch>
                  </pic:blipFill>
                  <pic:spPr>
                    <a:xfrm>
                      <a:off x="0" y="0"/>
                      <a:ext cx="1591310" cy="238125"/>
                    </a:xfrm>
                    <a:prstGeom prst="rect">
                      <a:avLst/>
                    </a:prstGeom>
                    <a:noFill/>
                    <a:ln>
                      <a:noFill/>
                    </a:ln>
                  </pic:spPr>
                </pic:pic>
              </a:graphicData>
            </a:graphic>
          </wp:inline>
        </w:drawing>
      </w:r>
      <w:r>
        <w:rPr>
          <w:rFonts w:hint="eastAsia" w:ascii="Times New Roman" w:hAnsi="Times New Roman" w:eastAsia="方正仿宋_GBK" w:cs="Times New Roman"/>
          <w:sz w:val="32"/>
          <w:szCs w:val="32"/>
          <w:lang w:val="en-US" w:eastAsia="zh-CN"/>
        </w:rPr>
        <w:t>计算，式中KP由查P</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Ⅲ曲线KP值表而得。</w:t>
      </w:r>
    </w:p>
    <w:p>
      <w:pPr>
        <w:keepNext w:val="0"/>
        <w:keepLines w:val="0"/>
        <w:pageBreakBefore w:val="0"/>
        <w:widowControl w:val="0"/>
        <w:tabs>
          <w:tab w:val="left" w:pos="486"/>
        </w:tabs>
        <w:kinsoku/>
        <w:wordWrap/>
        <w:overflowPunct/>
        <w:topLinePunct w:val="0"/>
        <w:autoSpaceDE/>
        <w:autoSpaceDN/>
        <w:bidi w:val="0"/>
        <w:adjustRightInd/>
        <w:snapToGrid/>
        <w:ind w:firstLine="560"/>
        <w:textAlignment w:val="auto"/>
        <w:outlineLvl w:val="4"/>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汇流参数m：采用盆地丘陵区综合公式：m=0.40θ0.204(θ=1</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30)，m=0.092θ0.636(θ=30</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300)。</w:t>
      </w:r>
    </w:p>
    <w:p>
      <w:pPr>
        <w:keepNext w:val="0"/>
        <w:keepLines w:val="0"/>
        <w:pageBreakBefore w:val="0"/>
        <w:widowControl w:val="0"/>
        <w:tabs>
          <w:tab w:val="left" w:pos="486"/>
        </w:tabs>
        <w:kinsoku/>
        <w:wordWrap/>
        <w:overflowPunct/>
        <w:topLinePunct w:val="0"/>
        <w:autoSpaceDE/>
        <w:autoSpaceDN/>
        <w:bidi w:val="0"/>
        <w:adjustRightInd/>
        <w:snapToGrid/>
        <w:ind w:firstLine="560"/>
        <w:textAlignment w:val="auto"/>
        <w:outlineLvl w:val="4"/>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推理公式法推求洪水计算成果见表4.4</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12。</w:t>
      </w:r>
    </w:p>
    <w:p>
      <w:pPr>
        <w:ind w:firstLine="480"/>
        <w:outlineLvl w:val="5"/>
        <w:rPr>
          <w:rFonts w:hint="default" w:ascii="Times New Roman" w:hAnsi="Times New Roman" w:eastAsia="黑体" w:cs="Times New Roman"/>
          <w:sz w:val="24"/>
          <w:szCs w:val="20"/>
        </w:rPr>
      </w:pPr>
      <w:r>
        <w:rPr>
          <w:rFonts w:hint="default" w:ascii="Times New Roman" w:hAnsi="Times New Roman" w:eastAsia="黑体" w:cs="Times New Roman"/>
          <w:sz w:val="24"/>
          <w:szCs w:val="20"/>
        </w:rPr>
        <w:t>表4.4</w:t>
      </w:r>
      <w:r>
        <w:rPr>
          <w:rFonts w:hint="default" w:ascii="Times New Roman" w:hAnsi="Times New Roman" w:eastAsia="黑体" w:cs="Times New Roman"/>
          <w:sz w:val="24"/>
          <w:szCs w:val="20"/>
          <w:lang w:eastAsia="zh-CN"/>
        </w:rPr>
        <w:t>—</w:t>
      </w:r>
      <w:r>
        <w:rPr>
          <w:rFonts w:hint="default" w:ascii="Times New Roman" w:hAnsi="Times New Roman" w:eastAsia="黑体" w:cs="Times New Roman"/>
          <w:sz w:val="24"/>
          <w:szCs w:val="20"/>
        </w:rPr>
        <w:t>12               各支流设计洪峰流量计算成果表</w:t>
      </w:r>
    </w:p>
    <w:tbl>
      <w:tblPr>
        <w:tblStyle w:val="88"/>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70"/>
        <w:gridCol w:w="1165"/>
        <w:gridCol w:w="1248"/>
        <w:gridCol w:w="1248"/>
        <w:gridCol w:w="1176"/>
        <w:gridCol w:w="1174"/>
        <w:gridCol w:w="12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115" w:type="pct"/>
            <w:vMerge w:val="restart"/>
            <w:noWrap w:val="0"/>
            <w:vAlign w:val="center"/>
          </w:tcPr>
          <w:p>
            <w:pPr>
              <w:adjustRightInd w:val="0"/>
              <w:snapToGrid w:val="0"/>
              <w:spacing w:line="240" w:lineRule="exact"/>
              <w:ind w:firstLine="0" w:firstLineChars="0"/>
              <w:jc w:val="center"/>
              <w:rPr>
                <w:rFonts w:ascii="楷体_GB2312" w:hAnsi="Calibri" w:eastAsia="楷体_GB2312"/>
                <w:snapToGrid w:val="0"/>
                <w:kern w:val="0"/>
                <w:sz w:val="21"/>
                <w:szCs w:val="21"/>
              </w:rPr>
            </w:pPr>
            <w:r>
              <w:rPr>
                <w:rFonts w:hint="eastAsia" w:ascii="楷体_GB2312" w:hAnsi="Calibri" w:eastAsia="楷体_GB2312"/>
                <w:snapToGrid w:val="0"/>
                <w:kern w:val="0"/>
                <w:sz w:val="21"/>
                <w:szCs w:val="21"/>
              </w:rPr>
              <w:t>流域</w:t>
            </w:r>
          </w:p>
        </w:tc>
        <w:tc>
          <w:tcPr>
            <w:tcW w:w="3884" w:type="pct"/>
            <w:gridSpan w:val="6"/>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各频率设计值Xp（流量单位：m</w:t>
            </w:r>
            <w:r>
              <w:rPr>
                <w:rFonts w:hint="eastAsia" w:ascii="楷体_GB2312" w:hAnsi="Calibri" w:eastAsia="楷体_GB2312"/>
                <w:snapToGrid w:val="0"/>
                <w:kern w:val="0"/>
                <w:sz w:val="21"/>
                <w:szCs w:val="21"/>
                <w:vertAlign w:val="superscript"/>
              </w:rPr>
              <w:t>3</w:t>
            </w:r>
            <w:r>
              <w:rPr>
                <w:rFonts w:hint="eastAsia" w:ascii="楷体_GB2312" w:hAnsi="Calibri" w:eastAsia="楷体_GB2312"/>
                <w:snapToGrid w:val="0"/>
                <w:kern w:val="0"/>
                <w:sz w:val="21"/>
                <w:szCs w:val="21"/>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blHeader/>
          <w:jc w:val="center"/>
        </w:trPr>
        <w:tc>
          <w:tcPr>
            <w:tcW w:w="1115" w:type="pct"/>
            <w:vMerge w:val="continue"/>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p>
        </w:tc>
        <w:tc>
          <w:tcPr>
            <w:tcW w:w="627"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P=1.0%</w:t>
            </w:r>
          </w:p>
        </w:tc>
        <w:tc>
          <w:tcPr>
            <w:tcW w:w="672"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P=2.0%</w:t>
            </w:r>
          </w:p>
        </w:tc>
        <w:tc>
          <w:tcPr>
            <w:tcW w:w="672"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P=3.3%</w:t>
            </w:r>
          </w:p>
        </w:tc>
        <w:tc>
          <w:tcPr>
            <w:tcW w:w="633"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P=5.0%</w:t>
            </w:r>
          </w:p>
        </w:tc>
        <w:tc>
          <w:tcPr>
            <w:tcW w:w="632"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P=10%</w:t>
            </w:r>
          </w:p>
        </w:tc>
        <w:tc>
          <w:tcPr>
            <w:tcW w:w="646"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P=20%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115"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沙溪河</w:t>
            </w:r>
          </w:p>
        </w:tc>
        <w:tc>
          <w:tcPr>
            <w:tcW w:w="627" w:type="pct"/>
            <w:noWrap w:val="0"/>
            <w:vAlign w:val="center"/>
          </w:tcPr>
          <w:p>
            <w:pPr>
              <w:adjustRightInd w:val="0"/>
              <w:snapToGrid w:val="0"/>
              <w:spacing w:line="240" w:lineRule="exact"/>
              <w:ind w:firstLine="0" w:firstLineChars="0"/>
              <w:jc w:val="center"/>
              <w:rPr>
                <w:rFonts w:ascii="楷体_GB2312" w:hAnsi="Calibri" w:eastAsia="楷体_GB2312"/>
                <w:snapToGrid w:val="0"/>
                <w:kern w:val="0"/>
                <w:sz w:val="21"/>
                <w:szCs w:val="21"/>
              </w:rPr>
            </w:pPr>
            <w:r>
              <w:rPr>
                <w:rFonts w:hint="eastAsia" w:ascii="楷体_GB2312" w:hAnsi="Calibri" w:eastAsia="楷体_GB2312"/>
                <w:snapToGrid w:val="0"/>
                <w:kern w:val="0"/>
                <w:sz w:val="21"/>
                <w:szCs w:val="21"/>
              </w:rPr>
              <w:t>380</w:t>
            </w:r>
          </w:p>
        </w:tc>
        <w:tc>
          <w:tcPr>
            <w:tcW w:w="672" w:type="pct"/>
            <w:noWrap w:val="0"/>
            <w:vAlign w:val="center"/>
          </w:tcPr>
          <w:p>
            <w:pPr>
              <w:adjustRightInd w:val="0"/>
              <w:snapToGrid w:val="0"/>
              <w:spacing w:line="240" w:lineRule="exact"/>
              <w:ind w:firstLine="0" w:firstLineChars="0"/>
              <w:jc w:val="center"/>
              <w:rPr>
                <w:rFonts w:ascii="楷体_GB2312" w:hAnsi="Calibri" w:eastAsia="楷体_GB2312"/>
                <w:snapToGrid w:val="0"/>
                <w:kern w:val="0"/>
                <w:sz w:val="21"/>
                <w:szCs w:val="21"/>
              </w:rPr>
            </w:pPr>
            <w:r>
              <w:rPr>
                <w:rFonts w:hint="eastAsia" w:ascii="楷体_GB2312" w:hAnsi="Calibri" w:eastAsia="楷体_GB2312"/>
                <w:snapToGrid w:val="0"/>
                <w:kern w:val="0"/>
                <w:sz w:val="21"/>
                <w:szCs w:val="21"/>
              </w:rPr>
              <w:t>329</w:t>
            </w:r>
          </w:p>
        </w:tc>
        <w:tc>
          <w:tcPr>
            <w:tcW w:w="672" w:type="pct"/>
            <w:noWrap w:val="0"/>
            <w:vAlign w:val="center"/>
          </w:tcPr>
          <w:p>
            <w:pPr>
              <w:adjustRightInd w:val="0"/>
              <w:snapToGrid w:val="0"/>
              <w:spacing w:line="240" w:lineRule="exact"/>
              <w:ind w:firstLine="0" w:firstLineChars="0"/>
              <w:jc w:val="center"/>
              <w:rPr>
                <w:rFonts w:ascii="楷体_GB2312" w:hAnsi="Calibri" w:eastAsia="楷体_GB2312"/>
                <w:snapToGrid w:val="0"/>
                <w:kern w:val="0"/>
                <w:sz w:val="21"/>
                <w:szCs w:val="21"/>
              </w:rPr>
            </w:pPr>
            <w:r>
              <w:rPr>
                <w:rFonts w:hint="eastAsia" w:ascii="楷体_GB2312" w:hAnsi="Calibri" w:eastAsia="楷体_GB2312"/>
                <w:snapToGrid w:val="0"/>
                <w:kern w:val="0"/>
                <w:sz w:val="21"/>
                <w:szCs w:val="21"/>
              </w:rPr>
              <w:t>292</w:t>
            </w:r>
          </w:p>
        </w:tc>
        <w:tc>
          <w:tcPr>
            <w:tcW w:w="633" w:type="pct"/>
            <w:noWrap w:val="0"/>
            <w:vAlign w:val="center"/>
          </w:tcPr>
          <w:p>
            <w:pPr>
              <w:adjustRightInd w:val="0"/>
              <w:snapToGrid w:val="0"/>
              <w:spacing w:line="240" w:lineRule="exact"/>
              <w:ind w:firstLine="0" w:firstLineChars="0"/>
              <w:jc w:val="center"/>
              <w:rPr>
                <w:rFonts w:ascii="楷体_GB2312" w:hAnsi="Calibri" w:eastAsia="楷体_GB2312"/>
                <w:snapToGrid w:val="0"/>
                <w:kern w:val="0"/>
                <w:sz w:val="21"/>
                <w:szCs w:val="21"/>
              </w:rPr>
            </w:pPr>
            <w:r>
              <w:rPr>
                <w:rFonts w:hint="eastAsia" w:ascii="楷体_GB2312" w:hAnsi="Calibri" w:eastAsia="楷体_GB2312"/>
                <w:snapToGrid w:val="0"/>
                <w:kern w:val="0"/>
                <w:sz w:val="21"/>
                <w:szCs w:val="21"/>
              </w:rPr>
              <w:t>262</w:t>
            </w:r>
          </w:p>
        </w:tc>
        <w:tc>
          <w:tcPr>
            <w:tcW w:w="632" w:type="pct"/>
            <w:noWrap w:val="0"/>
            <w:vAlign w:val="center"/>
          </w:tcPr>
          <w:p>
            <w:pPr>
              <w:adjustRightInd w:val="0"/>
              <w:snapToGrid w:val="0"/>
              <w:spacing w:line="240" w:lineRule="exact"/>
              <w:ind w:firstLine="0" w:firstLineChars="0"/>
              <w:jc w:val="center"/>
              <w:rPr>
                <w:rFonts w:ascii="楷体_GB2312" w:hAnsi="Calibri" w:eastAsia="楷体_GB2312"/>
                <w:snapToGrid w:val="0"/>
                <w:kern w:val="0"/>
                <w:sz w:val="21"/>
                <w:szCs w:val="21"/>
              </w:rPr>
            </w:pPr>
            <w:r>
              <w:rPr>
                <w:rFonts w:hint="eastAsia" w:ascii="楷体_GB2312" w:hAnsi="Calibri" w:eastAsia="楷体_GB2312"/>
                <w:snapToGrid w:val="0"/>
                <w:kern w:val="0"/>
                <w:sz w:val="21"/>
                <w:szCs w:val="21"/>
              </w:rPr>
              <w:t>211</w:t>
            </w:r>
          </w:p>
        </w:tc>
        <w:tc>
          <w:tcPr>
            <w:tcW w:w="646" w:type="pct"/>
            <w:noWrap w:val="0"/>
            <w:vAlign w:val="center"/>
          </w:tcPr>
          <w:p>
            <w:pPr>
              <w:adjustRightInd w:val="0"/>
              <w:snapToGrid w:val="0"/>
              <w:spacing w:line="240" w:lineRule="exact"/>
              <w:ind w:firstLine="0" w:firstLineChars="0"/>
              <w:jc w:val="center"/>
              <w:rPr>
                <w:rFonts w:ascii="楷体_GB2312" w:hAnsi="Calibri" w:eastAsia="楷体_GB2312"/>
                <w:snapToGrid w:val="0"/>
                <w:kern w:val="0"/>
                <w:sz w:val="21"/>
                <w:szCs w:val="21"/>
              </w:rPr>
            </w:pPr>
            <w:r>
              <w:rPr>
                <w:rFonts w:hint="eastAsia" w:ascii="楷体_GB2312" w:hAnsi="Calibri" w:eastAsia="楷体_GB2312"/>
                <w:snapToGrid w:val="0"/>
                <w:kern w:val="0"/>
                <w:sz w:val="21"/>
                <w:szCs w:val="21"/>
              </w:rPr>
              <w:t>163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blHeader/>
          <w:jc w:val="center"/>
        </w:trPr>
        <w:tc>
          <w:tcPr>
            <w:tcW w:w="1115"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通惠河</w:t>
            </w:r>
          </w:p>
        </w:tc>
        <w:tc>
          <w:tcPr>
            <w:tcW w:w="627"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879</w:t>
            </w:r>
          </w:p>
        </w:tc>
        <w:tc>
          <w:tcPr>
            <w:tcW w:w="672"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765</w:t>
            </w:r>
          </w:p>
        </w:tc>
        <w:tc>
          <w:tcPr>
            <w:tcW w:w="672"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683</w:t>
            </w:r>
          </w:p>
        </w:tc>
        <w:tc>
          <w:tcPr>
            <w:tcW w:w="633"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615</w:t>
            </w:r>
          </w:p>
        </w:tc>
        <w:tc>
          <w:tcPr>
            <w:tcW w:w="632"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502</w:t>
            </w:r>
          </w:p>
        </w:tc>
        <w:tc>
          <w:tcPr>
            <w:tcW w:w="646"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115"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桥河</w:t>
            </w:r>
          </w:p>
        </w:tc>
        <w:tc>
          <w:tcPr>
            <w:tcW w:w="627"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345</w:t>
            </w:r>
          </w:p>
        </w:tc>
        <w:tc>
          <w:tcPr>
            <w:tcW w:w="672"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304</w:t>
            </w:r>
          </w:p>
        </w:tc>
        <w:tc>
          <w:tcPr>
            <w:tcW w:w="672" w:type="pct"/>
            <w:noWrap w:val="0"/>
            <w:vAlign w:val="center"/>
          </w:tcPr>
          <w:p>
            <w:pPr>
              <w:adjustRightInd w:val="0"/>
              <w:snapToGrid w:val="0"/>
              <w:spacing w:line="240" w:lineRule="exact"/>
              <w:ind w:firstLine="0" w:firstLineChars="0"/>
              <w:jc w:val="center"/>
              <w:rPr>
                <w:rFonts w:ascii="楷体_GB2312" w:hAnsi="Calibri" w:eastAsia="楷体_GB2312"/>
                <w:snapToGrid w:val="0"/>
                <w:kern w:val="0"/>
                <w:sz w:val="21"/>
                <w:szCs w:val="21"/>
              </w:rPr>
            </w:pPr>
            <w:r>
              <w:rPr>
                <w:rFonts w:hint="eastAsia" w:ascii="楷体_GB2312" w:hAnsi="Calibri" w:eastAsia="楷体_GB2312"/>
                <w:snapToGrid w:val="0"/>
                <w:kern w:val="0"/>
                <w:sz w:val="21"/>
                <w:szCs w:val="21"/>
              </w:rPr>
              <w:t>274</w:t>
            </w:r>
          </w:p>
        </w:tc>
        <w:tc>
          <w:tcPr>
            <w:tcW w:w="633"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249</w:t>
            </w:r>
          </w:p>
        </w:tc>
        <w:tc>
          <w:tcPr>
            <w:tcW w:w="632"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208</w:t>
            </w:r>
          </w:p>
        </w:tc>
        <w:tc>
          <w:tcPr>
            <w:tcW w:w="646"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blHeader/>
          <w:jc w:val="center"/>
        </w:trPr>
        <w:tc>
          <w:tcPr>
            <w:tcW w:w="1115"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登瀛河</w:t>
            </w:r>
          </w:p>
        </w:tc>
        <w:tc>
          <w:tcPr>
            <w:tcW w:w="627"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201</w:t>
            </w:r>
          </w:p>
        </w:tc>
        <w:tc>
          <w:tcPr>
            <w:tcW w:w="672"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175</w:t>
            </w:r>
          </w:p>
        </w:tc>
        <w:tc>
          <w:tcPr>
            <w:tcW w:w="672" w:type="pct"/>
            <w:noWrap w:val="0"/>
            <w:vAlign w:val="center"/>
          </w:tcPr>
          <w:p>
            <w:pPr>
              <w:adjustRightInd w:val="0"/>
              <w:snapToGrid w:val="0"/>
              <w:spacing w:line="240" w:lineRule="exact"/>
              <w:ind w:firstLine="0" w:firstLineChars="0"/>
              <w:jc w:val="center"/>
              <w:rPr>
                <w:rFonts w:ascii="楷体_GB2312" w:hAnsi="Calibri" w:eastAsia="楷体_GB2312"/>
                <w:snapToGrid w:val="0"/>
                <w:kern w:val="0"/>
                <w:sz w:val="21"/>
                <w:szCs w:val="21"/>
              </w:rPr>
            </w:pPr>
            <w:r>
              <w:rPr>
                <w:rFonts w:hint="eastAsia" w:ascii="楷体_GB2312" w:hAnsi="Calibri" w:eastAsia="楷体_GB2312"/>
                <w:snapToGrid w:val="0"/>
                <w:kern w:val="0"/>
                <w:sz w:val="21"/>
                <w:szCs w:val="21"/>
              </w:rPr>
              <w:t>157</w:t>
            </w:r>
          </w:p>
        </w:tc>
        <w:tc>
          <w:tcPr>
            <w:tcW w:w="633"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142</w:t>
            </w:r>
          </w:p>
        </w:tc>
        <w:tc>
          <w:tcPr>
            <w:tcW w:w="632"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117</w:t>
            </w:r>
          </w:p>
        </w:tc>
        <w:tc>
          <w:tcPr>
            <w:tcW w:w="646" w:type="pct"/>
            <w:noWrap w:val="0"/>
            <w:vAlign w:val="center"/>
          </w:tcPr>
          <w:p>
            <w:pPr>
              <w:adjustRightInd w:val="0"/>
              <w:snapToGrid w:val="0"/>
              <w:spacing w:line="240" w:lineRule="exact"/>
              <w:ind w:firstLine="0" w:firstLineChars="0"/>
              <w:jc w:val="center"/>
              <w:rPr>
                <w:rFonts w:ascii="楷体_GB2312" w:hAnsi="Calibri" w:eastAsia="楷体_GB2312"/>
                <w:snapToGrid w:val="0"/>
                <w:kern w:val="0"/>
                <w:sz w:val="21"/>
                <w:szCs w:val="21"/>
              </w:rPr>
            </w:pPr>
            <w:r>
              <w:rPr>
                <w:rFonts w:hint="eastAsia" w:ascii="楷体_GB2312" w:hAnsi="Calibri" w:eastAsia="楷体_GB2312"/>
                <w:snapToGrid w:val="0"/>
                <w:kern w:val="0"/>
                <w:sz w:val="21"/>
                <w:szCs w:val="21"/>
              </w:rPr>
              <w:t>91.7</w:t>
            </w:r>
          </w:p>
        </w:tc>
      </w:tr>
    </w:tbl>
    <w:p>
      <w:pPr>
        <w:ind w:firstLine="560"/>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通惠河上游三岔河段的古柏村有鱼栏咀水利工程，是一座以农业灌溉为主，兼有农村人畜饮水、场镇供水和城镇供水等综合效益的中型水利工程。水库坝址以上控制流域面积74.0km</w:t>
      </w:r>
      <w:r>
        <w:rPr>
          <w:rFonts w:hint="default" w:ascii="Times New Roman" w:hAnsi="Times New Roman" w:eastAsia="方正仿宋_GBK" w:cs="Times New Roman"/>
          <w:sz w:val="32"/>
          <w:szCs w:val="32"/>
          <w:vertAlign w:val="superscript"/>
        </w:rPr>
        <w:t>2</w:t>
      </w:r>
      <w:r>
        <w:rPr>
          <w:rFonts w:hint="default" w:ascii="Times New Roman" w:hAnsi="Times New Roman" w:eastAsia="方正仿宋_GBK" w:cs="Times New Roman"/>
          <w:sz w:val="32"/>
          <w:szCs w:val="32"/>
        </w:rPr>
        <w:t>，河长16.5km，河道平均比降33.9‰。由于鱼栏咀水库坝址控制流域面积占通惠河控制流域面积的48.1%，需考虑该水库的洪水调节作用。又根据《重庆市綦江区鱼栏咀水库汛期调度运用计划》（重庆市水利电力建筑勘测设计研究院，2017.03），鱼栏咀水库在洪水期间，采用泄洪闸门控制水库蓄水位，使水库在正常蓄水位运行，当遭遇100年、50年、30年、20年一遇洪水时，鱼栏咀水库最大削峰流量分别为171 m</w:t>
      </w:r>
      <w:r>
        <w:rPr>
          <w:rFonts w:hint="default" w:ascii="Times New Roman" w:hAnsi="Times New Roman" w:eastAsia="方正仿宋_GBK" w:cs="Times New Roman"/>
          <w:sz w:val="32"/>
          <w:szCs w:val="32"/>
          <w:vertAlign w:val="superscript"/>
          <w:lang w:val="en-US" w:eastAsia="zh-CN"/>
        </w:rPr>
        <w:t>3</w:t>
      </w:r>
      <w:r>
        <w:rPr>
          <w:rFonts w:hint="default" w:ascii="Times New Roman" w:hAnsi="Times New Roman" w:eastAsia="方正仿宋_GBK" w:cs="Times New Roman"/>
          <w:sz w:val="32"/>
          <w:szCs w:val="32"/>
        </w:rPr>
        <w:t>/s、123 m</w:t>
      </w:r>
      <w:r>
        <w:rPr>
          <w:rFonts w:hint="default" w:ascii="Times New Roman" w:hAnsi="Times New Roman" w:eastAsia="方正仿宋_GBK" w:cs="Times New Roman"/>
          <w:sz w:val="32"/>
          <w:szCs w:val="32"/>
          <w:vertAlign w:val="superscript"/>
          <w:lang w:val="en-US" w:eastAsia="zh-CN"/>
        </w:rPr>
        <w:t>3</w:t>
      </w:r>
      <w:r>
        <w:rPr>
          <w:rFonts w:hint="default" w:ascii="Times New Roman" w:hAnsi="Times New Roman" w:eastAsia="方正仿宋_GBK" w:cs="Times New Roman"/>
          <w:sz w:val="32"/>
          <w:szCs w:val="32"/>
        </w:rPr>
        <w:t>/s、79 m</w:t>
      </w:r>
      <w:r>
        <w:rPr>
          <w:rFonts w:hint="default" w:ascii="Times New Roman" w:hAnsi="Times New Roman" w:eastAsia="方正仿宋_GBK" w:cs="Times New Roman"/>
          <w:sz w:val="32"/>
          <w:szCs w:val="32"/>
          <w:vertAlign w:val="superscript"/>
        </w:rPr>
        <w:t>3</w:t>
      </w:r>
      <w:r>
        <w:rPr>
          <w:rFonts w:hint="default" w:ascii="Times New Roman" w:hAnsi="Times New Roman" w:eastAsia="方正仿宋_GBK" w:cs="Times New Roman"/>
          <w:sz w:val="32"/>
          <w:szCs w:val="32"/>
        </w:rPr>
        <w:t>/s、36m</w:t>
      </w:r>
      <w:r>
        <w:rPr>
          <w:rFonts w:hint="default" w:ascii="Times New Roman" w:hAnsi="Times New Roman" w:eastAsia="方正仿宋_GBK" w:cs="Times New Roman"/>
          <w:sz w:val="32"/>
          <w:szCs w:val="32"/>
          <w:vertAlign w:val="superscript"/>
        </w:rPr>
        <w:t>3</w:t>
      </w:r>
      <w:r>
        <w:rPr>
          <w:rFonts w:hint="default" w:ascii="Times New Roman" w:hAnsi="Times New Roman" w:eastAsia="方正仿宋_GBK" w:cs="Times New Roman"/>
          <w:sz w:val="32"/>
          <w:szCs w:val="32"/>
        </w:rPr>
        <w:t>/s。考虑鱼栏咀水库对通惠河的削峰作用，在上述设计洪水计算结果基础上，减去鱼栏咀水库各</w:t>
      </w:r>
      <w:r>
        <w:rPr>
          <w:rFonts w:hint="eastAsia" w:ascii="Times New Roman" w:hAnsi="Times New Roman" w:eastAsia="方正仿宋_GBK" w:cs="Times New Roman"/>
          <w:sz w:val="32"/>
          <w:szCs w:val="32"/>
        </w:rPr>
        <w:t>频率设计洪水削峰流量，得到最终洪水计算成果作为本次设计成果，见表4.4</w:t>
      </w:r>
      <w:r>
        <w:rPr>
          <w:rFonts w:hint="eastAsia" w:ascii="Times New Roman" w:eastAsia="方正仿宋_GBK" w:cs="Times New Roman"/>
          <w:sz w:val="32"/>
          <w:szCs w:val="32"/>
          <w:lang w:eastAsia="zh-CN"/>
        </w:rPr>
        <w:t>—</w:t>
      </w:r>
      <w:r>
        <w:rPr>
          <w:rFonts w:hint="eastAsia" w:ascii="Times New Roman" w:hAnsi="Times New Roman" w:eastAsia="方正仿宋_GBK" w:cs="Times New Roman"/>
          <w:sz w:val="32"/>
          <w:szCs w:val="32"/>
        </w:rPr>
        <w:t>13。</w:t>
      </w:r>
    </w:p>
    <w:p>
      <w:pPr>
        <w:ind w:firstLine="480"/>
        <w:jc w:val="center"/>
        <w:outlineLvl w:val="5"/>
        <w:rPr>
          <w:rFonts w:hint="default" w:ascii="Times New Roman" w:hAnsi="Times New Roman" w:eastAsia="黑体" w:cs="Times New Roman"/>
          <w:sz w:val="24"/>
          <w:szCs w:val="20"/>
        </w:rPr>
      </w:pPr>
      <w:r>
        <w:rPr>
          <w:rFonts w:hint="default" w:ascii="Times New Roman" w:hAnsi="Times New Roman" w:eastAsia="黑体" w:cs="Times New Roman"/>
          <w:sz w:val="24"/>
          <w:szCs w:val="20"/>
        </w:rPr>
        <w:t>表4.4</w:t>
      </w:r>
      <w:r>
        <w:rPr>
          <w:rFonts w:hint="default" w:ascii="Times New Roman" w:hAnsi="Times New Roman" w:eastAsia="黑体" w:cs="Times New Roman"/>
          <w:sz w:val="24"/>
          <w:szCs w:val="20"/>
          <w:lang w:eastAsia="zh-CN"/>
        </w:rPr>
        <w:t>—</w:t>
      </w:r>
      <w:r>
        <w:rPr>
          <w:rFonts w:hint="default" w:ascii="Times New Roman" w:hAnsi="Times New Roman" w:eastAsia="黑体" w:cs="Times New Roman"/>
          <w:sz w:val="24"/>
          <w:szCs w:val="20"/>
        </w:rPr>
        <w:t>13               各支流设计洪峰流量最终成果表</w:t>
      </w:r>
    </w:p>
    <w:tbl>
      <w:tblPr>
        <w:tblStyle w:val="88"/>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70"/>
        <w:gridCol w:w="1165"/>
        <w:gridCol w:w="1248"/>
        <w:gridCol w:w="1248"/>
        <w:gridCol w:w="1176"/>
        <w:gridCol w:w="1174"/>
        <w:gridCol w:w="12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blHeader/>
          <w:jc w:val="center"/>
        </w:trPr>
        <w:tc>
          <w:tcPr>
            <w:tcW w:w="1115" w:type="pct"/>
            <w:vMerge w:val="restart"/>
            <w:noWrap w:val="0"/>
            <w:vAlign w:val="center"/>
          </w:tcPr>
          <w:p>
            <w:pPr>
              <w:adjustRightInd w:val="0"/>
              <w:snapToGrid w:val="0"/>
              <w:spacing w:line="240" w:lineRule="exact"/>
              <w:ind w:firstLine="0" w:firstLineChars="0"/>
              <w:jc w:val="center"/>
              <w:rPr>
                <w:rFonts w:ascii="楷体_GB2312" w:hAnsi="Calibri" w:eastAsia="楷体_GB2312"/>
                <w:snapToGrid w:val="0"/>
                <w:kern w:val="0"/>
                <w:sz w:val="21"/>
                <w:szCs w:val="21"/>
              </w:rPr>
            </w:pPr>
            <w:r>
              <w:rPr>
                <w:rFonts w:hint="eastAsia" w:ascii="楷体_GB2312" w:hAnsi="Calibri" w:eastAsia="楷体_GB2312"/>
                <w:snapToGrid w:val="0"/>
                <w:kern w:val="0"/>
                <w:sz w:val="21"/>
                <w:szCs w:val="21"/>
              </w:rPr>
              <w:t>流域</w:t>
            </w:r>
          </w:p>
        </w:tc>
        <w:tc>
          <w:tcPr>
            <w:tcW w:w="3884" w:type="pct"/>
            <w:gridSpan w:val="6"/>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各频率设计值Xp（流量单位：m</w:t>
            </w:r>
            <w:r>
              <w:rPr>
                <w:rFonts w:hint="eastAsia" w:ascii="楷体_GB2312" w:hAnsi="Calibri" w:eastAsia="楷体_GB2312"/>
                <w:snapToGrid w:val="0"/>
                <w:kern w:val="0"/>
                <w:sz w:val="21"/>
                <w:szCs w:val="21"/>
                <w:vertAlign w:val="superscript"/>
              </w:rPr>
              <w:t>3</w:t>
            </w:r>
            <w:r>
              <w:rPr>
                <w:rFonts w:hint="eastAsia" w:ascii="楷体_GB2312" w:hAnsi="Calibri" w:eastAsia="楷体_GB2312"/>
                <w:snapToGrid w:val="0"/>
                <w:kern w:val="0"/>
                <w:sz w:val="21"/>
                <w:szCs w:val="21"/>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blHeader/>
          <w:jc w:val="center"/>
        </w:trPr>
        <w:tc>
          <w:tcPr>
            <w:tcW w:w="1115" w:type="pct"/>
            <w:vMerge w:val="continue"/>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p>
        </w:tc>
        <w:tc>
          <w:tcPr>
            <w:tcW w:w="627"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P=1.0%</w:t>
            </w:r>
          </w:p>
        </w:tc>
        <w:tc>
          <w:tcPr>
            <w:tcW w:w="672"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P=2.0%</w:t>
            </w:r>
          </w:p>
        </w:tc>
        <w:tc>
          <w:tcPr>
            <w:tcW w:w="672"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P=3.3%</w:t>
            </w:r>
          </w:p>
        </w:tc>
        <w:tc>
          <w:tcPr>
            <w:tcW w:w="633"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P=5.0%</w:t>
            </w:r>
          </w:p>
        </w:tc>
        <w:tc>
          <w:tcPr>
            <w:tcW w:w="632"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P=10%</w:t>
            </w:r>
          </w:p>
        </w:tc>
        <w:tc>
          <w:tcPr>
            <w:tcW w:w="646"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P=20%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blHeader/>
          <w:jc w:val="center"/>
        </w:trPr>
        <w:tc>
          <w:tcPr>
            <w:tcW w:w="1115"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沙溪河</w:t>
            </w:r>
          </w:p>
        </w:tc>
        <w:tc>
          <w:tcPr>
            <w:tcW w:w="627" w:type="pct"/>
            <w:noWrap w:val="0"/>
            <w:vAlign w:val="center"/>
          </w:tcPr>
          <w:p>
            <w:pPr>
              <w:adjustRightInd w:val="0"/>
              <w:snapToGrid w:val="0"/>
              <w:spacing w:line="240" w:lineRule="exact"/>
              <w:ind w:firstLine="0" w:firstLineChars="0"/>
              <w:jc w:val="center"/>
              <w:rPr>
                <w:rFonts w:ascii="楷体_GB2312" w:hAnsi="Calibri" w:eastAsia="楷体_GB2312"/>
                <w:snapToGrid w:val="0"/>
                <w:kern w:val="0"/>
                <w:sz w:val="21"/>
                <w:szCs w:val="21"/>
              </w:rPr>
            </w:pPr>
            <w:r>
              <w:rPr>
                <w:rFonts w:hint="eastAsia" w:ascii="楷体_GB2312" w:hAnsi="Calibri" w:eastAsia="楷体_GB2312"/>
                <w:snapToGrid w:val="0"/>
                <w:kern w:val="0"/>
                <w:sz w:val="21"/>
                <w:szCs w:val="21"/>
              </w:rPr>
              <w:t>380</w:t>
            </w:r>
          </w:p>
        </w:tc>
        <w:tc>
          <w:tcPr>
            <w:tcW w:w="672" w:type="pct"/>
            <w:noWrap w:val="0"/>
            <w:vAlign w:val="center"/>
          </w:tcPr>
          <w:p>
            <w:pPr>
              <w:adjustRightInd w:val="0"/>
              <w:snapToGrid w:val="0"/>
              <w:spacing w:line="240" w:lineRule="exact"/>
              <w:ind w:firstLine="0" w:firstLineChars="0"/>
              <w:jc w:val="center"/>
              <w:rPr>
                <w:rFonts w:ascii="楷体_GB2312" w:hAnsi="Calibri" w:eastAsia="楷体_GB2312"/>
                <w:snapToGrid w:val="0"/>
                <w:kern w:val="0"/>
                <w:sz w:val="21"/>
                <w:szCs w:val="21"/>
              </w:rPr>
            </w:pPr>
            <w:r>
              <w:rPr>
                <w:rFonts w:hint="eastAsia" w:ascii="楷体_GB2312" w:hAnsi="Calibri" w:eastAsia="楷体_GB2312"/>
                <w:snapToGrid w:val="0"/>
                <w:kern w:val="0"/>
                <w:sz w:val="21"/>
                <w:szCs w:val="21"/>
              </w:rPr>
              <w:t>329</w:t>
            </w:r>
          </w:p>
        </w:tc>
        <w:tc>
          <w:tcPr>
            <w:tcW w:w="672" w:type="pct"/>
            <w:noWrap w:val="0"/>
            <w:vAlign w:val="center"/>
          </w:tcPr>
          <w:p>
            <w:pPr>
              <w:adjustRightInd w:val="0"/>
              <w:snapToGrid w:val="0"/>
              <w:spacing w:line="240" w:lineRule="exact"/>
              <w:ind w:firstLine="0" w:firstLineChars="0"/>
              <w:jc w:val="center"/>
              <w:rPr>
                <w:rFonts w:ascii="楷体_GB2312" w:hAnsi="Calibri" w:eastAsia="楷体_GB2312"/>
                <w:snapToGrid w:val="0"/>
                <w:kern w:val="0"/>
                <w:sz w:val="21"/>
                <w:szCs w:val="21"/>
              </w:rPr>
            </w:pPr>
            <w:r>
              <w:rPr>
                <w:rFonts w:hint="eastAsia" w:ascii="楷体_GB2312" w:hAnsi="Calibri" w:eastAsia="楷体_GB2312"/>
                <w:snapToGrid w:val="0"/>
                <w:kern w:val="0"/>
                <w:sz w:val="21"/>
                <w:szCs w:val="21"/>
              </w:rPr>
              <w:t>292</w:t>
            </w:r>
          </w:p>
        </w:tc>
        <w:tc>
          <w:tcPr>
            <w:tcW w:w="633" w:type="pct"/>
            <w:noWrap w:val="0"/>
            <w:vAlign w:val="center"/>
          </w:tcPr>
          <w:p>
            <w:pPr>
              <w:adjustRightInd w:val="0"/>
              <w:snapToGrid w:val="0"/>
              <w:spacing w:line="240" w:lineRule="exact"/>
              <w:ind w:firstLine="0" w:firstLineChars="0"/>
              <w:jc w:val="center"/>
              <w:rPr>
                <w:rFonts w:ascii="楷体_GB2312" w:hAnsi="Calibri" w:eastAsia="楷体_GB2312"/>
                <w:snapToGrid w:val="0"/>
                <w:kern w:val="0"/>
                <w:sz w:val="21"/>
                <w:szCs w:val="21"/>
              </w:rPr>
            </w:pPr>
            <w:r>
              <w:rPr>
                <w:rFonts w:hint="eastAsia" w:ascii="楷体_GB2312" w:hAnsi="Calibri" w:eastAsia="楷体_GB2312"/>
                <w:snapToGrid w:val="0"/>
                <w:kern w:val="0"/>
                <w:sz w:val="21"/>
                <w:szCs w:val="21"/>
              </w:rPr>
              <w:t>262</w:t>
            </w:r>
          </w:p>
        </w:tc>
        <w:tc>
          <w:tcPr>
            <w:tcW w:w="632" w:type="pct"/>
            <w:noWrap w:val="0"/>
            <w:vAlign w:val="center"/>
          </w:tcPr>
          <w:p>
            <w:pPr>
              <w:adjustRightInd w:val="0"/>
              <w:snapToGrid w:val="0"/>
              <w:spacing w:line="240" w:lineRule="exact"/>
              <w:ind w:firstLine="0" w:firstLineChars="0"/>
              <w:jc w:val="center"/>
              <w:rPr>
                <w:rFonts w:ascii="楷体_GB2312" w:hAnsi="Calibri" w:eastAsia="楷体_GB2312"/>
                <w:snapToGrid w:val="0"/>
                <w:kern w:val="0"/>
                <w:sz w:val="21"/>
                <w:szCs w:val="21"/>
              </w:rPr>
            </w:pPr>
            <w:r>
              <w:rPr>
                <w:rFonts w:hint="eastAsia" w:ascii="楷体_GB2312" w:hAnsi="Calibri" w:eastAsia="楷体_GB2312"/>
                <w:snapToGrid w:val="0"/>
                <w:kern w:val="0"/>
                <w:sz w:val="21"/>
                <w:szCs w:val="21"/>
              </w:rPr>
              <w:t>211</w:t>
            </w:r>
          </w:p>
        </w:tc>
        <w:tc>
          <w:tcPr>
            <w:tcW w:w="646" w:type="pct"/>
            <w:noWrap w:val="0"/>
            <w:vAlign w:val="center"/>
          </w:tcPr>
          <w:p>
            <w:pPr>
              <w:adjustRightInd w:val="0"/>
              <w:snapToGrid w:val="0"/>
              <w:spacing w:line="240" w:lineRule="exact"/>
              <w:ind w:firstLine="0" w:firstLineChars="0"/>
              <w:jc w:val="center"/>
              <w:rPr>
                <w:rFonts w:ascii="楷体_GB2312" w:hAnsi="Calibri" w:eastAsia="楷体_GB2312"/>
                <w:snapToGrid w:val="0"/>
                <w:kern w:val="0"/>
                <w:sz w:val="21"/>
                <w:szCs w:val="21"/>
              </w:rPr>
            </w:pPr>
            <w:r>
              <w:rPr>
                <w:rFonts w:hint="eastAsia" w:ascii="楷体_GB2312" w:hAnsi="Calibri" w:eastAsia="楷体_GB2312"/>
                <w:snapToGrid w:val="0"/>
                <w:kern w:val="0"/>
                <w:sz w:val="21"/>
                <w:szCs w:val="21"/>
              </w:rPr>
              <w:t>163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blHeader/>
          <w:jc w:val="center"/>
        </w:trPr>
        <w:tc>
          <w:tcPr>
            <w:tcW w:w="1115"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通惠河</w:t>
            </w:r>
          </w:p>
        </w:tc>
        <w:tc>
          <w:tcPr>
            <w:tcW w:w="627"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708</w:t>
            </w:r>
          </w:p>
        </w:tc>
        <w:tc>
          <w:tcPr>
            <w:tcW w:w="672"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642</w:t>
            </w:r>
          </w:p>
        </w:tc>
        <w:tc>
          <w:tcPr>
            <w:tcW w:w="672" w:type="pct"/>
            <w:noWrap w:val="0"/>
            <w:vAlign w:val="center"/>
          </w:tcPr>
          <w:p>
            <w:pPr>
              <w:adjustRightInd w:val="0"/>
              <w:snapToGrid w:val="0"/>
              <w:spacing w:line="240" w:lineRule="exact"/>
              <w:ind w:firstLine="0" w:firstLineChars="0"/>
              <w:jc w:val="center"/>
              <w:rPr>
                <w:rFonts w:ascii="楷体_GB2312" w:hAnsi="Calibri" w:eastAsia="楷体_GB2312"/>
                <w:snapToGrid w:val="0"/>
                <w:kern w:val="0"/>
                <w:sz w:val="21"/>
                <w:szCs w:val="21"/>
              </w:rPr>
            </w:pPr>
            <w:r>
              <w:rPr>
                <w:rFonts w:hint="eastAsia" w:ascii="楷体_GB2312" w:hAnsi="Calibri" w:eastAsia="楷体_GB2312"/>
                <w:snapToGrid w:val="0"/>
                <w:kern w:val="0"/>
                <w:sz w:val="21"/>
                <w:szCs w:val="21"/>
              </w:rPr>
              <w:t>604</w:t>
            </w:r>
          </w:p>
        </w:tc>
        <w:tc>
          <w:tcPr>
            <w:tcW w:w="633"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579</w:t>
            </w:r>
          </w:p>
        </w:tc>
        <w:tc>
          <w:tcPr>
            <w:tcW w:w="632"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483</w:t>
            </w:r>
          </w:p>
        </w:tc>
        <w:tc>
          <w:tcPr>
            <w:tcW w:w="646"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blHeader/>
          <w:jc w:val="center"/>
        </w:trPr>
        <w:tc>
          <w:tcPr>
            <w:tcW w:w="1115"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桥河</w:t>
            </w:r>
          </w:p>
        </w:tc>
        <w:tc>
          <w:tcPr>
            <w:tcW w:w="627"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345</w:t>
            </w:r>
          </w:p>
        </w:tc>
        <w:tc>
          <w:tcPr>
            <w:tcW w:w="672"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304</w:t>
            </w:r>
          </w:p>
        </w:tc>
        <w:tc>
          <w:tcPr>
            <w:tcW w:w="672" w:type="pct"/>
            <w:noWrap w:val="0"/>
            <w:vAlign w:val="center"/>
          </w:tcPr>
          <w:p>
            <w:pPr>
              <w:adjustRightInd w:val="0"/>
              <w:snapToGrid w:val="0"/>
              <w:spacing w:line="240" w:lineRule="exact"/>
              <w:ind w:firstLine="0" w:firstLineChars="0"/>
              <w:jc w:val="center"/>
              <w:rPr>
                <w:rFonts w:ascii="楷体_GB2312" w:hAnsi="Calibri" w:eastAsia="楷体_GB2312"/>
                <w:snapToGrid w:val="0"/>
                <w:kern w:val="0"/>
                <w:sz w:val="21"/>
                <w:szCs w:val="21"/>
              </w:rPr>
            </w:pPr>
            <w:r>
              <w:rPr>
                <w:rFonts w:hint="eastAsia" w:ascii="楷体_GB2312" w:hAnsi="Calibri" w:eastAsia="楷体_GB2312"/>
                <w:snapToGrid w:val="0"/>
                <w:kern w:val="0"/>
                <w:sz w:val="21"/>
                <w:szCs w:val="21"/>
              </w:rPr>
              <w:t>274</w:t>
            </w:r>
          </w:p>
        </w:tc>
        <w:tc>
          <w:tcPr>
            <w:tcW w:w="633"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249</w:t>
            </w:r>
          </w:p>
        </w:tc>
        <w:tc>
          <w:tcPr>
            <w:tcW w:w="632"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208</w:t>
            </w:r>
          </w:p>
        </w:tc>
        <w:tc>
          <w:tcPr>
            <w:tcW w:w="646"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blHeader/>
          <w:jc w:val="center"/>
        </w:trPr>
        <w:tc>
          <w:tcPr>
            <w:tcW w:w="1115"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登瀛河</w:t>
            </w:r>
          </w:p>
        </w:tc>
        <w:tc>
          <w:tcPr>
            <w:tcW w:w="627"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201</w:t>
            </w:r>
          </w:p>
        </w:tc>
        <w:tc>
          <w:tcPr>
            <w:tcW w:w="672"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175</w:t>
            </w:r>
          </w:p>
        </w:tc>
        <w:tc>
          <w:tcPr>
            <w:tcW w:w="672" w:type="pct"/>
            <w:noWrap w:val="0"/>
            <w:vAlign w:val="center"/>
          </w:tcPr>
          <w:p>
            <w:pPr>
              <w:adjustRightInd w:val="0"/>
              <w:snapToGrid w:val="0"/>
              <w:spacing w:line="240" w:lineRule="exact"/>
              <w:ind w:firstLine="0" w:firstLineChars="0"/>
              <w:jc w:val="center"/>
              <w:rPr>
                <w:rFonts w:ascii="楷体_GB2312" w:hAnsi="Calibri" w:eastAsia="楷体_GB2312"/>
                <w:snapToGrid w:val="0"/>
                <w:kern w:val="0"/>
                <w:sz w:val="21"/>
                <w:szCs w:val="21"/>
              </w:rPr>
            </w:pPr>
            <w:r>
              <w:rPr>
                <w:rFonts w:hint="eastAsia" w:ascii="楷体_GB2312" w:hAnsi="Calibri" w:eastAsia="楷体_GB2312"/>
                <w:snapToGrid w:val="0"/>
                <w:kern w:val="0"/>
                <w:sz w:val="21"/>
                <w:szCs w:val="21"/>
              </w:rPr>
              <w:t>157</w:t>
            </w:r>
          </w:p>
        </w:tc>
        <w:tc>
          <w:tcPr>
            <w:tcW w:w="633"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142</w:t>
            </w:r>
          </w:p>
        </w:tc>
        <w:tc>
          <w:tcPr>
            <w:tcW w:w="632" w:type="pct"/>
            <w:noWrap w:val="0"/>
            <w:vAlign w:val="center"/>
          </w:tcPr>
          <w:p>
            <w:pPr>
              <w:adjustRightInd w:val="0"/>
              <w:snapToGrid w:val="0"/>
              <w:spacing w:line="240" w:lineRule="exact"/>
              <w:ind w:firstLine="0" w:firstLineChars="0"/>
              <w:jc w:val="center"/>
              <w:rPr>
                <w:rFonts w:hint="eastAsia" w:ascii="楷体_GB2312" w:hAnsi="Calibri" w:eastAsia="楷体_GB2312"/>
                <w:snapToGrid w:val="0"/>
                <w:kern w:val="0"/>
                <w:sz w:val="21"/>
                <w:szCs w:val="21"/>
              </w:rPr>
            </w:pPr>
            <w:r>
              <w:rPr>
                <w:rFonts w:hint="eastAsia" w:ascii="楷体_GB2312" w:hAnsi="Calibri" w:eastAsia="楷体_GB2312"/>
                <w:snapToGrid w:val="0"/>
                <w:kern w:val="0"/>
                <w:sz w:val="21"/>
                <w:szCs w:val="21"/>
              </w:rPr>
              <w:t>117</w:t>
            </w:r>
          </w:p>
        </w:tc>
        <w:tc>
          <w:tcPr>
            <w:tcW w:w="646" w:type="pct"/>
            <w:noWrap w:val="0"/>
            <w:vAlign w:val="center"/>
          </w:tcPr>
          <w:p>
            <w:pPr>
              <w:adjustRightInd w:val="0"/>
              <w:snapToGrid w:val="0"/>
              <w:spacing w:line="240" w:lineRule="exact"/>
              <w:ind w:firstLine="0" w:firstLineChars="0"/>
              <w:jc w:val="center"/>
              <w:rPr>
                <w:rFonts w:ascii="楷体_GB2312" w:hAnsi="Calibri" w:eastAsia="楷体_GB2312"/>
                <w:snapToGrid w:val="0"/>
                <w:kern w:val="0"/>
                <w:sz w:val="21"/>
                <w:szCs w:val="21"/>
              </w:rPr>
            </w:pPr>
            <w:r>
              <w:rPr>
                <w:rFonts w:hint="eastAsia" w:ascii="楷体_GB2312" w:hAnsi="Calibri" w:eastAsia="楷体_GB2312"/>
                <w:snapToGrid w:val="0"/>
                <w:kern w:val="0"/>
                <w:sz w:val="21"/>
                <w:szCs w:val="21"/>
              </w:rPr>
              <w:t>91.7</w:t>
            </w:r>
          </w:p>
        </w:tc>
      </w:tr>
    </w:tbl>
    <w:p>
      <w:pPr>
        <w:ind w:firstLine="0" w:firstLineChars="0"/>
        <w:outlineLvl w:val="2"/>
        <w:rPr>
          <w:rFonts w:hint="eastAsia" w:ascii="Arial" w:hAnsi="Arial" w:eastAsia="方正小标宋_GBK"/>
          <w:bCs/>
          <w:lang w:val="en-US" w:eastAsia="zh-CN"/>
        </w:rPr>
      </w:pPr>
    </w:p>
    <w:p>
      <w:pPr>
        <w:ind w:firstLine="560"/>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lang w:val="en-US" w:eastAsia="zh-CN"/>
        </w:rPr>
        <w:t>4</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rPr>
        <w:t>綦江城区整体</w:t>
      </w:r>
      <w:r>
        <w:rPr>
          <w:rFonts w:hint="default" w:ascii="Times New Roman" w:hAnsi="Times New Roman" w:eastAsia="方正仿宋_GBK" w:cs="Times New Roman"/>
          <w:sz w:val="32"/>
          <w:szCs w:val="32"/>
        </w:rPr>
        <w:t>设计洪水</w:t>
      </w:r>
    </w:p>
    <w:p>
      <w:pPr>
        <w:ind w:firstLine="560"/>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为计算藻渡水库对下游綦江城区的防洪作用，将綦江城区断面以上区间扣除藻渡坝址控制区间合并为藻渡坝址以下</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綦江区间，集雨面积为3544 km</w:t>
      </w:r>
      <w:r>
        <w:rPr>
          <w:rFonts w:hint="eastAsia" w:ascii="Times New Roman" w:hAnsi="Times New Roman" w:eastAsia="方正仿宋_GBK" w:cs="Times New Roman"/>
          <w:sz w:val="32"/>
          <w:szCs w:val="32"/>
          <w:vertAlign w:val="superscript"/>
          <w:lang w:val="en-US" w:eastAsia="zh-CN"/>
        </w:rPr>
        <w:t>2</w:t>
      </w:r>
      <w:r>
        <w:rPr>
          <w:rFonts w:hint="eastAsia" w:ascii="Times New Roman" w:hAnsi="Times New Roman" w:eastAsia="方正仿宋_GBK" w:cs="Times New Roman"/>
          <w:sz w:val="32"/>
          <w:szCs w:val="32"/>
          <w:lang w:val="en-US" w:eastAsia="zh-CN"/>
        </w:rPr>
        <w:t>，采用五岔站、东溪站区间内插法计算设计洪水洪峰和洪量。</w:t>
      </w:r>
    </w:p>
    <w:p>
      <w:pPr>
        <w:ind w:firstLine="560"/>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4.1</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en-US" w:eastAsia="zh-CN"/>
        </w:rPr>
        <w:t>典型年选取</w:t>
      </w:r>
    </w:p>
    <w:p>
      <w:pPr>
        <w:ind w:firstLine="560"/>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由于綦江洪水组成比较复杂，本次设计洪水的地区组成采用典型年法，从实测资料中选择几次有代表性、对防洪不利的大洪水作为典型，用控制断面的设计洪峰和洪量与典型地区洪峰洪量的比值放大各区同次洪水典型过程线，即得相应于设计断面的各区的洪水过程线。</w:t>
      </w:r>
    </w:p>
    <w:p>
      <w:pPr>
        <w:ind w:firstLine="560"/>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结合松坎、东溪、五岔站资料情况，从实测大洪水系列中，按“不利组合”原则，选取1973、1976、1977、1979、1980、1983、1998、2005、2016年、2020年共10个洪水典型。其中：</w:t>
      </w:r>
    </w:p>
    <w:p>
      <w:pPr>
        <w:ind w:firstLine="560"/>
        <w:rPr>
          <w:rFonts w:hint="eastAsia" w:ascii="Times New Roman" w:hAnsi="Times New Roman" w:eastAsia="方正仿宋_GBK" w:cs="Times New Roman"/>
          <w:sz w:val="32"/>
          <w:szCs w:val="32"/>
          <w:lang w:val="en-US" w:eastAsia="zh-CN"/>
        </w:rPr>
      </w:pP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1</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峰高量大的1998年8月洪水作为全流域大水情况；</w:t>
      </w:r>
    </w:p>
    <w:p>
      <w:pPr>
        <w:ind w:firstLine="560"/>
        <w:rPr>
          <w:rFonts w:hint="eastAsia" w:ascii="Times New Roman" w:hAnsi="Times New Roman" w:eastAsia="方正仿宋_GBK" w:cs="Times New Roman"/>
          <w:sz w:val="32"/>
          <w:szCs w:val="32"/>
          <w:lang w:val="en-US" w:eastAsia="zh-CN"/>
        </w:rPr>
      </w:pP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2</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2005年、2016年洪水作为藻渡河为主情况;</w:t>
      </w:r>
    </w:p>
    <w:p>
      <w:pPr>
        <w:ind w:firstLine="560"/>
        <w:rPr>
          <w:rFonts w:hint="eastAsia" w:ascii="Times New Roman" w:hAnsi="Times New Roman" w:eastAsia="方正仿宋_GBK" w:cs="Times New Roman"/>
          <w:sz w:val="32"/>
          <w:szCs w:val="32"/>
          <w:lang w:val="en-US" w:eastAsia="zh-CN"/>
        </w:rPr>
      </w:pPr>
      <w:r>
        <w:rPr>
          <w:rFonts w:hint="eastAsia" w:ascii="Times New Roman" w:eastAsia="方正仿宋_GBK" w:cs="Times New Roman"/>
          <w:sz w:val="32"/>
          <w:szCs w:val="32"/>
          <w:lang w:val="en-US" w:eastAsia="zh-CN"/>
        </w:rPr>
        <w:t>（3）</w:t>
      </w:r>
      <w:r>
        <w:rPr>
          <w:rFonts w:hint="eastAsia" w:ascii="Times New Roman" w:hAnsi="Times New Roman" w:eastAsia="方正仿宋_GBK" w:cs="Times New Roman"/>
          <w:sz w:val="32"/>
          <w:szCs w:val="32"/>
          <w:lang w:val="en-US" w:eastAsia="zh-CN"/>
        </w:rPr>
        <w:t>1976年、1977年洪水作为藻渡坝址以下</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綦江区间为主情况。</w:t>
      </w:r>
    </w:p>
    <w:p>
      <w:pPr>
        <w:ind w:firstLine="560"/>
        <w:rPr>
          <w:rFonts w:hint="eastAsia" w:ascii="Times New Roman" w:hAnsi="Times New Roman" w:eastAsia="方正仿宋_GBK" w:cs="Times New Roman"/>
          <w:sz w:val="32"/>
          <w:szCs w:val="32"/>
          <w:lang w:val="en-US" w:eastAsia="zh-CN"/>
        </w:rPr>
      </w:pPr>
      <w:r>
        <w:rPr>
          <w:rFonts w:hint="eastAsia" w:ascii="Times New Roman" w:eastAsia="方正仿宋_GBK" w:cs="Times New Roman"/>
          <w:sz w:val="32"/>
          <w:szCs w:val="32"/>
          <w:lang w:val="en-US" w:eastAsia="zh-CN"/>
        </w:rPr>
        <w:t>（4）</w:t>
      </w:r>
      <w:r>
        <w:rPr>
          <w:rFonts w:hint="eastAsia" w:ascii="Times New Roman" w:hAnsi="Times New Roman" w:eastAsia="方正仿宋_GBK" w:cs="Times New Roman"/>
          <w:sz w:val="32"/>
          <w:szCs w:val="32"/>
          <w:lang w:val="en-US" w:eastAsia="zh-CN"/>
        </w:rPr>
        <w:t>1973、1979、1980、1983、2020年洪水为藻渡河与藻渡坝址以下</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綦江区间来水均较大的情况。</w:t>
      </w:r>
    </w:p>
    <w:p>
      <w:pPr>
        <w:ind w:firstLine="560"/>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为了合理推求区间各典型洪水过程，根据綦江干支流水文测站的分布情况，将綦江城区断面以上划分为2个区间：藻渡坝址以上，区间面积1179km</w:t>
      </w:r>
      <w:r>
        <w:rPr>
          <w:rFonts w:hint="eastAsia" w:ascii="Times New Roman" w:hAnsi="Times New Roman" w:eastAsia="方正仿宋_GBK" w:cs="Times New Roman"/>
          <w:sz w:val="32"/>
          <w:szCs w:val="32"/>
          <w:vertAlign w:val="superscript"/>
          <w:lang w:val="en-US" w:eastAsia="zh-CN"/>
        </w:rPr>
        <w:t>2</w:t>
      </w:r>
      <w:r>
        <w:rPr>
          <w:rFonts w:hint="eastAsia" w:ascii="Times New Roman" w:hAnsi="Times New Roman" w:eastAsia="方正仿宋_GBK" w:cs="Times New Roman"/>
          <w:sz w:val="32"/>
          <w:szCs w:val="32"/>
          <w:lang w:val="en-US" w:eastAsia="zh-CN"/>
        </w:rPr>
        <w:t>；藻渡坝址以下</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綦江区间：綦江城区断面以上扣除藻渡坝址以上区间，区间面积3544km</w:t>
      </w:r>
      <w:r>
        <w:rPr>
          <w:rFonts w:hint="eastAsia" w:ascii="Times New Roman" w:hAnsi="Times New Roman" w:eastAsia="方正仿宋_GBK" w:cs="Times New Roman"/>
          <w:sz w:val="32"/>
          <w:szCs w:val="32"/>
          <w:vertAlign w:val="superscript"/>
          <w:lang w:val="en-US" w:eastAsia="zh-CN"/>
        </w:rPr>
        <w:t>2</w:t>
      </w:r>
      <w:r>
        <w:rPr>
          <w:rFonts w:hint="eastAsia" w:ascii="Times New Roman" w:hAnsi="Times New Roman" w:eastAsia="方正仿宋_GBK" w:cs="Times New Roman"/>
          <w:sz w:val="32"/>
          <w:szCs w:val="32"/>
          <w:lang w:val="en-US" w:eastAsia="zh-CN"/>
        </w:rPr>
        <w:t>，区间支流主要包括松坎河、蒲河和羊渡河。松坎河上有松坎站，根据洪峰相关关系推算得到下游赶水站流量过程；蒲河直接引用石角站实测流量过程；其他水文站未控制面积的水量，则应用降雨和借用蒲河降雨径流关系，求得净雨，然后借用石角站的实测流量过程加以缩放。最后采用马斯京根法将干支流洪水分段合成演算至东溪、五岔站，与实测过程线对比，直至合理为止。</w:t>
      </w:r>
    </w:p>
    <w:p>
      <w:pPr>
        <w:ind w:firstLine="560"/>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4.2</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en-US" w:eastAsia="zh-CN"/>
        </w:rPr>
        <w:t>整体设计洪水计算</w:t>
      </w:r>
    </w:p>
    <w:p>
      <w:pPr>
        <w:ind w:firstLine="560"/>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根据《綦江河流域防洪规划报告（2000</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2020年）》、《綦江县县城防洪规划方案报告》（2007年）等有关规划成果，拟实施綦江梯级优化改造和兴建藻渡水库工程，其中藻渡河的防洪任务为通过调蓄藻渡河的洪水，错峰下泄，使綦江城区的防洪标准由20年一遇提高到50年一遇。</w:t>
      </w:r>
    </w:p>
    <w:p>
      <w:pPr>
        <w:ind w:firstLine="560"/>
        <w:rPr>
          <w:rFonts w:hAnsi="Calibri" w:cs="宋体"/>
          <w:szCs w:val="20"/>
        </w:rPr>
      </w:pPr>
      <w:r>
        <w:rPr>
          <w:rFonts w:hint="eastAsia" w:ascii="Times New Roman" w:hAnsi="Times New Roman" w:eastAsia="方正仿宋_GBK" w:cs="Times New Roman"/>
          <w:sz w:val="32"/>
          <w:szCs w:val="32"/>
          <w:lang w:val="en-US" w:eastAsia="zh-CN"/>
        </w:rPr>
        <w:t>整体设计洪水放大采用同倍比法。根据綦江城区断面各典型洪水过程，计算最大24h洪量和洪峰（见表4.4</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14），按綦江城区断面各频率24h设计洪量（见表4.4</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15）和洪峰计算各典型年洪峰及时段洪量和洪峰放大倍比系数。各典型采用24h洪量和洪峰同时控制放大藻渡坝址和区间洪水过程，即得綦江城区断面以上整体防洪设计洪水过程线。各典型洪量放大倍比见表4.4</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16；洪峰放大倍比见表4.4</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17，典型成果见图4.4</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5</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图4.4</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15。</w:t>
      </w:r>
    </w:p>
    <w:p>
      <w:pPr>
        <w:spacing w:after="60"/>
        <w:ind w:firstLine="240" w:firstLineChars="100"/>
        <w:outlineLvl w:val="5"/>
        <w:rPr>
          <w:rFonts w:hint="default" w:ascii="Times New Roman" w:hAnsi="Times New Roman" w:eastAsia="黑体" w:cs="Times New Roman"/>
          <w:sz w:val="24"/>
          <w:szCs w:val="20"/>
        </w:rPr>
      </w:pPr>
      <w:r>
        <w:rPr>
          <w:rFonts w:hint="default" w:ascii="Times New Roman" w:hAnsi="Times New Roman" w:eastAsia="黑体" w:cs="Times New Roman"/>
          <w:sz w:val="24"/>
          <w:szCs w:val="20"/>
        </w:rPr>
        <w:t>表4.4</w:t>
      </w:r>
      <w:r>
        <w:rPr>
          <w:rFonts w:hint="default" w:ascii="Times New Roman" w:hAnsi="Times New Roman" w:eastAsia="黑体" w:cs="Times New Roman"/>
          <w:sz w:val="24"/>
          <w:szCs w:val="20"/>
          <w:lang w:eastAsia="zh-CN"/>
        </w:rPr>
        <w:t>—</w:t>
      </w:r>
      <w:r>
        <w:rPr>
          <w:rFonts w:hint="default" w:ascii="Times New Roman" w:hAnsi="Times New Roman" w:eastAsia="黑体" w:cs="Times New Roman"/>
          <w:sz w:val="24"/>
          <w:szCs w:val="20"/>
        </w:rPr>
        <w:t>14　　　　　　　　　綦江城区各区间设计洪峰</w:t>
      </w:r>
    </w:p>
    <w:tbl>
      <w:tblPr>
        <w:tblStyle w:val="88"/>
        <w:tblW w:w="5000"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108" w:type="dxa"/>
          <w:bottom w:w="0" w:type="dxa"/>
          <w:right w:w="108" w:type="dxa"/>
        </w:tblCellMar>
      </w:tblPr>
      <w:tblGrid>
        <w:gridCol w:w="2114"/>
        <w:gridCol w:w="1378"/>
        <w:gridCol w:w="1160"/>
        <w:gridCol w:w="1160"/>
        <w:gridCol w:w="1161"/>
        <w:gridCol w:w="1161"/>
        <w:gridCol w:w="1153"/>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141" w:type="pct"/>
            <w:vMerge w:val="restart"/>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区域</w:t>
            </w:r>
          </w:p>
        </w:tc>
        <w:tc>
          <w:tcPr>
            <w:tcW w:w="728" w:type="pct"/>
            <w:vMerge w:val="restar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面积（km</w:t>
            </w:r>
            <w:r>
              <w:rPr>
                <w:rFonts w:hint="eastAsia" w:ascii="楷体_GB2312" w:hAnsi="Calibri" w:eastAsia="楷体_GB2312"/>
                <w:kern w:val="0"/>
                <w:sz w:val="21"/>
                <w:szCs w:val="21"/>
                <w:vertAlign w:val="superscript"/>
              </w:rPr>
              <w:t>2</w:t>
            </w:r>
            <w:r>
              <w:rPr>
                <w:rFonts w:hint="eastAsia" w:ascii="楷体_GB2312" w:hAnsi="Calibri" w:eastAsia="楷体_GB2312"/>
                <w:kern w:val="0"/>
                <w:sz w:val="21"/>
                <w:szCs w:val="21"/>
              </w:rPr>
              <w:t>）</w:t>
            </w:r>
          </w:p>
        </w:tc>
        <w:tc>
          <w:tcPr>
            <w:tcW w:w="3131" w:type="pct"/>
            <w:gridSpan w:val="5"/>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设计洪峰流量（m</w:t>
            </w:r>
            <w:r>
              <w:rPr>
                <w:rFonts w:hint="eastAsia" w:ascii="楷体_GB2312" w:hAnsi="Calibri" w:eastAsia="楷体_GB2312"/>
                <w:kern w:val="0"/>
                <w:sz w:val="21"/>
                <w:szCs w:val="21"/>
                <w:vertAlign w:val="superscript"/>
              </w:rPr>
              <w:t>3</w:t>
            </w:r>
            <w:r>
              <w:rPr>
                <w:rFonts w:hint="eastAsia" w:ascii="楷体_GB2312" w:hAnsi="Calibri" w:eastAsia="楷体_GB2312"/>
                <w:kern w:val="0"/>
                <w:sz w:val="21"/>
                <w:szCs w:val="21"/>
              </w:rPr>
              <w:t>/s）</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141" w:type="pct"/>
            <w:vMerge w:val="continue"/>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p>
        </w:tc>
        <w:tc>
          <w:tcPr>
            <w:tcW w:w="728" w:type="pct"/>
            <w:vMerge w:val="continue"/>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p>
        </w:tc>
        <w:tc>
          <w:tcPr>
            <w:tcW w:w="627" w:type="pct"/>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w:t>
            </w:r>
          </w:p>
        </w:tc>
        <w:tc>
          <w:tcPr>
            <w:tcW w:w="627"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3.3%</w:t>
            </w:r>
          </w:p>
        </w:tc>
        <w:tc>
          <w:tcPr>
            <w:tcW w:w="627"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w:t>
            </w:r>
          </w:p>
        </w:tc>
        <w:tc>
          <w:tcPr>
            <w:tcW w:w="627"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10%</w:t>
            </w:r>
          </w:p>
        </w:tc>
        <w:tc>
          <w:tcPr>
            <w:tcW w:w="624"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141" w:type="pct"/>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綦江城区断面</w:t>
            </w:r>
          </w:p>
        </w:tc>
        <w:tc>
          <w:tcPr>
            <w:tcW w:w="728"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4723</w:t>
            </w:r>
          </w:p>
        </w:tc>
        <w:tc>
          <w:tcPr>
            <w:tcW w:w="627" w:type="pct"/>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5950</w:t>
            </w:r>
          </w:p>
        </w:tc>
        <w:tc>
          <w:tcPr>
            <w:tcW w:w="627"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5390</w:t>
            </w:r>
          </w:p>
        </w:tc>
        <w:tc>
          <w:tcPr>
            <w:tcW w:w="627"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4920</w:t>
            </w:r>
          </w:p>
        </w:tc>
        <w:tc>
          <w:tcPr>
            <w:tcW w:w="627"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4120</w:t>
            </w:r>
          </w:p>
        </w:tc>
        <w:tc>
          <w:tcPr>
            <w:tcW w:w="624"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3290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1141" w:type="pct"/>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藻渡</w:t>
            </w:r>
            <w:r>
              <w:rPr>
                <w:rFonts w:hint="eastAsia" w:ascii="楷体_GB2312" w:hAnsi="Calibri" w:eastAsia="楷体_GB2312"/>
                <w:kern w:val="0"/>
                <w:sz w:val="21"/>
                <w:szCs w:val="21"/>
                <w:lang w:eastAsia="zh-CN"/>
              </w:rPr>
              <w:t>—</w:t>
            </w:r>
            <w:r>
              <w:rPr>
                <w:rFonts w:hint="eastAsia" w:ascii="楷体_GB2312" w:hAnsi="Calibri" w:eastAsia="楷体_GB2312"/>
                <w:kern w:val="0"/>
                <w:sz w:val="21"/>
                <w:szCs w:val="21"/>
              </w:rPr>
              <w:t>綦江区间</w:t>
            </w:r>
          </w:p>
        </w:tc>
        <w:tc>
          <w:tcPr>
            <w:tcW w:w="728"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3544</w:t>
            </w:r>
          </w:p>
        </w:tc>
        <w:tc>
          <w:tcPr>
            <w:tcW w:w="627" w:type="pct"/>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5300</w:t>
            </w:r>
          </w:p>
        </w:tc>
        <w:tc>
          <w:tcPr>
            <w:tcW w:w="627"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4730</w:t>
            </w:r>
          </w:p>
        </w:tc>
        <w:tc>
          <w:tcPr>
            <w:tcW w:w="627"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4250</w:t>
            </w:r>
          </w:p>
        </w:tc>
        <w:tc>
          <w:tcPr>
            <w:tcW w:w="627"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3440</w:t>
            </w:r>
          </w:p>
        </w:tc>
        <w:tc>
          <w:tcPr>
            <w:tcW w:w="624"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2670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141" w:type="pct"/>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藻渡河</w:t>
            </w:r>
          </w:p>
        </w:tc>
        <w:tc>
          <w:tcPr>
            <w:tcW w:w="728"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1179</w:t>
            </w:r>
          </w:p>
        </w:tc>
        <w:tc>
          <w:tcPr>
            <w:tcW w:w="627" w:type="pct"/>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2830</w:t>
            </w:r>
          </w:p>
        </w:tc>
        <w:tc>
          <w:tcPr>
            <w:tcW w:w="627"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2490</w:t>
            </w:r>
          </w:p>
        </w:tc>
        <w:tc>
          <w:tcPr>
            <w:tcW w:w="627"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2220</w:t>
            </w:r>
          </w:p>
        </w:tc>
        <w:tc>
          <w:tcPr>
            <w:tcW w:w="627"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1760</w:t>
            </w:r>
          </w:p>
        </w:tc>
        <w:tc>
          <w:tcPr>
            <w:tcW w:w="624"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1310</w:t>
            </w:r>
          </w:p>
        </w:tc>
      </w:tr>
    </w:tbl>
    <w:p>
      <w:pPr>
        <w:spacing w:after="60"/>
        <w:ind w:firstLine="240" w:firstLineChars="100"/>
        <w:outlineLvl w:val="5"/>
        <w:rPr>
          <w:rFonts w:hint="eastAsia" w:ascii="黑体" w:hAnsi="Calibri" w:eastAsia="黑体" w:cs="宋体"/>
          <w:sz w:val="24"/>
          <w:szCs w:val="20"/>
        </w:rPr>
      </w:pPr>
    </w:p>
    <w:p>
      <w:pPr>
        <w:spacing w:after="60"/>
        <w:ind w:firstLine="240" w:firstLineChars="100"/>
        <w:outlineLvl w:val="5"/>
        <w:rPr>
          <w:rFonts w:hint="default" w:ascii="Times New Roman" w:hAnsi="Times New Roman" w:eastAsia="黑体" w:cs="Times New Roman"/>
          <w:sz w:val="24"/>
          <w:szCs w:val="20"/>
        </w:rPr>
      </w:pPr>
      <w:r>
        <w:rPr>
          <w:rFonts w:hint="default" w:ascii="Times New Roman" w:hAnsi="Times New Roman" w:eastAsia="黑体" w:cs="Times New Roman"/>
          <w:sz w:val="24"/>
          <w:szCs w:val="20"/>
        </w:rPr>
        <w:t>表4.4</w:t>
      </w:r>
      <w:r>
        <w:rPr>
          <w:rFonts w:hint="default" w:ascii="Times New Roman" w:hAnsi="Times New Roman" w:eastAsia="黑体" w:cs="Times New Roman"/>
          <w:sz w:val="24"/>
          <w:szCs w:val="20"/>
          <w:lang w:eastAsia="zh-CN"/>
        </w:rPr>
        <w:t>—</w:t>
      </w:r>
      <w:r>
        <w:rPr>
          <w:rFonts w:hint="default" w:ascii="Times New Roman" w:hAnsi="Times New Roman" w:eastAsia="黑体" w:cs="Times New Roman"/>
          <w:sz w:val="24"/>
          <w:szCs w:val="20"/>
        </w:rPr>
        <w:t>15　　　　　　　 綦江城区断面24h设计洪量　　　　　 单位：亿m</w:t>
      </w:r>
      <w:r>
        <w:rPr>
          <w:rFonts w:hint="default" w:ascii="Times New Roman" w:hAnsi="Times New Roman" w:eastAsia="黑体" w:cs="Times New Roman"/>
          <w:sz w:val="24"/>
          <w:szCs w:val="20"/>
          <w:vertAlign w:val="superscript"/>
        </w:rPr>
        <w:t>3</w:t>
      </w:r>
    </w:p>
    <w:tbl>
      <w:tblPr>
        <w:tblStyle w:val="88"/>
        <w:tblW w:w="5000"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108" w:type="dxa"/>
          <w:bottom w:w="0" w:type="dxa"/>
          <w:right w:w="108" w:type="dxa"/>
        </w:tblCellMar>
      </w:tblPr>
      <w:tblGrid>
        <w:gridCol w:w="2108"/>
        <w:gridCol w:w="1413"/>
        <w:gridCol w:w="1154"/>
        <w:gridCol w:w="1154"/>
        <w:gridCol w:w="1154"/>
        <w:gridCol w:w="1154"/>
        <w:gridCol w:w="1150"/>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1135" w:type="pct"/>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频率</w:t>
            </w:r>
          </w:p>
        </w:tc>
        <w:tc>
          <w:tcPr>
            <w:tcW w:w="761"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面积（km</w:t>
            </w:r>
            <w:r>
              <w:rPr>
                <w:rFonts w:hint="eastAsia" w:ascii="楷体_GB2312" w:hAnsi="Calibri" w:eastAsia="楷体_GB2312"/>
                <w:kern w:val="0"/>
                <w:sz w:val="21"/>
                <w:szCs w:val="21"/>
                <w:vertAlign w:val="superscript"/>
              </w:rPr>
              <w:t>2</w:t>
            </w:r>
            <w:r>
              <w:rPr>
                <w:rFonts w:hint="eastAsia" w:ascii="楷体_GB2312" w:hAnsi="Calibri" w:eastAsia="楷体_GB2312"/>
                <w:kern w:val="0"/>
                <w:sz w:val="21"/>
                <w:szCs w:val="21"/>
              </w:rPr>
              <w:t>）</w:t>
            </w:r>
          </w:p>
        </w:tc>
        <w:tc>
          <w:tcPr>
            <w:tcW w:w="621" w:type="pct"/>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w:t>
            </w:r>
          </w:p>
        </w:tc>
        <w:tc>
          <w:tcPr>
            <w:tcW w:w="621"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3.3%</w:t>
            </w:r>
          </w:p>
        </w:tc>
        <w:tc>
          <w:tcPr>
            <w:tcW w:w="621"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w:t>
            </w:r>
          </w:p>
        </w:tc>
        <w:tc>
          <w:tcPr>
            <w:tcW w:w="621"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10%</w:t>
            </w:r>
          </w:p>
        </w:tc>
        <w:tc>
          <w:tcPr>
            <w:tcW w:w="619"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1135" w:type="pct"/>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綦江城区断面</w:t>
            </w:r>
          </w:p>
        </w:tc>
        <w:tc>
          <w:tcPr>
            <w:tcW w:w="761"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4723</w:t>
            </w:r>
          </w:p>
        </w:tc>
        <w:tc>
          <w:tcPr>
            <w:tcW w:w="621" w:type="pct"/>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3.425</w:t>
            </w:r>
          </w:p>
        </w:tc>
        <w:tc>
          <w:tcPr>
            <w:tcW w:w="621"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3.082</w:t>
            </w:r>
          </w:p>
        </w:tc>
        <w:tc>
          <w:tcPr>
            <w:tcW w:w="621"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2.809</w:t>
            </w:r>
          </w:p>
        </w:tc>
        <w:tc>
          <w:tcPr>
            <w:tcW w:w="621"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2.339</w:t>
            </w:r>
          </w:p>
        </w:tc>
        <w:tc>
          <w:tcPr>
            <w:tcW w:w="619"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1.857</w:t>
            </w:r>
          </w:p>
        </w:tc>
      </w:tr>
    </w:tbl>
    <w:p>
      <w:pPr>
        <w:spacing w:after="60"/>
        <w:ind w:firstLine="240" w:firstLineChars="100"/>
        <w:outlineLvl w:val="5"/>
        <w:rPr>
          <w:rFonts w:hint="default" w:ascii="Times New Roman" w:hAnsi="Times New Roman" w:eastAsia="黑体" w:cs="Times New Roman"/>
          <w:sz w:val="24"/>
          <w:szCs w:val="20"/>
        </w:rPr>
      </w:pPr>
      <w:r>
        <w:rPr>
          <w:rFonts w:hint="eastAsia" w:ascii="Times New Roman" w:hAnsi="Times New Roman" w:eastAsia="黑体" w:cs="Times New Roman"/>
          <w:sz w:val="24"/>
          <w:szCs w:val="20"/>
        </w:rPr>
        <w:t>表</w:t>
      </w:r>
      <w:r>
        <w:rPr>
          <w:rFonts w:hint="default" w:ascii="Times New Roman" w:hAnsi="Times New Roman" w:eastAsia="黑体" w:cs="Times New Roman"/>
          <w:sz w:val="24"/>
          <w:szCs w:val="20"/>
        </w:rPr>
        <w:t>4</w:t>
      </w:r>
      <w:r>
        <w:rPr>
          <w:rFonts w:hint="eastAsia" w:ascii="Times New Roman" w:hAnsi="Times New Roman" w:eastAsia="黑体" w:cs="Times New Roman"/>
          <w:sz w:val="24"/>
          <w:szCs w:val="20"/>
        </w:rPr>
        <w:t>.4</w:t>
      </w:r>
      <w:r>
        <w:rPr>
          <w:rFonts w:hint="eastAsia" w:ascii="Times New Roman" w:hAnsi="Times New Roman" w:eastAsia="黑体" w:cs="Times New Roman"/>
          <w:sz w:val="24"/>
          <w:szCs w:val="20"/>
          <w:lang w:eastAsia="zh-CN"/>
        </w:rPr>
        <w:t>—</w:t>
      </w:r>
      <w:r>
        <w:rPr>
          <w:rFonts w:hint="default" w:ascii="Times New Roman" w:hAnsi="Times New Roman" w:eastAsia="黑体" w:cs="Times New Roman"/>
          <w:sz w:val="24"/>
          <w:szCs w:val="20"/>
        </w:rPr>
        <w:t>1</w:t>
      </w:r>
      <w:r>
        <w:rPr>
          <w:rFonts w:hint="eastAsia" w:ascii="Times New Roman" w:hAnsi="Times New Roman" w:eastAsia="黑体" w:cs="Times New Roman"/>
          <w:sz w:val="24"/>
          <w:szCs w:val="20"/>
        </w:rPr>
        <w:t>6　　　　　綦江城区断面以上整体设计洪水各典型洪量放大倍比</w:t>
      </w:r>
    </w:p>
    <w:tbl>
      <w:tblPr>
        <w:tblStyle w:val="88"/>
        <w:tblW w:w="5109"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0" w:type="dxa"/>
          <w:bottom w:w="0" w:type="dxa"/>
          <w:right w:w="0" w:type="dxa"/>
        </w:tblCellMar>
      </w:tblPr>
      <w:tblGrid>
        <w:gridCol w:w="1283"/>
        <w:gridCol w:w="1262"/>
        <w:gridCol w:w="1294"/>
        <w:gridCol w:w="1262"/>
        <w:gridCol w:w="1262"/>
        <w:gridCol w:w="1262"/>
        <w:gridCol w:w="1674"/>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689"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年份</w:t>
            </w:r>
          </w:p>
        </w:tc>
        <w:tc>
          <w:tcPr>
            <w:tcW w:w="678"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w:t>
            </w:r>
          </w:p>
        </w:tc>
        <w:tc>
          <w:tcPr>
            <w:tcW w:w="695"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3.33%</w:t>
            </w:r>
          </w:p>
        </w:tc>
        <w:tc>
          <w:tcPr>
            <w:tcW w:w="678"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w:t>
            </w:r>
          </w:p>
        </w:tc>
        <w:tc>
          <w:tcPr>
            <w:tcW w:w="678"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10%</w:t>
            </w:r>
          </w:p>
        </w:tc>
        <w:tc>
          <w:tcPr>
            <w:tcW w:w="678" w:type="pct"/>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20%</w:t>
            </w:r>
          </w:p>
        </w:tc>
        <w:tc>
          <w:tcPr>
            <w:tcW w:w="899"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备注</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689"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2020</w:t>
            </w:r>
          </w:p>
        </w:tc>
        <w:tc>
          <w:tcPr>
            <w:tcW w:w="678"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1.408</w:t>
            </w:r>
          </w:p>
        </w:tc>
        <w:tc>
          <w:tcPr>
            <w:tcW w:w="695"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1.267</w:t>
            </w:r>
          </w:p>
        </w:tc>
        <w:tc>
          <w:tcPr>
            <w:tcW w:w="678"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1.155</w:t>
            </w:r>
          </w:p>
        </w:tc>
        <w:tc>
          <w:tcPr>
            <w:tcW w:w="678"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0.962</w:t>
            </w:r>
          </w:p>
        </w:tc>
        <w:tc>
          <w:tcPr>
            <w:tcW w:w="678" w:type="pct"/>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0.764</w:t>
            </w:r>
          </w:p>
        </w:tc>
        <w:tc>
          <w:tcPr>
            <w:tcW w:w="899"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689"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2016</w:t>
            </w:r>
          </w:p>
        </w:tc>
        <w:tc>
          <w:tcPr>
            <w:tcW w:w="678"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 xml:space="preserve">1.435 </w:t>
            </w:r>
          </w:p>
        </w:tc>
        <w:tc>
          <w:tcPr>
            <w:tcW w:w="695"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 xml:space="preserve">1.291 </w:t>
            </w:r>
          </w:p>
        </w:tc>
        <w:tc>
          <w:tcPr>
            <w:tcW w:w="678"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 xml:space="preserve">1.177 </w:t>
            </w:r>
          </w:p>
        </w:tc>
        <w:tc>
          <w:tcPr>
            <w:tcW w:w="678"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 xml:space="preserve">0.980 </w:t>
            </w:r>
          </w:p>
        </w:tc>
        <w:tc>
          <w:tcPr>
            <w:tcW w:w="678" w:type="pct"/>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 xml:space="preserve">0.778 </w:t>
            </w:r>
          </w:p>
        </w:tc>
        <w:tc>
          <w:tcPr>
            <w:tcW w:w="899" w:type="pct"/>
            <w:vMerge w:val="restar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24h</w:t>
            </w:r>
          </w:p>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洪量</w:t>
            </w:r>
          </w:p>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控制</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689"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1998</w:t>
            </w:r>
          </w:p>
        </w:tc>
        <w:tc>
          <w:tcPr>
            <w:tcW w:w="678"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1.453</w:t>
            </w:r>
          </w:p>
        </w:tc>
        <w:tc>
          <w:tcPr>
            <w:tcW w:w="695"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1.307</w:t>
            </w:r>
          </w:p>
        </w:tc>
        <w:tc>
          <w:tcPr>
            <w:tcW w:w="678"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1.191</w:t>
            </w:r>
          </w:p>
        </w:tc>
        <w:tc>
          <w:tcPr>
            <w:tcW w:w="678"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0.992</w:t>
            </w:r>
          </w:p>
        </w:tc>
        <w:tc>
          <w:tcPr>
            <w:tcW w:w="678" w:type="pct"/>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0.787</w:t>
            </w:r>
          </w:p>
        </w:tc>
        <w:tc>
          <w:tcPr>
            <w:tcW w:w="899" w:type="pct"/>
            <w:vMerge w:val="continue"/>
            <w:noWrap/>
            <w:tcMar>
              <w:top w:w="15" w:type="dxa"/>
              <w:left w:w="15" w:type="dxa"/>
              <w:bottom w:w="0" w:type="dxa"/>
              <w:right w:w="15" w:type="dxa"/>
            </w:tcMar>
            <w:vAlign w:val="center"/>
          </w:tcPr>
          <w:p>
            <w:pPr>
              <w:snapToGrid w:val="0"/>
              <w:spacing w:line="240" w:lineRule="exact"/>
              <w:ind w:firstLine="0" w:firstLineChars="0"/>
              <w:jc w:val="center"/>
              <w:rPr>
                <w:rFonts w:hint="eastAsia" w:ascii="楷体_GB2312" w:hAnsi="Calibri" w:eastAsia="楷体_GB2312"/>
                <w:bCs/>
                <w:snapToGrid w:val="0"/>
                <w:kern w:val="0"/>
                <w:sz w:val="21"/>
                <w:szCs w:val="21"/>
              </w:rPr>
            </w:pP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689"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2005</w:t>
            </w:r>
          </w:p>
        </w:tc>
        <w:tc>
          <w:tcPr>
            <w:tcW w:w="678"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2.251</w:t>
            </w:r>
          </w:p>
        </w:tc>
        <w:tc>
          <w:tcPr>
            <w:tcW w:w="695"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2.025</w:t>
            </w:r>
          </w:p>
        </w:tc>
        <w:tc>
          <w:tcPr>
            <w:tcW w:w="678"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1.846</w:t>
            </w:r>
          </w:p>
        </w:tc>
        <w:tc>
          <w:tcPr>
            <w:tcW w:w="678"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1.537</w:t>
            </w:r>
          </w:p>
        </w:tc>
        <w:tc>
          <w:tcPr>
            <w:tcW w:w="678" w:type="pct"/>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1.220</w:t>
            </w:r>
          </w:p>
        </w:tc>
        <w:tc>
          <w:tcPr>
            <w:tcW w:w="899" w:type="pct"/>
            <w:vMerge w:val="continue"/>
            <w:noWrap w:val="0"/>
            <w:vAlign w:val="center"/>
          </w:tcPr>
          <w:p>
            <w:pPr>
              <w:snapToGrid w:val="0"/>
              <w:spacing w:line="240" w:lineRule="exact"/>
              <w:ind w:firstLine="0" w:firstLineChars="0"/>
              <w:jc w:val="center"/>
              <w:rPr>
                <w:rFonts w:hint="eastAsia" w:ascii="楷体_GB2312" w:hAnsi="Calibri" w:eastAsia="楷体_GB2312"/>
                <w:bCs/>
                <w:snapToGrid w:val="0"/>
                <w:kern w:val="0"/>
                <w:sz w:val="21"/>
                <w:szCs w:val="21"/>
              </w:rPr>
            </w:pP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689"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1973</w:t>
            </w:r>
          </w:p>
        </w:tc>
        <w:tc>
          <w:tcPr>
            <w:tcW w:w="678"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 xml:space="preserve">2.175 </w:t>
            </w:r>
          </w:p>
        </w:tc>
        <w:tc>
          <w:tcPr>
            <w:tcW w:w="695"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 xml:space="preserve">1.957 </w:t>
            </w:r>
          </w:p>
        </w:tc>
        <w:tc>
          <w:tcPr>
            <w:tcW w:w="678"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 xml:space="preserve">1.783 </w:t>
            </w:r>
          </w:p>
        </w:tc>
        <w:tc>
          <w:tcPr>
            <w:tcW w:w="678"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 xml:space="preserve">1.485 </w:t>
            </w:r>
          </w:p>
        </w:tc>
        <w:tc>
          <w:tcPr>
            <w:tcW w:w="678" w:type="pct"/>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 xml:space="preserve">1.179 </w:t>
            </w:r>
          </w:p>
        </w:tc>
        <w:tc>
          <w:tcPr>
            <w:tcW w:w="899" w:type="pct"/>
            <w:vMerge w:val="continue"/>
            <w:noWrap w:val="0"/>
            <w:vAlign w:val="center"/>
          </w:tcPr>
          <w:p>
            <w:pPr>
              <w:snapToGrid w:val="0"/>
              <w:spacing w:line="240" w:lineRule="exact"/>
              <w:ind w:firstLine="0" w:firstLineChars="0"/>
              <w:jc w:val="center"/>
              <w:rPr>
                <w:rFonts w:hint="eastAsia" w:ascii="楷体_GB2312" w:hAnsi="Calibri" w:eastAsia="楷体_GB2312"/>
                <w:bCs/>
                <w:snapToGrid w:val="0"/>
                <w:kern w:val="0"/>
                <w:sz w:val="21"/>
                <w:szCs w:val="21"/>
              </w:rPr>
            </w:pP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689"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1976</w:t>
            </w:r>
          </w:p>
        </w:tc>
        <w:tc>
          <w:tcPr>
            <w:tcW w:w="678"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 xml:space="preserve">1.453 </w:t>
            </w:r>
          </w:p>
        </w:tc>
        <w:tc>
          <w:tcPr>
            <w:tcW w:w="695"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 xml:space="preserve">1.307 </w:t>
            </w:r>
          </w:p>
        </w:tc>
        <w:tc>
          <w:tcPr>
            <w:tcW w:w="678"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 xml:space="preserve">1.192 </w:t>
            </w:r>
          </w:p>
        </w:tc>
        <w:tc>
          <w:tcPr>
            <w:tcW w:w="678"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 xml:space="preserve">1.000 </w:t>
            </w:r>
          </w:p>
        </w:tc>
        <w:tc>
          <w:tcPr>
            <w:tcW w:w="678" w:type="pct"/>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 xml:space="preserve">0.788 </w:t>
            </w:r>
          </w:p>
        </w:tc>
        <w:tc>
          <w:tcPr>
            <w:tcW w:w="899" w:type="pct"/>
            <w:vMerge w:val="continue"/>
            <w:noWrap w:val="0"/>
            <w:vAlign w:val="center"/>
          </w:tcPr>
          <w:p>
            <w:pPr>
              <w:snapToGrid w:val="0"/>
              <w:spacing w:line="240" w:lineRule="exact"/>
              <w:ind w:firstLine="0" w:firstLineChars="0"/>
              <w:jc w:val="center"/>
              <w:rPr>
                <w:rFonts w:hint="eastAsia" w:ascii="楷体_GB2312" w:hAnsi="Calibri" w:eastAsia="楷体_GB2312"/>
                <w:bCs/>
                <w:snapToGrid w:val="0"/>
                <w:kern w:val="0"/>
                <w:sz w:val="21"/>
                <w:szCs w:val="21"/>
              </w:rPr>
            </w:pP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689"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1977</w:t>
            </w:r>
          </w:p>
        </w:tc>
        <w:tc>
          <w:tcPr>
            <w:tcW w:w="678"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 xml:space="preserve">1.412 </w:t>
            </w:r>
          </w:p>
        </w:tc>
        <w:tc>
          <w:tcPr>
            <w:tcW w:w="695"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 xml:space="preserve">1.271 </w:t>
            </w:r>
          </w:p>
        </w:tc>
        <w:tc>
          <w:tcPr>
            <w:tcW w:w="678"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 xml:space="preserve">1.158 </w:t>
            </w:r>
          </w:p>
        </w:tc>
        <w:tc>
          <w:tcPr>
            <w:tcW w:w="678"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 xml:space="preserve">1.000 </w:t>
            </w:r>
          </w:p>
        </w:tc>
        <w:tc>
          <w:tcPr>
            <w:tcW w:w="678" w:type="pct"/>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 xml:space="preserve">0.766 </w:t>
            </w:r>
          </w:p>
        </w:tc>
        <w:tc>
          <w:tcPr>
            <w:tcW w:w="899" w:type="pct"/>
            <w:vMerge w:val="continue"/>
            <w:noWrap w:val="0"/>
            <w:vAlign w:val="center"/>
          </w:tcPr>
          <w:p>
            <w:pPr>
              <w:snapToGrid w:val="0"/>
              <w:spacing w:line="240" w:lineRule="exact"/>
              <w:ind w:firstLine="0" w:firstLineChars="0"/>
              <w:jc w:val="center"/>
              <w:rPr>
                <w:rFonts w:hint="eastAsia" w:ascii="楷体_GB2312" w:hAnsi="Calibri" w:eastAsia="楷体_GB2312"/>
                <w:bCs/>
                <w:snapToGrid w:val="0"/>
                <w:kern w:val="0"/>
                <w:sz w:val="21"/>
                <w:szCs w:val="21"/>
              </w:rPr>
            </w:pP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689"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1979</w:t>
            </w:r>
          </w:p>
        </w:tc>
        <w:tc>
          <w:tcPr>
            <w:tcW w:w="678"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 xml:space="preserve">1.452 </w:t>
            </w:r>
          </w:p>
        </w:tc>
        <w:tc>
          <w:tcPr>
            <w:tcW w:w="695"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 xml:space="preserve">1.307 </w:t>
            </w:r>
          </w:p>
        </w:tc>
        <w:tc>
          <w:tcPr>
            <w:tcW w:w="678"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 xml:space="preserve">1.191 </w:t>
            </w:r>
          </w:p>
        </w:tc>
        <w:tc>
          <w:tcPr>
            <w:tcW w:w="678"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 xml:space="preserve">0.992 </w:t>
            </w:r>
          </w:p>
        </w:tc>
        <w:tc>
          <w:tcPr>
            <w:tcW w:w="678" w:type="pct"/>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 xml:space="preserve">0.787 </w:t>
            </w:r>
          </w:p>
        </w:tc>
        <w:tc>
          <w:tcPr>
            <w:tcW w:w="899" w:type="pct"/>
            <w:vMerge w:val="continue"/>
            <w:noWrap w:val="0"/>
            <w:vAlign w:val="center"/>
          </w:tcPr>
          <w:p>
            <w:pPr>
              <w:snapToGrid w:val="0"/>
              <w:spacing w:line="240" w:lineRule="exact"/>
              <w:ind w:firstLine="0" w:firstLineChars="0"/>
              <w:jc w:val="center"/>
              <w:rPr>
                <w:rFonts w:hint="eastAsia" w:ascii="楷体_GB2312" w:hAnsi="Calibri" w:eastAsia="楷体_GB2312"/>
                <w:bCs/>
                <w:snapToGrid w:val="0"/>
                <w:kern w:val="0"/>
                <w:sz w:val="21"/>
                <w:szCs w:val="21"/>
              </w:rPr>
            </w:pP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689"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1980</w:t>
            </w:r>
          </w:p>
        </w:tc>
        <w:tc>
          <w:tcPr>
            <w:tcW w:w="678"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 xml:space="preserve">1.675 </w:t>
            </w:r>
          </w:p>
        </w:tc>
        <w:tc>
          <w:tcPr>
            <w:tcW w:w="695"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 xml:space="preserve">1.507 </w:t>
            </w:r>
          </w:p>
        </w:tc>
        <w:tc>
          <w:tcPr>
            <w:tcW w:w="678"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 xml:space="preserve">1.374 </w:t>
            </w:r>
          </w:p>
        </w:tc>
        <w:tc>
          <w:tcPr>
            <w:tcW w:w="678"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 xml:space="preserve">1.144 </w:t>
            </w:r>
          </w:p>
        </w:tc>
        <w:tc>
          <w:tcPr>
            <w:tcW w:w="678" w:type="pct"/>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 xml:space="preserve">0.908 </w:t>
            </w:r>
          </w:p>
        </w:tc>
        <w:tc>
          <w:tcPr>
            <w:tcW w:w="899" w:type="pct"/>
            <w:vMerge w:val="continue"/>
            <w:noWrap w:val="0"/>
            <w:vAlign w:val="center"/>
          </w:tcPr>
          <w:p>
            <w:pPr>
              <w:snapToGrid w:val="0"/>
              <w:spacing w:line="240" w:lineRule="exact"/>
              <w:ind w:firstLine="0" w:firstLineChars="0"/>
              <w:jc w:val="center"/>
              <w:rPr>
                <w:rFonts w:hint="eastAsia" w:ascii="楷体_GB2312" w:hAnsi="Calibri" w:eastAsia="楷体_GB2312"/>
                <w:bCs/>
                <w:snapToGrid w:val="0"/>
                <w:kern w:val="0"/>
                <w:sz w:val="21"/>
                <w:szCs w:val="21"/>
              </w:rPr>
            </w:pP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689"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1983</w:t>
            </w:r>
          </w:p>
        </w:tc>
        <w:tc>
          <w:tcPr>
            <w:tcW w:w="678"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 xml:space="preserve">1.519 </w:t>
            </w:r>
          </w:p>
        </w:tc>
        <w:tc>
          <w:tcPr>
            <w:tcW w:w="695"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 xml:space="preserve">1.367 </w:t>
            </w:r>
          </w:p>
        </w:tc>
        <w:tc>
          <w:tcPr>
            <w:tcW w:w="678"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 xml:space="preserve">1.246 </w:t>
            </w:r>
          </w:p>
        </w:tc>
        <w:tc>
          <w:tcPr>
            <w:tcW w:w="678" w:type="pct"/>
            <w:noWrap/>
            <w:tcMar>
              <w:top w:w="15" w:type="dxa"/>
              <w:left w:w="15" w:type="dxa"/>
              <w:bottom w:w="0" w:type="dxa"/>
              <w:right w:w="15" w:type="dxa"/>
            </w:tcMar>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 xml:space="preserve">1.038 </w:t>
            </w:r>
          </w:p>
        </w:tc>
        <w:tc>
          <w:tcPr>
            <w:tcW w:w="678" w:type="pct"/>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 xml:space="preserve">0.824 </w:t>
            </w:r>
          </w:p>
        </w:tc>
        <w:tc>
          <w:tcPr>
            <w:tcW w:w="899" w:type="pct"/>
            <w:vMerge w:val="continue"/>
            <w:noWrap w:val="0"/>
            <w:vAlign w:val="center"/>
          </w:tcPr>
          <w:p>
            <w:pPr>
              <w:snapToGrid w:val="0"/>
              <w:spacing w:line="240" w:lineRule="exact"/>
              <w:ind w:firstLine="0" w:firstLineChars="0"/>
              <w:jc w:val="center"/>
              <w:rPr>
                <w:rFonts w:hint="eastAsia" w:ascii="楷体_GB2312" w:hAnsi="Calibri" w:eastAsia="楷体_GB2312"/>
                <w:bCs/>
                <w:snapToGrid w:val="0"/>
                <w:kern w:val="0"/>
                <w:sz w:val="21"/>
                <w:szCs w:val="21"/>
              </w:rPr>
            </w:pPr>
          </w:p>
        </w:tc>
      </w:tr>
    </w:tbl>
    <w:p>
      <w:pPr>
        <w:spacing w:after="60"/>
        <w:ind w:firstLine="240" w:firstLineChars="100"/>
        <w:outlineLvl w:val="5"/>
        <w:rPr>
          <w:rFonts w:hint="eastAsia" w:ascii="Times New Roman" w:hAnsi="Times New Roman" w:eastAsia="黑体" w:cs="Times New Roman"/>
          <w:sz w:val="24"/>
          <w:szCs w:val="20"/>
        </w:rPr>
      </w:pPr>
      <w:r>
        <w:rPr>
          <w:rFonts w:hint="eastAsia" w:ascii="Times New Roman" w:hAnsi="Times New Roman" w:eastAsia="黑体" w:cs="Times New Roman"/>
          <w:sz w:val="24"/>
          <w:szCs w:val="20"/>
        </w:rPr>
        <w:t>表</w:t>
      </w:r>
      <w:r>
        <w:rPr>
          <w:rFonts w:hint="default" w:ascii="Times New Roman" w:hAnsi="Times New Roman" w:eastAsia="黑体" w:cs="Times New Roman"/>
          <w:sz w:val="24"/>
          <w:szCs w:val="20"/>
        </w:rPr>
        <w:t>4</w:t>
      </w:r>
      <w:r>
        <w:rPr>
          <w:rFonts w:hint="eastAsia" w:ascii="Times New Roman" w:hAnsi="Times New Roman" w:eastAsia="黑体" w:cs="Times New Roman"/>
          <w:sz w:val="24"/>
          <w:szCs w:val="20"/>
        </w:rPr>
        <w:t>.4</w:t>
      </w:r>
      <w:r>
        <w:rPr>
          <w:rFonts w:hint="eastAsia" w:ascii="Times New Roman" w:hAnsi="Times New Roman" w:eastAsia="黑体" w:cs="Times New Roman"/>
          <w:sz w:val="24"/>
          <w:szCs w:val="20"/>
          <w:lang w:eastAsia="zh-CN"/>
        </w:rPr>
        <w:t>—</w:t>
      </w:r>
      <w:r>
        <w:rPr>
          <w:rFonts w:hint="default" w:ascii="Times New Roman" w:hAnsi="Times New Roman" w:eastAsia="黑体" w:cs="Times New Roman"/>
          <w:sz w:val="24"/>
          <w:szCs w:val="20"/>
        </w:rPr>
        <w:t>1</w:t>
      </w:r>
      <w:r>
        <w:rPr>
          <w:rFonts w:hint="eastAsia" w:ascii="Times New Roman" w:hAnsi="Times New Roman" w:eastAsia="黑体" w:cs="Times New Roman"/>
          <w:sz w:val="24"/>
          <w:szCs w:val="20"/>
        </w:rPr>
        <w:t>7　　　　　　　　整体设计洪水各典型洪峰放大倍比</w:t>
      </w:r>
    </w:p>
    <w:tbl>
      <w:tblPr>
        <w:tblStyle w:val="88"/>
        <w:tblW w:w="5000"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108" w:type="dxa"/>
          <w:bottom w:w="0" w:type="dxa"/>
          <w:right w:w="108" w:type="dxa"/>
        </w:tblCellMar>
      </w:tblPr>
      <w:tblGrid>
        <w:gridCol w:w="1204"/>
        <w:gridCol w:w="1620"/>
        <w:gridCol w:w="1620"/>
        <w:gridCol w:w="1620"/>
        <w:gridCol w:w="1620"/>
        <w:gridCol w:w="1603"/>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648"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年份</w:t>
            </w:r>
          </w:p>
        </w:tc>
        <w:tc>
          <w:tcPr>
            <w:tcW w:w="872"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w:t>
            </w:r>
          </w:p>
        </w:tc>
        <w:tc>
          <w:tcPr>
            <w:tcW w:w="872"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3.33%</w:t>
            </w:r>
          </w:p>
        </w:tc>
        <w:tc>
          <w:tcPr>
            <w:tcW w:w="872"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5%</w:t>
            </w:r>
          </w:p>
        </w:tc>
        <w:tc>
          <w:tcPr>
            <w:tcW w:w="872"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10%</w:t>
            </w:r>
          </w:p>
        </w:tc>
        <w:tc>
          <w:tcPr>
            <w:tcW w:w="863" w:type="pct"/>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648"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2020</w:t>
            </w:r>
          </w:p>
        </w:tc>
        <w:tc>
          <w:tcPr>
            <w:tcW w:w="872"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1.175</w:t>
            </w:r>
          </w:p>
        </w:tc>
        <w:tc>
          <w:tcPr>
            <w:tcW w:w="872"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1.065</w:t>
            </w:r>
          </w:p>
        </w:tc>
        <w:tc>
          <w:tcPr>
            <w:tcW w:w="872"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0.972</w:t>
            </w:r>
          </w:p>
        </w:tc>
        <w:tc>
          <w:tcPr>
            <w:tcW w:w="872"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0.814</w:t>
            </w:r>
          </w:p>
        </w:tc>
        <w:tc>
          <w:tcPr>
            <w:tcW w:w="863" w:type="pct"/>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0.650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648"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2016</w:t>
            </w:r>
          </w:p>
        </w:tc>
        <w:tc>
          <w:tcPr>
            <w:tcW w:w="872"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1.644</w:t>
            </w:r>
          </w:p>
        </w:tc>
        <w:tc>
          <w:tcPr>
            <w:tcW w:w="872"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1.489</w:t>
            </w:r>
          </w:p>
        </w:tc>
        <w:tc>
          <w:tcPr>
            <w:tcW w:w="872"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1.359</w:t>
            </w:r>
          </w:p>
        </w:tc>
        <w:tc>
          <w:tcPr>
            <w:tcW w:w="872"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1.138</w:t>
            </w:r>
          </w:p>
        </w:tc>
        <w:tc>
          <w:tcPr>
            <w:tcW w:w="863" w:type="pct"/>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0.909</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648"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1998</w:t>
            </w:r>
          </w:p>
        </w:tc>
        <w:tc>
          <w:tcPr>
            <w:tcW w:w="872"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1.185</w:t>
            </w:r>
          </w:p>
        </w:tc>
        <w:tc>
          <w:tcPr>
            <w:tcW w:w="872"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1.074</w:t>
            </w:r>
          </w:p>
        </w:tc>
        <w:tc>
          <w:tcPr>
            <w:tcW w:w="872"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0.980</w:t>
            </w:r>
          </w:p>
        </w:tc>
        <w:tc>
          <w:tcPr>
            <w:tcW w:w="872"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0.821</w:t>
            </w:r>
          </w:p>
        </w:tc>
        <w:tc>
          <w:tcPr>
            <w:tcW w:w="863" w:type="pct"/>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0.655</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648"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2005</w:t>
            </w:r>
          </w:p>
        </w:tc>
        <w:tc>
          <w:tcPr>
            <w:tcW w:w="872"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2.419</w:t>
            </w:r>
          </w:p>
        </w:tc>
        <w:tc>
          <w:tcPr>
            <w:tcW w:w="872"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2.191</w:t>
            </w:r>
          </w:p>
        </w:tc>
        <w:tc>
          <w:tcPr>
            <w:tcW w:w="872"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2.000</w:t>
            </w:r>
          </w:p>
        </w:tc>
        <w:tc>
          <w:tcPr>
            <w:tcW w:w="872"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1.675</w:t>
            </w:r>
          </w:p>
        </w:tc>
        <w:tc>
          <w:tcPr>
            <w:tcW w:w="863" w:type="pct"/>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1.337</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648"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1973</w:t>
            </w:r>
          </w:p>
        </w:tc>
        <w:tc>
          <w:tcPr>
            <w:tcW w:w="872"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2.156</w:t>
            </w:r>
          </w:p>
        </w:tc>
        <w:tc>
          <w:tcPr>
            <w:tcW w:w="872"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1.953</w:t>
            </w:r>
          </w:p>
        </w:tc>
        <w:tc>
          <w:tcPr>
            <w:tcW w:w="872"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1.783</w:t>
            </w:r>
          </w:p>
        </w:tc>
        <w:tc>
          <w:tcPr>
            <w:tcW w:w="872"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1.493</w:t>
            </w:r>
          </w:p>
        </w:tc>
        <w:tc>
          <w:tcPr>
            <w:tcW w:w="863" w:type="pct"/>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1.192</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648"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1976</w:t>
            </w:r>
          </w:p>
        </w:tc>
        <w:tc>
          <w:tcPr>
            <w:tcW w:w="872"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1.499</w:t>
            </w:r>
          </w:p>
        </w:tc>
        <w:tc>
          <w:tcPr>
            <w:tcW w:w="872"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1.358</w:t>
            </w:r>
          </w:p>
        </w:tc>
        <w:tc>
          <w:tcPr>
            <w:tcW w:w="872"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1.239</w:t>
            </w:r>
          </w:p>
        </w:tc>
        <w:tc>
          <w:tcPr>
            <w:tcW w:w="872"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1.038</w:t>
            </w:r>
          </w:p>
        </w:tc>
        <w:tc>
          <w:tcPr>
            <w:tcW w:w="863" w:type="pct"/>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0.829</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648"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1977</w:t>
            </w:r>
          </w:p>
        </w:tc>
        <w:tc>
          <w:tcPr>
            <w:tcW w:w="872"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1.518</w:t>
            </w:r>
          </w:p>
        </w:tc>
        <w:tc>
          <w:tcPr>
            <w:tcW w:w="872"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1.375</w:t>
            </w:r>
          </w:p>
        </w:tc>
        <w:tc>
          <w:tcPr>
            <w:tcW w:w="872"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1.255</w:t>
            </w:r>
          </w:p>
        </w:tc>
        <w:tc>
          <w:tcPr>
            <w:tcW w:w="872"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1.051</w:t>
            </w:r>
          </w:p>
        </w:tc>
        <w:tc>
          <w:tcPr>
            <w:tcW w:w="863" w:type="pct"/>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0.839</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648"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1979</w:t>
            </w:r>
          </w:p>
        </w:tc>
        <w:tc>
          <w:tcPr>
            <w:tcW w:w="872"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1.495</w:t>
            </w:r>
          </w:p>
        </w:tc>
        <w:tc>
          <w:tcPr>
            <w:tcW w:w="872"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1.354</w:t>
            </w:r>
          </w:p>
        </w:tc>
        <w:tc>
          <w:tcPr>
            <w:tcW w:w="872"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1.236</w:t>
            </w:r>
          </w:p>
        </w:tc>
        <w:tc>
          <w:tcPr>
            <w:tcW w:w="872"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1.035</w:t>
            </w:r>
          </w:p>
        </w:tc>
        <w:tc>
          <w:tcPr>
            <w:tcW w:w="863" w:type="pct"/>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0.827</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648"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1980</w:t>
            </w:r>
          </w:p>
        </w:tc>
        <w:tc>
          <w:tcPr>
            <w:tcW w:w="872"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1.681</w:t>
            </w:r>
          </w:p>
        </w:tc>
        <w:tc>
          <w:tcPr>
            <w:tcW w:w="872"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1.523</w:t>
            </w:r>
          </w:p>
        </w:tc>
        <w:tc>
          <w:tcPr>
            <w:tcW w:w="872"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1.390</w:t>
            </w:r>
          </w:p>
        </w:tc>
        <w:tc>
          <w:tcPr>
            <w:tcW w:w="872"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1.164</w:t>
            </w:r>
          </w:p>
        </w:tc>
        <w:tc>
          <w:tcPr>
            <w:tcW w:w="863" w:type="pct"/>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0.929</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648"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1983</w:t>
            </w:r>
          </w:p>
        </w:tc>
        <w:tc>
          <w:tcPr>
            <w:tcW w:w="872"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1.617</w:t>
            </w:r>
          </w:p>
        </w:tc>
        <w:tc>
          <w:tcPr>
            <w:tcW w:w="872"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1.465</w:t>
            </w:r>
          </w:p>
        </w:tc>
        <w:tc>
          <w:tcPr>
            <w:tcW w:w="872"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1.337</w:t>
            </w:r>
          </w:p>
        </w:tc>
        <w:tc>
          <w:tcPr>
            <w:tcW w:w="872" w:type="pct"/>
            <w:noWrap/>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1.120</w:t>
            </w:r>
          </w:p>
        </w:tc>
        <w:tc>
          <w:tcPr>
            <w:tcW w:w="863" w:type="pct"/>
            <w:noWrap w:val="0"/>
            <w:vAlign w:val="center"/>
          </w:tcPr>
          <w:p>
            <w:pPr>
              <w:adjustRightInd w:val="0"/>
              <w:snapToGrid w:val="0"/>
              <w:spacing w:line="240" w:lineRule="exact"/>
              <w:ind w:firstLine="0" w:firstLineChars="0"/>
              <w:jc w:val="center"/>
              <w:rPr>
                <w:rFonts w:hint="eastAsia" w:ascii="楷体_GB2312" w:hAnsi="Calibri" w:eastAsia="楷体_GB2312"/>
                <w:kern w:val="0"/>
                <w:sz w:val="21"/>
                <w:szCs w:val="21"/>
              </w:rPr>
            </w:pPr>
            <w:r>
              <w:rPr>
                <w:rFonts w:hint="eastAsia" w:ascii="楷体_GB2312" w:hAnsi="Calibri" w:eastAsia="楷体_GB2312"/>
                <w:kern w:val="0"/>
                <w:sz w:val="21"/>
                <w:szCs w:val="21"/>
              </w:rPr>
              <w:t>0.894</w:t>
            </w:r>
          </w:p>
        </w:tc>
      </w:tr>
    </w:tbl>
    <w:p>
      <w:pPr>
        <w:adjustRightInd w:val="0"/>
        <w:snapToGrid w:val="0"/>
        <w:spacing w:line="240" w:lineRule="auto"/>
        <w:ind w:firstLine="0" w:firstLineChars="0"/>
        <w:jc w:val="center"/>
        <w:rPr>
          <w:rFonts w:hint="eastAsia" w:ascii="黑体" w:eastAsia="黑体" w:cs="宋体"/>
          <w:snapToGrid w:val="0"/>
          <w:sz w:val="24"/>
          <w:szCs w:val="20"/>
        </w:rPr>
      </w:pPr>
      <w:r>
        <w:rPr>
          <w:rFonts w:ascii="黑体" w:eastAsia="黑体" w:cs="宋体"/>
          <w:snapToGrid w:val="0"/>
          <w:sz w:val="24"/>
          <w:szCs w:val="20"/>
        </w:rPr>
        <w:drawing>
          <wp:inline distT="0" distB="0" distL="114300" distR="114300">
            <wp:extent cx="4319905" cy="2635250"/>
            <wp:effectExtent l="0" t="0" r="4445" b="12700"/>
            <wp:docPr id="102" name="图片 777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2" name="图片 7773"/>
                    <pic:cNvPicPr>
                      <a:picLocks noChangeAspect="true"/>
                    </pic:cNvPicPr>
                  </pic:nvPicPr>
                  <pic:blipFill>
                    <a:blip r:embed="rId141"/>
                    <a:stretch>
                      <a:fillRect/>
                    </a:stretch>
                  </pic:blipFill>
                  <pic:spPr>
                    <a:xfrm>
                      <a:off x="0" y="0"/>
                      <a:ext cx="4319905" cy="2635250"/>
                    </a:xfrm>
                    <a:prstGeom prst="rect">
                      <a:avLst/>
                    </a:prstGeom>
                    <a:noFill/>
                    <a:ln>
                      <a:noFill/>
                    </a:ln>
                  </pic:spPr>
                </pic:pic>
              </a:graphicData>
            </a:graphic>
          </wp:inline>
        </w:drawing>
      </w:r>
    </w:p>
    <w:p>
      <w:pPr>
        <w:spacing w:line="240" w:lineRule="auto"/>
        <w:ind w:firstLine="0" w:firstLineChars="0"/>
        <w:jc w:val="center"/>
        <w:outlineLvl w:val="7"/>
        <w:rPr>
          <w:rFonts w:hint="default" w:ascii="Times New Roman" w:hAnsi="Times New Roman" w:eastAsia="黑体" w:cs="Times New Roman"/>
          <w:sz w:val="24"/>
          <w:szCs w:val="20"/>
        </w:rPr>
      </w:pPr>
      <w:r>
        <w:rPr>
          <w:rFonts w:hint="default" w:ascii="Times New Roman" w:hAnsi="Times New Roman" w:eastAsia="黑体" w:cs="Times New Roman"/>
          <w:sz w:val="24"/>
          <w:szCs w:val="20"/>
        </w:rPr>
        <w:t>图4.4</w:t>
      </w:r>
      <w:r>
        <w:rPr>
          <w:rFonts w:hint="default" w:ascii="Times New Roman" w:hAnsi="Times New Roman" w:eastAsia="黑体" w:cs="Times New Roman"/>
          <w:sz w:val="24"/>
          <w:szCs w:val="20"/>
          <w:lang w:eastAsia="zh-CN"/>
        </w:rPr>
        <w:t>—</w:t>
      </w:r>
      <w:r>
        <w:rPr>
          <w:rFonts w:hint="default" w:ascii="Times New Roman" w:hAnsi="Times New Roman" w:eastAsia="黑体" w:cs="Times New Roman"/>
          <w:sz w:val="24"/>
          <w:szCs w:val="20"/>
        </w:rPr>
        <w:t>5　　1973年典型洪水组成过程（p=2%）</w:t>
      </w:r>
    </w:p>
    <w:p>
      <w:pPr>
        <w:adjustRightInd w:val="0"/>
        <w:snapToGrid w:val="0"/>
        <w:spacing w:line="240" w:lineRule="auto"/>
        <w:ind w:firstLine="0" w:firstLineChars="0"/>
        <w:jc w:val="center"/>
        <w:rPr>
          <w:rFonts w:hint="eastAsia" w:ascii="黑体" w:eastAsia="黑体" w:cs="宋体"/>
          <w:snapToGrid w:val="0"/>
          <w:sz w:val="24"/>
          <w:szCs w:val="20"/>
        </w:rPr>
      </w:pPr>
      <w:r>
        <w:rPr>
          <w:rFonts w:ascii="黑体" w:eastAsia="黑体" w:cs="宋体"/>
          <w:snapToGrid w:val="0"/>
          <w:sz w:val="24"/>
          <w:szCs w:val="20"/>
        </w:rPr>
        <w:drawing>
          <wp:inline distT="0" distB="0" distL="114300" distR="114300">
            <wp:extent cx="4319905" cy="2635250"/>
            <wp:effectExtent l="0" t="0" r="4445" b="12700"/>
            <wp:docPr id="103" name="图片 777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3" name="图片 7776"/>
                    <pic:cNvPicPr>
                      <a:picLocks noChangeAspect="true"/>
                    </pic:cNvPicPr>
                  </pic:nvPicPr>
                  <pic:blipFill>
                    <a:blip r:embed="rId142"/>
                    <a:stretch>
                      <a:fillRect/>
                    </a:stretch>
                  </pic:blipFill>
                  <pic:spPr>
                    <a:xfrm>
                      <a:off x="0" y="0"/>
                      <a:ext cx="4319905" cy="2635250"/>
                    </a:xfrm>
                    <a:prstGeom prst="rect">
                      <a:avLst/>
                    </a:prstGeom>
                    <a:noFill/>
                    <a:ln>
                      <a:noFill/>
                    </a:ln>
                  </pic:spPr>
                </pic:pic>
              </a:graphicData>
            </a:graphic>
          </wp:inline>
        </w:drawing>
      </w:r>
    </w:p>
    <w:p>
      <w:pPr>
        <w:spacing w:line="240" w:lineRule="auto"/>
        <w:ind w:firstLine="0" w:firstLineChars="0"/>
        <w:jc w:val="center"/>
        <w:outlineLvl w:val="7"/>
        <w:rPr>
          <w:rFonts w:hint="default" w:ascii="Times New Roman" w:hAnsi="Times New Roman" w:eastAsia="黑体" w:cs="Times New Roman"/>
          <w:sz w:val="24"/>
          <w:szCs w:val="20"/>
        </w:rPr>
      </w:pPr>
      <w:r>
        <w:rPr>
          <w:rFonts w:hint="default" w:ascii="Times New Roman" w:hAnsi="Times New Roman" w:eastAsia="黑体" w:cs="Times New Roman"/>
          <w:sz w:val="24"/>
          <w:szCs w:val="20"/>
        </w:rPr>
        <w:t>图4.4</w:t>
      </w:r>
      <w:r>
        <w:rPr>
          <w:rFonts w:hint="default" w:ascii="Times New Roman" w:hAnsi="Times New Roman" w:eastAsia="黑体" w:cs="Times New Roman"/>
          <w:sz w:val="24"/>
          <w:szCs w:val="20"/>
          <w:lang w:eastAsia="zh-CN"/>
        </w:rPr>
        <w:t>—</w:t>
      </w:r>
      <w:r>
        <w:rPr>
          <w:rFonts w:hint="default" w:ascii="Times New Roman" w:hAnsi="Times New Roman" w:eastAsia="黑体" w:cs="Times New Roman"/>
          <w:sz w:val="24"/>
          <w:szCs w:val="20"/>
        </w:rPr>
        <w:t>6　　1976年典型洪水组成过程（p=2%）</w:t>
      </w:r>
    </w:p>
    <w:p>
      <w:pPr>
        <w:adjustRightInd w:val="0"/>
        <w:snapToGrid w:val="0"/>
        <w:spacing w:line="240" w:lineRule="auto"/>
        <w:ind w:firstLine="0" w:firstLineChars="0"/>
        <w:jc w:val="center"/>
        <w:rPr>
          <w:rFonts w:hint="eastAsia" w:ascii="黑体" w:eastAsia="黑体" w:cs="宋体"/>
          <w:snapToGrid w:val="0"/>
          <w:sz w:val="24"/>
          <w:szCs w:val="20"/>
        </w:rPr>
      </w:pPr>
      <w:r>
        <w:rPr>
          <w:rFonts w:ascii="黑体" w:eastAsia="黑体" w:cs="宋体"/>
          <w:snapToGrid w:val="0"/>
          <w:sz w:val="24"/>
          <w:szCs w:val="20"/>
        </w:rPr>
        <w:drawing>
          <wp:inline distT="0" distB="0" distL="114300" distR="114300">
            <wp:extent cx="4319905" cy="2282825"/>
            <wp:effectExtent l="0" t="0" r="4445" b="3175"/>
            <wp:docPr id="104" name="图片 777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4" name="图片 7775"/>
                    <pic:cNvPicPr>
                      <a:picLocks noChangeAspect="true"/>
                    </pic:cNvPicPr>
                  </pic:nvPicPr>
                  <pic:blipFill>
                    <a:blip r:embed="rId143"/>
                    <a:stretch>
                      <a:fillRect/>
                    </a:stretch>
                  </pic:blipFill>
                  <pic:spPr>
                    <a:xfrm>
                      <a:off x="0" y="0"/>
                      <a:ext cx="4319905" cy="2282825"/>
                    </a:xfrm>
                    <a:prstGeom prst="rect">
                      <a:avLst/>
                    </a:prstGeom>
                    <a:noFill/>
                    <a:ln>
                      <a:noFill/>
                    </a:ln>
                  </pic:spPr>
                </pic:pic>
              </a:graphicData>
            </a:graphic>
          </wp:inline>
        </w:drawing>
      </w:r>
    </w:p>
    <w:p>
      <w:pPr>
        <w:spacing w:line="240" w:lineRule="auto"/>
        <w:ind w:firstLine="0" w:firstLineChars="0"/>
        <w:jc w:val="center"/>
        <w:outlineLvl w:val="7"/>
        <w:rPr>
          <w:rFonts w:hint="default" w:ascii="Times New Roman" w:hAnsi="Times New Roman" w:eastAsia="黑体" w:cs="Times New Roman"/>
          <w:sz w:val="24"/>
          <w:szCs w:val="20"/>
        </w:rPr>
      </w:pPr>
      <w:r>
        <w:rPr>
          <w:rFonts w:hint="default" w:ascii="Times New Roman" w:hAnsi="Times New Roman" w:eastAsia="黑体" w:cs="Times New Roman"/>
          <w:sz w:val="24"/>
          <w:szCs w:val="20"/>
        </w:rPr>
        <w:t>图4.4</w:t>
      </w:r>
      <w:r>
        <w:rPr>
          <w:rFonts w:hint="default" w:ascii="Times New Roman" w:hAnsi="Times New Roman" w:eastAsia="黑体" w:cs="Times New Roman"/>
          <w:sz w:val="24"/>
          <w:szCs w:val="20"/>
          <w:lang w:eastAsia="zh-CN"/>
        </w:rPr>
        <w:t>—</w:t>
      </w:r>
      <w:r>
        <w:rPr>
          <w:rFonts w:hint="default" w:ascii="Times New Roman" w:hAnsi="Times New Roman" w:eastAsia="黑体" w:cs="Times New Roman"/>
          <w:sz w:val="24"/>
          <w:szCs w:val="20"/>
        </w:rPr>
        <w:t>7　　1977年典型洪水组成过程（p=2%）</w:t>
      </w:r>
    </w:p>
    <w:p>
      <w:pPr>
        <w:adjustRightInd w:val="0"/>
        <w:snapToGrid w:val="0"/>
        <w:spacing w:line="240" w:lineRule="auto"/>
        <w:ind w:firstLine="0" w:firstLineChars="0"/>
        <w:jc w:val="center"/>
        <w:rPr>
          <w:rFonts w:hint="eastAsia" w:ascii="黑体" w:eastAsia="黑体" w:cs="宋体"/>
          <w:snapToGrid w:val="0"/>
          <w:sz w:val="24"/>
          <w:szCs w:val="20"/>
        </w:rPr>
      </w:pPr>
      <w:r>
        <w:rPr>
          <w:rFonts w:ascii="黑体" w:eastAsia="黑体" w:cs="宋体"/>
          <w:snapToGrid w:val="0"/>
          <w:sz w:val="24"/>
          <w:szCs w:val="20"/>
        </w:rPr>
        <w:drawing>
          <wp:inline distT="0" distB="0" distL="114300" distR="114300">
            <wp:extent cx="4319905" cy="2635250"/>
            <wp:effectExtent l="0" t="0" r="4445" b="12700"/>
            <wp:docPr id="105" name="图片 778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5" name="图片 7785"/>
                    <pic:cNvPicPr>
                      <a:picLocks noChangeAspect="true"/>
                    </pic:cNvPicPr>
                  </pic:nvPicPr>
                  <pic:blipFill>
                    <a:blip r:embed="rId144"/>
                    <a:stretch>
                      <a:fillRect/>
                    </a:stretch>
                  </pic:blipFill>
                  <pic:spPr>
                    <a:xfrm>
                      <a:off x="0" y="0"/>
                      <a:ext cx="4319905" cy="2635250"/>
                    </a:xfrm>
                    <a:prstGeom prst="rect">
                      <a:avLst/>
                    </a:prstGeom>
                    <a:noFill/>
                    <a:ln>
                      <a:noFill/>
                    </a:ln>
                  </pic:spPr>
                </pic:pic>
              </a:graphicData>
            </a:graphic>
          </wp:inline>
        </w:drawing>
      </w:r>
    </w:p>
    <w:p>
      <w:pPr>
        <w:spacing w:line="240" w:lineRule="auto"/>
        <w:ind w:firstLine="0" w:firstLineChars="0"/>
        <w:jc w:val="center"/>
        <w:outlineLvl w:val="7"/>
        <w:rPr>
          <w:rFonts w:hint="default" w:ascii="Times New Roman" w:hAnsi="Times New Roman" w:eastAsia="黑体" w:cs="Times New Roman"/>
          <w:sz w:val="24"/>
          <w:szCs w:val="20"/>
        </w:rPr>
      </w:pPr>
      <w:r>
        <w:rPr>
          <w:rFonts w:hint="default" w:ascii="Times New Roman" w:hAnsi="Times New Roman" w:eastAsia="黑体" w:cs="Times New Roman"/>
          <w:sz w:val="24"/>
          <w:szCs w:val="20"/>
        </w:rPr>
        <w:t>图4.4</w:t>
      </w:r>
      <w:r>
        <w:rPr>
          <w:rFonts w:hint="default" w:ascii="Times New Roman" w:hAnsi="Times New Roman" w:eastAsia="黑体" w:cs="Times New Roman"/>
          <w:sz w:val="24"/>
          <w:szCs w:val="20"/>
          <w:lang w:eastAsia="zh-CN"/>
        </w:rPr>
        <w:t>—</w:t>
      </w:r>
      <w:r>
        <w:rPr>
          <w:rFonts w:hint="default" w:ascii="Times New Roman" w:hAnsi="Times New Roman" w:eastAsia="黑体" w:cs="Times New Roman"/>
          <w:sz w:val="24"/>
          <w:szCs w:val="20"/>
        </w:rPr>
        <w:t>8　　1979年典型洪水组成过程（p=2%）</w:t>
      </w:r>
    </w:p>
    <w:p>
      <w:pPr>
        <w:adjustRightInd w:val="0"/>
        <w:snapToGrid w:val="0"/>
        <w:spacing w:line="240" w:lineRule="auto"/>
        <w:ind w:firstLine="0" w:firstLineChars="0"/>
        <w:jc w:val="center"/>
        <w:rPr>
          <w:rFonts w:hint="eastAsia" w:ascii="黑体" w:eastAsia="黑体" w:cs="宋体"/>
          <w:snapToGrid w:val="0"/>
          <w:sz w:val="24"/>
          <w:szCs w:val="20"/>
        </w:rPr>
      </w:pPr>
      <w:r>
        <w:rPr>
          <w:rFonts w:ascii="黑体" w:eastAsia="黑体" w:cs="宋体"/>
          <w:snapToGrid w:val="0"/>
          <w:sz w:val="24"/>
          <w:szCs w:val="20"/>
        </w:rPr>
        <w:drawing>
          <wp:inline distT="0" distB="0" distL="114300" distR="114300">
            <wp:extent cx="4319905" cy="2635250"/>
            <wp:effectExtent l="0" t="0" r="4445" b="12700"/>
            <wp:docPr id="106" name="图片 777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6" name="图片 7778"/>
                    <pic:cNvPicPr>
                      <a:picLocks noChangeAspect="true"/>
                    </pic:cNvPicPr>
                  </pic:nvPicPr>
                  <pic:blipFill>
                    <a:blip r:embed="rId145"/>
                    <a:stretch>
                      <a:fillRect/>
                    </a:stretch>
                  </pic:blipFill>
                  <pic:spPr>
                    <a:xfrm>
                      <a:off x="0" y="0"/>
                      <a:ext cx="4319905" cy="2635250"/>
                    </a:xfrm>
                    <a:prstGeom prst="rect">
                      <a:avLst/>
                    </a:prstGeom>
                    <a:noFill/>
                    <a:ln>
                      <a:noFill/>
                    </a:ln>
                  </pic:spPr>
                </pic:pic>
              </a:graphicData>
            </a:graphic>
          </wp:inline>
        </w:drawing>
      </w:r>
    </w:p>
    <w:p>
      <w:pPr>
        <w:spacing w:line="240" w:lineRule="auto"/>
        <w:ind w:firstLine="0" w:firstLineChars="0"/>
        <w:jc w:val="center"/>
        <w:outlineLvl w:val="7"/>
        <w:rPr>
          <w:rFonts w:hint="default" w:ascii="Times New Roman" w:hAnsi="Times New Roman" w:eastAsia="黑体" w:cs="Times New Roman"/>
          <w:sz w:val="24"/>
          <w:szCs w:val="20"/>
        </w:rPr>
      </w:pPr>
      <w:r>
        <w:rPr>
          <w:rFonts w:hint="default" w:ascii="Times New Roman" w:hAnsi="Times New Roman" w:eastAsia="黑体" w:cs="Times New Roman"/>
          <w:sz w:val="24"/>
          <w:szCs w:val="20"/>
        </w:rPr>
        <w:t>图4.4</w:t>
      </w:r>
      <w:r>
        <w:rPr>
          <w:rFonts w:hint="default" w:ascii="Times New Roman" w:hAnsi="Times New Roman" w:eastAsia="黑体" w:cs="Times New Roman"/>
          <w:sz w:val="24"/>
          <w:szCs w:val="20"/>
          <w:lang w:eastAsia="zh-CN"/>
        </w:rPr>
        <w:t>—</w:t>
      </w:r>
      <w:r>
        <w:rPr>
          <w:rFonts w:hint="default" w:ascii="Times New Roman" w:hAnsi="Times New Roman" w:eastAsia="黑体" w:cs="Times New Roman"/>
          <w:sz w:val="24"/>
          <w:szCs w:val="20"/>
        </w:rPr>
        <w:t>9　　1980年典型洪水组成过程（p=2%）</w:t>
      </w:r>
    </w:p>
    <w:p>
      <w:pPr>
        <w:adjustRightInd w:val="0"/>
        <w:snapToGrid w:val="0"/>
        <w:spacing w:line="240" w:lineRule="auto"/>
        <w:ind w:firstLine="0" w:firstLineChars="0"/>
        <w:jc w:val="center"/>
        <w:rPr>
          <w:rFonts w:hint="eastAsia" w:ascii="黑体" w:eastAsia="黑体" w:cs="宋体"/>
          <w:snapToGrid w:val="0"/>
          <w:sz w:val="24"/>
          <w:szCs w:val="20"/>
        </w:rPr>
      </w:pPr>
      <w:r>
        <w:rPr>
          <w:rFonts w:ascii="黑体" w:eastAsia="黑体" w:cs="宋体"/>
          <w:snapToGrid w:val="0"/>
          <w:sz w:val="24"/>
          <w:szCs w:val="20"/>
        </w:rPr>
        <w:drawing>
          <wp:inline distT="0" distB="0" distL="114300" distR="114300">
            <wp:extent cx="4243705" cy="2588895"/>
            <wp:effectExtent l="0" t="0" r="4445" b="1905"/>
            <wp:docPr id="107" name="图片 777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7" name="图片 7779"/>
                    <pic:cNvPicPr>
                      <a:picLocks noChangeAspect="true"/>
                    </pic:cNvPicPr>
                  </pic:nvPicPr>
                  <pic:blipFill>
                    <a:blip r:embed="rId146"/>
                    <a:stretch>
                      <a:fillRect/>
                    </a:stretch>
                  </pic:blipFill>
                  <pic:spPr>
                    <a:xfrm>
                      <a:off x="0" y="0"/>
                      <a:ext cx="4243705" cy="2588895"/>
                    </a:xfrm>
                    <a:prstGeom prst="rect">
                      <a:avLst/>
                    </a:prstGeom>
                    <a:noFill/>
                    <a:ln>
                      <a:noFill/>
                    </a:ln>
                  </pic:spPr>
                </pic:pic>
              </a:graphicData>
            </a:graphic>
          </wp:inline>
        </w:drawing>
      </w:r>
    </w:p>
    <w:p>
      <w:pPr>
        <w:spacing w:line="240" w:lineRule="auto"/>
        <w:ind w:firstLine="0" w:firstLineChars="0"/>
        <w:jc w:val="center"/>
        <w:outlineLvl w:val="7"/>
        <w:rPr>
          <w:rFonts w:hint="default" w:ascii="Times New Roman" w:hAnsi="Times New Roman" w:eastAsia="黑体" w:cs="Times New Roman"/>
          <w:sz w:val="24"/>
          <w:szCs w:val="20"/>
        </w:rPr>
      </w:pPr>
      <w:r>
        <w:rPr>
          <w:rFonts w:hint="default" w:ascii="Times New Roman" w:hAnsi="Times New Roman" w:eastAsia="黑体" w:cs="Times New Roman"/>
          <w:sz w:val="24"/>
          <w:szCs w:val="20"/>
        </w:rPr>
        <w:t>图4.4</w:t>
      </w:r>
      <w:r>
        <w:rPr>
          <w:rFonts w:hint="default" w:ascii="Times New Roman" w:hAnsi="Times New Roman" w:eastAsia="黑体" w:cs="Times New Roman"/>
          <w:sz w:val="24"/>
          <w:szCs w:val="20"/>
          <w:lang w:eastAsia="zh-CN"/>
        </w:rPr>
        <w:t>—</w:t>
      </w:r>
      <w:r>
        <w:rPr>
          <w:rFonts w:hint="default" w:ascii="Times New Roman" w:hAnsi="Times New Roman" w:eastAsia="黑体" w:cs="Times New Roman"/>
          <w:sz w:val="24"/>
          <w:szCs w:val="20"/>
        </w:rPr>
        <w:t>10　　1983年典型洪水组成过程（p=2%）</w:t>
      </w:r>
    </w:p>
    <w:p>
      <w:pPr>
        <w:adjustRightInd w:val="0"/>
        <w:snapToGrid w:val="0"/>
        <w:spacing w:line="240" w:lineRule="auto"/>
        <w:ind w:firstLine="0" w:firstLineChars="0"/>
        <w:jc w:val="center"/>
        <w:rPr>
          <w:rFonts w:hint="eastAsia" w:ascii="黑体" w:eastAsia="黑体" w:cs="宋体"/>
          <w:snapToGrid w:val="0"/>
          <w:sz w:val="24"/>
          <w:szCs w:val="20"/>
        </w:rPr>
      </w:pPr>
      <w:r>
        <w:rPr>
          <w:rFonts w:ascii="黑体" w:eastAsia="黑体" w:cs="宋体"/>
          <w:snapToGrid w:val="0"/>
          <w:sz w:val="24"/>
          <w:szCs w:val="20"/>
        </w:rPr>
        <w:drawing>
          <wp:inline distT="0" distB="0" distL="114300" distR="114300">
            <wp:extent cx="4319905" cy="2635250"/>
            <wp:effectExtent l="0" t="0" r="4445" b="12700"/>
            <wp:docPr id="108" name="图片 778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8" name="图片 7786"/>
                    <pic:cNvPicPr>
                      <a:picLocks noChangeAspect="true"/>
                    </pic:cNvPicPr>
                  </pic:nvPicPr>
                  <pic:blipFill>
                    <a:blip r:embed="rId147"/>
                    <a:stretch>
                      <a:fillRect/>
                    </a:stretch>
                  </pic:blipFill>
                  <pic:spPr>
                    <a:xfrm>
                      <a:off x="0" y="0"/>
                      <a:ext cx="4319905" cy="2635250"/>
                    </a:xfrm>
                    <a:prstGeom prst="rect">
                      <a:avLst/>
                    </a:prstGeom>
                    <a:noFill/>
                    <a:ln>
                      <a:noFill/>
                    </a:ln>
                  </pic:spPr>
                </pic:pic>
              </a:graphicData>
            </a:graphic>
          </wp:inline>
        </w:drawing>
      </w:r>
    </w:p>
    <w:p>
      <w:pPr>
        <w:spacing w:line="240" w:lineRule="auto"/>
        <w:ind w:firstLine="0" w:firstLineChars="0"/>
        <w:jc w:val="center"/>
        <w:outlineLvl w:val="7"/>
        <w:rPr>
          <w:rFonts w:hint="default" w:ascii="Times New Roman" w:hAnsi="Times New Roman" w:eastAsia="黑体" w:cs="Times New Roman"/>
          <w:sz w:val="24"/>
          <w:szCs w:val="20"/>
        </w:rPr>
      </w:pPr>
      <w:r>
        <w:rPr>
          <w:rFonts w:hint="default" w:ascii="Times New Roman" w:hAnsi="Times New Roman" w:eastAsia="黑体" w:cs="Times New Roman"/>
          <w:sz w:val="24"/>
          <w:szCs w:val="20"/>
        </w:rPr>
        <w:t>图4.4</w:t>
      </w:r>
      <w:r>
        <w:rPr>
          <w:rFonts w:hint="default" w:ascii="Times New Roman" w:hAnsi="Times New Roman" w:eastAsia="黑体" w:cs="Times New Roman"/>
          <w:sz w:val="24"/>
          <w:szCs w:val="20"/>
          <w:lang w:eastAsia="zh-CN"/>
        </w:rPr>
        <w:t>—</w:t>
      </w:r>
      <w:r>
        <w:rPr>
          <w:rFonts w:hint="default" w:ascii="Times New Roman" w:hAnsi="Times New Roman" w:eastAsia="黑体" w:cs="Times New Roman"/>
          <w:sz w:val="24"/>
          <w:szCs w:val="20"/>
        </w:rPr>
        <w:t>11　　1998年典型洪水组成过程（p=2%）</w:t>
      </w:r>
    </w:p>
    <w:p>
      <w:pPr>
        <w:adjustRightInd w:val="0"/>
        <w:snapToGrid w:val="0"/>
        <w:spacing w:line="240" w:lineRule="auto"/>
        <w:ind w:firstLine="0" w:firstLineChars="0"/>
        <w:jc w:val="center"/>
        <w:rPr>
          <w:rFonts w:hint="eastAsia" w:ascii="黑体" w:eastAsia="黑体" w:cs="宋体"/>
          <w:snapToGrid w:val="0"/>
          <w:sz w:val="24"/>
          <w:szCs w:val="20"/>
        </w:rPr>
      </w:pPr>
      <w:r>
        <w:rPr>
          <w:rFonts w:ascii="黑体" w:eastAsia="黑体" w:cs="宋体"/>
          <w:snapToGrid w:val="0"/>
          <w:sz w:val="24"/>
          <w:szCs w:val="20"/>
        </w:rPr>
        <w:drawing>
          <wp:inline distT="0" distB="0" distL="114300" distR="114300">
            <wp:extent cx="4319905" cy="2635250"/>
            <wp:effectExtent l="0" t="0" r="4445" b="12700"/>
            <wp:docPr id="109" name="图片 778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9" name="图片 7788"/>
                    <pic:cNvPicPr>
                      <a:picLocks noChangeAspect="true"/>
                    </pic:cNvPicPr>
                  </pic:nvPicPr>
                  <pic:blipFill>
                    <a:blip r:embed="rId148"/>
                    <a:stretch>
                      <a:fillRect/>
                    </a:stretch>
                  </pic:blipFill>
                  <pic:spPr>
                    <a:xfrm>
                      <a:off x="0" y="0"/>
                      <a:ext cx="4319905" cy="2635250"/>
                    </a:xfrm>
                    <a:prstGeom prst="rect">
                      <a:avLst/>
                    </a:prstGeom>
                    <a:noFill/>
                    <a:ln>
                      <a:noFill/>
                    </a:ln>
                  </pic:spPr>
                </pic:pic>
              </a:graphicData>
            </a:graphic>
          </wp:inline>
        </w:drawing>
      </w:r>
    </w:p>
    <w:p>
      <w:pPr>
        <w:spacing w:line="240" w:lineRule="auto"/>
        <w:ind w:firstLine="0" w:firstLineChars="0"/>
        <w:jc w:val="center"/>
        <w:outlineLvl w:val="7"/>
        <w:rPr>
          <w:rFonts w:hint="default" w:ascii="Times New Roman" w:hAnsi="Times New Roman" w:eastAsia="黑体" w:cs="Times New Roman"/>
          <w:sz w:val="24"/>
          <w:szCs w:val="20"/>
        </w:rPr>
      </w:pPr>
      <w:r>
        <w:rPr>
          <w:rFonts w:hint="default" w:ascii="Times New Roman" w:hAnsi="Times New Roman" w:eastAsia="黑体" w:cs="Times New Roman"/>
          <w:sz w:val="24"/>
          <w:szCs w:val="20"/>
        </w:rPr>
        <w:t>图4.4</w:t>
      </w:r>
      <w:r>
        <w:rPr>
          <w:rFonts w:hint="default" w:ascii="Times New Roman" w:hAnsi="Times New Roman" w:eastAsia="黑体" w:cs="Times New Roman"/>
          <w:sz w:val="24"/>
          <w:szCs w:val="20"/>
          <w:lang w:eastAsia="zh-CN"/>
        </w:rPr>
        <w:t>—</w:t>
      </w:r>
      <w:r>
        <w:rPr>
          <w:rFonts w:hint="default" w:ascii="Times New Roman" w:hAnsi="Times New Roman" w:eastAsia="黑体" w:cs="Times New Roman"/>
          <w:sz w:val="24"/>
          <w:szCs w:val="20"/>
        </w:rPr>
        <w:t>12　　2005年典型洪水组成过程（p=2%）</w:t>
      </w:r>
    </w:p>
    <w:p>
      <w:pPr>
        <w:adjustRightInd w:val="0"/>
        <w:snapToGrid w:val="0"/>
        <w:spacing w:line="240" w:lineRule="auto"/>
        <w:ind w:firstLine="0" w:firstLineChars="0"/>
        <w:jc w:val="center"/>
        <w:rPr>
          <w:rFonts w:hint="eastAsia" w:ascii="黑体" w:eastAsia="黑体" w:cs="宋体"/>
          <w:snapToGrid w:val="0"/>
          <w:sz w:val="24"/>
          <w:szCs w:val="20"/>
        </w:rPr>
      </w:pPr>
      <w:r>
        <w:rPr>
          <w:rFonts w:ascii="黑体" w:eastAsia="黑体" w:cs="宋体"/>
          <w:snapToGrid w:val="0"/>
          <w:sz w:val="24"/>
          <w:szCs w:val="20"/>
        </w:rPr>
        <w:drawing>
          <wp:inline distT="0" distB="0" distL="114300" distR="114300">
            <wp:extent cx="4319905" cy="2397125"/>
            <wp:effectExtent l="0" t="0" r="4445" b="0"/>
            <wp:docPr id="110" name="图片 778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0" name="图片 7783"/>
                    <pic:cNvPicPr>
                      <a:picLocks noChangeAspect="true"/>
                    </pic:cNvPicPr>
                  </pic:nvPicPr>
                  <pic:blipFill>
                    <a:blip r:embed="rId149"/>
                    <a:stretch>
                      <a:fillRect/>
                    </a:stretch>
                  </pic:blipFill>
                  <pic:spPr>
                    <a:xfrm>
                      <a:off x="0" y="0"/>
                      <a:ext cx="4319905" cy="2397125"/>
                    </a:xfrm>
                    <a:prstGeom prst="rect">
                      <a:avLst/>
                    </a:prstGeom>
                    <a:noFill/>
                    <a:ln>
                      <a:noFill/>
                    </a:ln>
                  </pic:spPr>
                </pic:pic>
              </a:graphicData>
            </a:graphic>
          </wp:inline>
        </w:drawing>
      </w:r>
    </w:p>
    <w:p>
      <w:pPr>
        <w:spacing w:line="240" w:lineRule="auto"/>
        <w:ind w:firstLine="0" w:firstLineChars="0"/>
        <w:jc w:val="center"/>
        <w:outlineLvl w:val="7"/>
        <w:rPr>
          <w:rFonts w:hint="default" w:ascii="Times New Roman" w:hAnsi="Times New Roman" w:eastAsia="黑体" w:cs="Times New Roman"/>
          <w:sz w:val="24"/>
          <w:szCs w:val="20"/>
        </w:rPr>
      </w:pPr>
      <w:r>
        <w:rPr>
          <w:rFonts w:hint="default" w:ascii="Times New Roman" w:hAnsi="Times New Roman" w:eastAsia="黑体" w:cs="Times New Roman"/>
          <w:sz w:val="24"/>
          <w:szCs w:val="20"/>
        </w:rPr>
        <w:t>图4.4</w:t>
      </w:r>
      <w:r>
        <w:rPr>
          <w:rFonts w:hint="default" w:ascii="Times New Roman" w:hAnsi="Times New Roman" w:eastAsia="黑体" w:cs="Times New Roman"/>
          <w:sz w:val="24"/>
          <w:szCs w:val="20"/>
          <w:lang w:eastAsia="zh-CN"/>
        </w:rPr>
        <w:t>—</w:t>
      </w:r>
      <w:r>
        <w:rPr>
          <w:rFonts w:hint="default" w:ascii="Times New Roman" w:hAnsi="Times New Roman" w:eastAsia="黑体" w:cs="Times New Roman"/>
          <w:sz w:val="24"/>
          <w:szCs w:val="20"/>
        </w:rPr>
        <w:t>13　　2010年典型洪水组成过程（p=2%）</w:t>
      </w:r>
    </w:p>
    <w:p>
      <w:pPr>
        <w:adjustRightInd w:val="0"/>
        <w:snapToGrid w:val="0"/>
        <w:spacing w:line="240" w:lineRule="auto"/>
        <w:ind w:firstLine="0" w:firstLineChars="0"/>
        <w:jc w:val="center"/>
        <w:rPr>
          <w:rFonts w:hint="eastAsia" w:ascii="黑体" w:eastAsia="黑体" w:cs="宋体"/>
          <w:snapToGrid w:val="0"/>
          <w:sz w:val="24"/>
          <w:szCs w:val="20"/>
        </w:rPr>
      </w:pPr>
      <w:r>
        <w:rPr>
          <w:rFonts w:ascii="黑体" w:eastAsia="黑体" w:cs="宋体"/>
          <w:snapToGrid w:val="0"/>
          <w:sz w:val="24"/>
          <w:szCs w:val="20"/>
        </w:rPr>
        <w:drawing>
          <wp:inline distT="0" distB="0" distL="114300" distR="114300">
            <wp:extent cx="4319905" cy="2635250"/>
            <wp:effectExtent l="0" t="0" r="4445" b="12700"/>
            <wp:docPr id="111" name="图片 778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1" name="图片 7787"/>
                    <pic:cNvPicPr>
                      <a:picLocks noChangeAspect="true"/>
                    </pic:cNvPicPr>
                  </pic:nvPicPr>
                  <pic:blipFill>
                    <a:blip r:embed="rId150"/>
                    <a:stretch>
                      <a:fillRect/>
                    </a:stretch>
                  </pic:blipFill>
                  <pic:spPr>
                    <a:xfrm>
                      <a:off x="0" y="0"/>
                      <a:ext cx="4319905" cy="2635250"/>
                    </a:xfrm>
                    <a:prstGeom prst="rect">
                      <a:avLst/>
                    </a:prstGeom>
                    <a:noFill/>
                    <a:ln>
                      <a:noFill/>
                    </a:ln>
                  </pic:spPr>
                </pic:pic>
              </a:graphicData>
            </a:graphic>
          </wp:inline>
        </w:drawing>
      </w:r>
    </w:p>
    <w:p>
      <w:pPr>
        <w:spacing w:line="240" w:lineRule="auto"/>
        <w:ind w:firstLine="0" w:firstLineChars="0"/>
        <w:jc w:val="center"/>
        <w:outlineLvl w:val="7"/>
        <w:rPr>
          <w:rFonts w:hint="default" w:ascii="Times New Roman" w:hAnsi="Times New Roman" w:eastAsia="黑体" w:cs="Times New Roman"/>
          <w:sz w:val="24"/>
          <w:szCs w:val="20"/>
        </w:rPr>
      </w:pPr>
      <w:r>
        <w:rPr>
          <w:rFonts w:hint="default" w:ascii="Times New Roman" w:hAnsi="Times New Roman" w:eastAsia="黑体" w:cs="Times New Roman"/>
          <w:sz w:val="24"/>
          <w:szCs w:val="20"/>
        </w:rPr>
        <w:t>图4.4</w:t>
      </w:r>
      <w:r>
        <w:rPr>
          <w:rFonts w:hint="default" w:ascii="Times New Roman" w:hAnsi="Times New Roman" w:eastAsia="黑体" w:cs="Times New Roman"/>
          <w:sz w:val="24"/>
          <w:szCs w:val="20"/>
          <w:lang w:eastAsia="zh-CN"/>
        </w:rPr>
        <w:t>—</w:t>
      </w:r>
      <w:r>
        <w:rPr>
          <w:rFonts w:hint="default" w:ascii="Times New Roman" w:hAnsi="Times New Roman" w:eastAsia="黑体" w:cs="Times New Roman"/>
          <w:sz w:val="24"/>
          <w:szCs w:val="20"/>
        </w:rPr>
        <w:t>14　　2016年典型洪水组成过程（p=2%）</w:t>
      </w:r>
    </w:p>
    <w:p>
      <w:pPr>
        <w:adjustRightInd w:val="0"/>
        <w:snapToGrid w:val="0"/>
        <w:spacing w:line="240" w:lineRule="auto"/>
        <w:ind w:firstLine="0" w:firstLineChars="0"/>
        <w:jc w:val="center"/>
        <w:rPr>
          <w:rFonts w:hint="eastAsia" w:ascii="黑体" w:eastAsia="黑体" w:cs="宋体"/>
          <w:snapToGrid w:val="0"/>
          <w:sz w:val="24"/>
          <w:szCs w:val="20"/>
        </w:rPr>
      </w:pPr>
      <w:r>
        <w:rPr>
          <w:rFonts w:ascii="黑体" w:eastAsia="黑体" w:cs="宋体"/>
          <w:snapToGrid w:val="0"/>
          <w:sz w:val="24"/>
          <w:szCs w:val="20"/>
        </w:rPr>
        <w:drawing>
          <wp:inline distT="0" distB="0" distL="114300" distR="114300">
            <wp:extent cx="4319905" cy="2635250"/>
            <wp:effectExtent l="0" t="0" r="4445" b="12700"/>
            <wp:docPr id="112" name="图片 779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2" name="图片 7790"/>
                    <pic:cNvPicPr>
                      <a:picLocks noChangeAspect="true"/>
                    </pic:cNvPicPr>
                  </pic:nvPicPr>
                  <pic:blipFill>
                    <a:blip r:embed="rId151"/>
                    <a:stretch>
                      <a:fillRect/>
                    </a:stretch>
                  </pic:blipFill>
                  <pic:spPr>
                    <a:xfrm>
                      <a:off x="0" y="0"/>
                      <a:ext cx="4319905" cy="2635250"/>
                    </a:xfrm>
                    <a:prstGeom prst="rect">
                      <a:avLst/>
                    </a:prstGeom>
                    <a:noFill/>
                    <a:ln>
                      <a:noFill/>
                    </a:ln>
                  </pic:spPr>
                </pic:pic>
              </a:graphicData>
            </a:graphic>
          </wp:inline>
        </w:drawing>
      </w:r>
    </w:p>
    <w:p>
      <w:pPr>
        <w:spacing w:line="240" w:lineRule="auto"/>
        <w:ind w:firstLine="0" w:firstLineChars="0"/>
        <w:jc w:val="center"/>
        <w:outlineLvl w:val="7"/>
        <w:rPr>
          <w:rFonts w:hint="default" w:ascii="Times New Roman" w:hAnsi="Times New Roman" w:eastAsia="黑体" w:cs="Times New Roman"/>
          <w:sz w:val="24"/>
          <w:szCs w:val="20"/>
        </w:rPr>
      </w:pPr>
      <w:r>
        <w:rPr>
          <w:rFonts w:hint="default" w:ascii="Times New Roman" w:hAnsi="Times New Roman" w:eastAsia="黑体" w:cs="Times New Roman"/>
          <w:sz w:val="24"/>
          <w:szCs w:val="20"/>
        </w:rPr>
        <w:t>图4.4</w:t>
      </w:r>
      <w:r>
        <w:rPr>
          <w:rFonts w:hint="default" w:ascii="Times New Roman" w:hAnsi="Times New Roman" w:eastAsia="黑体" w:cs="Times New Roman"/>
          <w:sz w:val="24"/>
          <w:szCs w:val="20"/>
          <w:lang w:eastAsia="zh-CN"/>
        </w:rPr>
        <w:t>—</w:t>
      </w:r>
      <w:r>
        <w:rPr>
          <w:rFonts w:hint="default" w:ascii="Times New Roman" w:hAnsi="Times New Roman" w:eastAsia="黑体" w:cs="Times New Roman"/>
          <w:sz w:val="24"/>
          <w:szCs w:val="20"/>
        </w:rPr>
        <w:t>15　　2020年实际洪水组成过程</w:t>
      </w:r>
    </w:p>
    <w:p>
      <w:pPr>
        <w:keepNext w:val="0"/>
        <w:keepLines w:val="0"/>
        <w:pageBreakBefore w:val="0"/>
        <w:widowControl w:val="0"/>
        <w:kinsoku/>
        <w:wordWrap/>
        <w:overflowPunct/>
        <w:topLinePunct w:val="0"/>
        <w:autoSpaceDE/>
        <w:autoSpaceDN/>
        <w:bidi w:val="0"/>
        <w:adjustRightInd/>
        <w:snapToGrid/>
        <w:ind w:firstLine="640" w:firstLineChars="200"/>
        <w:textAlignment w:val="auto"/>
        <w:outlineLvl w:val="1"/>
        <w:rPr>
          <w:rFonts w:hint="eastAsia" w:ascii="方正楷体_GBK" w:hAnsi="方正楷体_GBK" w:eastAsia="方正楷体_GBK" w:cs="方正楷体_GBK"/>
          <w:bCs/>
          <w:sz w:val="32"/>
        </w:rPr>
      </w:pPr>
      <w:bookmarkStart w:id="107" w:name="_Toc31290"/>
      <w:bookmarkStart w:id="108" w:name="_Toc71782083"/>
      <w:bookmarkStart w:id="109" w:name="_Toc7989"/>
      <w:bookmarkStart w:id="110" w:name="_Toc71665866"/>
      <w:r>
        <w:rPr>
          <w:rFonts w:hint="eastAsia" w:ascii="方正楷体_GBK" w:hAnsi="方正楷体_GBK" w:eastAsia="方正楷体_GBK" w:cs="方正楷体_GBK"/>
          <w:bCs/>
          <w:sz w:val="32"/>
          <w:lang w:eastAsia="zh-CN"/>
        </w:rPr>
        <w:t>（</w:t>
      </w:r>
      <w:r>
        <w:rPr>
          <w:rFonts w:hint="eastAsia" w:ascii="方正楷体_GBK" w:hAnsi="方正楷体_GBK" w:eastAsia="方正楷体_GBK" w:cs="方正楷体_GBK"/>
          <w:bCs/>
          <w:sz w:val="32"/>
          <w:lang w:val="en-US" w:eastAsia="zh-CN"/>
        </w:rPr>
        <w:t>五</w:t>
      </w:r>
      <w:r>
        <w:rPr>
          <w:rFonts w:hint="eastAsia" w:ascii="方正楷体_GBK" w:hAnsi="方正楷体_GBK" w:eastAsia="方正楷体_GBK" w:cs="方正楷体_GBK"/>
          <w:bCs/>
          <w:sz w:val="32"/>
          <w:lang w:eastAsia="zh-CN"/>
        </w:rPr>
        <w:t>）</w:t>
      </w:r>
      <w:r>
        <w:rPr>
          <w:rFonts w:hint="eastAsia" w:ascii="方正楷体_GBK" w:hAnsi="方正楷体_GBK" w:eastAsia="方正楷体_GBK" w:cs="方正楷体_GBK"/>
          <w:bCs/>
          <w:sz w:val="32"/>
        </w:rPr>
        <w:t>天然水面线计算</w:t>
      </w:r>
      <w:bookmarkEnd w:id="107"/>
      <w:bookmarkEnd w:id="108"/>
      <w:bookmarkEnd w:id="109"/>
      <w:bookmarkEnd w:id="110"/>
    </w:p>
    <w:p>
      <w:pPr>
        <w:keepNext w:val="0"/>
        <w:keepLines w:val="0"/>
        <w:pageBreakBefore w:val="0"/>
        <w:widowControl w:val="0"/>
        <w:kinsoku/>
        <w:wordWrap/>
        <w:overflowPunct/>
        <w:topLinePunct w:val="0"/>
        <w:autoSpaceDE/>
        <w:autoSpaceDN/>
        <w:bidi w:val="0"/>
        <w:adjustRightInd/>
        <w:snapToGrid/>
        <w:ind w:firstLine="640" w:firstLineChars="200"/>
        <w:textAlignment w:val="auto"/>
        <w:outlineLvl w:val="2"/>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1</w:t>
      </w:r>
      <w:r>
        <w:rPr>
          <w:rFonts w:hint="eastAsia" w:ascii="Times New Roman" w:eastAsia="方正仿宋_GBK" w:cs="Times New Roman"/>
          <w:sz w:val="32"/>
          <w:szCs w:val="32"/>
          <w:lang w:val="en-US" w:eastAsia="zh-CN"/>
        </w:rPr>
        <w:t>．</w:t>
      </w:r>
      <w:r>
        <w:rPr>
          <w:rFonts w:hint="default" w:ascii="Times New Roman" w:hAnsi="Times New Roman" w:eastAsia="方正仿宋_GBK" w:cs="Times New Roman"/>
          <w:bCs/>
          <w:sz w:val="32"/>
          <w:szCs w:val="32"/>
        </w:rPr>
        <w:t>模型构建</w:t>
      </w:r>
    </w:p>
    <w:p>
      <w:pPr>
        <w:keepNext w:val="0"/>
        <w:keepLines w:val="0"/>
        <w:pageBreakBefore w:val="0"/>
        <w:widowControl w:val="0"/>
        <w:kinsoku/>
        <w:wordWrap/>
        <w:overflowPunct/>
        <w:topLinePunct w:val="0"/>
        <w:autoSpaceDE/>
        <w:autoSpaceDN/>
        <w:bidi w:val="0"/>
        <w:adjustRightInd/>
        <w:snapToGrid/>
        <w:ind w:firstLine="640" w:firstLineChars="200"/>
        <w:textAlignment w:val="auto"/>
        <w:outlineLvl w:val="4"/>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1.1</w:t>
      </w:r>
      <w:r>
        <w:rPr>
          <w:rFonts w:hint="eastAsia" w:ascii="Times New Roman" w:eastAsia="方正仿宋_GBK" w:cs="Times New Roman"/>
          <w:sz w:val="32"/>
          <w:szCs w:val="32"/>
          <w:lang w:val="en-US" w:eastAsia="zh-CN"/>
        </w:rPr>
        <w:t xml:space="preserve"> </w:t>
      </w:r>
      <w:r>
        <w:rPr>
          <w:rFonts w:hint="default" w:ascii="Times New Roman" w:hAnsi="Times New Roman" w:eastAsia="方正仿宋_GBK" w:cs="Times New Roman"/>
          <w:sz w:val="32"/>
          <w:szCs w:val="32"/>
        </w:rPr>
        <w:t>建模工具及原理</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采用MIKE11软件构建綦江干流一维水动力学数学模型。MIKE 11模型是丹麦水力学研究所（DHI）开发的用于模拟一维河网中水流、水质、泥沙传输、河床变形的专业化软件包。</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水动力模型（HD）是MIKE 11模拟系统的基础，通过求解圣维南方程组来获得河道断面的流量与水位，控制方程如下：</w:t>
      </w:r>
    </w:p>
    <w:p>
      <w:pPr>
        <w:pStyle w:val="2609"/>
        <w:spacing w:line="360" w:lineRule="auto"/>
        <w:ind w:firstLine="561"/>
        <w:rPr>
          <w:rFonts w:hint="eastAsia" w:ascii="仿宋_GB2312" w:eastAsia="仿宋_GB2312"/>
        </w:rPr>
      </w:pPr>
      <w:r>
        <w:rPr>
          <w:rFonts w:hint="eastAsia" w:ascii="仿宋_GB2312" w:eastAsia="仿宋_GB2312"/>
        </w:rPr>
        <w:drawing>
          <wp:inline distT="0" distB="0" distL="114300" distR="114300">
            <wp:extent cx="838200" cy="390525"/>
            <wp:effectExtent l="0" t="0" r="0" b="8890"/>
            <wp:docPr id="113"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3" name="图片 4"/>
                    <pic:cNvPicPr>
                      <a:picLocks noChangeAspect="true"/>
                    </pic:cNvPicPr>
                  </pic:nvPicPr>
                  <pic:blipFill>
                    <a:blip r:embed="rId152"/>
                    <a:stretch>
                      <a:fillRect/>
                    </a:stretch>
                  </pic:blipFill>
                  <pic:spPr>
                    <a:xfrm>
                      <a:off x="0" y="0"/>
                      <a:ext cx="838200" cy="390525"/>
                    </a:xfrm>
                    <a:prstGeom prst="rect">
                      <a:avLst/>
                    </a:prstGeom>
                    <a:noFill/>
                    <a:ln>
                      <a:noFill/>
                    </a:ln>
                  </pic:spPr>
                </pic:pic>
              </a:graphicData>
            </a:graphic>
          </wp:inline>
        </w:drawing>
      </w:r>
    </w:p>
    <w:p>
      <w:pPr>
        <w:pStyle w:val="2609"/>
        <w:spacing w:line="360" w:lineRule="auto"/>
        <w:ind w:firstLine="561"/>
        <w:rPr>
          <w:rFonts w:hint="eastAsia" w:ascii="仿宋_GB2312" w:eastAsia="仿宋_GB2312"/>
        </w:rPr>
      </w:pPr>
      <w:r>
        <w:rPr>
          <w:rFonts w:hint="eastAsia" w:ascii="仿宋_GB2312" w:eastAsia="仿宋_GB2312"/>
        </w:rPr>
        <w:drawing>
          <wp:inline distT="0" distB="0" distL="114300" distR="114300">
            <wp:extent cx="2286000" cy="657225"/>
            <wp:effectExtent l="0" t="0" r="0" b="8890"/>
            <wp:docPr id="114"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4" name="图片 6"/>
                    <pic:cNvPicPr>
                      <a:picLocks noChangeAspect="true"/>
                    </pic:cNvPicPr>
                  </pic:nvPicPr>
                  <pic:blipFill>
                    <a:blip r:embed="rId153"/>
                    <a:stretch>
                      <a:fillRect/>
                    </a:stretch>
                  </pic:blipFill>
                  <pic:spPr>
                    <a:xfrm>
                      <a:off x="0" y="0"/>
                      <a:ext cx="2286000" cy="657225"/>
                    </a:xfrm>
                    <a:prstGeom prst="rect">
                      <a:avLst/>
                    </a:prstGeom>
                    <a:noFill/>
                    <a:ln>
                      <a:noFill/>
                    </a:ln>
                  </pic:spPr>
                </pic:pic>
              </a:graphicData>
            </a:graphic>
          </wp:inline>
        </w:drawing>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rPr>
        <w:t>式中：Q为断面流量，A为断面面积，q为旁侧入流，R为水力（或阻力）半径，C为谢才系数，n为河道糙率。</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rPr>
        <w:t>方程组离散采用6点Abbott中心差分格式，离散得到的线形方程组采用双向消除格式（Double Sweep Algorithm）求解。</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lang w:val="en-US" w:eastAsia="zh-CN"/>
        </w:rPr>
        <w:t>1.2</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rPr>
        <w:t>模型构建</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lang w:val="en-US" w:eastAsia="zh-CN"/>
        </w:rPr>
        <w:t>1.2.1</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rPr>
        <w:t>模拟计算范围</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eastAsia" w:ascii="Times New Roman" w:hAnsi="Times New Roman" w:eastAsia="方正仿宋_GBK" w:cs="Times New Roman"/>
          <w:sz w:val="32"/>
          <w:szCs w:val="32"/>
        </w:rPr>
        <w:t>综合考虑规划范围内水文站网分布、涉河建筑物的位置分布及防洪影响等情况，将綦江干流一维水动力学数学模型的模拟范围设置为东溪水文站至五岔水文站，全长84.13km，研究范围见图3.1</w:t>
      </w:r>
      <w:r>
        <w:rPr>
          <w:rFonts w:hint="eastAsia" w:ascii="Times New Roman" w:eastAsia="方正仿宋_GBK" w:cs="Times New Roman"/>
          <w:sz w:val="32"/>
          <w:szCs w:val="32"/>
          <w:lang w:eastAsia="zh-CN"/>
        </w:rPr>
        <w:t>—</w:t>
      </w:r>
      <w:r>
        <w:rPr>
          <w:rFonts w:hint="eastAsia" w:ascii="Times New Roman" w:hAnsi="Times New Roman" w:eastAsia="方正仿宋_GBK" w:cs="Times New Roman"/>
          <w:sz w:val="32"/>
          <w:szCs w:val="32"/>
        </w:rPr>
        <w:t>2。</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lang w:val="en-US" w:eastAsia="zh-CN"/>
        </w:rPr>
        <w:t>1.2.2</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rPr>
        <w:t>断面资料</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rPr>
        <w:t>断面资料采用长江水利委员会水文局上游局2016年7</w:t>
      </w:r>
      <w:r>
        <w:rPr>
          <w:rFonts w:hint="eastAsia" w:ascii="Times New Roman" w:eastAsia="方正仿宋_GBK" w:cs="Times New Roman"/>
          <w:sz w:val="32"/>
          <w:szCs w:val="32"/>
          <w:lang w:eastAsia="zh-CN"/>
        </w:rPr>
        <w:t>—</w:t>
      </w:r>
      <w:r>
        <w:rPr>
          <w:rFonts w:hint="eastAsia" w:ascii="Times New Roman" w:hAnsi="Times New Roman" w:eastAsia="方正仿宋_GBK" w:cs="Times New Roman"/>
          <w:sz w:val="32"/>
          <w:szCs w:val="32"/>
        </w:rPr>
        <w:t>8月实测的34个河道断面，綦江区水利局提供的4座桥梁断面和9座枢纽断面，上海勘测设计研究院有限公司2012年6月实测的20个河道断面，共计67个断面，平均断面间距约1107m，最小间距94m。</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lang w:val="en-US" w:eastAsia="zh-CN"/>
        </w:rPr>
        <w:t>1.2.3</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rPr>
        <w:t>边界条件</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eastAsia" w:ascii="Times New Roman" w:hAnsi="Times New Roman" w:eastAsia="方正仿宋_GBK" w:cs="Times New Roman"/>
          <w:sz w:val="32"/>
          <w:szCs w:val="32"/>
        </w:rPr>
        <w:t>模型边界包括上游边界、下游边界和旁侧入流边界。模型上边界条件为东溪水文站的流量过程，下边界条件为五岔水文站的水位过程或水位流量关系，旁侧入流边界条件为扶欢河、郭扶河、蒲河、通惠河、清溪河等主要支流以及干流未控区间的洪水过程。</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lang w:val="en-US" w:eastAsia="zh-CN"/>
        </w:rPr>
        <w:t>1.2.4</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rPr>
        <w:t>涉河建筑物</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eastAsia" w:ascii="Times New Roman" w:hAnsi="Times New Roman" w:eastAsia="方正仿宋_GBK" w:cs="Times New Roman"/>
          <w:sz w:val="32"/>
          <w:szCs w:val="32"/>
        </w:rPr>
        <w:t>綦江干流涉河建筑物众多，主要包括桥梁、闸坝枢纽等。建模时根据桥墩结构型式和阻水情况，将河道断面扣除桥梁的阻水面积；将闸坝枢纽概化为由多个不同尺寸和高度的溢流堰组成的组合建筑物，即在相同位置处添加多个独立的溢流堰来进行模拟处理。</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lang w:val="en-US" w:eastAsia="zh-CN"/>
        </w:rPr>
        <w:t>1.3</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rPr>
        <w:t>模型的率定与验证</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rPr>
        <w:t>根据2016年“6</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rPr>
        <w:t>28”洪水和1998年“8</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rPr>
        <w:t>17”洪水实测资料，对已建立的水动力学模型分别进行率定和验证。</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lang w:val="en-US" w:eastAsia="zh-CN"/>
        </w:rPr>
        <w:t>1.3.1</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rPr>
        <w:t>模型的边界条件</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eastAsia" w:ascii="Times New Roman" w:hAnsi="Times New Roman" w:eastAsia="方正仿宋_GBK" w:cs="Times New Roman"/>
          <w:sz w:val="32"/>
          <w:szCs w:val="32"/>
        </w:rPr>
        <w:t>模型的率定与验证采用东溪水文站2016年和1998年洪水的实测流量过程作为模型的上边界条件，采用蒲河、清溪河等主要支流以及干流未控区间2016年和1998年的洪水过程作为模型的旁侧入流边界条件，分别见图</w:t>
      </w:r>
      <w:r>
        <w:rPr>
          <w:rFonts w:hint="default" w:ascii="Times New Roman" w:hAnsi="Times New Roman" w:eastAsia="方正仿宋_GBK" w:cs="Times New Roman"/>
          <w:sz w:val="32"/>
          <w:szCs w:val="32"/>
        </w:rPr>
        <w:t>4.</w:t>
      </w:r>
      <w:r>
        <w:rPr>
          <w:rFonts w:hint="eastAsia" w:ascii="Times New Roman" w:hAnsi="Times New Roman" w:eastAsia="方正仿宋_GBK" w:cs="Times New Roman"/>
          <w:sz w:val="32"/>
          <w:szCs w:val="32"/>
        </w:rPr>
        <w:t>5</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1</w:t>
      </w:r>
      <w:r>
        <w:rPr>
          <w:rFonts w:hint="eastAsia" w:ascii="Times New Roman" w:hAnsi="Times New Roman" w:eastAsia="方正仿宋_GBK" w:cs="Times New Roman"/>
          <w:sz w:val="32"/>
          <w:szCs w:val="32"/>
        </w:rPr>
        <w:t>和图</w:t>
      </w:r>
      <w:r>
        <w:rPr>
          <w:rFonts w:hint="default" w:ascii="Times New Roman" w:hAnsi="Times New Roman" w:eastAsia="方正仿宋_GBK" w:cs="Times New Roman"/>
          <w:sz w:val="32"/>
          <w:szCs w:val="32"/>
        </w:rPr>
        <w:t>4.</w:t>
      </w:r>
      <w:r>
        <w:rPr>
          <w:rFonts w:hint="eastAsia" w:ascii="Times New Roman" w:hAnsi="Times New Roman" w:eastAsia="方正仿宋_GBK" w:cs="Times New Roman"/>
          <w:sz w:val="32"/>
          <w:szCs w:val="32"/>
        </w:rPr>
        <w:t>5</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2</w:t>
      </w:r>
      <w:r>
        <w:rPr>
          <w:rFonts w:hint="eastAsia" w:ascii="Times New Roman" w:hAnsi="Times New Roman" w:eastAsia="方正仿宋_GBK" w:cs="Times New Roman"/>
          <w:sz w:val="32"/>
          <w:szCs w:val="32"/>
        </w:rPr>
        <w:t>；采用五岔水文站2016年和1998年洪水的实测水位过程作为模型的下边界条件，分别见图</w:t>
      </w:r>
      <w:r>
        <w:rPr>
          <w:rFonts w:hint="default" w:ascii="Times New Roman" w:hAnsi="Times New Roman" w:eastAsia="方正仿宋_GBK" w:cs="Times New Roman"/>
          <w:sz w:val="32"/>
          <w:szCs w:val="32"/>
        </w:rPr>
        <w:t>4.</w:t>
      </w:r>
      <w:r>
        <w:rPr>
          <w:rFonts w:hint="eastAsia" w:ascii="Times New Roman" w:hAnsi="Times New Roman" w:eastAsia="方正仿宋_GBK" w:cs="Times New Roman"/>
          <w:sz w:val="32"/>
          <w:szCs w:val="32"/>
        </w:rPr>
        <w:t>5</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3</w:t>
      </w:r>
      <w:r>
        <w:rPr>
          <w:rFonts w:hint="eastAsia" w:ascii="Times New Roman" w:hAnsi="Times New Roman" w:eastAsia="方正仿宋_GBK" w:cs="Times New Roman"/>
          <w:sz w:val="32"/>
          <w:szCs w:val="32"/>
        </w:rPr>
        <w:t>和图</w:t>
      </w:r>
      <w:r>
        <w:rPr>
          <w:rFonts w:hint="default" w:ascii="Times New Roman" w:hAnsi="Times New Roman" w:eastAsia="方正仿宋_GBK" w:cs="Times New Roman"/>
          <w:sz w:val="32"/>
          <w:szCs w:val="32"/>
        </w:rPr>
        <w:t>4.</w:t>
      </w:r>
      <w:r>
        <w:rPr>
          <w:rFonts w:hint="eastAsia" w:ascii="Times New Roman" w:hAnsi="Times New Roman" w:eastAsia="方正仿宋_GBK" w:cs="Times New Roman"/>
          <w:sz w:val="32"/>
          <w:szCs w:val="32"/>
        </w:rPr>
        <w:t>5</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4</w:t>
      </w:r>
      <w:r>
        <w:rPr>
          <w:rFonts w:hint="eastAsia" w:ascii="Times New Roman" w:hAnsi="Times New Roman" w:eastAsia="方正仿宋_GBK" w:cs="Times New Roman"/>
          <w:sz w:val="32"/>
          <w:szCs w:val="32"/>
        </w:rPr>
        <w:t>。其中，蒲河采用石角站的实测洪水过程，</w:t>
      </w:r>
      <w:r>
        <w:rPr>
          <w:rFonts w:hint="default" w:ascii="Times New Roman" w:hAnsi="Times New Roman" w:eastAsia="方正仿宋_GBK" w:cs="Times New Roman"/>
          <w:sz w:val="32"/>
          <w:szCs w:val="32"/>
        </w:rPr>
        <w:t>清溪河</w:t>
      </w:r>
      <w:r>
        <w:rPr>
          <w:rFonts w:hint="eastAsia" w:ascii="Times New Roman" w:hAnsi="Times New Roman" w:eastAsia="方正仿宋_GBK" w:cs="Times New Roman"/>
          <w:sz w:val="32"/>
          <w:szCs w:val="32"/>
        </w:rPr>
        <w:t>等区间洪水过程由长江水利委员会水文局上游局利用降雨产流Api模型和马斯京根汇流模型推求。</w:t>
      </w:r>
    </w:p>
    <w:p>
      <w:pPr>
        <w:pStyle w:val="965"/>
        <w:rPr>
          <w:rFonts w:hint="eastAsia" w:ascii="仿宋_GB2312" w:eastAsia="仿宋_GB2312"/>
          <w:sz w:val="28"/>
        </w:rPr>
      </w:pPr>
      <w:r>
        <w:rPr>
          <w:rFonts w:hint="eastAsia" w:ascii="仿宋_GB2312" w:eastAsia="仿宋_GB2312"/>
          <w:sz w:val="28"/>
        </w:rPr>
        <w:drawing>
          <wp:anchor distT="0" distB="0" distL="114300" distR="114300" simplePos="0" relativeHeight="251660288" behindDoc="0" locked="0" layoutInCell="1" allowOverlap="1">
            <wp:simplePos x="0" y="0"/>
            <wp:positionH relativeFrom="character">
              <wp:posOffset>0</wp:posOffset>
            </wp:positionH>
            <wp:positionV relativeFrom="line">
              <wp:posOffset>0</wp:posOffset>
            </wp:positionV>
            <wp:extent cx="5236210" cy="2597785"/>
            <wp:effectExtent l="0" t="0" r="2540" b="12065"/>
            <wp:wrapNone/>
            <wp:docPr id="2" name="图片 774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 name="图片 7745"/>
                    <pic:cNvPicPr>
                      <a:picLocks noChangeAspect="true"/>
                    </pic:cNvPicPr>
                  </pic:nvPicPr>
                  <pic:blipFill>
                    <a:blip r:embed="rId154"/>
                    <a:stretch>
                      <a:fillRect/>
                    </a:stretch>
                  </pic:blipFill>
                  <pic:spPr>
                    <a:xfrm>
                      <a:off x="0" y="0"/>
                      <a:ext cx="5236210" cy="2597785"/>
                    </a:xfrm>
                    <a:prstGeom prst="rect">
                      <a:avLst/>
                    </a:prstGeom>
                    <a:noFill/>
                    <a:ln>
                      <a:noFill/>
                    </a:ln>
                  </pic:spPr>
                </pic:pic>
              </a:graphicData>
            </a:graphic>
          </wp:anchor>
        </w:drawing>
      </w:r>
      <w:r>
        <w:rPr>
          <w:rFonts w:hint="eastAsia" w:ascii="仿宋_GB2312" w:eastAsia="仿宋_GB2312"/>
          <w:sz w:val="28"/>
        </w:rPr>
        <mc:AlternateContent>
          <mc:Choice Requires="wps">
            <w:drawing>
              <wp:inline distT="0" distB="0" distL="114300" distR="114300">
                <wp:extent cx="5236210" cy="2597785"/>
                <wp:effectExtent l="0" t="0" r="0" b="0"/>
                <wp:docPr id="115" name="图片 83"/>
                <wp:cNvGraphicFramePr>
                  <a:graphicFrameLocks xmlns:a="http://schemas.openxmlformats.org/drawingml/2006/main" noChangeAspect="true"/>
                </wp:cNvGraphicFramePr>
                <a:graphic xmlns:a="http://schemas.openxmlformats.org/drawingml/2006/main">
                  <a:graphicData uri="http://schemas.microsoft.com/office/word/2010/wordprocessingShape">
                    <wps:wsp>
                      <wps:cNvSpPr>
                        <a:spLocks noChangeAspect="true"/>
                      </wps:cNvSpPr>
                      <wps:spPr>
                        <a:xfrm>
                          <a:off x="0" y="0"/>
                          <a:ext cx="5236210" cy="2597785"/>
                        </a:xfrm>
                        <a:prstGeom prst="rect">
                          <a:avLst/>
                        </a:prstGeom>
                        <a:noFill/>
                        <a:ln>
                          <a:noFill/>
                        </a:ln>
                      </wps:spPr>
                      <wps:bodyPr wrap="square" upright="true"/>
                    </wps:wsp>
                  </a:graphicData>
                </a:graphic>
              </wp:inline>
            </w:drawing>
          </mc:Choice>
          <mc:Fallback>
            <w:pict>
              <v:rect id="图片 83" o:spid="_x0000_s1026" o:spt="1" style="height:204.55pt;width:412.3pt;" filled="f" stroked="f" coordsize="21600,21600" o:gfxdata="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BYAAABkcnMvUEsBAhQA&#10;FAAAAAgAh07iQDbIADfXAAAABQEAAA8AAAAAAAAAAQAgAAAAOAAAAGRycy9kb3ducmV2LnhtbFBL&#10;AQIUABQAAAAIAIdO4kDkG92EqAEAACwDAAAOAAAAAAAAAAEAIAAAADwBAABkcnMvZTJvRG9jLnht&#10;bFBLBQYAAAAABgAGAFkBAABWBQAAAAA=&#10;">
                <v:fill on="f" focussize="0,0"/>
                <v:stroke on="f"/>
                <v:imagedata o:title=""/>
                <o:lock v:ext="edit" aspectratio="t"/>
                <w10:wrap type="none"/>
                <w10:anchorlock/>
              </v:rect>
            </w:pict>
          </mc:Fallback>
        </mc:AlternateContent>
      </w:r>
    </w:p>
    <w:p>
      <w:pPr>
        <w:pStyle w:val="2886"/>
        <w:rPr>
          <w:rFonts w:hint="eastAsia"/>
        </w:rPr>
      </w:pPr>
      <w:r>
        <w:rPr>
          <w:rFonts w:hint="default" w:ascii="Times New Roman" w:hAnsi="Times New Roman" w:cs="Times New Roman"/>
        </w:rPr>
        <w:t>图4.5</w:t>
      </w:r>
      <w:r>
        <w:rPr>
          <w:rFonts w:hint="default" w:ascii="Times New Roman" w:hAnsi="Times New Roman" w:cs="Times New Roman"/>
          <w:lang w:eastAsia="zh-CN"/>
        </w:rPr>
        <w:t>—</w:t>
      </w:r>
      <w:r>
        <w:rPr>
          <w:rFonts w:hint="default" w:ascii="Times New Roman" w:hAnsi="Times New Roman" w:cs="Times New Roman"/>
        </w:rPr>
        <w:t>1    綦江流域主要站点2016年</w:t>
      </w:r>
      <w:r>
        <w:rPr>
          <w:rFonts w:hint="eastAsia"/>
        </w:rPr>
        <w:t>“</w:t>
      </w:r>
      <w:r>
        <w:rPr>
          <w:rFonts w:hint="default" w:ascii="Times New Roman" w:hAnsi="Times New Roman" w:cs="Times New Roman"/>
        </w:rPr>
        <w:t>6</w:t>
      </w:r>
      <w:r>
        <w:rPr>
          <w:rFonts w:hint="eastAsia" w:ascii="Times New Roman" w:hAnsi="Times New Roman" w:cs="Times New Roman"/>
          <w:lang w:val="en-US" w:eastAsia="zh-CN"/>
        </w:rPr>
        <w:t>·</w:t>
      </w:r>
      <w:r>
        <w:rPr>
          <w:rFonts w:hint="default" w:ascii="Times New Roman" w:hAnsi="Times New Roman" w:cs="Times New Roman"/>
        </w:rPr>
        <w:t>28</w:t>
      </w:r>
      <w:r>
        <w:rPr>
          <w:rFonts w:hint="eastAsia"/>
        </w:rPr>
        <w:t>”实测洪水过程</w:t>
      </w:r>
    </w:p>
    <w:p>
      <w:pPr>
        <w:pStyle w:val="965"/>
        <w:rPr>
          <w:rFonts w:hint="eastAsia" w:ascii="仿宋_GB2312" w:eastAsia="仿宋_GB2312"/>
          <w:sz w:val="28"/>
        </w:rPr>
      </w:pPr>
      <w:r>
        <w:rPr>
          <w:rFonts w:hint="eastAsia" w:ascii="仿宋_GB2312" w:eastAsia="仿宋_GB2312"/>
          <w:sz w:val="28"/>
        </w:rPr>
        <w:drawing>
          <wp:anchor distT="0" distB="0" distL="114300" distR="114300" simplePos="0" relativeHeight="251661312" behindDoc="0" locked="0" layoutInCell="1" allowOverlap="1">
            <wp:simplePos x="0" y="0"/>
            <wp:positionH relativeFrom="character">
              <wp:posOffset>0</wp:posOffset>
            </wp:positionH>
            <wp:positionV relativeFrom="line">
              <wp:posOffset>0</wp:posOffset>
            </wp:positionV>
            <wp:extent cx="5238115" cy="2599055"/>
            <wp:effectExtent l="0" t="0" r="635" b="10795"/>
            <wp:wrapNone/>
            <wp:docPr id="3" name="图片 774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 name="图片 7746"/>
                    <pic:cNvPicPr>
                      <a:picLocks noChangeAspect="true"/>
                    </pic:cNvPicPr>
                  </pic:nvPicPr>
                  <pic:blipFill>
                    <a:blip r:embed="rId155"/>
                    <a:stretch>
                      <a:fillRect/>
                    </a:stretch>
                  </pic:blipFill>
                  <pic:spPr>
                    <a:xfrm>
                      <a:off x="0" y="0"/>
                      <a:ext cx="5238115" cy="2599055"/>
                    </a:xfrm>
                    <a:prstGeom prst="rect">
                      <a:avLst/>
                    </a:prstGeom>
                    <a:noFill/>
                    <a:ln>
                      <a:noFill/>
                    </a:ln>
                  </pic:spPr>
                </pic:pic>
              </a:graphicData>
            </a:graphic>
          </wp:anchor>
        </w:drawing>
      </w:r>
      <w:r>
        <w:rPr>
          <w:rFonts w:hint="eastAsia" w:ascii="仿宋_GB2312" w:eastAsia="仿宋_GB2312"/>
          <w:sz w:val="28"/>
        </w:rPr>
        <mc:AlternateContent>
          <mc:Choice Requires="wps">
            <w:drawing>
              <wp:inline distT="0" distB="0" distL="114300" distR="114300">
                <wp:extent cx="5238115" cy="2599055"/>
                <wp:effectExtent l="0" t="0" r="0" b="0"/>
                <wp:docPr id="116" name="图片 84"/>
                <wp:cNvGraphicFramePr>
                  <a:graphicFrameLocks xmlns:a="http://schemas.openxmlformats.org/drawingml/2006/main" noChangeAspect="true"/>
                </wp:cNvGraphicFramePr>
                <a:graphic xmlns:a="http://schemas.openxmlformats.org/drawingml/2006/main">
                  <a:graphicData uri="http://schemas.microsoft.com/office/word/2010/wordprocessingShape">
                    <wps:wsp>
                      <wps:cNvSpPr>
                        <a:spLocks noChangeAspect="true"/>
                      </wps:cNvSpPr>
                      <wps:spPr>
                        <a:xfrm>
                          <a:off x="0" y="0"/>
                          <a:ext cx="5238115" cy="2599055"/>
                        </a:xfrm>
                        <a:prstGeom prst="rect">
                          <a:avLst/>
                        </a:prstGeom>
                        <a:noFill/>
                        <a:ln>
                          <a:noFill/>
                        </a:ln>
                      </wps:spPr>
                      <wps:bodyPr wrap="square" upright="true"/>
                    </wps:wsp>
                  </a:graphicData>
                </a:graphic>
              </wp:inline>
            </w:drawing>
          </mc:Choice>
          <mc:Fallback>
            <w:pict>
              <v:rect id="图片 84" o:spid="_x0000_s1026" o:spt="1" style="height:204.65pt;width:412.45pt;" filled="f" stroked="f" coordsize="21600,21600" o:gfxdata="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BYAAABkcnMvUEsBAhQA&#10;FAAAAAgAh07iQHzVEkrYAAAABQEAAA8AAAAAAAAAAQAgAAAAOAAAAGRycy9kb3ducmV2LnhtbFBL&#10;AQIUABQAAAAIAIdO4kCHAM8tpwEAACwDAAAOAAAAAAAAAAEAIAAAAD0BAABkcnMvZTJvRG9jLnht&#10;bFBLBQYAAAAABgAGAFkBAABWBQAAAAA=&#10;">
                <v:fill on="f" focussize="0,0"/>
                <v:stroke on="f"/>
                <v:imagedata o:title=""/>
                <o:lock v:ext="edit" aspectratio="t"/>
                <w10:wrap type="none"/>
                <w10:anchorlock/>
              </v:rect>
            </w:pict>
          </mc:Fallback>
        </mc:AlternateContent>
      </w:r>
    </w:p>
    <w:p>
      <w:pPr>
        <w:pStyle w:val="2886"/>
        <w:rPr>
          <w:rFonts w:hint="eastAsia"/>
        </w:rPr>
      </w:pPr>
      <w:r>
        <w:rPr>
          <w:rFonts w:hint="default" w:ascii="Times New Roman" w:hAnsi="Times New Roman" w:cs="Times New Roman"/>
        </w:rPr>
        <w:t>图4.5</w:t>
      </w:r>
      <w:r>
        <w:rPr>
          <w:rFonts w:hint="default" w:ascii="Times New Roman" w:hAnsi="Times New Roman" w:cs="Times New Roman"/>
          <w:lang w:eastAsia="zh-CN"/>
        </w:rPr>
        <w:t>—</w:t>
      </w:r>
      <w:r>
        <w:rPr>
          <w:rFonts w:hint="default" w:ascii="Times New Roman" w:hAnsi="Times New Roman" w:cs="Times New Roman"/>
        </w:rPr>
        <w:t>2    綦江流域主要站点1998</w:t>
      </w:r>
      <w:r>
        <w:rPr>
          <w:rFonts w:hint="eastAsia"/>
        </w:rPr>
        <w:t>年“</w:t>
      </w:r>
      <w:r>
        <w:rPr>
          <w:rFonts w:hint="default" w:ascii="Times New Roman" w:hAnsi="Times New Roman" w:cs="Times New Roman"/>
        </w:rPr>
        <w:t>8</w:t>
      </w:r>
      <w:r>
        <w:rPr>
          <w:rFonts w:hint="eastAsia" w:ascii="Times New Roman" w:hAnsi="Times New Roman" w:cs="Times New Roman"/>
          <w:lang w:val="en-US" w:eastAsia="zh-CN"/>
        </w:rPr>
        <w:t>·</w:t>
      </w:r>
      <w:r>
        <w:rPr>
          <w:rFonts w:hint="default" w:ascii="Times New Roman" w:hAnsi="Times New Roman" w:cs="Times New Roman"/>
        </w:rPr>
        <w:t>17</w:t>
      </w:r>
      <w:r>
        <w:rPr>
          <w:rFonts w:hint="eastAsia"/>
        </w:rPr>
        <w:t>”实测洪水过程</w:t>
      </w:r>
    </w:p>
    <w:p>
      <w:pPr>
        <w:pStyle w:val="965"/>
        <w:rPr>
          <w:rFonts w:hint="eastAsia" w:ascii="仿宋_GB2312" w:eastAsia="仿宋_GB2312"/>
          <w:sz w:val="28"/>
        </w:rPr>
      </w:pPr>
      <w:r>
        <w:rPr>
          <w:rFonts w:hint="eastAsia" w:ascii="仿宋_GB2312" w:eastAsia="仿宋_GB2312"/>
          <w:sz w:val="28"/>
        </w:rPr>
        <w:drawing>
          <wp:anchor distT="0" distB="0" distL="114300" distR="114300" simplePos="0" relativeHeight="251662336" behindDoc="0" locked="0" layoutInCell="1" allowOverlap="1">
            <wp:simplePos x="0" y="0"/>
            <wp:positionH relativeFrom="character">
              <wp:posOffset>0</wp:posOffset>
            </wp:positionH>
            <wp:positionV relativeFrom="line">
              <wp:posOffset>0</wp:posOffset>
            </wp:positionV>
            <wp:extent cx="5238115" cy="2597150"/>
            <wp:effectExtent l="0" t="0" r="635" b="12700"/>
            <wp:wrapNone/>
            <wp:docPr id="4" name="图片 774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 name="图片 7747"/>
                    <pic:cNvPicPr>
                      <a:picLocks noChangeAspect="true"/>
                    </pic:cNvPicPr>
                  </pic:nvPicPr>
                  <pic:blipFill>
                    <a:blip r:embed="rId156"/>
                    <a:stretch>
                      <a:fillRect/>
                    </a:stretch>
                  </pic:blipFill>
                  <pic:spPr>
                    <a:xfrm>
                      <a:off x="0" y="0"/>
                      <a:ext cx="5238115" cy="2597150"/>
                    </a:xfrm>
                    <a:prstGeom prst="rect">
                      <a:avLst/>
                    </a:prstGeom>
                    <a:noFill/>
                    <a:ln>
                      <a:noFill/>
                    </a:ln>
                  </pic:spPr>
                </pic:pic>
              </a:graphicData>
            </a:graphic>
          </wp:anchor>
        </w:drawing>
      </w:r>
      <w:r>
        <w:rPr>
          <w:rFonts w:hint="eastAsia" w:ascii="仿宋_GB2312" w:eastAsia="仿宋_GB2312"/>
          <w:sz w:val="28"/>
        </w:rPr>
        <mc:AlternateContent>
          <mc:Choice Requires="wps">
            <w:drawing>
              <wp:inline distT="0" distB="0" distL="114300" distR="114300">
                <wp:extent cx="5238115" cy="2597150"/>
                <wp:effectExtent l="0" t="0" r="0" b="0"/>
                <wp:docPr id="117" name="图片 85"/>
                <wp:cNvGraphicFramePr>
                  <a:graphicFrameLocks xmlns:a="http://schemas.openxmlformats.org/drawingml/2006/main" noChangeAspect="true"/>
                </wp:cNvGraphicFramePr>
                <a:graphic xmlns:a="http://schemas.openxmlformats.org/drawingml/2006/main">
                  <a:graphicData uri="http://schemas.microsoft.com/office/word/2010/wordprocessingShape">
                    <wps:wsp>
                      <wps:cNvSpPr>
                        <a:spLocks noChangeAspect="true"/>
                      </wps:cNvSpPr>
                      <wps:spPr>
                        <a:xfrm>
                          <a:off x="0" y="0"/>
                          <a:ext cx="5238115" cy="2597150"/>
                        </a:xfrm>
                        <a:prstGeom prst="rect">
                          <a:avLst/>
                        </a:prstGeom>
                        <a:noFill/>
                        <a:ln>
                          <a:noFill/>
                        </a:ln>
                      </wps:spPr>
                      <wps:bodyPr wrap="square" upright="true"/>
                    </wps:wsp>
                  </a:graphicData>
                </a:graphic>
              </wp:inline>
            </w:drawing>
          </mc:Choice>
          <mc:Fallback>
            <w:pict>
              <v:rect id="图片 85" o:spid="_x0000_s1026" o:spt="1" style="height:204.5pt;width:412.45pt;" filled="f" stroked="f" coordsize="21600,21600" o:gfxdata="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FgAAAGRycy9QSwECFAAU&#10;AAAACACHTuJA1VNE6dcAAAAFAQAADwAAAAAAAAABACAAAAA4AAAAZHJzL2Rvd25yZXYueG1sUEsB&#10;AhQAFAAAAAgAh07iQGZr+xOnAQAALAMAAA4AAAAAAAAAAQAgAAAAPAEAAGRycy9lMm9Eb2MueG1s&#10;UEsFBgAAAAAGAAYAWQEAAFUFAAAAAA==&#10;">
                <v:fill on="f" focussize="0,0"/>
                <v:stroke on="f"/>
                <v:imagedata o:title=""/>
                <o:lock v:ext="edit" aspectratio="t"/>
                <w10:wrap type="none"/>
                <w10:anchorlock/>
              </v:rect>
            </w:pict>
          </mc:Fallback>
        </mc:AlternateContent>
      </w:r>
    </w:p>
    <w:p>
      <w:pPr>
        <w:pStyle w:val="2886"/>
        <w:rPr>
          <w:rFonts w:hint="eastAsia"/>
        </w:rPr>
      </w:pPr>
      <w:r>
        <w:rPr>
          <w:rFonts w:hint="default" w:ascii="Times New Roman" w:hAnsi="Times New Roman" w:cs="Times New Roman"/>
        </w:rPr>
        <w:t>图4.5</w:t>
      </w:r>
      <w:r>
        <w:rPr>
          <w:rFonts w:hint="default" w:ascii="Times New Roman" w:hAnsi="Times New Roman" w:cs="Times New Roman"/>
          <w:lang w:eastAsia="zh-CN"/>
        </w:rPr>
        <w:t>—</w:t>
      </w:r>
      <w:r>
        <w:rPr>
          <w:rFonts w:hint="default" w:ascii="Times New Roman" w:hAnsi="Times New Roman" w:cs="Times New Roman"/>
        </w:rPr>
        <w:t>3    綦江干流五岔站2016</w:t>
      </w:r>
      <w:r>
        <w:rPr>
          <w:rFonts w:hint="eastAsia"/>
        </w:rPr>
        <w:t>年“</w:t>
      </w:r>
      <w:r>
        <w:rPr>
          <w:rFonts w:hint="default" w:ascii="Times New Roman" w:hAnsi="Times New Roman" w:cs="Times New Roman"/>
        </w:rPr>
        <w:t>6</w:t>
      </w:r>
      <w:r>
        <w:rPr>
          <w:rFonts w:hint="eastAsia" w:ascii="Times New Roman" w:hAnsi="Times New Roman" w:cs="Times New Roman"/>
          <w:lang w:val="en-US" w:eastAsia="zh-CN"/>
        </w:rPr>
        <w:t>·</w:t>
      </w:r>
      <w:r>
        <w:rPr>
          <w:rFonts w:hint="default" w:ascii="Times New Roman" w:hAnsi="Times New Roman" w:cs="Times New Roman"/>
        </w:rPr>
        <w:t>28</w:t>
      </w:r>
      <w:r>
        <w:rPr>
          <w:rFonts w:hint="eastAsia"/>
        </w:rPr>
        <w:t>”洪水水位过程</w:t>
      </w:r>
    </w:p>
    <w:p>
      <w:pPr>
        <w:pStyle w:val="965"/>
        <w:rPr>
          <w:rFonts w:hint="eastAsia" w:ascii="仿宋_GB2312" w:eastAsia="仿宋_GB2312"/>
          <w:sz w:val="28"/>
        </w:rPr>
      </w:pPr>
      <w:r>
        <w:rPr>
          <w:rFonts w:hint="eastAsia" w:ascii="仿宋_GB2312" w:eastAsia="仿宋_GB2312"/>
          <w:sz w:val="28"/>
        </w:rPr>
        <w:drawing>
          <wp:anchor distT="0" distB="0" distL="114300" distR="114300" simplePos="0" relativeHeight="251663360" behindDoc="0" locked="0" layoutInCell="1" allowOverlap="1">
            <wp:simplePos x="0" y="0"/>
            <wp:positionH relativeFrom="character">
              <wp:posOffset>0</wp:posOffset>
            </wp:positionH>
            <wp:positionV relativeFrom="line">
              <wp:posOffset>0</wp:posOffset>
            </wp:positionV>
            <wp:extent cx="5238115" cy="2647315"/>
            <wp:effectExtent l="0" t="0" r="635" b="635"/>
            <wp:wrapNone/>
            <wp:docPr id="5" name="图片 774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 name="图片 7748"/>
                    <pic:cNvPicPr>
                      <a:picLocks noChangeAspect="true"/>
                    </pic:cNvPicPr>
                  </pic:nvPicPr>
                  <pic:blipFill>
                    <a:blip r:embed="rId157"/>
                    <a:stretch>
                      <a:fillRect/>
                    </a:stretch>
                  </pic:blipFill>
                  <pic:spPr>
                    <a:xfrm>
                      <a:off x="0" y="0"/>
                      <a:ext cx="5238115" cy="2647315"/>
                    </a:xfrm>
                    <a:prstGeom prst="rect">
                      <a:avLst/>
                    </a:prstGeom>
                    <a:noFill/>
                    <a:ln>
                      <a:noFill/>
                    </a:ln>
                  </pic:spPr>
                </pic:pic>
              </a:graphicData>
            </a:graphic>
          </wp:anchor>
        </w:drawing>
      </w:r>
      <w:r>
        <w:rPr>
          <w:rFonts w:hint="eastAsia" w:ascii="仿宋_GB2312" w:eastAsia="仿宋_GB2312"/>
          <w:sz w:val="28"/>
        </w:rPr>
        <mc:AlternateContent>
          <mc:Choice Requires="wps">
            <w:drawing>
              <wp:inline distT="0" distB="0" distL="114300" distR="114300">
                <wp:extent cx="5238115" cy="2647315"/>
                <wp:effectExtent l="0" t="0" r="0" b="0"/>
                <wp:docPr id="118" name="图片 86"/>
                <wp:cNvGraphicFramePr>
                  <a:graphicFrameLocks xmlns:a="http://schemas.openxmlformats.org/drawingml/2006/main" noChangeAspect="true"/>
                </wp:cNvGraphicFramePr>
                <a:graphic xmlns:a="http://schemas.openxmlformats.org/drawingml/2006/main">
                  <a:graphicData uri="http://schemas.microsoft.com/office/word/2010/wordprocessingShape">
                    <wps:wsp>
                      <wps:cNvSpPr>
                        <a:spLocks noChangeAspect="true"/>
                      </wps:cNvSpPr>
                      <wps:spPr>
                        <a:xfrm>
                          <a:off x="0" y="0"/>
                          <a:ext cx="5238115" cy="2647315"/>
                        </a:xfrm>
                        <a:prstGeom prst="rect">
                          <a:avLst/>
                        </a:prstGeom>
                        <a:noFill/>
                        <a:ln>
                          <a:noFill/>
                        </a:ln>
                      </wps:spPr>
                      <wps:bodyPr wrap="square" upright="true"/>
                    </wps:wsp>
                  </a:graphicData>
                </a:graphic>
              </wp:inline>
            </w:drawing>
          </mc:Choice>
          <mc:Fallback>
            <w:pict>
              <v:rect id="图片 86" o:spid="_x0000_s1026" o:spt="1" style="height:208.45pt;width:412.45pt;" filled="f" stroked="f" coordsize="21600,21600" o:gfxdata="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WAAAAZHJzL1BLAQIUABQA&#10;AAAIAIdO4kC3PULU1wAAAAUBAAAPAAAAAAAAAAEAIAAAADgAAABkcnMvZG93bnJldi54bWxQSwEC&#10;FAAUAAAACACHTuJAymp+iaYBAAAsAwAADgAAAAAAAAABACAAAAA8AQAAZHJzL2Uyb0RvYy54bWxQ&#10;SwUGAAAAAAYABgBZAQAAVAUAAAAA&#10;">
                <v:fill on="f" focussize="0,0"/>
                <v:stroke on="f"/>
                <v:imagedata o:title=""/>
                <o:lock v:ext="edit" aspectratio="t"/>
                <w10:wrap type="none"/>
                <w10:anchorlock/>
              </v:rect>
            </w:pict>
          </mc:Fallback>
        </mc:AlternateContent>
      </w:r>
    </w:p>
    <w:p>
      <w:pPr>
        <w:pStyle w:val="2886"/>
        <w:rPr>
          <w:rFonts w:hint="eastAsia"/>
        </w:rPr>
      </w:pPr>
      <w:r>
        <w:rPr>
          <w:rFonts w:hint="default" w:ascii="Times New Roman" w:hAnsi="Times New Roman" w:cs="Times New Roman"/>
        </w:rPr>
        <w:t>图4.5</w:t>
      </w:r>
      <w:r>
        <w:rPr>
          <w:rFonts w:hint="default" w:ascii="Times New Roman" w:hAnsi="Times New Roman" w:cs="Times New Roman"/>
          <w:lang w:eastAsia="zh-CN"/>
        </w:rPr>
        <w:t>—</w:t>
      </w:r>
      <w:r>
        <w:rPr>
          <w:rFonts w:hint="default" w:ascii="Times New Roman" w:hAnsi="Times New Roman" w:cs="Times New Roman"/>
        </w:rPr>
        <w:t>4    綦江干流五岔站1998年</w:t>
      </w:r>
      <w:r>
        <w:rPr>
          <w:rFonts w:hint="eastAsia"/>
        </w:rPr>
        <w:t>“</w:t>
      </w:r>
      <w:r>
        <w:rPr>
          <w:rFonts w:hint="default" w:ascii="Times New Roman" w:hAnsi="Times New Roman" w:cs="Times New Roman"/>
        </w:rPr>
        <w:t>8</w:t>
      </w:r>
      <w:r>
        <w:rPr>
          <w:rFonts w:hint="eastAsia" w:ascii="Times New Roman" w:hAnsi="Times New Roman" w:cs="Times New Roman"/>
          <w:lang w:val="en-US" w:eastAsia="zh-CN"/>
        </w:rPr>
        <w:t>·</w:t>
      </w:r>
      <w:r>
        <w:rPr>
          <w:rFonts w:hint="default" w:ascii="Times New Roman" w:hAnsi="Times New Roman" w:cs="Times New Roman"/>
        </w:rPr>
        <w:t>17</w:t>
      </w:r>
      <w:r>
        <w:rPr>
          <w:rFonts w:hint="eastAsia"/>
        </w:rPr>
        <w:t>”洪水水位过程</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lang w:val="en-US" w:eastAsia="zh-CN"/>
        </w:rPr>
        <w:t>1.3.2</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rPr>
        <w:t>模型的率定和验证</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rPr>
        <w:t>考虑綦江干流的洪水特性和洪痕资料条件，将干流河道划分成11个计算河段分别率定糙率。具体为：五岔站</w:t>
      </w:r>
      <w:r>
        <w:rPr>
          <w:rFonts w:hint="eastAsia" w:ascii="Times New Roman" w:eastAsia="方正仿宋_GBK" w:cs="Times New Roman"/>
          <w:sz w:val="32"/>
          <w:szCs w:val="32"/>
          <w:lang w:eastAsia="zh-CN"/>
        </w:rPr>
        <w:t>—</w:t>
      </w:r>
      <w:r>
        <w:rPr>
          <w:rFonts w:hint="eastAsia" w:ascii="Times New Roman" w:hAnsi="Times New Roman" w:eastAsia="方正仿宋_GBK" w:cs="Times New Roman"/>
          <w:sz w:val="32"/>
          <w:szCs w:val="32"/>
        </w:rPr>
        <w:t>桥溪口、桥溪口</w:t>
      </w:r>
      <w:r>
        <w:rPr>
          <w:rFonts w:hint="eastAsia" w:ascii="Times New Roman" w:eastAsia="方正仿宋_GBK" w:cs="Times New Roman"/>
          <w:sz w:val="32"/>
          <w:szCs w:val="32"/>
          <w:lang w:eastAsia="zh-CN"/>
        </w:rPr>
        <w:t>—</w:t>
      </w:r>
      <w:r>
        <w:rPr>
          <w:rFonts w:hint="eastAsia" w:ascii="Times New Roman" w:hAnsi="Times New Roman" w:eastAsia="方正仿宋_GBK" w:cs="Times New Roman"/>
          <w:sz w:val="32"/>
          <w:szCs w:val="32"/>
        </w:rPr>
        <w:t>清溪河口、清溪河口</w:t>
      </w:r>
      <w:r>
        <w:rPr>
          <w:rFonts w:hint="eastAsia" w:ascii="Times New Roman" w:eastAsia="方正仿宋_GBK" w:cs="Times New Roman"/>
          <w:sz w:val="32"/>
          <w:szCs w:val="32"/>
          <w:lang w:eastAsia="zh-CN"/>
        </w:rPr>
        <w:t>—</w:t>
      </w:r>
      <w:r>
        <w:rPr>
          <w:rFonts w:hint="eastAsia" w:ascii="Times New Roman" w:hAnsi="Times New Roman" w:eastAsia="方正仿宋_GBK" w:cs="Times New Roman"/>
          <w:sz w:val="32"/>
          <w:szCs w:val="32"/>
        </w:rPr>
        <w:t>北渡大桥、北渡大桥</w:t>
      </w:r>
      <w:r>
        <w:rPr>
          <w:rFonts w:hint="eastAsia" w:ascii="Times New Roman" w:eastAsia="方正仿宋_GBK" w:cs="Times New Roman"/>
          <w:sz w:val="32"/>
          <w:szCs w:val="32"/>
          <w:lang w:eastAsia="zh-CN"/>
        </w:rPr>
        <w:t>—</w:t>
      </w:r>
      <w:r>
        <w:rPr>
          <w:rFonts w:hint="eastAsia" w:ascii="Times New Roman" w:hAnsi="Times New Roman" w:eastAsia="方正仿宋_GBK" w:cs="Times New Roman"/>
          <w:sz w:val="32"/>
          <w:szCs w:val="32"/>
        </w:rPr>
        <w:t>大岩门、大岩门</w:t>
      </w:r>
      <w:r>
        <w:rPr>
          <w:rFonts w:hint="eastAsia" w:ascii="Times New Roman" w:eastAsia="方正仿宋_GBK" w:cs="Times New Roman"/>
          <w:sz w:val="32"/>
          <w:szCs w:val="32"/>
          <w:lang w:eastAsia="zh-CN"/>
        </w:rPr>
        <w:t>—</w:t>
      </w:r>
      <w:r>
        <w:rPr>
          <w:rFonts w:hint="eastAsia" w:ascii="Times New Roman" w:hAnsi="Times New Roman" w:eastAsia="方正仿宋_GBK" w:cs="Times New Roman"/>
          <w:sz w:val="32"/>
          <w:szCs w:val="32"/>
        </w:rPr>
        <w:t>城北大桥、城北大桥</w:t>
      </w:r>
      <w:r>
        <w:rPr>
          <w:rFonts w:hint="eastAsia" w:ascii="Times New Roman" w:eastAsia="方正仿宋_GBK" w:cs="Times New Roman"/>
          <w:sz w:val="32"/>
          <w:szCs w:val="32"/>
          <w:lang w:eastAsia="zh-CN"/>
        </w:rPr>
        <w:t>—</w:t>
      </w:r>
      <w:r>
        <w:rPr>
          <w:rFonts w:hint="eastAsia" w:ascii="Times New Roman" w:hAnsi="Times New Roman" w:eastAsia="方正仿宋_GBK" w:cs="Times New Roman"/>
          <w:sz w:val="32"/>
          <w:szCs w:val="32"/>
        </w:rPr>
        <w:t>大常、大常</w:t>
      </w:r>
      <w:r>
        <w:rPr>
          <w:rFonts w:hint="eastAsia" w:ascii="Times New Roman" w:eastAsia="方正仿宋_GBK" w:cs="Times New Roman"/>
          <w:sz w:val="32"/>
          <w:szCs w:val="32"/>
          <w:lang w:eastAsia="zh-CN"/>
        </w:rPr>
        <w:t>—</w:t>
      </w:r>
      <w:r>
        <w:rPr>
          <w:rFonts w:hint="eastAsia" w:ascii="Times New Roman" w:hAnsi="Times New Roman" w:eastAsia="方正仿宋_GBK" w:cs="Times New Roman"/>
          <w:sz w:val="32"/>
          <w:szCs w:val="32"/>
        </w:rPr>
        <w:t>綦江大桥、綦江大桥</w:t>
      </w:r>
      <w:r>
        <w:rPr>
          <w:rFonts w:hint="eastAsia" w:ascii="Times New Roman" w:eastAsia="方正仿宋_GBK" w:cs="Times New Roman"/>
          <w:sz w:val="32"/>
          <w:szCs w:val="32"/>
          <w:lang w:eastAsia="zh-CN"/>
        </w:rPr>
        <w:t>—</w:t>
      </w:r>
      <w:r>
        <w:rPr>
          <w:rFonts w:hint="eastAsia" w:ascii="Times New Roman" w:hAnsi="Times New Roman" w:eastAsia="方正仿宋_GBK" w:cs="Times New Roman"/>
          <w:sz w:val="32"/>
          <w:szCs w:val="32"/>
        </w:rPr>
        <w:t>彩虹桥、彩虹桥</w:t>
      </w:r>
      <w:r>
        <w:rPr>
          <w:rFonts w:hint="eastAsia" w:ascii="Times New Roman" w:eastAsia="方正仿宋_GBK" w:cs="Times New Roman"/>
          <w:sz w:val="32"/>
          <w:szCs w:val="32"/>
          <w:lang w:eastAsia="zh-CN"/>
        </w:rPr>
        <w:t>—</w:t>
      </w:r>
      <w:r>
        <w:rPr>
          <w:rFonts w:hint="eastAsia" w:ascii="Times New Roman" w:hAnsi="Times New Roman" w:eastAsia="方正仿宋_GBK" w:cs="Times New Roman"/>
          <w:sz w:val="32"/>
          <w:szCs w:val="32"/>
        </w:rPr>
        <w:t>沱湾大桥、沱湾大桥</w:t>
      </w:r>
      <w:r>
        <w:rPr>
          <w:rFonts w:hint="eastAsia" w:ascii="Times New Roman" w:eastAsia="方正仿宋_GBK" w:cs="Times New Roman"/>
          <w:sz w:val="32"/>
          <w:szCs w:val="32"/>
          <w:lang w:eastAsia="zh-CN"/>
        </w:rPr>
        <w:t>—</w:t>
      </w:r>
      <w:r>
        <w:rPr>
          <w:rFonts w:hint="eastAsia" w:ascii="Times New Roman" w:hAnsi="Times New Roman" w:eastAsia="方正仿宋_GBK" w:cs="Times New Roman"/>
          <w:sz w:val="32"/>
          <w:szCs w:val="32"/>
        </w:rPr>
        <w:t>桥河、桥河</w:t>
      </w:r>
      <w:r>
        <w:rPr>
          <w:rFonts w:hint="eastAsia" w:ascii="Times New Roman" w:eastAsia="方正仿宋_GBK" w:cs="Times New Roman"/>
          <w:sz w:val="32"/>
          <w:szCs w:val="32"/>
          <w:lang w:eastAsia="zh-CN"/>
        </w:rPr>
        <w:t>—</w:t>
      </w:r>
      <w:r>
        <w:rPr>
          <w:rFonts w:hint="eastAsia" w:ascii="Times New Roman" w:hAnsi="Times New Roman" w:eastAsia="方正仿宋_GBK" w:cs="Times New Roman"/>
          <w:sz w:val="32"/>
          <w:szCs w:val="32"/>
        </w:rPr>
        <w:t>东溪站。采用2016年和1998年的实测洪水资料，根据桥河、沱湾大桥、彩虹桥、綦江大桥、大常、城北大桥、大岩门、北渡大桥、清溪河口、桥溪口的洪痕资料以及五岔站的流量过程对11个河段的综合糙率分别进行率定和验证。</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rPr>
        <w:t>①五岔站洪水过程线的率定与验证</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eastAsia" w:ascii="Times New Roman" w:hAnsi="Times New Roman" w:eastAsia="方正仿宋_GBK" w:cs="Times New Roman"/>
          <w:sz w:val="32"/>
          <w:szCs w:val="32"/>
        </w:rPr>
        <w:t>对五岔站的流量过程进行率定与验证，图</w:t>
      </w:r>
      <w:r>
        <w:rPr>
          <w:rFonts w:hint="default" w:ascii="Times New Roman" w:hAnsi="Times New Roman" w:eastAsia="方正仿宋_GBK" w:cs="Times New Roman"/>
          <w:sz w:val="32"/>
          <w:szCs w:val="32"/>
        </w:rPr>
        <w:t>4.</w:t>
      </w:r>
      <w:r>
        <w:rPr>
          <w:rFonts w:hint="eastAsia" w:ascii="Times New Roman" w:hAnsi="Times New Roman" w:eastAsia="方正仿宋_GBK" w:cs="Times New Roman"/>
          <w:sz w:val="32"/>
          <w:szCs w:val="32"/>
        </w:rPr>
        <w:t>5</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5</w:t>
      </w:r>
      <w:r>
        <w:rPr>
          <w:rFonts w:hint="eastAsia" w:ascii="Times New Roman" w:hAnsi="Times New Roman" w:eastAsia="方正仿宋_GBK" w:cs="Times New Roman"/>
          <w:sz w:val="32"/>
          <w:szCs w:val="32"/>
        </w:rPr>
        <w:t>为2016年“6</w:t>
      </w:r>
      <w:r>
        <w:rPr>
          <w:rFonts w:hint="eastAsia" w:ascii="Times New Roman" w:hAnsi="Times New Roman" w:cs="Times New Roman"/>
          <w:lang w:val="en-US" w:eastAsia="zh-CN"/>
        </w:rPr>
        <w:t>·</w:t>
      </w:r>
      <w:r>
        <w:rPr>
          <w:rFonts w:hint="eastAsia" w:ascii="Times New Roman" w:hAnsi="Times New Roman" w:eastAsia="方正仿宋_GBK" w:cs="Times New Roman"/>
          <w:sz w:val="32"/>
          <w:szCs w:val="32"/>
        </w:rPr>
        <w:t>28”洪水过程率定结果，图</w:t>
      </w:r>
      <w:r>
        <w:rPr>
          <w:rFonts w:hint="default" w:ascii="Times New Roman" w:hAnsi="Times New Roman" w:eastAsia="方正仿宋_GBK" w:cs="Times New Roman"/>
          <w:sz w:val="32"/>
          <w:szCs w:val="32"/>
        </w:rPr>
        <w:t>4.</w:t>
      </w:r>
      <w:r>
        <w:rPr>
          <w:rFonts w:hint="eastAsia" w:ascii="Times New Roman" w:hAnsi="Times New Roman" w:eastAsia="方正仿宋_GBK" w:cs="Times New Roman"/>
          <w:sz w:val="32"/>
          <w:szCs w:val="32"/>
        </w:rPr>
        <w:t>5</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6</w:t>
      </w:r>
      <w:r>
        <w:rPr>
          <w:rFonts w:hint="eastAsia" w:ascii="Times New Roman" w:hAnsi="Times New Roman" w:eastAsia="方正仿宋_GBK" w:cs="Times New Roman"/>
          <w:sz w:val="32"/>
          <w:szCs w:val="32"/>
        </w:rPr>
        <w:t>为1998年“8</w:t>
      </w:r>
      <w:r>
        <w:rPr>
          <w:rFonts w:hint="eastAsia" w:ascii="Times New Roman" w:hAnsi="Times New Roman" w:cs="Times New Roman"/>
          <w:lang w:val="en-US" w:eastAsia="zh-CN"/>
        </w:rPr>
        <w:t>·</w:t>
      </w:r>
      <w:r>
        <w:rPr>
          <w:rFonts w:hint="eastAsia" w:ascii="Times New Roman" w:hAnsi="Times New Roman" w:eastAsia="方正仿宋_GBK" w:cs="Times New Roman"/>
          <w:sz w:val="32"/>
          <w:szCs w:val="32"/>
        </w:rPr>
        <w:t>17”洪水过程验证结果，可以看出：两场洪水中，五岔站的模拟洪水过程与实测洪水过程，其洪水上涨和消落态势一致，峰值大小和峰现时间均较为吻合。在模型率定成果中，五岔站峰值流量误差值为1m</w:t>
      </w:r>
      <w:r>
        <w:rPr>
          <w:rFonts w:hint="eastAsia" w:ascii="Times New Roman" w:hAnsi="Times New Roman" w:eastAsia="方正仿宋_GBK" w:cs="Times New Roman"/>
          <w:sz w:val="32"/>
          <w:szCs w:val="32"/>
          <w:vertAlign w:val="superscript"/>
        </w:rPr>
        <w:t>3</w:t>
      </w:r>
      <w:r>
        <w:rPr>
          <w:rFonts w:hint="eastAsia" w:ascii="Times New Roman" w:hAnsi="Times New Roman" w:eastAsia="方正仿宋_GBK" w:cs="Times New Roman"/>
          <w:sz w:val="32"/>
          <w:szCs w:val="32"/>
        </w:rPr>
        <w:t>/s，占比为0.02%；在模型验证成果中，五岔站峰值流量误差值为13m</w:t>
      </w:r>
      <w:r>
        <w:rPr>
          <w:rFonts w:hint="eastAsia" w:ascii="Times New Roman" w:hAnsi="Times New Roman" w:eastAsia="方正仿宋_GBK" w:cs="Times New Roman"/>
          <w:sz w:val="32"/>
          <w:szCs w:val="32"/>
          <w:vertAlign w:val="superscript"/>
        </w:rPr>
        <w:t>3</w:t>
      </w:r>
      <w:r>
        <w:rPr>
          <w:rFonts w:hint="eastAsia" w:ascii="Times New Roman" w:hAnsi="Times New Roman" w:eastAsia="方正仿宋_GBK" w:cs="Times New Roman"/>
          <w:sz w:val="32"/>
          <w:szCs w:val="32"/>
        </w:rPr>
        <w:t>/s，占比为0.25%，见表</w:t>
      </w:r>
      <w:r>
        <w:rPr>
          <w:rFonts w:hint="default" w:ascii="Times New Roman" w:hAnsi="Times New Roman" w:eastAsia="方正仿宋_GBK" w:cs="Times New Roman"/>
          <w:sz w:val="32"/>
          <w:szCs w:val="32"/>
        </w:rPr>
        <w:t>4.</w:t>
      </w:r>
      <w:r>
        <w:rPr>
          <w:rFonts w:hint="eastAsia" w:ascii="Times New Roman" w:hAnsi="Times New Roman" w:eastAsia="方正仿宋_GBK" w:cs="Times New Roman"/>
          <w:sz w:val="32"/>
          <w:szCs w:val="32"/>
        </w:rPr>
        <w:t>5</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1</w:t>
      </w:r>
      <w:r>
        <w:rPr>
          <w:rFonts w:hint="eastAsia" w:ascii="Times New Roman" w:hAnsi="Times New Roman" w:eastAsia="方正仿宋_GBK" w:cs="Times New Roman"/>
          <w:sz w:val="32"/>
          <w:szCs w:val="32"/>
        </w:rPr>
        <w:t>。综上，五岔站洪水过程的模拟误差较小。</w:t>
      </w:r>
    </w:p>
    <w:p>
      <w:pPr>
        <w:pStyle w:val="2312"/>
        <w:ind w:firstLine="240"/>
        <w:jc w:val="center"/>
        <w:rPr>
          <w:rFonts w:hint="default" w:ascii="Times New Roman" w:hAnsi="Times New Roman" w:cs="Times New Roman"/>
        </w:rPr>
      </w:pPr>
      <w:r>
        <w:rPr>
          <w:rFonts w:hint="default" w:ascii="Times New Roman" w:hAnsi="Times New Roman" w:cs="Times New Roman"/>
        </w:rPr>
        <w:t>表4.5</w:t>
      </w:r>
      <w:r>
        <w:rPr>
          <w:rFonts w:hint="default" w:ascii="Times New Roman" w:hAnsi="Times New Roman" w:cs="Times New Roman"/>
          <w:lang w:eastAsia="zh-CN"/>
        </w:rPr>
        <w:t>—</w:t>
      </w:r>
      <w:r>
        <w:rPr>
          <w:rFonts w:hint="default" w:ascii="Times New Roman" w:hAnsi="Times New Roman" w:cs="Times New Roman"/>
        </w:rPr>
        <w:t>1                五岔站洪峰流量率定与验证结果</w:t>
      </w:r>
    </w:p>
    <w:tbl>
      <w:tblPr>
        <w:tblStyle w:val="88"/>
        <w:tblW w:w="5000"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108" w:type="dxa"/>
          <w:bottom w:w="0" w:type="dxa"/>
          <w:right w:w="108" w:type="dxa"/>
        </w:tblCellMar>
      </w:tblPr>
      <w:tblGrid>
        <w:gridCol w:w="1343"/>
        <w:gridCol w:w="2370"/>
        <w:gridCol w:w="1343"/>
        <w:gridCol w:w="1345"/>
        <w:gridCol w:w="1343"/>
        <w:gridCol w:w="1343"/>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043" w:type="pct"/>
            <w:gridSpan w:val="2"/>
            <w:vMerge w:val="restart"/>
            <w:noWrap/>
            <w:tcMar>
              <w:left w:w="0" w:type="dxa"/>
              <w:right w:w="0" w:type="dxa"/>
            </w:tcMar>
            <w:vAlign w:val="center"/>
          </w:tcPr>
          <w:p>
            <w:pPr>
              <w:pStyle w:val="3013"/>
              <w:rPr>
                <w:rFonts w:hint="eastAsia"/>
              </w:rPr>
            </w:pPr>
            <w:r>
              <w:rPr>
                <w:rFonts w:hint="eastAsia"/>
              </w:rPr>
              <w:t>采用洪水资料</w:t>
            </w:r>
          </w:p>
        </w:tc>
        <w:tc>
          <w:tcPr>
            <w:tcW w:w="2957" w:type="pct"/>
            <w:gridSpan w:val="4"/>
            <w:noWrap/>
            <w:tcMar>
              <w:left w:w="0" w:type="dxa"/>
              <w:right w:w="0" w:type="dxa"/>
            </w:tcMar>
            <w:vAlign w:val="center"/>
          </w:tcPr>
          <w:p>
            <w:pPr>
              <w:pStyle w:val="3013"/>
              <w:rPr>
                <w:rFonts w:hint="eastAsia"/>
              </w:rPr>
            </w:pPr>
            <w:r>
              <w:rPr>
                <w:rFonts w:hint="eastAsia"/>
              </w:rPr>
              <w:t>峰值流量（m</w:t>
            </w:r>
            <w:r>
              <w:rPr>
                <w:rFonts w:hint="eastAsia"/>
                <w:vertAlign w:val="superscript"/>
              </w:rPr>
              <w:t>3</w:t>
            </w:r>
            <w:r>
              <w:rPr>
                <w:rFonts w:hint="eastAsia"/>
              </w:rPr>
              <w:t>/s）</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043" w:type="pct"/>
            <w:gridSpan w:val="2"/>
            <w:vMerge w:val="continue"/>
            <w:noWrap w:val="0"/>
            <w:tcMar>
              <w:left w:w="0" w:type="dxa"/>
              <w:right w:w="0" w:type="dxa"/>
            </w:tcMar>
            <w:vAlign w:val="center"/>
          </w:tcPr>
          <w:p>
            <w:pPr>
              <w:pStyle w:val="3013"/>
              <w:rPr>
                <w:rFonts w:hint="eastAsia"/>
              </w:rPr>
            </w:pPr>
          </w:p>
        </w:tc>
        <w:tc>
          <w:tcPr>
            <w:tcW w:w="739" w:type="pct"/>
            <w:noWrap/>
            <w:tcMar>
              <w:left w:w="0" w:type="dxa"/>
              <w:right w:w="0" w:type="dxa"/>
            </w:tcMar>
            <w:vAlign w:val="center"/>
          </w:tcPr>
          <w:p>
            <w:pPr>
              <w:pStyle w:val="3013"/>
              <w:rPr>
                <w:rFonts w:hint="eastAsia"/>
              </w:rPr>
            </w:pPr>
            <w:r>
              <w:rPr>
                <w:rFonts w:hint="eastAsia"/>
              </w:rPr>
              <w:t>实测值</w:t>
            </w:r>
          </w:p>
        </w:tc>
        <w:tc>
          <w:tcPr>
            <w:tcW w:w="740" w:type="pct"/>
            <w:noWrap/>
            <w:tcMar>
              <w:left w:w="0" w:type="dxa"/>
              <w:right w:w="0" w:type="dxa"/>
            </w:tcMar>
            <w:vAlign w:val="center"/>
          </w:tcPr>
          <w:p>
            <w:pPr>
              <w:pStyle w:val="3013"/>
              <w:rPr>
                <w:rFonts w:hint="eastAsia"/>
              </w:rPr>
            </w:pPr>
            <w:r>
              <w:rPr>
                <w:rFonts w:hint="eastAsia"/>
              </w:rPr>
              <w:t>计算值</w:t>
            </w:r>
          </w:p>
        </w:tc>
        <w:tc>
          <w:tcPr>
            <w:tcW w:w="739" w:type="pct"/>
            <w:noWrap/>
            <w:tcMar>
              <w:left w:w="0" w:type="dxa"/>
              <w:right w:w="0" w:type="dxa"/>
            </w:tcMar>
            <w:vAlign w:val="center"/>
          </w:tcPr>
          <w:p>
            <w:pPr>
              <w:pStyle w:val="3013"/>
              <w:rPr>
                <w:rFonts w:hint="eastAsia"/>
              </w:rPr>
            </w:pPr>
            <w:r>
              <w:rPr>
                <w:rFonts w:hint="eastAsia"/>
              </w:rPr>
              <w:t>差值</w:t>
            </w:r>
          </w:p>
        </w:tc>
        <w:tc>
          <w:tcPr>
            <w:tcW w:w="739" w:type="pct"/>
            <w:noWrap/>
            <w:tcMar>
              <w:left w:w="0" w:type="dxa"/>
              <w:right w:w="0" w:type="dxa"/>
            </w:tcMar>
            <w:vAlign w:val="center"/>
          </w:tcPr>
          <w:p>
            <w:pPr>
              <w:pStyle w:val="3013"/>
              <w:rPr>
                <w:rFonts w:hint="eastAsia"/>
              </w:rPr>
            </w:pPr>
            <w:r>
              <w:rPr>
                <w:rFonts w:hint="eastAsia"/>
              </w:rPr>
              <w:t>占比</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39" w:type="pct"/>
            <w:noWrap/>
            <w:tcMar>
              <w:left w:w="0" w:type="dxa"/>
              <w:right w:w="0" w:type="dxa"/>
            </w:tcMar>
            <w:vAlign w:val="center"/>
          </w:tcPr>
          <w:p>
            <w:pPr>
              <w:pStyle w:val="3013"/>
              <w:rPr>
                <w:rFonts w:hint="eastAsia"/>
              </w:rPr>
            </w:pPr>
            <w:r>
              <w:rPr>
                <w:rFonts w:hint="eastAsia"/>
              </w:rPr>
              <w:t>模型率定</w:t>
            </w:r>
          </w:p>
        </w:tc>
        <w:tc>
          <w:tcPr>
            <w:tcW w:w="1304" w:type="pct"/>
            <w:noWrap w:val="0"/>
            <w:tcMar>
              <w:left w:w="0" w:type="dxa"/>
              <w:right w:w="0" w:type="dxa"/>
            </w:tcMar>
            <w:vAlign w:val="center"/>
          </w:tcPr>
          <w:p>
            <w:pPr>
              <w:pStyle w:val="3013"/>
              <w:rPr>
                <w:rFonts w:hint="eastAsia"/>
              </w:rPr>
            </w:pPr>
            <w:r>
              <w:rPr>
                <w:rFonts w:hint="eastAsia"/>
              </w:rPr>
              <w:t>2016年“6.28”洪水</w:t>
            </w:r>
          </w:p>
        </w:tc>
        <w:tc>
          <w:tcPr>
            <w:tcW w:w="739" w:type="pct"/>
            <w:noWrap/>
            <w:tcMar>
              <w:left w:w="0" w:type="dxa"/>
              <w:right w:w="0" w:type="dxa"/>
            </w:tcMar>
            <w:vAlign w:val="center"/>
          </w:tcPr>
          <w:p>
            <w:pPr>
              <w:pStyle w:val="3013"/>
              <w:rPr>
                <w:rFonts w:hint="eastAsia"/>
              </w:rPr>
            </w:pPr>
            <w:r>
              <w:rPr>
                <w:rFonts w:hint="eastAsia"/>
              </w:rPr>
              <w:t>4150</w:t>
            </w:r>
          </w:p>
        </w:tc>
        <w:tc>
          <w:tcPr>
            <w:tcW w:w="740" w:type="pct"/>
            <w:noWrap/>
            <w:tcMar>
              <w:left w:w="0" w:type="dxa"/>
              <w:right w:w="0" w:type="dxa"/>
            </w:tcMar>
            <w:vAlign w:val="center"/>
          </w:tcPr>
          <w:p>
            <w:pPr>
              <w:pStyle w:val="3013"/>
              <w:rPr>
                <w:rFonts w:hint="eastAsia"/>
              </w:rPr>
            </w:pPr>
            <w:r>
              <w:rPr>
                <w:rFonts w:hint="eastAsia"/>
              </w:rPr>
              <w:t>4151</w:t>
            </w:r>
          </w:p>
        </w:tc>
        <w:tc>
          <w:tcPr>
            <w:tcW w:w="739" w:type="pct"/>
            <w:noWrap/>
            <w:tcMar>
              <w:left w:w="0" w:type="dxa"/>
              <w:right w:w="0" w:type="dxa"/>
            </w:tcMar>
            <w:vAlign w:val="center"/>
          </w:tcPr>
          <w:p>
            <w:pPr>
              <w:pStyle w:val="3013"/>
              <w:rPr>
                <w:rFonts w:hint="eastAsia"/>
              </w:rPr>
            </w:pPr>
            <w:r>
              <w:rPr>
                <w:rFonts w:hint="eastAsia"/>
              </w:rPr>
              <w:t>1</w:t>
            </w:r>
          </w:p>
        </w:tc>
        <w:tc>
          <w:tcPr>
            <w:tcW w:w="739" w:type="pct"/>
            <w:noWrap/>
            <w:tcMar>
              <w:left w:w="0" w:type="dxa"/>
              <w:right w:w="0" w:type="dxa"/>
            </w:tcMar>
            <w:vAlign w:val="center"/>
          </w:tcPr>
          <w:p>
            <w:pPr>
              <w:pStyle w:val="3013"/>
              <w:rPr>
                <w:rFonts w:hint="eastAsia"/>
              </w:rPr>
            </w:pPr>
            <w:r>
              <w:rPr>
                <w:rFonts w:hint="eastAsia"/>
              </w:rPr>
              <w:t>0.02%</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39" w:type="pct"/>
            <w:noWrap/>
            <w:tcMar>
              <w:left w:w="0" w:type="dxa"/>
              <w:right w:w="0" w:type="dxa"/>
            </w:tcMar>
            <w:vAlign w:val="center"/>
          </w:tcPr>
          <w:p>
            <w:pPr>
              <w:pStyle w:val="3013"/>
              <w:rPr>
                <w:rFonts w:hint="eastAsia"/>
              </w:rPr>
            </w:pPr>
            <w:r>
              <w:rPr>
                <w:rFonts w:hint="eastAsia"/>
              </w:rPr>
              <w:t>模型验证</w:t>
            </w:r>
          </w:p>
        </w:tc>
        <w:tc>
          <w:tcPr>
            <w:tcW w:w="1304" w:type="pct"/>
            <w:noWrap w:val="0"/>
            <w:tcMar>
              <w:left w:w="0" w:type="dxa"/>
              <w:right w:w="0" w:type="dxa"/>
            </w:tcMar>
            <w:vAlign w:val="center"/>
          </w:tcPr>
          <w:p>
            <w:pPr>
              <w:pStyle w:val="3013"/>
              <w:rPr>
                <w:rFonts w:hint="eastAsia"/>
              </w:rPr>
            </w:pPr>
            <w:r>
              <w:rPr>
                <w:rFonts w:hint="eastAsia"/>
              </w:rPr>
              <w:t>1998年“8.17”洪水</w:t>
            </w:r>
          </w:p>
        </w:tc>
        <w:tc>
          <w:tcPr>
            <w:tcW w:w="739" w:type="pct"/>
            <w:noWrap/>
            <w:tcMar>
              <w:left w:w="0" w:type="dxa"/>
              <w:right w:w="0" w:type="dxa"/>
            </w:tcMar>
            <w:vAlign w:val="center"/>
          </w:tcPr>
          <w:p>
            <w:pPr>
              <w:pStyle w:val="3013"/>
              <w:rPr>
                <w:rFonts w:hint="eastAsia"/>
              </w:rPr>
            </w:pPr>
            <w:r>
              <w:rPr>
                <w:rFonts w:hint="eastAsia"/>
              </w:rPr>
              <w:t>5243</w:t>
            </w:r>
          </w:p>
        </w:tc>
        <w:tc>
          <w:tcPr>
            <w:tcW w:w="740" w:type="pct"/>
            <w:noWrap/>
            <w:tcMar>
              <w:left w:w="0" w:type="dxa"/>
              <w:right w:w="0" w:type="dxa"/>
            </w:tcMar>
            <w:vAlign w:val="center"/>
          </w:tcPr>
          <w:p>
            <w:pPr>
              <w:pStyle w:val="3013"/>
              <w:rPr>
                <w:rFonts w:hint="eastAsia"/>
              </w:rPr>
            </w:pPr>
            <w:r>
              <w:rPr>
                <w:rFonts w:hint="eastAsia"/>
              </w:rPr>
              <w:t>5256</w:t>
            </w:r>
          </w:p>
        </w:tc>
        <w:tc>
          <w:tcPr>
            <w:tcW w:w="739" w:type="pct"/>
            <w:noWrap/>
            <w:tcMar>
              <w:left w:w="0" w:type="dxa"/>
              <w:right w:w="0" w:type="dxa"/>
            </w:tcMar>
            <w:vAlign w:val="center"/>
          </w:tcPr>
          <w:p>
            <w:pPr>
              <w:pStyle w:val="3013"/>
              <w:rPr>
                <w:rFonts w:hint="eastAsia"/>
              </w:rPr>
            </w:pPr>
            <w:r>
              <w:rPr>
                <w:rFonts w:hint="eastAsia"/>
              </w:rPr>
              <w:t>13</w:t>
            </w:r>
          </w:p>
        </w:tc>
        <w:tc>
          <w:tcPr>
            <w:tcW w:w="739" w:type="pct"/>
            <w:noWrap/>
            <w:tcMar>
              <w:left w:w="0" w:type="dxa"/>
              <w:right w:w="0" w:type="dxa"/>
            </w:tcMar>
            <w:vAlign w:val="center"/>
          </w:tcPr>
          <w:p>
            <w:pPr>
              <w:pStyle w:val="3013"/>
              <w:rPr>
                <w:rFonts w:hint="eastAsia"/>
              </w:rPr>
            </w:pPr>
            <w:r>
              <w:rPr>
                <w:rFonts w:hint="eastAsia"/>
              </w:rPr>
              <w:t>0.25%</w:t>
            </w:r>
          </w:p>
        </w:tc>
      </w:tr>
    </w:tbl>
    <w:p>
      <w:pPr>
        <w:pStyle w:val="2953"/>
        <w:spacing w:line="0" w:lineRule="atLeast"/>
        <w:ind w:firstLine="560"/>
        <w:rPr>
          <w:rFonts w:hint="eastAsia"/>
        </w:rPr>
      </w:pPr>
    </w:p>
    <w:p>
      <w:pPr>
        <w:pStyle w:val="2886"/>
        <w:outlineLvl w:val="9"/>
        <w:rPr>
          <w:rFonts w:hint="eastAsia" w:ascii="仿宋_GB2312" w:eastAsia="仿宋_GB2312"/>
        </w:rPr>
      </w:pPr>
      <w:r>
        <w:rPr>
          <w:rFonts w:hint="eastAsia" w:ascii="仿宋_GB2312" w:eastAsia="仿宋_GB2312"/>
        </w:rPr>
        <w:drawing>
          <wp:anchor distT="0" distB="0" distL="114300" distR="114300" simplePos="0" relativeHeight="251665408" behindDoc="0" locked="0" layoutInCell="1" allowOverlap="1">
            <wp:simplePos x="0" y="0"/>
            <wp:positionH relativeFrom="character">
              <wp:posOffset>0</wp:posOffset>
            </wp:positionH>
            <wp:positionV relativeFrom="line">
              <wp:posOffset>0</wp:posOffset>
            </wp:positionV>
            <wp:extent cx="5662930" cy="2887345"/>
            <wp:effectExtent l="0" t="0" r="13970" b="8255"/>
            <wp:wrapNone/>
            <wp:docPr id="7" name="图片 774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 name="图片 7749"/>
                    <pic:cNvPicPr>
                      <a:picLocks noChangeAspect="true"/>
                    </pic:cNvPicPr>
                  </pic:nvPicPr>
                  <pic:blipFill>
                    <a:blip r:embed="rId158"/>
                    <a:stretch>
                      <a:fillRect/>
                    </a:stretch>
                  </pic:blipFill>
                  <pic:spPr>
                    <a:xfrm>
                      <a:off x="0" y="0"/>
                      <a:ext cx="5662930" cy="2887345"/>
                    </a:xfrm>
                    <a:prstGeom prst="rect">
                      <a:avLst/>
                    </a:prstGeom>
                    <a:noFill/>
                    <a:ln>
                      <a:noFill/>
                    </a:ln>
                  </pic:spPr>
                </pic:pic>
              </a:graphicData>
            </a:graphic>
          </wp:anchor>
        </w:drawing>
      </w:r>
      <w:r>
        <w:rPr>
          <w:rFonts w:hint="eastAsia" w:ascii="仿宋_GB2312" w:eastAsia="仿宋_GB2312"/>
        </w:rPr>
        <mc:AlternateContent>
          <mc:Choice Requires="wps">
            <w:drawing>
              <wp:inline distT="0" distB="0" distL="114300" distR="114300">
                <wp:extent cx="5662930" cy="2887345"/>
                <wp:effectExtent l="0" t="0" r="0" b="0"/>
                <wp:docPr id="119" name="图片 87"/>
                <wp:cNvGraphicFramePr>
                  <a:graphicFrameLocks xmlns:a="http://schemas.openxmlformats.org/drawingml/2006/main" noChangeAspect="true"/>
                </wp:cNvGraphicFramePr>
                <a:graphic xmlns:a="http://schemas.openxmlformats.org/drawingml/2006/main">
                  <a:graphicData uri="http://schemas.microsoft.com/office/word/2010/wordprocessingShape">
                    <wps:wsp>
                      <wps:cNvSpPr>
                        <a:spLocks noChangeAspect="true"/>
                      </wps:cNvSpPr>
                      <wps:spPr>
                        <a:xfrm>
                          <a:off x="0" y="0"/>
                          <a:ext cx="5662930" cy="2887345"/>
                        </a:xfrm>
                        <a:prstGeom prst="rect">
                          <a:avLst/>
                        </a:prstGeom>
                        <a:noFill/>
                        <a:ln>
                          <a:noFill/>
                        </a:ln>
                      </wps:spPr>
                      <wps:bodyPr wrap="square" upright="true"/>
                    </wps:wsp>
                  </a:graphicData>
                </a:graphic>
              </wp:inline>
            </w:drawing>
          </mc:Choice>
          <mc:Fallback>
            <w:pict>
              <v:rect id="图片 87" o:spid="_x0000_s1026" o:spt="1" style="height:227.35pt;width:445.9pt;" filled="f" stroked="f" coordsize="21600,21600" o:gfxdata="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BYAAABkcnMvUEsBAhQA&#10;FAAAAAgAh07iQOckA9HYAAAABQEAAA8AAAAAAAAAAQAgAAAAOAAAAGRycy9kb3ducmV2LnhtbFBL&#10;AQIUABQAAAAIAIdO4kDryV5RpwEAACwDAAAOAAAAAAAAAAEAIAAAAD0BAABkcnMvZTJvRG9jLnht&#10;bFBLBQYAAAAABgAGAFkBAABWBQAAAAA=&#10;">
                <v:fill on="f" focussize="0,0"/>
                <v:stroke on="f"/>
                <v:imagedata o:title=""/>
                <o:lock v:ext="edit" aspectratio="t"/>
                <w10:wrap type="none"/>
                <w10:anchorlock/>
              </v:rect>
            </w:pict>
          </mc:Fallback>
        </mc:AlternateContent>
      </w:r>
    </w:p>
    <w:p>
      <w:pPr>
        <w:pStyle w:val="2886"/>
        <w:rPr>
          <w:rFonts w:hint="eastAsia"/>
        </w:rPr>
      </w:pPr>
      <w:r>
        <w:rPr>
          <w:rFonts w:hint="default" w:ascii="Times New Roman" w:hAnsi="Times New Roman" w:cs="Times New Roman"/>
        </w:rPr>
        <w:t>图4.5</w:t>
      </w:r>
      <w:r>
        <w:rPr>
          <w:rFonts w:hint="default" w:ascii="Times New Roman" w:hAnsi="Times New Roman" w:cs="Times New Roman"/>
          <w:lang w:eastAsia="zh-CN"/>
        </w:rPr>
        <w:t>—</w:t>
      </w:r>
      <w:r>
        <w:rPr>
          <w:rFonts w:hint="default" w:ascii="Times New Roman" w:hAnsi="Times New Roman" w:cs="Times New Roman"/>
        </w:rPr>
        <w:t>5    2016年</w:t>
      </w:r>
      <w:r>
        <w:rPr>
          <w:rFonts w:hint="eastAsia"/>
        </w:rPr>
        <w:t>“</w:t>
      </w:r>
      <w:r>
        <w:rPr>
          <w:rFonts w:hint="default" w:ascii="Times New Roman" w:hAnsi="Times New Roman" w:cs="Times New Roman"/>
        </w:rPr>
        <w:t>6</w:t>
      </w:r>
      <w:r>
        <w:rPr>
          <w:rFonts w:hint="eastAsia" w:ascii="Times New Roman" w:hAnsi="Times New Roman" w:cs="Times New Roman"/>
          <w:lang w:val="en-US" w:eastAsia="zh-CN"/>
        </w:rPr>
        <w:t>·</w:t>
      </w:r>
      <w:r>
        <w:rPr>
          <w:rFonts w:hint="default" w:ascii="Times New Roman" w:hAnsi="Times New Roman" w:cs="Times New Roman"/>
        </w:rPr>
        <w:t>28</w:t>
      </w:r>
      <w:r>
        <w:rPr>
          <w:rFonts w:hint="eastAsia"/>
        </w:rPr>
        <w:t>”洪水五岔站率定结果</w:t>
      </w:r>
    </w:p>
    <w:p>
      <w:pPr>
        <w:pStyle w:val="2886"/>
        <w:outlineLvl w:val="9"/>
      </w:pPr>
      <w:r>
        <w:rPr>
          <w:rFonts w:hint="default" w:ascii="Times New Roman" w:hAnsi="Times New Roman" w:eastAsia="仿宋_GB2312" w:cs="Times New Roman"/>
        </w:rPr>
        <w:drawing>
          <wp:anchor distT="0" distB="0" distL="114300" distR="114300" simplePos="0" relativeHeight="251664384" behindDoc="0" locked="0" layoutInCell="1" allowOverlap="1">
            <wp:simplePos x="0" y="0"/>
            <wp:positionH relativeFrom="character">
              <wp:posOffset>-1066800</wp:posOffset>
            </wp:positionH>
            <wp:positionV relativeFrom="line">
              <wp:posOffset>76200</wp:posOffset>
            </wp:positionV>
            <wp:extent cx="5664200" cy="2465705"/>
            <wp:effectExtent l="0" t="0" r="12700" b="10795"/>
            <wp:wrapSquare wrapText="bothSides"/>
            <wp:docPr id="6" name="图片 775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 name="图片 7750"/>
                    <pic:cNvPicPr>
                      <a:picLocks noChangeAspect="true"/>
                    </pic:cNvPicPr>
                  </pic:nvPicPr>
                  <pic:blipFill>
                    <a:blip r:embed="rId159"/>
                    <a:stretch>
                      <a:fillRect/>
                    </a:stretch>
                  </pic:blipFill>
                  <pic:spPr>
                    <a:xfrm>
                      <a:off x="0" y="0"/>
                      <a:ext cx="5664200" cy="2465705"/>
                    </a:xfrm>
                    <a:prstGeom prst="rect">
                      <a:avLst/>
                    </a:prstGeom>
                    <a:noFill/>
                    <a:ln>
                      <a:noFill/>
                    </a:ln>
                  </pic:spPr>
                </pic:pic>
              </a:graphicData>
            </a:graphic>
          </wp:anchor>
        </w:drawing>
      </w:r>
      <w:r>
        <w:rPr>
          <w:rFonts w:hint="default" w:ascii="Times New Roman" w:hAnsi="Times New Roman" w:cs="Times New Roman"/>
        </w:rPr>
        <w:t>图4.5</w:t>
      </w:r>
      <w:r>
        <w:rPr>
          <w:rFonts w:hint="default" w:ascii="Times New Roman" w:hAnsi="Times New Roman" w:cs="Times New Roman"/>
          <w:lang w:eastAsia="zh-CN"/>
        </w:rPr>
        <w:t>—</w:t>
      </w:r>
      <w:r>
        <w:rPr>
          <w:rFonts w:hint="default" w:ascii="Times New Roman" w:hAnsi="Times New Roman" w:cs="Times New Roman"/>
        </w:rPr>
        <w:t>6    1998</w:t>
      </w:r>
      <w:r>
        <w:rPr>
          <w:rFonts w:hint="eastAsia"/>
        </w:rPr>
        <w:t>年“</w:t>
      </w:r>
      <w:r>
        <w:rPr>
          <w:rFonts w:hint="default" w:ascii="Times New Roman" w:hAnsi="Times New Roman" w:cs="Times New Roman"/>
        </w:rPr>
        <w:t>8</w:t>
      </w:r>
      <w:r>
        <w:rPr>
          <w:rFonts w:hint="eastAsia" w:ascii="Times New Roman" w:hAnsi="Times New Roman" w:cs="Times New Roman"/>
          <w:lang w:val="en-US" w:eastAsia="zh-CN"/>
        </w:rPr>
        <w:t>·</w:t>
      </w:r>
      <w:r>
        <w:rPr>
          <w:rFonts w:hint="default" w:ascii="Times New Roman" w:hAnsi="Times New Roman" w:cs="Times New Roman"/>
        </w:rPr>
        <w:t>17</w:t>
      </w:r>
      <w:r>
        <w:rPr>
          <w:rFonts w:hint="eastAsia"/>
        </w:rPr>
        <w:t>”洪水五岔站验证结果</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rPr>
        <w:t>②洪水水面线的率定和验证</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pPr>
      <w:r>
        <w:rPr>
          <w:rFonts w:hint="eastAsia" w:ascii="Times New Roman" w:hAnsi="Times New Roman" w:eastAsia="方正仿宋_GBK" w:cs="Times New Roman"/>
          <w:sz w:val="32"/>
          <w:szCs w:val="32"/>
        </w:rPr>
        <w:t>采用2016年“6</w:t>
      </w:r>
      <w:r>
        <w:rPr>
          <w:rFonts w:hint="eastAsia" w:ascii="Times New Roman" w:hAnsi="Times New Roman" w:cs="Times New Roman"/>
          <w:lang w:val="en-US" w:eastAsia="zh-CN"/>
        </w:rPr>
        <w:t>·</w:t>
      </w:r>
      <w:r>
        <w:rPr>
          <w:rFonts w:hint="eastAsia" w:ascii="Times New Roman" w:hAnsi="Times New Roman" w:eastAsia="方正仿宋_GBK" w:cs="Times New Roman"/>
          <w:sz w:val="32"/>
          <w:szCs w:val="32"/>
        </w:rPr>
        <w:t>28”洪水和1998年“8</w:t>
      </w:r>
      <w:r>
        <w:rPr>
          <w:rFonts w:hint="eastAsia" w:ascii="Times New Roman" w:hAnsi="Times New Roman" w:cs="Times New Roman"/>
          <w:lang w:val="en-US" w:eastAsia="zh-CN"/>
        </w:rPr>
        <w:t>·</w:t>
      </w:r>
      <w:r>
        <w:rPr>
          <w:rFonts w:hint="eastAsia" w:ascii="Times New Roman" w:hAnsi="Times New Roman" w:eastAsia="方正仿宋_GBK" w:cs="Times New Roman"/>
          <w:sz w:val="32"/>
          <w:szCs w:val="32"/>
        </w:rPr>
        <w:t>17”洪水资料计算綦江干流沿程水面线，并与洪痕调查成果进行对比，结果见表4.5</w:t>
      </w:r>
      <w:r>
        <w:rPr>
          <w:rFonts w:hint="eastAsia" w:ascii="Times New Roman" w:eastAsia="方正仿宋_GBK" w:cs="Times New Roman"/>
          <w:spacing w:val="6"/>
          <w:sz w:val="32"/>
          <w:szCs w:val="32"/>
          <w:lang w:eastAsia="zh-CN"/>
        </w:rPr>
        <w:t>—</w:t>
      </w:r>
      <w:r>
        <w:rPr>
          <w:rFonts w:hint="eastAsia" w:ascii="Times New Roman" w:hAnsi="Times New Roman" w:eastAsia="方正仿宋_GBK" w:cs="Times New Roman"/>
          <w:spacing w:val="6"/>
          <w:sz w:val="32"/>
          <w:szCs w:val="32"/>
        </w:rPr>
        <w:t>2。2016年“6</w:t>
      </w:r>
      <w:r>
        <w:rPr>
          <w:rFonts w:hint="eastAsia" w:ascii="Times New Roman" w:hAnsi="Times New Roman" w:cs="Times New Roman"/>
          <w:spacing w:val="6"/>
          <w:lang w:val="en-US" w:eastAsia="zh-CN"/>
        </w:rPr>
        <w:t>·</w:t>
      </w:r>
      <w:r>
        <w:rPr>
          <w:rFonts w:hint="eastAsia" w:ascii="Times New Roman" w:hAnsi="Times New Roman" w:eastAsia="方正仿宋_GBK" w:cs="Times New Roman"/>
          <w:spacing w:val="6"/>
          <w:sz w:val="32"/>
          <w:szCs w:val="32"/>
        </w:rPr>
        <w:t>28”洪水模拟误差为</w:t>
      </w:r>
      <w:r>
        <w:rPr>
          <w:rFonts w:hint="eastAsia" w:ascii="宋体" w:hAnsi="宋体" w:eastAsia="宋体" w:cs="宋体"/>
          <w:spacing w:val="6"/>
          <w:sz w:val="32"/>
          <w:szCs w:val="32"/>
          <w:lang w:eastAsia="zh-CN"/>
        </w:rPr>
        <w:t>－</w:t>
      </w:r>
      <w:r>
        <w:rPr>
          <w:rFonts w:hint="eastAsia" w:ascii="Times New Roman" w:eastAsia="方正仿宋_GBK" w:cs="Times New Roman"/>
          <w:spacing w:val="6"/>
          <w:sz w:val="32"/>
          <w:szCs w:val="32"/>
          <w:lang w:val="en-US" w:eastAsia="zh-CN"/>
        </w:rPr>
        <w:t>0</w:t>
      </w:r>
      <w:r>
        <w:rPr>
          <w:rFonts w:hint="eastAsia" w:ascii="Times New Roman" w:hAnsi="Times New Roman" w:eastAsia="方正仿宋_GBK" w:cs="Times New Roman"/>
          <w:spacing w:val="6"/>
          <w:sz w:val="32"/>
          <w:szCs w:val="32"/>
        </w:rPr>
        <w:t>.19</w:t>
      </w:r>
      <w:r>
        <w:rPr>
          <w:rFonts w:hint="eastAsia" w:ascii="Times New Roman" w:eastAsia="方正仿宋_GBK" w:cs="Times New Roman"/>
          <w:spacing w:val="6"/>
          <w:sz w:val="32"/>
          <w:szCs w:val="32"/>
          <w:lang w:eastAsia="zh-CN"/>
        </w:rPr>
        <w:t>—</w:t>
      </w:r>
      <w:r>
        <w:rPr>
          <w:rFonts w:hint="eastAsia" w:ascii="Times New Roman" w:hAnsi="Times New Roman" w:eastAsia="方正仿宋_GBK" w:cs="Times New Roman"/>
          <w:spacing w:val="6"/>
          <w:sz w:val="32"/>
          <w:szCs w:val="32"/>
        </w:rPr>
        <w:t>0.21m，1998年“8</w:t>
      </w:r>
      <w:r>
        <w:rPr>
          <w:rFonts w:hint="eastAsia" w:ascii="Times New Roman" w:hAnsi="Times New Roman" w:cs="Times New Roman"/>
          <w:spacing w:val="6"/>
          <w:lang w:val="en-US" w:eastAsia="zh-CN"/>
        </w:rPr>
        <w:t>·</w:t>
      </w:r>
      <w:r>
        <w:rPr>
          <w:rFonts w:hint="eastAsia" w:ascii="Times New Roman" w:hAnsi="Times New Roman" w:eastAsia="方正仿宋_GBK" w:cs="Times New Roman"/>
          <w:spacing w:val="6"/>
          <w:sz w:val="32"/>
          <w:szCs w:val="32"/>
        </w:rPr>
        <w:t>17”</w:t>
      </w:r>
      <w:r>
        <w:rPr>
          <w:rFonts w:hint="eastAsia" w:ascii="Times New Roman" w:hAnsi="Times New Roman" w:eastAsia="方正仿宋_GBK" w:cs="Times New Roman"/>
          <w:sz w:val="32"/>
          <w:szCs w:val="32"/>
        </w:rPr>
        <w:t>洪水模拟误差为</w:t>
      </w:r>
      <w:r>
        <w:rPr>
          <w:rFonts w:hint="eastAsia" w:ascii="宋体" w:hAnsi="宋体" w:eastAsia="宋体" w:cs="宋体"/>
          <w:sz w:val="32"/>
          <w:szCs w:val="32"/>
        </w:rPr>
        <w:t>－</w:t>
      </w:r>
      <w:r>
        <w:rPr>
          <w:rFonts w:hint="eastAsia" w:ascii="Times New Roman" w:hAnsi="Times New Roman" w:eastAsia="方正仿宋_GBK" w:cs="Times New Roman"/>
          <w:sz w:val="32"/>
          <w:szCs w:val="32"/>
        </w:rPr>
        <w:t>0.22</w:t>
      </w:r>
      <w:r>
        <w:rPr>
          <w:rFonts w:hint="eastAsia" w:ascii="Times New Roman" w:eastAsia="方正仿宋_GBK" w:cs="Times New Roman"/>
          <w:sz w:val="32"/>
          <w:szCs w:val="32"/>
          <w:lang w:eastAsia="zh-CN"/>
        </w:rPr>
        <w:t>—</w:t>
      </w:r>
      <w:r>
        <w:rPr>
          <w:rFonts w:hint="eastAsia" w:ascii="Times New Roman" w:hAnsi="Times New Roman" w:eastAsia="方正仿宋_GBK" w:cs="Times New Roman"/>
          <w:sz w:val="32"/>
          <w:szCs w:val="32"/>
        </w:rPr>
        <w:t>0.19m。模拟误差平均约0.01m，模拟误差主要与洪痕测量误差及涉河工程建设情况和河道地形变化等因素有关。总体分析，糙率率定基本合理。</w:t>
      </w:r>
    </w:p>
    <w:p>
      <w:pPr>
        <w:pStyle w:val="2312"/>
        <w:ind w:firstLine="480" w:firstLineChars="200"/>
        <w:jc w:val="both"/>
        <w:rPr>
          <w:rFonts w:hint="eastAsia"/>
        </w:rPr>
      </w:pPr>
      <w:r>
        <w:rPr>
          <w:rFonts w:hint="default" w:ascii="Times New Roman" w:hAnsi="Times New Roman" w:cs="Times New Roman"/>
        </w:rPr>
        <w:t>表4.5</w:t>
      </w:r>
      <w:r>
        <w:rPr>
          <w:rFonts w:hint="default" w:ascii="Times New Roman" w:hAnsi="Times New Roman" w:cs="Times New Roman"/>
          <w:lang w:eastAsia="zh-CN"/>
        </w:rPr>
        <w:t>—</w:t>
      </w:r>
      <w:r>
        <w:rPr>
          <w:rFonts w:hint="default" w:ascii="Times New Roman" w:hAnsi="Times New Roman" w:cs="Times New Roman"/>
        </w:rPr>
        <w:t xml:space="preserve">2  </w:t>
      </w:r>
      <w:r>
        <w:rPr>
          <w:rFonts w:hint="eastAsia" w:ascii="Times New Roman" w:hAnsi="Times New Roman" w:cs="Times New Roman"/>
          <w:lang w:val="en-US" w:eastAsia="zh-CN"/>
        </w:rPr>
        <w:t xml:space="preserve">       </w:t>
      </w:r>
      <w:r>
        <w:rPr>
          <w:rFonts w:hint="default" w:ascii="Times New Roman" w:hAnsi="Times New Roman" w:cs="Times New Roman"/>
        </w:rPr>
        <w:t xml:space="preserve">     </w:t>
      </w:r>
      <w:r>
        <w:rPr>
          <w:rFonts w:hint="eastAsia"/>
        </w:rPr>
        <w:t xml:space="preserve"> 洪水水面线的率定和验证结果</w:t>
      </w:r>
    </w:p>
    <w:tbl>
      <w:tblPr>
        <w:tblStyle w:val="88"/>
        <w:tblW w:w="5000"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108" w:type="dxa"/>
          <w:bottom w:w="0" w:type="dxa"/>
          <w:right w:w="108" w:type="dxa"/>
        </w:tblCellMar>
      </w:tblPr>
      <w:tblGrid>
        <w:gridCol w:w="1476"/>
        <w:gridCol w:w="1409"/>
        <w:gridCol w:w="855"/>
        <w:gridCol w:w="1506"/>
        <w:gridCol w:w="788"/>
        <w:gridCol w:w="959"/>
        <w:gridCol w:w="1506"/>
        <w:gridCol w:w="788"/>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795" w:type="pct"/>
            <w:vMerge w:val="restart"/>
            <w:noWrap/>
            <w:vAlign w:val="center"/>
          </w:tcPr>
          <w:p>
            <w:pPr>
              <w:pStyle w:val="3013"/>
              <w:rPr>
                <w:rFonts w:hint="eastAsia"/>
              </w:rPr>
            </w:pPr>
            <w:r>
              <w:rPr>
                <w:rFonts w:hint="eastAsia"/>
              </w:rPr>
              <w:t>断面名称</w:t>
            </w:r>
          </w:p>
        </w:tc>
        <w:tc>
          <w:tcPr>
            <w:tcW w:w="770" w:type="pct"/>
            <w:vMerge w:val="restart"/>
            <w:noWrap w:val="0"/>
            <w:vAlign w:val="center"/>
          </w:tcPr>
          <w:p>
            <w:pPr>
              <w:pStyle w:val="3013"/>
              <w:rPr>
                <w:rFonts w:hint="eastAsia"/>
              </w:rPr>
            </w:pPr>
            <w:r>
              <w:rPr>
                <w:rFonts w:hint="eastAsia"/>
              </w:rPr>
              <w:t>距离东溪站里程（km）</w:t>
            </w:r>
          </w:p>
        </w:tc>
        <w:tc>
          <w:tcPr>
            <w:tcW w:w="1689" w:type="pct"/>
            <w:gridSpan w:val="3"/>
            <w:noWrap/>
            <w:vAlign w:val="center"/>
          </w:tcPr>
          <w:p>
            <w:pPr>
              <w:pStyle w:val="3013"/>
              <w:rPr>
                <w:rFonts w:hint="eastAsia"/>
              </w:rPr>
            </w:pPr>
            <w:r>
              <w:rPr>
                <w:rFonts w:hint="eastAsia"/>
              </w:rPr>
              <w:t>2016年洪水率定成果（m）</w:t>
            </w:r>
          </w:p>
        </w:tc>
        <w:tc>
          <w:tcPr>
            <w:tcW w:w="1746" w:type="pct"/>
            <w:gridSpan w:val="3"/>
            <w:noWrap/>
            <w:vAlign w:val="center"/>
          </w:tcPr>
          <w:p>
            <w:pPr>
              <w:pStyle w:val="3013"/>
              <w:rPr>
                <w:rFonts w:hint="eastAsia"/>
              </w:rPr>
            </w:pPr>
            <w:r>
              <w:rPr>
                <w:rFonts w:hint="eastAsia"/>
              </w:rPr>
              <w:t>1998年洪水验证成果（m）</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795" w:type="pct"/>
            <w:vMerge w:val="continue"/>
            <w:noWrap w:val="0"/>
            <w:vAlign w:val="center"/>
          </w:tcPr>
          <w:p>
            <w:pPr>
              <w:pStyle w:val="3013"/>
              <w:rPr>
                <w:rFonts w:hint="eastAsia"/>
              </w:rPr>
            </w:pPr>
          </w:p>
        </w:tc>
        <w:tc>
          <w:tcPr>
            <w:tcW w:w="770" w:type="pct"/>
            <w:vMerge w:val="continue"/>
            <w:noWrap w:val="0"/>
            <w:vAlign w:val="center"/>
          </w:tcPr>
          <w:p>
            <w:pPr>
              <w:pStyle w:val="3013"/>
              <w:rPr>
                <w:rFonts w:hint="eastAsia"/>
              </w:rPr>
            </w:pPr>
          </w:p>
        </w:tc>
        <w:tc>
          <w:tcPr>
            <w:tcW w:w="466" w:type="pct"/>
            <w:noWrap/>
            <w:vAlign w:val="center"/>
          </w:tcPr>
          <w:p>
            <w:pPr>
              <w:pStyle w:val="3013"/>
              <w:rPr>
                <w:rFonts w:hint="eastAsia"/>
              </w:rPr>
            </w:pPr>
            <w:r>
              <w:rPr>
                <w:rFonts w:hint="eastAsia"/>
              </w:rPr>
              <w:t>洪痕</w:t>
            </w:r>
          </w:p>
        </w:tc>
        <w:tc>
          <w:tcPr>
            <w:tcW w:w="817" w:type="pct"/>
            <w:noWrap/>
            <w:vAlign w:val="center"/>
          </w:tcPr>
          <w:p>
            <w:pPr>
              <w:pStyle w:val="3013"/>
              <w:rPr>
                <w:rFonts w:hint="eastAsia"/>
              </w:rPr>
            </w:pPr>
            <w:r>
              <w:rPr>
                <w:rFonts w:hint="eastAsia"/>
              </w:rPr>
              <w:t>计算最高水位</w:t>
            </w:r>
          </w:p>
        </w:tc>
        <w:tc>
          <w:tcPr>
            <w:tcW w:w="406" w:type="pct"/>
            <w:noWrap/>
            <w:vAlign w:val="center"/>
          </w:tcPr>
          <w:p>
            <w:pPr>
              <w:pStyle w:val="3013"/>
              <w:rPr>
                <w:rFonts w:hint="eastAsia"/>
              </w:rPr>
            </w:pPr>
            <w:r>
              <w:rPr>
                <w:rFonts w:hint="eastAsia"/>
              </w:rPr>
              <w:t>误差</w:t>
            </w:r>
          </w:p>
        </w:tc>
        <w:tc>
          <w:tcPr>
            <w:tcW w:w="522" w:type="pct"/>
            <w:noWrap/>
            <w:vAlign w:val="center"/>
          </w:tcPr>
          <w:p>
            <w:pPr>
              <w:pStyle w:val="3013"/>
              <w:rPr>
                <w:rFonts w:hint="eastAsia"/>
              </w:rPr>
            </w:pPr>
            <w:r>
              <w:rPr>
                <w:rFonts w:hint="eastAsia"/>
              </w:rPr>
              <w:t>洪痕</w:t>
            </w:r>
          </w:p>
        </w:tc>
        <w:tc>
          <w:tcPr>
            <w:tcW w:w="817" w:type="pct"/>
            <w:noWrap/>
            <w:vAlign w:val="center"/>
          </w:tcPr>
          <w:p>
            <w:pPr>
              <w:pStyle w:val="3013"/>
              <w:rPr>
                <w:rFonts w:hint="eastAsia"/>
              </w:rPr>
            </w:pPr>
            <w:r>
              <w:rPr>
                <w:rFonts w:hint="eastAsia"/>
              </w:rPr>
              <w:t>计算最高水位</w:t>
            </w:r>
          </w:p>
        </w:tc>
        <w:tc>
          <w:tcPr>
            <w:tcW w:w="407" w:type="pct"/>
            <w:noWrap/>
            <w:vAlign w:val="center"/>
          </w:tcPr>
          <w:p>
            <w:pPr>
              <w:pStyle w:val="3013"/>
              <w:rPr>
                <w:rFonts w:hint="eastAsia"/>
              </w:rPr>
            </w:pPr>
            <w:r>
              <w:rPr>
                <w:rFonts w:hint="eastAsia"/>
              </w:rPr>
              <w:t>误差</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795" w:type="pct"/>
            <w:noWrap w:val="0"/>
            <w:vAlign w:val="center"/>
          </w:tcPr>
          <w:p>
            <w:pPr>
              <w:pStyle w:val="3013"/>
              <w:rPr>
                <w:rFonts w:hint="eastAsia"/>
              </w:rPr>
            </w:pPr>
            <w:r>
              <w:rPr>
                <w:rFonts w:hint="eastAsia"/>
              </w:rPr>
              <w:t>桥河枢纽</w:t>
            </w:r>
          </w:p>
        </w:tc>
        <w:tc>
          <w:tcPr>
            <w:tcW w:w="770" w:type="pct"/>
            <w:noWrap w:val="0"/>
            <w:vAlign w:val="center"/>
          </w:tcPr>
          <w:p>
            <w:pPr>
              <w:pStyle w:val="3013"/>
              <w:rPr>
                <w:rFonts w:hint="eastAsia"/>
              </w:rPr>
            </w:pPr>
            <w:r>
              <w:rPr>
                <w:rFonts w:hint="eastAsia"/>
              </w:rPr>
              <w:t>46.69</w:t>
            </w:r>
          </w:p>
        </w:tc>
        <w:tc>
          <w:tcPr>
            <w:tcW w:w="466" w:type="pct"/>
            <w:noWrap/>
            <w:vAlign w:val="center"/>
          </w:tcPr>
          <w:p>
            <w:pPr>
              <w:pStyle w:val="3013"/>
              <w:rPr>
                <w:rFonts w:hint="eastAsia"/>
              </w:rPr>
            </w:pPr>
          </w:p>
        </w:tc>
        <w:tc>
          <w:tcPr>
            <w:tcW w:w="817" w:type="pct"/>
            <w:noWrap/>
            <w:vAlign w:val="center"/>
          </w:tcPr>
          <w:p>
            <w:pPr>
              <w:pStyle w:val="3013"/>
              <w:rPr>
                <w:rFonts w:hint="eastAsia"/>
              </w:rPr>
            </w:pPr>
          </w:p>
        </w:tc>
        <w:tc>
          <w:tcPr>
            <w:tcW w:w="406" w:type="pct"/>
            <w:noWrap/>
            <w:vAlign w:val="center"/>
          </w:tcPr>
          <w:p>
            <w:pPr>
              <w:pStyle w:val="3013"/>
              <w:rPr>
                <w:rFonts w:hint="eastAsia"/>
              </w:rPr>
            </w:pPr>
          </w:p>
        </w:tc>
        <w:tc>
          <w:tcPr>
            <w:tcW w:w="522" w:type="pct"/>
            <w:noWrap/>
            <w:vAlign w:val="center"/>
          </w:tcPr>
          <w:p>
            <w:pPr>
              <w:pStyle w:val="3013"/>
              <w:rPr>
                <w:rFonts w:hint="eastAsia"/>
              </w:rPr>
            </w:pPr>
            <w:r>
              <w:rPr>
                <w:rFonts w:hint="eastAsia"/>
              </w:rPr>
              <w:t>230.29</w:t>
            </w:r>
          </w:p>
        </w:tc>
        <w:tc>
          <w:tcPr>
            <w:tcW w:w="817" w:type="pct"/>
            <w:noWrap/>
            <w:vAlign w:val="center"/>
          </w:tcPr>
          <w:p>
            <w:pPr>
              <w:pStyle w:val="3013"/>
              <w:rPr>
                <w:rFonts w:hint="eastAsia"/>
              </w:rPr>
            </w:pPr>
            <w:r>
              <w:rPr>
                <w:rFonts w:hint="eastAsia"/>
              </w:rPr>
              <w:t>230.30</w:t>
            </w:r>
          </w:p>
        </w:tc>
        <w:tc>
          <w:tcPr>
            <w:tcW w:w="407" w:type="pct"/>
            <w:noWrap/>
            <w:vAlign w:val="center"/>
          </w:tcPr>
          <w:p>
            <w:pPr>
              <w:pStyle w:val="3013"/>
              <w:rPr>
                <w:rFonts w:hint="eastAsia"/>
              </w:rPr>
            </w:pPr>
            <w:r>
              <w:rPr>
                <w:rFonts w:hint="eastAsia"/>
              </w:rPr>
              <w:t>0.01</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795" w:type="pct"/>
            <w:noWrap/>
            <w:vAlign w:val="center"/>
          </w:tcPr>
          <w:p>
            <w:pPr>
              <w:pStyle w:val="3013"/>
              <w:rPr>
                <w:rFonts w:hint="eastAsia"/>
              </w:rPr>
            </w:pPr>
            <w:r>
              <w:rPr>
                <w:rFonts w:hint="eastAsia"/>
              </w:rPr>
              <w:t>沱湾大桥</w:t>
            </w:r>
          </w:p>
        </w:tc>
        <w:tc>
          <w:tcPr>
            <w:tcW w:w="770" w:type="pct"/>
            <w:noWrap w:val="0"/>
            <w:vAlign w:val="center"/>
          </w:tcPr>
          <w:p>
            <w:pPr>
              <w:pStyle w:val="3013"/>
              <w:rPr>
                <w:rFonts w:hint="eastAsia"/>
              </w:rPr>
            </w:pPr>
            <w:r>
              <w:rPr>
                <w:rFonts w:hint="eastAsia"/>
              </w:rPr>
              <w:t>50.55</w:t>
            </w:r>
          </w:p>
        </w:tc>
        <w:tc>
          <w:tcPr>
            <w:tcW w:w="466" w:type="pct"/>
            <w:noWrap/>
            <w:vAlign w:val="center"/>
          </w:tcPr>
          <w:p>
            <w:pPr>
              <w:pStyle w:val="3013"/>
              <w:rPr>
                <w:rFonts w:hint="eastAsia"/>
              </w:rPr>
            </w:pPr>
            <w:r>
              <w:rPr>
                <w:rFonts w:hint="eastAsia"/>
              </w:rPr>
              <w:t>225.28</w:t>
            </w:r>
          </w:p>
        </w:tc>
        <w:tc>
          <w:tcPr>
            <w:tcW w:w="817" w:type="pct"/>
            <w:noWrap/>
            <w:vAlign w:val="center"/>
          </w:tcPr>
          <w:p>
            <w:pPr>
              <w:pStyle w:val="3013"/>
              <w:rPr>
                <w:rFonts w:hint="eastAsia"/>
              </w:rPr>
            </w:pPr>
            <w:r>
              <w:rPr>
                <w:rFonts w:hint="eastAsia"/>
              </w:rPr>
              <w:t>225.21</w:t>
            </w:r>
          </w:p>
        </w:tc>
        <w:tc>
          <w:tcPr>
            <w:tcW w:w="406" w:type="pct"/>
            <w:noWrap/>
            <w:vAlign w:val="center"/>
          </w:tcPr>
          <w:p>
            <w:pPr>
              <w:pStyle w:val="3013"/>
              <w:rPr>
                <w:rFonts w:hint="eastAsia"/>
              </w:rPr>
            </w:pPr>
            <w:r>
              <w:rPr>
                <w:rFonts w:hint="eastAsia" w:ascii="宋体" w:hAnsi="宋体" w:eastAsia="宋体" w:cs="宋体"/>
                <w:lang w:eastAsia="zh-CN"/>
              </w:rPr>
              <w:t>－</w:t>
            </w:r>
            <w:r>
              <w:rPr>
                <w:rFonts w:hint="eastAsia"/>
              </w:rPr>
              <w:t>0.07</w:t>
            </w:r>
          </w:p>
        </w:tc>
        <w:tc>
          <w:tcPr>
            <w:tcW w:w="522" w:type="pct"/>
            <w:noWrap/>
            <w:vAlign w:val="center"/>
          </w:tcPr>
          <w:p>
            <w:pPr>
              <w:pStyle w:val="3013"/>
              <w:rPr>
                <w:rFonts w:hint="eastAsia"/>
              </w:rPr>
            </w:pPr>
            <w:r>
              <w:rPr>
                <w:rFonts w:hint="eastAsia"/>
              </w:rPr>
              <w:t>227.79</w:t>
            </w:r>
          </w:p>
        </w:tc>
        <w:tc>
          <w:tcPr>
            <w:tcW w:w="817" w:type="pct"/>
            <w:noWrap/>
            <w:vAlign w:val="center"/>
          </w:tcPr>
          <w:p>
            <w:pPr>
              <w:pStyle w:val="3013"/>
              <w:rPr>
                <w:rFonts w:hint="eastAsia"/>
              </w:rPr>
            </w:pPr>
            <w:r>
              <w:rPr>
                <w:rFonts w:hint="eastAsia"/>
              </w:rPr>
              <w:t>227.83</w:t>
            </w:r>
          </w:p>
        </w:tc>
        <w:tc>
          <w:tcPr>
            <w:tcW w:w="407" w:type="pct"/>
            <w:noWrap/>
            <w:vAlign w:val="center"/>
          </w:tcPr>
          <w:p>
            <w:pPr>
              <w:pStyle w:val="3013"/>
              <w:rPr>
                <w:rFonts w:hint="eastAsia"/>
              </w:rPr>
            </w:pPr>
            <w:r>
              <w:rPr>
                <w:rFonts w:hint="eastAsia"/>
              </w:rPr>
              <w:t>0.03</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795" w:type="pct"/>
            <w:noWrap/>
            <w:vAlign w:val="center"/>
          </w:tcPr>
          <w:p>
            <w:pPr>
              <w:pStyle w:val="3013"/>
              <w:rPr>
                <w:rFonts w:hint="eastAsia"/>
              </w:rPr>
            </w:pPr>
            <w:r>
              <w:rPr>
                <w:rFonts w:hint="eastAsia"/>
              </w:rPr>
              <w:t>彩虹桥</w:t>
            </w:r>
          </w:p>
        </w:tc>
        <w:tc>
          <w:tcPr>
            <w:tcW w:w="770" w:type="pct"/>
            <w:noWrap w:val="0"/>
            <w:vAlign w:val="center"/>
          </w:tcPr>
          <w:p>
            <w:pPr>
              <w:pStyle w:val="3013"/>
              <w:rPr>
                <w:rFonts w:hint="eastAsia"/>
              </w:rPr>
            </w:pPr>
            <w:r>
              <w:rPr>
                <w:rFonts w:hint="eastAsia"/>
              </w:rPr>
              <w:t>51.38</w:t>
            </w:r>
          </w:p>
        </w:tc>
        <w:tc>
          <w:tcPr>
            <w:tcW w:w="466" w:type="pct"/>
            <w:noWrap/>
            <w:vAlign w:val="center"/>
          </w:tcPr>
          <w:p>
            <w:pPr>
              <w:pStyle w:val="3013"/>
              <w:rPr>
                <w:rFonts w:hint="eastAsia"/>
              </w:rPr>
            </w:pPr>
            <w:r>
              <w:rPr>
                <w:rFonts w:hint="eastAsia"/>
              </w:rPr>
              <w:t>224.84</w:t>
            </w:r>
          </w:p>
        </w:tc>
        <w:tc>
          <w:tcPr>
            <w:tcW w:w="817" w:type="pct"/>
            <w:noWrap/>
            <w:vAlign w:val="center"/>
          </w:tcPr>
          <w:p>
            <w:pPr>
              <w:pStyle w:val="3013"/>
              <w:rPr>
                <w:rFonts w:hint="eastAsia"/>
              </w:rPr>
            </w:pPr>
            <w:r>
              <w:rPr>
                <w:rFonts w:hint="eastAsia"/>
              </w:rPr>
              <w:t>224.85</w:t>
            </w:r>
          </w:p>
        </w:tc>
        <w:tc>
          <w:tcPr>
            <w:tcW w:w="406" w:type="pct"/>
            <w:noWrap/>
            <w:vAlign w:val="center"/>
          </w:tcPr>
          <w:p>
            <w:pPr>
              <w:pStyle w:val="3013"/>
              <w:rPr>
                <w:rFonts w:hint="eastAsia"/>
              </w:rPr>
            </w:pPr>
            <w:r>
              <w:rPr>
                <w:rFonts w:hint="eastAsia"/>
              </w:rPr>
              <w:t>0.00</w:t>
            </w:r>
          </w:p>
        </w:tc>
        <w:tc>
          <w:tcPr>
            <w:tcW w:w="522" w:type="pct"/>
            <w:noWrap/>
            <w:vAlign w:val="center"/>
          </w:tcPr>
          <w:p>
            <w:pPr>
              <w:pStyle w:val="3013"/>
              <w:rPr>
                <w:rFonts w:hint="eastAsia"/>
              </w:rPr>
            </w:pPr>
            <w:r>
              <w:rPr>
                <w:rFonts w:hint="eastAsia"/>
              </w:rPr>
              <w:t>227.50</w:t>
            </w:r>
          </w:p>
        </w:tc>
        <w:tc>
          <w:tcPr>
            <w:tcW w:w="817" w:type="pct"/>
            <w:noWrap/>
            <w:vAlign w:val="center"/>
          </w:tcPr>
          <w:p>
            <w:pPr>
              <w:pStyle w:val="3013"/>
              <w:rPr>
                <w:rFonts w:hint="eastAsia"/>
              </w:rPr>
            </w:pPr>
            <w:r>
              <w:rPr>
                <w:rFonts w:hint="eastAsia"/>
              </w:rPr>
              <w:t>227.48</w:t>
            </w:r>
          </w:p>
        </w:tc>
        <w:tc>
          <w:tcPr>
            <w:tcW w:w="407" w:type="pct"/>
            <w:noWrap/>
            <w:vAlign w:val="center"/>
          </w:tcPr>
          <w:p>
            <w:pPr>
              <w:pStyle w:val="3013"/>
              <w:rPr>
                <w:rFonts w:hint="eastAsia"/>
              </w:rPr>
            </w:pPr>
            <w:r>
              <w:rPr>
                <w:rFonts w:hint="eastAsia" w:ascii="宋体" w:hAnsi="宋体" w:eastAsia="宋体" w:cs="宋体"/>
                <w:lang w:eastAsia="zh-CN"/>
              </w:rPr>
              <w:t>－</w:t>
            </w:r>
            <w:r>
              <w:rPr>
                <w:rFonts w:hint="eastAsia"/>
              </w:rPr>
              <w:t>0.02</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795" w:type="pct"/>
            <w:noWrap/>
            <w:vAlign w:val="center"/>
          </w:tcPr>
          <w:p>
            <w:pPr>
              <w:pStyle w:val="3013"/>
              <w:rPr>
                <w:rFonts w:hint="eastAsia"/>
              </w:rPr>
            </w:pPr>
            <w:r>
              <w:rPr>
                <w:rFonts w:hint="eastAsia"/>
              </w:rPr>
              <w:t>綦江大桥</w:t>
            </w:r>
          </w:p>
        </w:tc>
        <w:tc>
          <w:tcPr>
            <w:tcW w:w="770" w:type="pct"/>
            <w:noWrap w:val="0"/>
            <w:vAlign w:val="center"/>
          </w:tcPr>
          <w:p>
            <w:pPr>
              <w:pStyle w:val="3013"/>
              <w:rPr>
                <w:rFonts w:hint="eastAsia"/>
              </w:rPr>
            </w:pPr>
            <w:r>
              <w:rPr>
                <w:rFonts w:hint="eastAsia"/>
              </w:rPr>
              <w:t>51.92</w:t>
            </w:r>
          </w:p>
        </w:tc>
        <w:tc>
          <w:tcPr>
            <w:tcW w:w="466" w:type="pct"/>
            <w:noWrap/>
            <w:vAlign w:val="center"/>
          </w:tcPr>
          <w:p>
            <w:pPr>
              <w:pStyle w:val="3013"/>
              <w:rPr>
                <w:rFonts w:hint="eastAsia"/>
              </w:rPr>
            </w:pPr>
            <w:r>
              <w:rPr>
                <w:rFonts w:hint="eastAsia"/>
              </w:rPr>
              <w:t>224.28</w:t>
            </w:r>
          </w:p>
        </w:tc>
        <w:tc>
          <w:tcPr>
            <w:tcW w:w="817" w:type="pct"/>
            <w:noWrap/>
            <w:vAlign w:val="center"/>
          </w:tcPr>
          <w:p>
            <w:pPr>
              <w:pStyle w:val="3013"/>
              <w:rPr>
                <w:rFonts w:hint="eastAsia"/>
              </w:rPr>
            </w:pPr>
            <w:r>
              <w:rPr>
                <w:rFonts w:hint="eastAsia"/>
              </w:rPr>
              <w:t>224.49</w:t>
            </w:r>
          </w:p>
        </w:tc>
        <w:tc>
          <w:tcPr>
            <w:tcW w:w="406" w:type="pct"/>
            <w:noWrap/>
            <w:vAlign w:val="center"/>
          </w:tcPr>
          <w:p>
            <w:pPr>
              <w:pStyle w:val="3013"/>
              <w:rPr>
                <w:rFonts w:hint="eastAsia"/>
              </w:rPr>
            </w:pPr>
            <w:r>
              <w:rPr>
                <w:rFonts w:hint="eastAsia"/>
              </w:rPr>
              <w:t>0.21</w:t>
            </w:r>
          </w:p>
        </w:tc>
        <w:tc>
          <w:tcPr>
            <w:tcW w:w="522" w:type="pct"/>
            <w:noWrap/>
            <w:vAlign w:val="center"/>
          </w:tcPr>
          <w:p>
            <w:pPr>
              <w:pStyle w:val="3013"/>
              <w:rPr>
                <w:rFonts w:hint="eastAsia"/>
              </w:rPr>
            </w:pPr>
            <w:r>
              <w:rPr>
                <w:rFonts w:hint="eastAsia"/>
              </w:rPr>
              <w:t>227.26</w:t>
            </w:r>
          </w:p>
        </w:tc>
        <w:tc>
          <w:tcPr>
            <w:tcW w:w="817" w:type="pct"/>
            <w:noWrap/>
            <w:vAlign w:val="center"/>
          </w:tcPr>
          <w:p>
            <w:pPr>
              <w:pStyle w:val="3013"/>
              <w:rPr>
                <w:rFonts w:hint="eastAsia"/>
              </w:rPr>
            </w:pPr>
            <w:r>
              <w:rPr>
                <w:rFonts w:hint="eastAsia"/>
              </w:rPr>
              <w:t>227.04</w:t>
            </w:r>
          </w:p>
        </w:tc>
        <w:tc>
          <w:tcPr>
            <w:tcW w:w="407" w:type="pct"/>
            <w:noWrap/>
            <w:vAlign w:val="center"/>
          </w:tcPr>
          <w:p>
            <w:pPr>
              <w:pStyle w:val="3013"/>
              <w:rPr>
                <w:rFonts w:hint="eastAsia"/>
              </w:rPr>
            </w:pPr>
            <w:r>
              <w:rPr>
                <w:rFonts w:hint="eastAsia" w:ascii="宋体" w:hAnsi="宋体" w:eastAsia="宋体" w:cs="宋体"/>
                <w:lang w:eastAsia="zh-CN"/>
              </w:rPr>
              <w:t>－</w:t>
            </w:r>
            <w:r>
              <w:rPr>
                <w:rFonts w:hint="eastAsia"/>
              </w:rPr>
              <w:t>0.22</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795" w:type="pct"/>
            <w:noWrap/>
            <w:vAlign w:val="center"/>
          </w:tcPr>
          <w:p>
            <w:pPr>
              <w:pStyle w:val="3013"/>
              <w:rPr>
                <w:rFonts w:hint="eastAsia"/>
              </w:rPr>
            </w:pPr>
            <w:r>
              <w:rPr>
                <w:rFonts w:hint="eastAsia"/>
              </w:rPr>
              <w:t>大常枢纽</w:t>
            </w:r>
          </w:p>
        </w:tc>
        <w:tc>
          <w:tcPr>
            <w:tcW w:w="770" w:type="pct"/>
            <w:noWrap w:val="0"/>
            <w:vAlign w:val="center"/>
          </w:tcPr>
          <w:p>
            <w:pPr>
              <w:pStyle w:val="3013"/>
              <w:rPr>
                <w:rFonts w:hint="eastAsia"/>
              </w:rPr>
            </w:pPr>
            <w:r>
              <w:rPr>
                <w:rFonts w:hint="eastAsia"/>
              </w:rPr>
              <w:t>52.99</w:t>
            </w:r>
          </w:p>
        </w:tc>
        <w:tc>
          <w:tcPr>
            <w:tcW w:w="466" w:type="pct"/>
            <w:noWrap/>
            <w:vAlign w:val="center"/>
          </w:tcPr>
          <w:p>
            <w:pPr>
              <w:pStyle w:val="3013"/>
              <w:rPr>
                <w:rFonts w:hint="eastAsia"/>
              </w:rPr>
            </w:pPr>
            <w:r>
              <w:rPr>
                <w:rFonts w:hint="eastAsia"/>
              </w:rPr>
              <w:t>223.78</w:t>
            </w:r>
          </w:p>
        </w:tc>
        <w:tc>
          <w:tcPr>
            <w:tcW w:w="817" w:type="pct"/>
            <w:noWrap/>
            <w:vAlign w:val="center"/>
          </w:tcPr>
          <w:p>
            <w:pPr>
              <w:pStyle w:val="3013"/>
              <w:rPr>
                <w:rFonts w:hint="eastAsia"/>
              </w:rPr>
            </w:pPr>
            <w:r>
              <w:rPr>
                <w:rFonts w:hint="eastAsia"/>
              </w:rPr>
              <w:t>223.63</w:t>
            </w:r>
          </w:p>
        </w:tc>
        <w:tc>
          <w:tcPr>
            <w:tcW w:w="406" w:type="pct"/>
            <w:noWrap/>
            <w:vAlign w:val="center"/>
          </w:tcPr>
          <w:p>
            <w:pPr>
              <w:pStyle w:val="3013"/>
              <w:rPr>
                <w:rFonts w:hint="eastAsia"/>
              </w:rPr>
            </w:pPr>
            <w:r>
              <w:rPr>
                <w:rFonts w:hint="eastAsia" w:ascii="宋体" w:hAnsi="宋体" w:eastAsia="宋体" w:cs="宋体"/>
                <w:lang w:eastAsia="zh-CN"/>
              </w:rPr>
              <w:t>－</w:t>
            </w:r>
            <w:r>
              <w:rPr>
                <w:rFonts w:hint="eastAsia"/>
              </w:rPr>
              <w:t>0.15</w:t>
            </w:r>
          </w:p>
        </w:tc>
        <w:tc>
          <w:tcPr>
            <w:tcW w:w="522" w:type="pct"/>
            <w:noWrap/>
            <w:vAlign w:val="center"/>
          </w:tcPr>
          <w:p>
            <w:pPr>
              <w:pStyle w:val="3013"/>
              <w:rPr>
                <w:rFonts w:hint="eastAsia"/>
              </w:rPr>
            </w:pPr>
            <w:r>
              <w:rPr>
                <w:rFonts w:hint="eastAsia"/>
              </w:rPr>
              <w:t>225.99</w:t>
            </w:r>
          </w:p>
        </w:tc>
        <w:tc>
          <w:tcPr>
            <w:tcW w:w="817" w:type="pct"/>
            <w:noWrap/>
            <w:vAlign w:val="center"/>
          </w:tcPr>
          <w:p>
            <w:pPr>
              <w:pStyle w:val="3013"/>
              <w:rPr>
                <w:rFonts w:hint="eastAsia"/>
              </w:rPr>
            </w:pPr>
            <w:r>
              <w:rPr>
                <w:rFonts w:hint="eastAsia"/>
              </w:rPr>
              <w:t>226.16</w:t>
            </w:r>
          </w:p>
        </w:tc>
        <w:tc>
          <w:tcPr>
            <w:tcW w:w="407" w:type="pct"/>
            <w:noWrap/>
            <w:vAlign w:val="center"/>
          </w:tcPr>
          <w:p>
            <w:pPr>
              <w:pStyle w:val="3013"/>
              <w:rPr>
                <w:rFonts w:hint="eastAsia"/>
              </w:rPr>
            </w:pPr>
            <w:r>
              <w:rPr>
                <w:rFonts w:hint="eastAsia"/>
              </w:rPr>
              <w:t>0.17</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795" w:type="pct"/>
            <w:noWrap/>
            <w:vAlign w:val="center"/>
          </w:tcPr>
          <w:p>
            <w:pPr>
              <w:pStyle w:val="3013"/>
              <w:rPr>
                <w:rFonts w:hint="eastAsia"/>
              </w:rPr>
            </w:pPr>
            <w:r>
              <w:rPr>
                <w:rFonts w:hint="eastAsia"/>
              </w:rPr>
              <w:t>城北大桥</w:t>
            </w:r>
          </w:p>
        </w:tc>
        <w:tc>
          <w:tcPr>
            <w:tcW w:w="770" w:type="pct"/>
            <w:noWrap w:val="0"/>
            <w:vAlign w:val="center"/>
          </w:tcPr>
          <w:p>
            <w:pPr>
              <w:pStyle w:val="3013"/>
              <w:rPr>
                <w:rFonts w:hint="eastAsia"/>
              </w:rPr>
            </w:pPr>
            <w:r>
              <w:rPr>
                <w:rFonts w:hint="eastAsia"/>
              </w:rPr>
              <w:t>54.23</w:t>
            </w:r>
          </w:p>
        </w:tc>
        <w:tc>
          <w:tcPr>
            <w:tcW w:w="466" w:type="pct"/>
            <w:noWrap/>
            <w:vAlign w:val="center"/>
          </w:tcPr>
          <w:p>
            <w:pPr>
              <w:pStyle w:val="3013"/>
              <w:rPr>
                <w:rFonts w:hint="eastAsia"/>
              </w:rPr>
            </w:pPr>
            <w:r>
              <w:rPr>
                <w:rFonts w:hint="eastAsia"/>
              </w:rPr>
              <w:t>222.58</w:t>
            </w:r>
          </w:p>
        </w:tc>
        <w:tc>
          <w:tcPr>
            <w:tcW w:w="817" w:type="pct"/>
            <w:noWrap/>
            <w:vAlign w:val="center"/>
          </w:tcPr>
          <w:p>
            <w:pPr>
              <w:pStyle w:val="3013"/>
              <w:rPr>
                <w:rFonts w:hint="eastAsia"/>
              </w:rPr>
            </w:pPr>
            <w:r>
              <w:rPr>
                <w:rFonts w:hint="eastAsia"/>
              </w:rPr>
              <w:t>222.63</w:t>
            </w:r>
          </w:p>
        </w:tc>
        <w:tc>
          <w:tcPr>
            <w:tcW w:w="406" w:type="pct"/>
            <w:noWrap/>
            <w:vAlign w:val="center"/>
          </w:tcPr>
          <w:p>
            <w:pPr>
              <w:pStyle w:val="3013"/>
              <w:rPr>
                <w:rFonts w:hint="eastAsia"/>
              </w:rPr>
            </w:pPr>
            <w:r>
              <w:rPr>
                <w:rFonts w:hint="eastAsia"/>
              </w:rPr>
              <w:t>0.05</w:t>
            </w:r>
          </w:p>
        </w:tc>
        <w:tc>
          <w:tcPr>
            <w:tcW w:w="522" w:type="pct"/>
            <w:noWrap/>
            <w:vAlign w:val="center"/>
          </w:tcPr>
          <w:p>
            <w:pPr>
              <w:pStyle w:val="3013"/>
              <w:rPr>
                <w:rFonts w:hint="eastAsia"/>
              </w:rPr>
            </w:pPr>
            <w:r>
              <w:rPr>
                <w:rFonts w:hint="eastAsia"/>
              </w:rPr>
              <w:t>225.31</w:t>
            </w:r>
          </w:p>
        </w:tc>
        <w:tc>
          <w:tcPr>
            <w:tcW w:w="817" w:type="pct"/>
            <w:noWrap/>
            <w:vAlign w:val="center"/>
          </w:tcPr>
          <w:p>
            <w:pPr>
              <w:pStyle w:val="3013"/>
              <w:rPr>
                <w:rFonts w:hint="eastAsia"/>
              </w:rPr>
            </w:pPr>
            <w:r>
              <w:rPr>
                <w:rFonts w:hint="eastAsia"/>
              </w:rPr>
              <w:t>225.16</w:t>
            </w:r>
          </w:p>
        </w:tc>
        <w:tc>
          <w:tcPr>
            <w:tcW w:w="407" w:type="pct"/>
            <w:noWrap/>
            <w:vAlign w:val="center"/>
          </w:tcPr>
          <w:p>
            <w:pPr>
              <w:pStyle w:val="3013"/>
              <w:rPr>
                <w:rFonts w:hint="eastAsia"/>
              </w:rPr>
            </w:pPr>
            <w:r>
              <w:rPr>
                <w:rFonts w:hint="eastAsia" w:ascii="宋体" w:hAnsi="宋体" w:eastAsia="宋体" w:cs="宋体"/>
                <w:lang w:eastAsia="zh-CN"/>
              </w:rPr>
              <w:t>－</w:t>
            </w:r>
            <w:r>
              <w:rPr>
                <w:rFonts w:hint="eastAsia"/>
              </w:rPr>
              <w:t>0.15</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795" w:type="pct"/>
            <w:noWrap/>
            <w:vAlign w:val="center"/>
          </w:tcPr>
          <w:p>
            <w:pPr>
              <w:pStyle w:val="3013"/>
              <w:rPr>
                <w:rFonts w:hint="eastAsia"/>
              </w:rPr>
            </w:pPr>
            <w:r>
              <w:rPr>
                <w:rFonts w:hint="eastAsia"/>
              </w:rPr>
              <w:t>大岩门</w:t>
            </w:r>
          </w:p>
        </w:tc>
        <w:tc>
          <w:tcPr>
            <w:tcW w:w="770" w:type="pct"/>
            <w:noWrap w:val="0"/>
            <w:vAlign w:val="center"/>
          </w:tcPr>
          <w:p>
            <w:pPr>
              <w:pStyle w:val="3013"/>
              <w:rPr>
                <w:rFonts w:hint="eastAsia"/>
              </w:rPr>
            </w:pPr>
            <w:r>
              <w:rPr>
                <w:rFonts w:hint="eastAsia"/>
              </w:rPr>
              <w:t>55.48</w:t>
            </w:r>
          </w:p>
        </w:tc>
        <w:tc>
          <w:tcPr>
            <w:tcW w:w="466" w:type="pct"/>
            <w:noWrap/>
            <w:vAlign w:val="center"/>
          </w:tcPr>
          <w:p>
            <w:pPr>
              <w:pStyle w:val="3013"/>
              <w:rPr>
                <w:rFonts w:hint="eastAsia"/>
              </w:rPr>
            </w:pPr>
            <w:r>
              <w:rPr>
                <w:rFonts w:hint="eastAsia"/>
              </w:rPr>
              <w:t>221.66</w:t>
            </w:r>
          </w:p>
        </w:tc>
        <w:tc>
          <w:tcPr>
            <w:tcW w:w="817" w:type="pct"/>
            <w:noWrap/>
            <w:vAlign w:val="center"/>
          </w:tcPr>
          <w:p>
            <w:pPr>
              <w:pStyle w:val="3013"/>
              <w:rPr>
                <w:rFonts w:hint="eastAsia"/>
              </w:rPr>
            </w:pPr>
            <w:r>
              <w:rPr>
                <w:rFonts w:hint="eastAsia"/>
              </w:rPr>
              <w:t>221.47</w:t>
            </w:r>
          </w:p>
        </w:tc>
        <w:tc>
          <w:tcPr>
            <w:tcW w:w="406" w:type="pct"/>
            <w:noWrap/>
            <w:vAlign w:val="center"/>
          </w:tcPr>
          <w:p>
            <w:pPr>
              <w:pStyle w:val="3013"/>
              <w:rPr>
                <w:rFonts w:hint="eastAsia"/>
              </w:rPr>
            </w:pPr>
            <w:r>
              <w:rPr>
                <w:rFonts w:hint="eastAsia" w:ascii="宋体" w:hAnsi="宋体" w:eastAsia="宋体" w:cs="宋体"/>
                <w:lang w:eastAsia="zh-CN"/>
              </w:rPr>
              <w:t>－</w:t>
            </w:r>
            <w:r>
              <w:rPr>
                <w:rFonts w:hint="eastAsia"/>
              </w:rPr>
              <w:t>0.19</w:t>
            </w:r>
          </w:p>
        </w:tc>
        <w:tc>
          <w:tcPr>
            <w:tcW w:w="522" w:type="pct"/>
            <w:noWrap/>
            <w:vAlign w:val="center"/>
          </w:tcPr>
          <w:p>
            <w:pPr>
              <w:pStyle w:val="3013"/>
              <w:rPr>
                <w:rFonts w:hint="eastAsia"/>
              </w:rPr>
            </w:pPr>
            <w:r>
              <w:rPr>
                <w:rFonts w:hint="eastAsia"/>
              </w:rPr>
              <w:t>223.66</w:t>
            </w:r>
          </w:p>
        </w:tc>
        <w:tc>
          <w:tcPr>
            <w:tcW w:w="817" w:type="pct"/>
            <w:noWrap/>
            <w:vAlign w:val="center"/>
          </w:tcPr>
          <w:p>
            <w:pPr>
              <w:pStyle w:val="3013"/>
              <w:rPr>
                <w:rFonts w:hint="eastAsia"/>
              </w:rPr>
            </w:pPr>
            <w:r>
              <w:rPr>
                <w:rFonts w:hint="eastAsia"/>
              </w:rPr>
              <w:t>223.85</w:t>
            </w:r>
          </w:p>
        </w:tc>
        <w:tc>
          <w:tcPr>
            <w:tcW w:w="407" w:type="pct"/>
            <w:noWrap/>
            <w:vAlign w:val="center"/>
          </w:tcPr>
          <w:p>
            <w:pPr>
              <w:pStyle w:val="3013"/>
              <w:rPr>
                <w:rFonts w:hint="eastAsia"/>
              </w:rPr>
            </w:pPr>
            <w:r>
              <w:rPr>
                <w:rFonts w:hint="eastAsia"/>
              </w:rPr>
              <w:t>0.19</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795" w:type="pct"/>
            <w:noWrap/>
            <w:vAlign w:val="center"/>
          </w:tcPr>
          <w:p>
            <w:pPr>
              <w:pStyle w:val="3013"/>
              <w:rPr>
                <w:rFonts w:hint="eastAsia"/>
              </w:rPr>
            </w:pPr>
            <w:r>
              <w:rPr>
                <w:rFonts w:hint="eastAsia"/>
              </w:rPr>
              <w:t>北渡大桥</w:t>
            </w:r>
          </w:p>
        </w:tc>
        <w:tc>
          <w:tcPr>
            <w:tcW w:w="770" w:type="pct"/>
            <w:noWrap w:val="0"/>
            <w:vAlign w:val="center"/>
          </w:tcPr>
          <w:p>
            <w:pPr>
              <w:pStyle w:val="3013"/>
              <w:rPr>
                <w:rFonts w:hint="eastAsia"/>
              </w:rPr>
            </w:pPr>
            <w:r>
              <w:rPr>
                <w:rFonts w:hint="eastAsia"/>
              </w:rPr>
              <w:t>57.05</w:t>
            </w:r>
          </w:p>
        </w:tc>
        <w:tc>
          <w:tcPr>
            <w:tcW w:w="466" w:type="pct"/>
            <w:noWrap/>
            <w:vAlign w:val="center"/>
          </w:tcPr>
          <w:p>
            <w:pPr>
              <w:pStyle w:val="3013"/>
              <w:rPr>
                <w:rFonts w:hint="eastAsia"/>
              </w:rPr>
            </w:pPr>
            <w:r>
              <w:rPr>
                <w:rFonts w:hint="eastAsia"/>
              </w:rPr>
              <w:t>220.16</w:t>
            </w:r>
          </w:p>
        </w:tc>
        <w:tc>
          <w:tcPr>
            <w:tcW w:w="817" w:type="pct"/>
            <w:noWrap/>
            <w:vAlign w:val="center"/>
          </w:tcPr>
          <w:p>
            <w:pPr>
              <w:pStyle w:val="3013"/>
              <w:rPr>
                <w:rFonts w:hint="eastAsia"/>
              </w:rPr>
            </w:pPr>
            <w:r>
              <w:rPr>
                <w:rFonts w:hint="eastAsia"/>
              </w:rPr>
              <w:t>220.17</w:t>
            </w:r>
          </w:p>
        </w:tc>
        <w:tc>
          <w:tcPr>
            <w:tcW w:w="406" w:type="pct"/>
            <w:noWrap/>
            <w:vAlign w:val="center"/>
          </w:tcPr>
          <w:p>
            <w:pPr>
              <w:pStyle w:val="3013"/>
              <w:rPr>
                <w:rFonts w:hint="eastAsia"/>
              </w:rPr>
            </w:pPr>
            <w:r>
              <w:rPr>
                <w:rFonts w:hint="eastAsia"/>
              </w:rPr>
              <w:t>0.01</w:t>
            </w:r>
          </w:p>
        </w:tc>
        <w:tc>
          <w:tcPr>
            <w:tcW w:w="522" w:type="pct"/>
            <w:noWrap/>
            <w:vAlign w:val="center"/>
          </w:tcPr>
          <w:p>
            <w:pPr>
              <w:pStyle w:val="3013"/>
              <w:rPr>
                <w:rFonts w:hint="eastAsia"/>
              </w:rPr>
            </w:pPr>
            <w:r>
              <w:rPr>
                <w:rFonts w:hint="eastAsia"/>
              </w:rPr>
              <w:t>222.07</w:t>
            </w:r>
          </w:p>
        </w:tc>
        <w:tc>
          <w:tcPr>
            <w:tcW w:w="817" w:type="pct"/>
            <w:noWrap/>
            <w:vAlign w:val="center"/>
          </w:tcPr>
          <w:p>
            <w:pPr>
              <w:pStyle w:val="3013"/>
              <w:rPr>
                <w:rFonts w:hint="eastAsia"/>
              </w:rPr>
            </w:pPr>
            <w:r>
              <w:rPr>
                <w:rFonts w:hint="eastAsia"/>
              </w:rPr>
              <w:t>222.08</w:t>
            </w:r>
          </w:p>
        </w:tc>
        <w:tc>
          <w:tcPr>
            <w:tcW w:w="407" w:type="pct"/>
            <w:noWrap/>
            <w:vAlign w:val="center"/>
          </w:tcPr>
          <w:p>
            <w:pPr>
              <w:pStyle w:val="3013"/>
              <w:rPr>
                <w:rFonts w:hint="eastAsia"/>
              </w:rPr>
            </w:pPr>
            <w:r>
              <w:rPr>
                <w:rFonts w:hint="eastAsia"/>
              </w:rPr>
              <w:t>0.01</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795" w:type="pct"/>
            <w:noWrap/>
            <w:vAlign w:val="center"/>
          </w:tcPr>
          <w:p>
            <w:pPr>
              <w:pStyle w:val="3013"/>
              <w:rPr>
                <w:rFonts w:hint="eastAsia"/>
              </w:rPr>
            </w:pPr>
            <w:r>
              <w:rPr>
                <w:rFonts w:hint="eastAsia"/>
              </w:rPr>
              <w:t>清溪河口</w:t>
            </w:r>
          </w:p>
        </w:tc>
        <w:tc>
          <w:tcPr>
            <w:tcW w:w="770" w:type="pct"/>
            <w:noWrap w:val="0"/>
            <w:vAlign w:val="center"/>
          </w:tcPr>
          <w:p>
            <w:pPr>
              <w:pStyle w:val="3013"/>
              <w:rPr>
                <w:rFonts w:hint="eastAsia"/>
              </w:rPr>
            </w:pPr>
            <w:r>
              <w:rPr>
                <w:rFonts w:hint="eastAsia"/>
              </w:rPr>
              <w:t>62.03</w:t>
            </w:r>
          </w:p>
        </w:tc>
        <w:tc>
          <w:tcPr>
            <w:tcW w:w="466" w:type="pct"/>
            <w:noWrap/>
            <w:vAlign w:val="center"/>
          </w:tcPr>
          <w:p>
            <w:pPr>
              <w:pStyle w:val="3013"/>
              <w:rPr>
                <w:rFonts w:hint="eastAsia"/>
              </w:rPr>
            </w:pPr>
          </w:p>
        </w:tc>
        <w:tc>
          <w:tcPr>
            <w:tcW w:w="817" w:type="pct"/>
            <w:noWrap/>
            <w:vAlign w:val="center"/>
          </w:tcPr>
          <w:p>
            <w:pPr>
              <w:pStyle w:val="3013"/>
              <w:rPr>
                <w:rFonts w:hint="eastAsia"/>
              </w:rPr>
            </w:pPr>
          </w:p>
        </w:tc>
        <w:tc>
          <w:tcPr>
            <w:tcW w:w="406" w:type="pct"/>
            <w:noWrap/>
            <w:vAlign w:val="center"/>
          </w:tcPr>
          <w:p>
            <w:pPr>
              <w:pStyle w:val="3013"/>
              <w:rPr>
                <w:rFonts w:hint="eastAsia"/>
              </w:rPr>
            </w:pPr>
          </w:p>
        </w:tc>
        <w:tc>
          <w:tcPr>
            <w:tcW w:w="522" w:type="pct"/>
            <w:noWrap/>
            <w:vAlign w:val="center"/>
          </w:tcPr>
          <w:p>
            <w:pPr>
              <w:pStyle w:val="3013"/>
              <w:rPr>
                <w:rFonts w:hint="eastAsia"/>
              </w:rPr>
            </w:pPr>
            <w:r>
              <w:rPr>
                <w:rFonts w:hint="eastAsia"/>
              </w:rPr>
              <w:t>219.56</w:t>
            </w:r>
          </w:p>
        </w:tc>
        <w:tc>
          <w:tcPr>
            <w:tcW w:w="817" w:type="pct"/>
            <w:noWrap/>
            <w:vAlign w:val="center"/>
          </w:tcPr>
          <w:p>
            <w:pPr>
              <w:pStyle w:val="3013"/>
              <w:rPr>
                <w:rFonts w:hint="eastAsia"/>
              </w:rPr>
            </w:pPr>
            <w:r>
              <w:rPr>
                <w:rFonts w:hint="eastAsia"/>
              </w:rPr>
              <w:t>219.54</w:t>
            </w:r>
          </w:p>
        </w:tc>
        <w:tc>
          <w:tcPr>
            <w:tcW w:w="407" w:type="pct"/>
            <w:noWrap/>
            <w:vAlign w:val="center"/>
          </w:tcPr>
          <w:p>
            <w:pPr>
              <w:pStyle w:val="3013"/>
              <w:rPr>
                <w:rFonts w:hint="eastAsia"/>
              </w:rPr>
            </w:pPr>
            <w:r>
              <w:rPr>
                <w:rFonts w:hint="eastAsia" w:ascii="宋体" w:hAnsi="宋体" w:eastAsia="宋体" w:cs="宋体"/>
                <w:lang w:eastAsia="zh-CN"/>
              </w:rPr>
              <w:t>－</w:t>
            </w:r>
            <w:r>
              <w:rPr>
                <w:rFonts w:hint="eastAsia"/>
              </w:rPr>
              <w:t>0.02</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795" w:type="pct"/>
            <w:noWrap/>
            <w:vAlign w:val="center"/>
          </w:tcPr>
          <w:p>
            <w:pPr>
              <w:pStyle w:val="3013"/>
              <w:rPr>
                <w:rFonts w:hint="eastAsia"/>
              </w:rPr>
            </w:pPr>
            <w:r>
              <w:rPr>
                <w:rFonts w:hint="eastAsia"/>
              </w:rPr>
              <w:t>桥溪口枢纽</w:t>
            </w:r>
          </w:p>
        </w:tc>
        <w:tc>
          <w:tcPr>
            <w:tcW w:w="770" w:type="pct"/>
            <w:noWrap w:val="0"/>
            <w:vAlign w:val="center"/>
          </w:tcPr>
          <w:p>
            <w:pPr>
              <w:pStyle w:val="3013"/>
              <w:rPr>
                <w:rFonts w:hint="eastAsia"/>
              </w:rPr>
            </w:pPr>
            <w:r>
              <w:rPr>
                <w:rFonts w:hint="eastAsia"/>
              </w:rPr>
              <w:t>64.15</w:t>
            </w:r>
          </w:p>
        </w:tc>
        <w:tc>
          <w:tcPr>
            <w:tcW w:w="466" w:type="pct"/>
            <w:noWrap/>
            <w:vAlign w:val="center"/>
          </w:tcPr>
          <w:p>
            <w:pPr>
              <w:pStyle w:val="3013"/>
              <w:rPr>
                <w:rFonts w:hint="eastAsia"/>
              </w:rPr>
            </w:pPr>
          </w:p>
        </w:tc>
        <w:tc>
          <w:tcPr>
            <w:tcW w:w="817" w:type="pct"/>
            <w:noWrap/>
            <w:vAlign w:val="center"/>
          </w:tcPr>
          <w:p>
            <w:pPr>
              <w:pStyle w:val="3013"/>
              <w:rPr>
                <w:rFonts w:hint="eastAsia"/>
              </w:rPr>
            </w:pPr>
          </w:p>
        </w:tc>
        <w:tc>
          <w:tcPr>
            <w:tcW w:w="406" w:type="pct"/>
            <w:noWrap/>
            <w:vAlign w:val="center"/>
          </w:tcPr>
          <w:p>
            <w:pPr>
              <w:pStyle w:val="3013"/>
              <w:rPr>
                <w:rFonts w:hint="eastAsia"/>
              </w:rPr>
            </w:pPr>
          </w:p>
        </w:tc>
        <w:tc>
          <w:tcPr>
            <w:tcW w:w="522" w:type="pct"/>
            <w:noWrap/>
            <w:vAlign w:val="center"/>
          </w:tcPr>
          <w:p>
            <w:pPr>
              <w:pStyle w:val="3013"/>
              <w:rPr>
                <w:rFonts w:hint="eastAsia"/>
              </w:rPr>
            </w:pPr>
            <w:r>
              <w:rPr>
                <w:rFonts w:hint="eastAsia"/>
              </w:rPr>
              <w:t>218.38</w:t>
            </w:r>
          </w:p>
        </w:tc>
        <w:tc>
          <w:tcPr>
            <w:tcW w:w="817" w:type="pct"/>
            <w:noWrap/>
            <w:vAlign w:val="center"/>
          </w:tcPr>
          <w:p>
            <w:pPr>
              <w:pStyle w:val="3013"/>
              <w:rPr>
                <w:rFonts w:hint="eastAsia"/>
              </w:rPr>
            </w:pPr>
            <w:r>
              <w:rPr>
                <w:rFonts w:hint="eastAsia"/>
              </w:rPr>
              <w:t>218.36</w:t>
            </w:r>
          </w:p>
        </w:tc>
        <w:tc>
          <w:tcPr>
            <w:tcW w:w="407" w:type="pct"/>
            <w:noWrap/>
            <w:vAlign w:val="center"/>
          </w:tcPr>
          <w:p>
            <w:pPr>
              <w:pStyle w:val="3013"/>
              <w:rPr>
                <w:rFonts w:hint="eastAsia"/>
              </w:rPr>
            </w:pPr>
            <w:r>
              <w:rPr>
                <w:rFonts w:hint="eastAsia" w:ascii="宋体" w:hAnsi="宋体" w:eastAsia="宋体" w:cs="宋体"/>
                <w:lang w:eastAsia="zh-CN"/>
              </w:rPr>
              <w:t>－</w:t>
            </w:r>
            <w:r>
              <w:rPr>
                <w:rFonts w:hint="eastAsia"/>
              </w:rPr>
              <w:t>0.02</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795" w:type="pct"/>
            <w:noWrap/>
            <w:vAlign w:val="center"/>
          </w:tcPr>
          <w:p>
            <w:pPr>
              <w:pStyle w:val="3013"/>
              <w:rPr>
                <w:rFonts w:hint="eastAsia"/>
              </w:rPr>
            </w:pPr>
            <w:r>
              <w:rPr>
                <w:rFonts w:hint="eastAsia"/>
              </w:rPr>
              <w:t>沿程平均误差</w:t>
            </w:r>
          </w:p>
        </w:tc>
        <w:tc>
          <w:tcPr>
            <w:tcW w:w="770" w:type="pct"/>
            <w:noWrap w:val="0"/>
            <w:vAlign w:val="center"/>
          </w:tcPr>
          <w:p>
            <w:pPr>
              <w:pStyle w:val="3013"/>
              <w:rPr>
                <w:rFonts w:hint="eastAsia"/>
              </w:rPr>
            </w:pPr>
          </w:p>
        </w:tc>
        <w:tc>
          <w:tcPr>
            <w:tcW w:w="466" w:type="pct"/>
            <w:noWrap/>
            <w:vAlign w:val="center"/>
          </w:tcPr>
          <w:p>
            <w:pPr>
              <w:pStyle w:val="3013"/>
              <w:rPr>
                <w:rFonts w:hint="eastAsia"/>
              </w:rPr>
            </w:pPr>
          </w:p>
        </w:tc>
        <w:tc>
          <w:tcPr>
            <w:tcW w:w="817" w:type="pct"/>
            <w:noWrap/>
            <w:vAlign w:val="center"/>
          </w:tcPr>
          <w:p>
            <w:pPr>
              <w:pStyle w:val="3013"/>
              <w:rPr>
                <w:rFonts w:hint="eastAsia"/>
              </w:rPr>
            </w:pPr>
          </w:p>
        </w:tc>
        <w:tc>
          <w:tcPr>
            <w:tcW w:w="406" w:type="pct"/>
            <w:noWrap/>
            <w:vAlign w:val="center"/>
          </w:tcPr>
          <w:p>
            <w:pPr>
              <w:pStyle w:val="3013"/>
              <w:rPr>
                <w:rFonts w:hint="eastAsia"/>
              </w:rPr>
            </w:pPr>
            <w:r>
              <w:rPr>
                <w:rFonts w:hint="eastAsia"/>
                <w:lang w:eastAsia="zh-CN"/>
              </w:rPr>
              <w:t>—</w:t>
            </w:r>
            <w:r>
              <w:rPr>
                <w:rFonts w:hint="eastAsia"/>
              </w:rPr>
              <w:t>0.02</w:t>
            </w:r>
          </w:p>
        </w:tc>
        <w:tc>
          <w:tcPr>
            <w:tcW w:w="522" w:type="pct"/>
            <w:noWrap/>
            <w:vAlign w:val="center"/>
          </w:tcPr>
          <w:p>
            <w:pPr>
              <w:pStyle w:val="3013"/>
              <w:rPr>
                <w:rFonts w:hint="eastAsia"/>
              </w:rPr>
            </w:pPr>
          </w:p>
        </w:tc>
        <w:tc>
          <w:tcPr>
            <w:tcW w:w="817" w:type="pct"/>
            <w:noWrap/>
            <w:vAlign w:val="center"/>
          </w:tcPr>
          <w:p>
            <w:pPr>
              <w:pStyle w:val="3013"/>
              <w:rPr>
                <w:rFonts w:hint="eastAsia"/>
              </w:rPr>
            </w:pPr>
          </w:p>
        </w:tc>
        <w:tc>
          <w:tcPr>
            <w:tcW w:w="407" w:type="pct"/>
            <w:noWrap/>
            <w:vAlign w:val="center"/>
          </w:tcPr>
          <w:p>
            <w:pPr>
              <w:pStyle w:val="3013"/>
              <w:rPr>
                <w:rFonts w:hint="eastAsia"/>
              </w:rPr>
            </w:pPr>
            <w:r>
              <w:rPr>
                <w:rFonts w:hint="eastAsia"/>
              </w:rPr>
              <w:t>0.00</w:t>
            </w:r>
          </w:p>
        </w:tc>
      </w:tr>
    </w:tbl>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rPr>
        <w:t>③糙率率定结果</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rPr>
        <w:t>根据率定和验证结果，11个河段的综合糙率范围在0.033</w:t>
      </w:r>
      <w:r>
        <w:rPr>
          <w:rFonts w:hint="eastAsia" w:ascii="Times New Roman" w:eastAsia="方正仿宋_GBK" w:cs="Times New Roman"/>
          <w:sz w:val="32"/>
          <w:szCs w:val="32"/>
          <w:lang w:eastAsia="zh-CN"/>
        </w:rPr>
        <w:t>—</w:t>
      </w:r>
      <w:r>
        <w:rPr>
          <w:rFonts w:hint="eastAsia" w:ascii="Times New Roman" w:hAnsi="Times New Roman" w:eastAsia="方正仿宋_GBK" w:cs="Times New Roman"/>
          <w:sz w:val="32"/>
          <w:szCs w:val="32"/>
        </w:rPr>
        <w:t>0.045之间。其中，五岔站至清溪河口段的综合糙率为0.031</w:t>
      </w:r>
      <w:r>
        <w:rPr>
          <w:rFonts w:hint="eastAsia" w:ascii="Times New Roman" w:eastAsia="方正仿宋_GBK" w:cs="Times New Roman"/>
          <w:sz w:val="32"/>
          <w:szCs w:val="32"/>
          <w:lang w:eastAsia="zh-CN"/>
        </w:rPr>
        <w:t>—</w:t>
      </w:r>
      <w:r>
        <w:rPr>
          <w:rFonts w:hint="eastAsia" w:ascii="Times New Roman" w:hAnsi="Times New Roman" w:eastAsia="方正仿宋_GBK" w:cs="Times New Roman"/>
          <w:sz w:val="32"/>
          <w:szCs w:val="32"/>
        </w:rPr>
        <w:t>0.033，清溪河口至北渡大桥段的综合糙率为0.037</w:t>
      </w:r>
      <w:r>
        <w:rPr>
          <w:rFonts w:hint="eastAsia" w:ascii="Times New Roman" w:eastAsia="方正仿宋_GBK" w:cs="Times New Roman"/>
          <w:sz w:val="32"/>
          <w:szCs w:val="32"/>
          <w:lang w:eastAsia="zh-CN"/>
        </w:rPr>
        <w:t>—</w:t>
      </w:r>
      <w:r>
        <w:rPr>
          <w:rFonts w:hint="eastAsia" w:ascii="Times New Roman" w:hAnsi="Times New Roman" w:eastAsia="方正仿宋_GBK" w:cs="Times New Roman"/>
          <w:sz w:val="32"/>
          <w:szCs w:val="32"/>
        </w:rPr>
        <w:t>0.04，北渡大桥至桥河枢纽段的综合糙率为0.04</w:t>
      </w:r>
      <w:r>
        <w:rPr>
          <w:rFonts w:hint="eastAsia" w:ascii="Times New Roman" w:eastAsia="方正仿宋_GBK" w:cs="Times New Roman"/>
          <w:sz w:val="32"/>
          <w:szCs w:val="32"/>
          <w:lang w:eastAsia="zh-CN"/>
        </w:rPr>
        <w:t>—</w:t>
      </w:r>
      <w:r>
        <w:rPr>
          <w:rFonts w:hint="eastAsia" w:ascii="Times New Roman" w:hAnsi="Times New Roman" w:eastAsia="方正仿宋_GBK" w:cs="Times New Roman"/>
          <w:sz w:val="32"/>
          <w:szCs w:val="32"/>
        </w:rPr>
        <w:t>0.046，桥河枢纽</w:t>
      </w:r>
      <w:r>
        <w:rPr>
          <w:rFonts w:hint="eastAsia" w:ascii="Times New Roman" w:eastAsia="方正仿宋_GBK" w:cs="Times New Roman"/>
          <w:sz w:val="32"/>
          <w:szCs w:val="32"/>
          <w:lang w:eastAsia="zh-CN"/>
        </w:rPr>
        <w:t>—</w:t>
      </w:r>
      <w:r>
        <w:rPr>
          <w:rFonts w:hint="eastAsia" w:ascii="Times New Roman" w:hAnsi="Times New Roman" w:eastAsia="方正仿宋_GBK" w:cs="Times New Roman"/>
          <w:sz w:val="32"/>
          <w:szCs w:val="32"/>
        </w:rPr>
        <w:t>东溪站的综合糙率为0.045。</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lang w:val="en-US" w:eastAsia="zh-CN"/>
        </w:rPr>
        <w:t>2</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rPr>
        <w:t>天然设计洪水水面线</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lang w:val="en-US" w:eastAsia="zh-CN"/>
        </w:rPr>
        <w:t>2.1</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rPr>
        <w:t>模型的边界条件</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lang w:val="en-US" w:eastAsia="zh-CN"/>
        </w:rPr>
        <w:t>2.1.1</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rPr>
        <w:t>上边界条件</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rPr>
        <w:t>采用东溪水文站5年、10年、20年、30年和50年一遇的设计洪水作为模型的上边界条件，见表4.5</w:t>
      </w:r>
      <w:r>
        <w:rPr>
          <w:rFonts w:hint="eastAsia" w:ascii="Times New Roman" w:eastAsia="方正仿宋_GBK" w:cs="Times New Roman"/>
          <w:sz w:val="32"/>
          <w:szCs w:val="32"/>
          <w:lang w:eastAsia="zh-CN"/>
        </w:rPr>
        <w:t>—</w:t>
      </w:r>
      <w:r>
        <w:rPr>
          <w:rFonts w:hint="eastAsia" w:ascii="Times New Roman" w:hAnsi="Times New Roman" w:eastAsia="方正仿宋_GBK" w:cs="Times New Roman"/>
          <w:sz w:val="32"/>
          <w:szCs w:val="32"/>
        </w:rPr>
        <w:t>3。</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lang w:val="en-US" w:eastAsia="zh-CN"/>
        </w:rPr>
        <w:t>2.1.2</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rPr>
        <w:t>旁侧入流边界条件</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rPr>
        <w:t>根据东溪和五岔两站的不同频率设计洪水，采用水文比拟法，推算扶欢河、郭扶河、蒲河、通惠河、清溪河等主要支流以及干流未控区间的设计洪水，以此作为模型的旁侧入流边界条件，见表4.5</w:t>
      </w:r>
      <w:r>
        <w:rPr>
          <w:rFonts w:hint="eastAsia" w:ascii="Times New Roman" w:eastAsia="方正仿宋_GBK" w:cs="Times New Roman"/>
          <w:sz w:val="32"/>
          <w:szCs w:val="32"/>
          <w:lang w:eastAsia="zh-CN"/>
        </w:rPr>
        <w:t>—</w:t>
      </w:r>
      <w:r>
        <w:rPr>
          <w:rFonts w:hint="eastAsia" w:ascii="Times New Roman" w:hAnsi="Times New Roman" w:eastAsia="方正仿宋_GBK" w:cs="Times New Roman"/>
          <w:sz w:val="32"/>
          <w:szCs w:val="32"/>
        </w:rPr>
        <w:t>3。</w:t>
      </w:r>
    </w:p>
    <w:p>
      <w:pPr>
        <w:pStyle w:val="2312"/>
        <w:ind w:firstLine="240"/>
        <w:jc w:val="center"/>
        <w:rPr>
          <w:rFonts w:hint="default" w:ascii="Times New Roman" w:hAnsi="Times New Roman" w:cs="Times New Roman"/>
        </w:rPr>
      </w:pPr>
      <w:r>
        <w:rPr>
          <w:rFonts w:hint="default" w:ascii="Times New Roman" w:hAnsi="Times New Roman" w:cs="Times New Roman"/>
        </w:rPr>
        <w:t>表4.5</w:t>
      </w:r>
      <w:r>
        <w:rPr>
          <w:rFonts w:hint="default" w:ascii="Times New Roman" w:hAnsi="Times New Roman" w:cs="Times New Roman"/>
          <w:lang w:eastAsia="zh-CN"/>
        </w:rPr>
        <w:t>—</w:t>
      </w:r>
      <w:r>
        <w:rPr>
          <w:rFonts w:hint="default" w:ascii="Times New Roman" w:hAnsi="Times New Roman" w:cs="Times New Roman"/>
        </w:rPr>
        <w:t>3            綦江干流一维水动力数学模型边界条件</w:t>
      </w:r>
    </w:p>
    <w:tbl>
      <w:tblPr>
        <w:tblStyle w:val="88"/>
        <w:tblW w:w="5000"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108" w:type="dxa"/>
          <w:bottom w:w="0" w:type="dxa"/>
          <w:right w:w="108" w:type="dxa"/>
        </w:tblCellMar>
      </w:tblPr>
      <w:tblGrid>
        <w:gridCol w:w="1896"/>
        <w:gridCol w:w="2470"/>
        <w:gridCol w:w="984"/>
        <w:gridCol w:w="984"/>
        <w:gridCol w:w="984"/>
        <w:gridCol w:w="985"/>
        <w:gridCol w:w="984"/>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1021" w:type="pct"/>
            <w:vMerge w:val="restart"/>
            <w:noWrap/>
            <w:vAlign w:val="center"/>
          </w:tcPr>
          <w:p>
            <w:pPr>
              <w:pStyle w:val="3013"/>
              <w:rPr>
                <w:rFonts w:hint="eastAsia"/>
              </w:rPr>
            </w:pPr>
            <w:r>
              <w:rPr>
                <w:rFonts w:hint="eastAsia"/>
              </w:rPr>
              <w:t>边界类型</w:t>
            </w:r>
          </w:p>
        </w:tc>
        <w:tc>
          <w:tcPr>
            <w:tcW w:w="1330" w:type="pct"/>
            <w:vMerge w:val="restart"/>
            <w:noWrap/>
            <w:vAlign w:val="center"/>
          </w:tcPr>
          <w:p>
            <w:pPr>
              <w:pStyle w:val="3013"/>
              <w:rPr>
                <w:rFonts w:hint="eastAsia"/>
              </w:rPr>
            </w:pPr>
            <w:r>
              <w:rPr>
                <w:rFonts w:hint="eastAsia"/>
              </w:rPr>
              <w:t>断面位置</w:t>
            </w:r>
          </w:p>
        </w:tc>
        <w:tc>
          <w:tcPr>
            <w:tcW w:w="2648" w:type="pct"/>
            <w:gridSpan w:val="5"/>
            <w:noWrap/>
            <w:vAlign w:val="center"/>
          </w:tcPr>
          <w:p>
            <w:pPr>
              <w:pStyle w:val="3013"/>
              <w:rPr>
                <w:rFonts w:hint="eastAsia"/>
              </w:rPr>
            </w:pPr>
            <w:r>
              <w:rPr>
                <w:rFonts w:hint="eastAsia"/>
              </w:rPr>
              <w:t>各频率设计值Xp（m</w:t>
            </w:r>
            <w:r>
              <w:rPr>
                <w:rFonts w:hint="eastAsia"/>
                <w:vertAlign w:val="superscript"/>
              </w:rPr>
              <w:t>3</w:t>
            </w:r>
            <w:r>
              <w:rPr>
                <w:rFonts w:hint="eastAsia"/>
              </w:rPr>
              <w:t>/s）</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1021" w:type="pct"/>
            <w:vMerge w:val="continue"/>
            <w:noWrap/>
            <w:vAlign w:val="center"/>
          </w:tcPr>
          <w:p>
            <w:pPr>
              <w:pStyle w:val="3013"/>
              <w:rPr>
                <w:rFonts w:hint="eastAsia"/>
              </w:rPr>
            </w:pPr>
          </w:p>
        </w:tc>
        <w:tc>
          <w:tcPr>
            <w:tcW w:w="1330" w:type="pct"/>
            <w:vMerge w:val="continue"/>
            <w:noWrap/>
            <w:vAlign w:val="center"/>
          </w:tcPr>
          <w:p>
            <w:pPr>
              <w:pStyle w:val="3013"/>
              <w:rPr>
                <w:rFonts w:hint="eastAsia"/>
              </w:rPr>
            </w:pPr>
          </w:p>
        </w:tc>
        <w:tc>
          <w:tcPr>
            <w:tcW w:w="530" w:type="pct"/>
            <w:noWrap/>
            <w:vAlign w:val="center"/>
          </w:tcPr>
          <w:p>
            <w:pPr>
              <w:pStyle w:val="3013"/>
              <w:rPr>
                <w:rFonts w:hint="eastAsia"/>
              </w:rPr>
            </w:pPr>
            <w:r>
              <w:rPr>
                <w:rFonts w:hint="eastAsia"/>
              </w:rPr>
              <w:t>2%</w:t>
            </w:r>
          </w:p>
        </w:tc>
        <w:tc>
          <w:tcPr>
            <w:tcW w:w="530" w:type="pct"/>
            <w:noWrap/>
            <w:vAlign w:val="center"/>
          </w:tcPr>
          <w:p>
            <w:pPr>
              <w:pStyle w:val="3013"/>
              <w:rPr>
                <w:rFonts w:hint="eastAsia"/>
              </w:rPr>
            </w:pPr>
            <w:r>
              <w:rPr>
                <w:rFonts w:hint="eastAsia"/>
              </w:rPr>
              <w:t>3.30%</w:t>
            </w:r>
          </w:p>
        </w:tc>
        <w:tc>
          <w:tcPr>
            <w:tcW w:w="530" w:type="pct"/>
            <w:noWrap/>
            <w:vAlign w:val="center"/>
          </w:tcPr>
          <w:p>
            <w:pPr>
              <w:pStyle w:val="3013"/>
              <w:rPr>
                <w:rFonts w:hint="eastAsia"/>
              </w:rPr>
            </w:pPr>
            <w:r>
              <w:rPr>
                <w:rFonts w:hint="eastAsia"/>
              </w:rPr>
              <w:t>5%</w:t>
            </w:r>
          </w:p>
        </w:tc>
        <w:tc>
          <w:tcPr>
            <w:tcW w:w="530" w:type="pct"/>
            <w:noWrap/>
            <w:vAlign w:val="center"/>
          </w:tcPr>
          <w:p>
            <w:pPr>
              <w:pStyle w:val="3013"/>
              <w:rPr>
                <w:rFonts w:hint="eastAsia"/>
              </w:rPr>
            </w:pPr>
            <w:r>
              <w:rPr>
                <w:rFonts w:hint="eastAsia"/>
              </w:rPr>
              <w:t>10%</w:t>
            </w:r>
          </w:p>
        </w:tc>
        <w:tc>
          <w:tcPr>
            <w:tcW w:w="529" w:type="pct"/>
            <w:noWrap/>
            <w:vAlign w:val="center"/>
          </w:tcPr>
          <w:p>
            <w:pPr>
              <w:pStyle w:val="3013"/>
              <w:rPr>
                <w:rFonts w:hint="eastAsia"/>
              </w:rPr>
            </w:pPr>
            <w:r>
              <w:rPr>
                <w:rFonts w:hint="eastAsia"/>
              </w:rPr>
              <w:t>20%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1021" w:type="pct"/>
            <w:noWrap/>
            <w:vAlign w:val="center"/>
          </w:tcPr>
          <w:p>
            <w:pPr>
              <w:pStyle w:val="3013"/>
              <w:rPr>
                <w:rFonts w:hint="eastAsia"/>
              </w:rPr>
            </w:pPr>
            <w:r>
              <w:rPr>
                <w:rFonts w:hint="eastAsia"/>
              </w:rPr>
              <w:t>上边界条件</w:t>
            </w:r>
          </w:p>
        </w:tc>
        <w:tc>
          <w:tcPr>
            <w:tcW w:w="1330" w:type="pct"/>
            <w:noWrap/>
            <w:vAlign w:val="center"/>
          </w:tcPr>
          <w:p>
            <w:pPr>
              <w:pStyle w:val="3013"/>
              <w:rPr>
                <w:rFonts w:hint="eastAsia"/>
              </w:rPr>
            </w:pPr>
            <w:r>
              <w:rPr>
                <w:rFonts w:hint="eastAsia"/>
              </w:rPr>
              <w:t>东溪水文站</w:t>
            </w:r>
          </w:p>
        </w:tc>
        <w:tc>
          <w:tcPr>
            <w:tcW w:w="530" w:type="pct"/>
            <w:noWrap/>
            <w:vAlign w:val="center"/>
          </w:tcPr>
          <w:p>
            <w:pPr>
              <w:pStyle w:val="3013"/>
              <w:rPr>
                <w:rFonts w:hint="eastAsia"/>
              </w:rPr>
            </w:pPr>
            <w:r>
              <w:rPr>
                <w:rFonts w:hint="eastAsia"/>
              </w:rPr>
              <w:t>5140</w:t>
            </w:r>
          </w:p>
        </w:tc>
        <w:tc>
          <w:tcPr>
            <w:tcW w:w="530" w:type="pct"/>
            <w:noWrap/>
            <w:vAlign w:val="center"/>
          </w:tcPr>
          <w:p>
            <w:pPr>
              <w:pStyle w:val="3013"/>
              <w:rPr>
                <w:rFonts w:hint="eastAsia"/>
              </w:rPr>
            </w:pPr>
            <w:r>
              <w:rPr>
                <w:rFonts w:hint="eastAsia"/>
              </w:rPr>
              <w:t>4530</w:t>
            </w:r>
          </w:p>
        </w:tc>
        <w:tc>
          <w:tcPr>
            <w:tcW w:w="530" w:type="pct"/>
            <w:noWrap/>
            <w:vAlign w:val="center"/>
          </w:tcPr>
          <w:p>
            <w:pPr>
              <w:pStyle w:val="3013"/>
              <w:rPr>
                <w:rFonts w:hint="eastAsia"/>
              </w:rPr>
            </w:pPr>
            <w:r>
              <w:rPr>
                <w:rFonts w:hint="eastAsia"/>
              </w:rPr>
              <w:t>4050</w:t>
            </w:r>
          </w:p>
        </w:tc>
        <w:tc>
          <w:tcPr>
            <w:tcW w:w="530" w:type="pct"/>
            <w:noWrap/>
            <w:vAlign w:val="center"/>
          </w:tcPr>
          <w:p>
            <w:pPr>
              <w:pStyle w:val="3013"/>
              <w:rPr>
                <w:rFonts w:hint="eastAsia"/>
              </w:rPr>
            </w:pPr>
            <w:r>
              <w:rPr>
                <w:rFonts w:hint="eastAsia"/>
              </w:rPr>
              <w:t>3240</w:t>
            </w:r>
          </w:p>
        </w:tc>
        <w:tc>
          <w:tcPr>
            <w:tcW w:w="529" w:type="pct"/>
            <w:noWrap/>
            <w:vAlign w:val="center"/>
          </w:tcPr>
          <w:p>
            <w:pPr>
              <w:pStyle w:val="3013"/>
              <w:rPr>
                <w:rFonts w:hint="eastAsia"/>
              </w:rPr>
            </w:pPr>
            <w:r>
              <w:rPr>
                <w:rFonts w:hint="eastAsia"/>
              </w:rPr>
              <w:t>2440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1021" w:type="pct"/>
            <w:vMerge w:val="restart"/>
            <w:noWrap/>
            <w:vAlign w:val="center"/>
          </w:tcPr>
          <w:p>
            <w:pPr>
              <w:pStyle w:val="3013"/>
              <w:rPr>
                <w:rFonts w:hint="eastAsia"/>
              </w:rPr>
            </w:pPr>
            <w:r>
              <w:rPr>
                <w:rFonts w:hint="eastAsia"/>
              </w:rPr>
              <w:t>旁侧入流边界条件</w:t>
            </w:r>
          </w:p>
        </w:tc>
        <w:tc>
          <w:tcPr>
            <w:tcW w:w="1330" w:type="pct"/>
            <w:noWrap/>
            <w:vAlign w:val="center"/>
          </w:tcPr>
          <w:p>
            <w:pPr>
              <w:pStyle w:val="3013"/>
              <w:rPr>
                <w:rFonts w:hint="eastAsia"/>
              </w:rPr>
            </w:pPr>
            <w:r>
              <w:rPr>
                <w:rFonts w:hint="eastAsia"/>
              </w:rPr>
              <w:t>东溪水文站</w:t>
            </w:r>
            <w:r>
              <w:rPr>
                <w:rFonts w:hint="eastAsia"/>
                <w:lang w:eastAsia="zh-CN"/>
              </w:rPr>
              <w:t>—</w:t>
            </w:r>
            <w:r>
              <w:rPr>
                <w:rFonts w:hint="eastAsia"/>
              </w:rPr>
              <w:t>镇紫河口</w:t>
            </w:r>
          </w:p>
        </w:tc>
        <w:tc>
          <w:tcPr>
            <w:tcW w:w="530" w:type="pct"/>
            <w:noWrap/>
            <w:vAlign w:val="center"/>
          </w:tcPr>
          <w:p>
            <w:pPr>
              <w:pStyle w:val="3013"/>
              <w:rPr>
                <w:rFonts w:hint="eastAsia"/>
              </w:rPr>
            </w:pPr>
            <w:r>
              <w:rPr>
                <w:rFonts w:hint="eastAsia"/>
              </w:rPr>
              <w:t>10</w:t>
            </w:r>
          </w:p>
        </w:tc>
        <w:tc>
          <w:tcPr>
            <w:tcW w:w="530" w:type="pct"/>
            <w:noWrap/>
            <w:vAlign w:val="center"/>
          </w:tcPr>
          <w:p>
            <w:pPr>
              <w:pStyle w:val="3013"/>
              <w:rPr>
                <w:rFonts w:hint="eastAsia"/>
              </w:rPr>
            </w:pPr>
            <w:r>
              <w:rPr>
                <w:rFonts w:hint="eastAsia"/>
              </w:rPr>
              <w:t>9</w:t>
            </w:r>
          </w:p>
        </w:tc>
        <w:tc>
          <w:tcPr>
            <w:tcW w:w="530" w:type="pct"/>
            <w:noWrap/>
            <w:vAlign w:val="center"/>
          </w:tcPr>
          <w:p>
            <w:pPr>
              <w:pStyle w:val="3013"/>
              <w:rPr>
                <w:rFonts w:hint="eastAsia"/>
              </w:rPr>
            </w:pPr>
            <w:r>
              <w:rPr>
                <w:rFonts w:hint="eastAsia"/>
              </w:rPr>
              <w:t>8</w:t>
            </w:r>
          </w:p>
        </w:tc>
        <w:tc>
          <w:tcPr>
            <w:tcW w:w="530" w:type="pct"/>
            <w:noWrap/>
            <w:vAlign w:val="center"/>
          </w:tcPr>
          <w:p>
            <w:pPr>
              <w:pStyle w:val="3013"/>
              <w:rPr>
                <w:rFonts w:hint="eastAsia"/>
              </w:rPr>
            </w:pPr>
            <w:r>
              <w:rPr>
                <w:rFonts w:hint="eastAsia"/>
              </w:rPr>
              <w:t>6</w:t>
            </w:r>
          </w:p>
        </w:tc>
        <w:tc>
          <w:tcPr>
            <w:tcW w:w="529" w:type="pct"/>
            <w:noWrap/>
            <w:vAlign w:val="center"/>
          </w:tcPr>
          <w:p>
            <w:pPr>
              <w:pStyle w:val="3013"/>
              <w:rPr>
                <w:rFonts w:hint="eastAsia"/>
              </w:rPr>
            </w:pPr>
            <w:r>
              <w:rPr>
                <w:rFonts w:hint="eastAsia"/>
              </w:rPr>
              <w:t>5</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1021" w:type="pct"/>
            <w:vMerge w:val="continue"/>
            <w:noWrap w:val="0"/>
            <w:vAlign w:val="center"/>
          </w:tcPr>
          <w:p>
            <w:pPr>
              <w:pStyle w:val="3013"/>
              <w:rPr>
                <w:rFonts w:hint="eastAsia"/>
              </w:rPr>
            </w:pPr>
          </w:p>
        </w:tc>
        <w:tc>
          <w:tcPr>
            <w:tcW w:w="1330" w:type="pct"/>
            <w:noWrap/>
            <w:vAlign w:val="center"/>
          </w:tcPr>
          <w:p>
            <w:pPr>
              <w:pStyle w:val="3013"/>
              <w:rPr>
                <w:rFonts w:hint="eastAsia"/>
              </w:rPr>
            </w:pPr>
            <w:r>
              <w:rPr>
                <w:rFonts w:hint="eastAsia"/>
              </w:rPr>
              <w:t>镇紫河</w:t>
            </w:r>
          </w:p>
        </w:tc>
        <w:tc>
          <w:tcPr>
            <w:tcW w:w="530" w:type="pct"/>
            <w:noWrap/>
            <w:vAlign w:val="center"/>
          </w:tcPr>
          <w:p>
            <w:pPr>
              <w:pStyle w:val="3013"/>
              <w:rPr>
                <w:rFonts w:hint="eastAsia"/>
              </w:rPr>
            </w:pPr>
            <w:r>
              <w:rPr>
                <w:rFonts w:hint="eastAsia"/>
              </w:rPr>
              <w:t>68</w:t>
            </w:r>
          </w:p>
        </w:tc>
        <w:tc>
          <w:tcPr>
            <w:tcW w:w="530" w:type="pct"/>
            <w:noWrap/>
            <w:vAlign w:val="center"/>
          </w:tcPr>
          <w:p>
            <w:pPr>
              <w:pStyle w:val="3013"/>
              <w:rPr>
                <w:rFonts w:hint="eastAsia"/>
              </w:rPr>
            </w:pPr>
            <w:r>
              <w:rPr>
                <w:rFonts w:hint="eastAsia"/>
              </w:rPr>
              <w:t>59</w:t>
            </w:r>
          </w:p>
        </w:tc>
        <w:tc>
          <w:tcPr>
            <w:tcW w:w="530" w:type="pct"/>
            <w:noWrap/>
            <w:vAlign w:val="center"/>
          </w:tcPr>
          <w:p>
            <w:pPr>
              <w:pStyle w:val="3013"/>
              <w:rPr>
                <w:rFonts w:hint="eastAsia"/>
              </w:rPr>
            </w:pPr>
            <w:r>
              <w:rPr>
                <w:rFonts w:hint="eastAsia"/>
              </w:rPr>
              <w:t>53</w:t>
            </w:r>
          </w:p>
        </w:tc>
        <w:tc>
          <w:tcPr>
            <w:tcW w:w="530" w:type="pct"/>
            <w:noWrap/>
            <w:vAlign w:val="center"/>
          </w:tcPr>
          <w:p>
            <w:pPr>
              <w:pStyle w:val="3013"/>
              <w:rPr>
                <w:rFonts w:hint="eastAsia"/>
              </w:rPr>
            </w:pPr>
            <w:r>
              <w:rPr>
                <w:rFonts w:hint="eastAsia"/>
              </w:rPr>
              <w:t>43</w:t>
            </w:r>
          </w:p>
        </w:tc>
        <w:tc>
          <w:tcPr>
            <w:tcW w:w="529" w:type="pct"/>
            <w:noWrap/>
            <w:vAlign w:val="center"/>
          </w:tcPr>
          <w:p>
            <w:pPr>
              <w:pStyle w:val="3013"/>
              <w:rPr>
                <w:rFonts w:hint="eastAsia"/>
              </w:rPr>
            </w:pPr>
            <w:r>
              <w:rPr>
                <w:rFonts w:hint="eastAsia"/>
              </w:rPr>
              <w:t>32</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1021" w:type="pct"/>
            <w:vMerge w:val="continue"/>
            <w:noWrap w:val="0"/>
            <w:vAlign w:val="center"/>
          </w:tcPr>
          <w:p>
            <w:pPr>
              <w:pStyle w:val="3013"/>
              <w:rPr>
                <w:rFonts w:hint="eastAsia"/>
              </w:rPr>
            </w:pPr>
          </w:p>
        </w:tc>
        <w:tc>
          <w:tcPr>
            <w:tcW w:w="1330" w:type="pct"/>
            <w:noWrap/>
            <w:vAlign w:val="center"/>
          </w:tcPr>
          <w:p>
            <w:pPr>
              <w:pStyle w:val="3013"/>
              <w:rPr>
                <w:rFonts w:hint="eastAsia"/>
              </w:rPr>
            </w:pPr>
            <w:r>
              <w:rPr>
                <w:rFonts w:hint="eastAsia"/>
              </w:rPr>
              <w:t>扶欢河</w:t>
            </w:r>
          </w:p>
        </w:tc>
        <w:tc>
          <w:tcPr>
            <w:tcW w:w="530" w:type="pct"/>
            <w:noWrap/>
            <w:vAlign w:val="center"/>
          </w:tcPr>
          <w:p>
            <w:pPr>
              <w:pStyle w:val="3013"/>
              <w:rPr>
                <w:rFonts w:hint="eastAsia"/>
              </w:rPr>
            </w:pPr>
            <w:r>
              <w:rPr>
                <w:rFonts w:hint="eastAsia"/>
              </w:rPr>
              <w:t>145</w:t>
            </w:r>
          </w:p>
        </w:tc>
        <w:tc>
          <w:tcPr>
            <w:tcW w:w="530" w:type="pct"/>
            <w:noWrap/>
            <w:vAlign w:val="center"/>
          </w:tcPr>
          <w:p>
            <w:pPr>
              <w:pStyle w:val="3013"/>
              <w:rPr>
                <w:rFonts w:hint="eastAsia"/>
              </w:rPr>
            </w:pPr>
            <w:r>
              <w:rPr>
                <w:rFonts w:hint="eastAsia"/>
              </w:rPr>
              <w:t>129</w:t>
            </w:r>
          </w:p>
        </w:tc>
        <w:tc>
          <w:tcPr>
            <w:tcW w:w="530" w:type="pct"/>
            <w:noWrap/>
            <w:vAlign w:val="center"/>
          </w:tcPr>
          <w:p>
            <w:pPr>
              <w:pStyle w:val="3013"/>
              <w:rPr>
                <w:rFonts w:hint="eastAsia"/>
              </w:rPr>
            </w:pPr>
            <w:r>
              <w:rPr>
                <w:rFonts w:hint="eastAsia"/>
              </w:rPr>
              <w:t>115</w:t>
            </w:r>
          </w:p>
        </w:tc>
        <w:tc>
          <w:tcPr>
            <w:tcW w:w="530" w:type="pct"/>
            <w:noWrap/>
            <w:vAlign w:val="center"/>
          </w:tcPr>
          <w:p>
            <w:pPr>
              <w:pStyle w:val="3013"/>
              <w:rPr>
                <w:rFonts w:hint="eastAsia"/>
              </w:rPr>
            </w:pPr>
            <w:r>
              <w:rPr>
                <w:rFonts w:hint="eastAsia"/>
              </w:rPr>
              <w:t>92</w:t>
            </w:r>
          </w:p>
        </w:tc>
        <w:tc>
          <w:tcPr>
            <w:tcW w:w="529" w:type="pct"/>
            <w:noWrap/>
            <w:vAlign w:val="center"/>
          </w:tcPr>
          <w:p>
            <w:pPr>
              <w:pStyle w:val="3013"/>
              <w:rPr>
                <w:rFonts w:hint="eastAsia"/>
              </w:rPr>
            </w:pPr>
            <w:r>
              <w:rPr>
                <w:rFonts w:hint="eastAsia"/>
              </w:rPr>
              <w:t>69</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1021" w:type="pct"/>
            <w:vMerge w:val="continue"/>
            <w:noWrap w:val="0"/>
            <w:vAlign w:val="center"/>
          </w:tcPr>
          <w:p>
            <w:pPr>
              <w:pStyle w:val="3013"/>
              <w:rPr>
                <w:rFonts w:hint="eastAsia"/>
              </w:rPr>
            </w:pPr>
          </w:p>
        </w:tc>
        <w:tc>
          <w:tcPr>
            <w:tcW w:w="1330" w:type="pct"/>
            <w:noWrap/>
            <w:vAlign w:val="center"/>
          </w:tcPr>
          <w:p>
            <w:pPr>
              <w:pStyle w:val="3013"/>
              <w:rPr>
                <w:rFonts w:hint="eastAsia"/>
              </w:rPr>
            </w:pPr>
            <w:r>
              <w:rPr>
                <w:rFonts w:hint="eastAsia"/>
              </w:rPr>
              <w:t>郭扶河</w:t>
            </w:r>
          </w:p>
        </w:tc>
        <w:tc>
          <w:tcPr>
            <w:tcW w:w="530" w:type="pct"/>
            <w:noWrap/>
            <w:vAlign w:val="center"/>
          </w:tcPr>
          <w:p>
            <w:pPr>
              <w:pStyle w:val="3013"/>
              <w:rPr>
                <w:rFonts w:hint="eastAsia"/>
              </w:rPr>
            </w:pPr>
            <w:r>
              <w:rPr>
                <w:rFonts w:hint="eastAsia"/>
              </w:rPr>
              <w:t>124</w:t>
            </w:r>
          </w:p>
        </w:tc>
        <w:tc>
          <w:tcPr>
            <w:tcW w:w="530" w:type="pct"/>
            <w:noWrap/>
            <w:vAlign w:val="center"/>
          </w:tcPr>
          <w:p>
            <w:pPr>
              <w:pStyle w:val="3013"/>
              <w:rPr>
                <w:rFonts w:hint="eastAsia"/>
              </w:rPr>
            </w:pPr>
            <w:r>
              <w:rPr>
                <w:rFonts w:hint="eastAsia"/>
              </w:rPr>
              <w:t>109</w:t>
            </w:r>
          </w:p>
        </w:tc>
        <w:tc>
          <w:tcPr>
            <w:tcW w:w="530" w:type="pct"/>
            <w:noWrap/>
            <w:vAlign w:val="center"/>
          </w:tcPr>
          <w:p>
            <w:pPr>
              <w:pStyle w:val="3013"/>
              <w:rPr>
                <w:rFonts w:hint="eastAsia"/>
              </w:rPr>
            </w:pPr>
            <w:r>
              <w:rPr>
                <w:rFonts w:hint="eastAsia"/>
              </w:rPr>
              <w:t>97</w:t>
            </w:r>
          </w:p>
        </w:tc>
        <w:tc>
          <w:tcPr>
            <w:tcW w:w="530" w:type="pct"/>
            <w:noWrap/>
            <w:vAlign w:val="center"/>
          </w:tcPr>
          <w:p>
            <w:pPr>
              <w:pStyle w:val="3013"/>
              <w:rPr>
                <w:rFonts w:hint="eastAsia"/>
              </w:rPr>
            </w:pPr>
            <w:r>
              <w:rPr>
                <w:rFonts w:hint="eastAsia"/>
              </w:rPr>
              <w:t>78</w:t>
            </w:r>
          </w:p>
        </w:tc>
        <w:tc>
          <w:tcPr>
            <w:tcW w:w="529" w:type="pct"/>
            <w:noWrap/>
            <w:vAlign w:val="center"/>
          </w:tcPr>
          <w:p>
            <w:pPr>
              <w:pStyle w:val="3013"/>
              <w:rPr>
                <w:rFonts w:hint="eastAsia"/>
              </w:rPr>
            </w:pPr>
            <w:r>
              <w:rPr>
                <w:rFonts w:hint="eastAsia"/>
              </w:rPr>
              <w:t>59</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1021" w:type="pct"/>
            <w:vMerge w:val="continue"/>
            <w:noWrap w:val="0"/>
            <w:vAlign w:val="center"/>
          </w:tcPr>
          <w:p>
            <w:pPr>
              <w:pStyle w:val="3013"/>
              <w:rPr>
                <w:rFonts w:hint="eastAsia"/>
              </w:rPr>
            </w:pPr>
          </w:p>
        </w:tc>
        <w:tc>
          <w:tcPr>
            <w:tcW w:w="1330" w:type="pct"/>
            <w:noWrap/>
            <w:vAlign w:val="center"/>
          </w:tcPr>
          <w:p>
            <w:pPr>
              <w:pStyle w:val="3013"/>
              <w:rPr>
                <w:rFonts w:hint="eastAsia"/>
              </w:rPr>
            </w:pPr>
            <w:r>
              <w:rPr>
                <w:rFonts w:hint="eastAsia"/>
              </w:rPr>
              <w:t>蒲河</w:t>
            </w:r>
          </w:p>
        </w:tc>
        <w:tc>
          <w:tcPr>
            <w:tcW w:w="530" w:type="pct"/>
            <w:noWrap/>
            <w:vAlign w:val="center"/>
          </w:tcPr>
          <w:p>
            <w:pPr>
              <w:pStyle w:val="3013"/>
              <w:rPr>
                <w:rFonts w:hint="eastAsia"/>
              </w:rPr>
            </w:pPr>
            <w:r>
              <w:rPr>
                <w:rFonts w:hint="eastAsia"/>
              </w:rPr>
              <w:t>319</w:t>
            </w:r>
          </w:p>
        </w:tc>
        <w:tc>
          <w:tcPr>
            <w:tcW w:w="530" w:type="pct"/>
            <w:noWrap/>
            <w:vAlign w:val="center"/>
          </w:tcPr>
          <w:p>
            <w:pPr>
              <w:pStyle w:val="3013"/>
              <w:rPr>
                <w:rFonts w:hint="eastAsia"/>
              </w:rPr>
            </w:pPr>
            <w:r>
              <w:rPr>
                <w:rFonts w:hint="eastAsia"/>
              </w:rPr>
              <w:t>408</w:t>
            </w:r>
          </w:p>
        </w:tc>
        <w:tc>
          <w:tcPr>
            <w:tcW w:w="530" w:type="pct"/>
            <w:noWrap/>
            <w:vAlign w:val="center"/>
          </w:tcPr>
          <w:p>
            <w:pPr>
              <w:pStyle w:val="3013"/>
              <w:rPr>
                <w:rFonts w:hint="eastAsia"/>
              </w:rPr>
            </w:pPr>
            <w:r>
              <w:rPr>
                <w:rFonts w:hint="eastAsia"/>
              </w:rPr>
              <w:t>456</w:t>
            </w:r>
          </w:p>
        </w:tc>
        <w:tc>
          <w:tcPr>
            <w:tcW w:w="530" w:type="pct"/>
            <w:noWrap/>
            <w:vAlign w:val="center"/>
          </w:tcPr>
          <w:p>
            <w:pPr>
              <w:pStyle w:val="3013"/>
              <w:rPr>
                <w:rFonts w:hint="eastAsia"/>
              </w:rPr>
            </w:pPr>
            <w:r>
              <w:rPr>
                <w:rFonts w:hint="eastAsia"/>
              </w:rPr>
              <w:t>525</w:t>
            </w:r>
          </w:p>
        </w:tc>
        <w:tc>
          <w:tcPr>
            <w:tcW w:w="529" w:type="pct"/>
            <w:noWrap/>
            <w:vAlign w:val="center"/>
          </w:tcPr>
          <w:p>
            <w:pPr>
              <w:pStyle w:val="3013"/>
              <w:rPr>
                <w:rFonts w:hint="eastAsia"/>
              </w:rPr>
            </w:pPr>
            <w:r>
              <w:rPr>
                <w:rFonts w:hint="eastAsia"/>
              </w:rPr>
              <w:t>560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1021" w:type="pct"/>
            <w:vMerge w:val="continue"/>
            <w:noWrap w:val="0"/>
            <w:vAlign w:val="center"/>
          </w:tcPr>
          <w:p>
            <w:pPr>
              <w:pStyle w:val="3013"/>
              <w:rPr>
                <w:rFonts w:hint="eastAsia"/>
              </w:rPr>
            </w:pPr>
          </w:p>
        </w:tc>
        <w:tc>
          <w:tcPr>
            <w:tcW w:w="1330" w:type="pct"/>
            <w:noWrap/>
            <w:vAlign w:val="center"/>
          </w:tcPr>
          <w:p>
            <w:pPr>
              <w:pStyle w:val="3013"/>
              <w:rPr>
                <w:rFonts w:hint="eastAsia"/>
              </w:rPr>
            </w:pPr>
            <w:r>
              <w:rPr>
                <w:rFonts w:hint="eastAsia"/>
              </w:rPr>
              <w:t>蒲河</w:t>
            </w:r>
            <w:r>
              <w:rPr>
                <w:rFonts w:hint="eastAsia"/>
                <w:lang w:eastAsia="zh-CN"/>
              </w:rPr>
              <w:t>—</w:t>
            </w:r>
            <w:r>
              <w:rPr>
                <w:rFonts w:hint="eastAsia"/>
              </w:rPr>
              <w:t>通惠河口</w:t>
            </w:r>
          </w:p>
        </w:tc>
        <w:tc>
          <w:tcPr>
            <w:tcW w:w="530" w:type="pct"/>
            <w:noWrap/>
            <w:vAlign w:val="center"/>
          </w:tcPr>
          <w:p>
            <w:pPr>
              <w:pStyle w:val="3013"/>
              <w:rPr>
                <w:rFonts w:hint="eastAsia"/>
              </w:rPr>
            </w:pPr>
            <w:r>
              <w:rPr>
                <w:rFonts w:hint="eastAsia"/>
              </w:rPr>
              <w:t>62</w:t>
            </w:r>
          </w:p>
        </w:tc>
        <w:tc>
          <w:tcPr>
            <w:tcW w:w="530" w:type="pct"/>
            <w:noWrap/>
            <w:vAlign w:val="center"/>
          </w:tcPr>
          <w:p>
            <w:pPr>
              <w:pStyle w:val="3013"/>
              <w:rPr>
                <w:rFonts w:hint="eastAsia"/>
              </w:rPr>
            </w:pPr>
            <w:r>
              <w:rPr>
                <w:rFonts w:hint="eastAsia"/>
              </w:rPr>
              <w:t>63</w:t>
            </w:r>
          </w:p>
        </w:tc>
        <w:tc>
          <w:tcPr>
            <w:tcW w:w="530" w:type="pct"/>
            <w:noWrap/>
            <w:vAlign w:val="center"/>
          </w:tcPr>
          <w:p>
            <w:pPr>
              <w:pStyle w:val="3013"/>
              <w:rPr>
                <w:rFonts w:hint="eastAsia"/>
              </w:rPr>
            </w:pPr>
            <w:r>
              <w:rPr>
                <w:rFonts w:hint="eastAsia"/>
              </w:rPr>
              <w:t>62</w:t>
            </w:r>
          </w:p>
        </w:tc>
        <w:tc>
          <w:tcPr>
            <w:tcW w:w="530" w:type="pct"/>
            <w:noWrap/>
            <w:vAlign w:val="center"/>
          </w:tcPr>
          <w:p>
            <w:pPr>
              <w:pStyle w:val="3013"/>
              <w:rPr>
                <w:rFonts w:hint="eastAsia"/>
              </w:rPr>
            </w:pPr>
            <w:r>
              <w:rPr>
                <w:rFonts w:hint="eastAsia"/>
              </w:rPr>
              <w:t>60</w:t>
            </w:r>
          </w:p>
        </w:tc>
        <w:tc>
          <w:tcPr>
            <w:tcW w:w="529" w:type="pct"/>
            <w:noWrap/>
            <w:vAlign w:val="center"/>
          </w:tcPr>
          <w:p>
            <w:pPr>
              <w:pStyle w:val="3013"/>
              <w:rPr>
                <w:rFonts w:hint="eastAsia"/>
              </w:rPr>
            </w:pPr>
            <w:r>
              <w:rPr>
                <w:rFonts w:hint="eastAsia"/>
              </w:rPr>
              <w:t>55</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1021" w:type="pct"/>
            <w:vMerge w:val="continue"/>
            <w:noWrap w:val="0"/>
            <w:vAlign w:val="center"/>
          </w:tcPr>
          <w:p>
            <w:pPr>
              <w:pStyle w:val="3013"/>
              <w:rPr>
                <w:rFonts w:hint="eastAsia"/>
              </w:rPr>
            </w:pPr>
          </w:p>
        </w:tc>
        <w:tc>
          <w:tcPr>
            <w:tcW w:w="1330" w:type="pct"/>
            <w:noWrap/>
            <w:vAlign w:val="center"/>
          </w:tcPr>
          <w:p>
            <w:pPr>
              <w:pStyle w:val="3013"/>
              <w:rPr>
                <w:rFonts w:hint="eastAsia"/>
              </w:rPr>
            </w:pPr>
            <w:r>
              <w:rPr>
                <w:rFonts w:hint="eastAsia"/>
              </w:rPr>
              <w:t>通惠河</w:t>
            </w:r>
          </w:p>
        </w:tc>
        <w:tc>
          <w:tcPr>
            <w:tcW w:w="530" w:type="pct"/>
            <w:noWrap/>
            <w:vAlign w:val="center"/>
          </w:tcPr>
          <w:p>
            <w:pPr>
              <w:pStyle w:val="3013"/>
              <w:rPr>
                <w:rFonts w:hint="eastAsia"/>
              </w:rPr>
            </w:pPr>
            <w:r>
              <w:rPr>
                <w:rFonts w:hint="eastAsia"/>
              </w:rPr>
              <w:t>59</w:t>
            </w:r>
          </w:p>
        </w:tc>
        <w:tc>
          <w:tcPr>
            <w:tcW w:w="530" w:type="pct"/>
            <w:noWrap/>
            <w:vAlign w:val="center"/>
          </w:tcPr>
          <w:p>
            <w:pPr>
              <w:pStyle w:val="3013"/>
              <w:rPr>
                <w:rFonts w:hint="eastAsia"/>
              </w:rPr>
            </w:pPr>
            <w:r>
              <w:rPr>
                <w:rFonts w:hint="eastAsia"/>
              </w:rPr>
              <w:t>59</w:t>
            </w:r>
          </w:p>
        </w:tc>
        <w:tc>
          <w:tcPr>
            <w:tcW w:w="530" w:type="pct"/>
            <w:noWrap/>
            <w:vAlign w:val="center"/>
          </w:tcPr>
          <w:p>
            <w:pPr>
              <w:pStyle w:val="3013"/>
              <w:rPr>
                <w:rFonts w:hint="eastAsia"/>
              </w:rPr>
            </w:pPr>
            <w:r>
              <w:rPr>
                <w:rFonts w:hint="eastAsia"/>
              </w:rPr>
              <w:t>59</w:t>
            </w:r>
          </w:p>
        </w:tc>
        <w:tc>
          <w:tcPr>
            <w:tcW w:w="530" w:type="pct"/>
            <w:noWrap/>
            <w:vAlign w:val="center"/>
          </w:tcPr>
          <w:p>
            <w:pPr>
              <w:pStyle w:val="3013"/>
              <w:rPr>
                <w:rFonts w:hint="eastAsia"/>
              </w:rPr>
            </w:pPr>
            <w:r>
              <w:rPr>
                <w:rFonts w:hint="eastAsia"/>
              </w:rPr>
              <w:t>57</w:t>
            </w:r>
          </w:p>
        </w:tc>
        <w:tc>
          <w:tcPr>
            <w:tcW w:w="529" w:type="pct"/>
            <w:noWrap/>
            <w:vAlign w:val="center"/>
          </w:tcPr>
          <w:p>
            <w:pPr>
              <w:pStyle w:val="3013"/>
              <w:rPr>
                <w:rFonts w:hint="eastAsia"/>
              </w:rPr>
            </w:pPr>
            <w:r>
              <w:rPr>
                <w:rFonts w:hint="eastAsia"/>
              </w:rPr>
              <w:t>52</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1021" w:type="pct"/>
            <w:vMerge w:val="continue"/>
            <w:noWrap w:val="0"/>
            <w:vAlign w:val="center"/>
          </w:tcPr>
          <w:p>
            <w:pPr>
              <w:pStyle w:val="3013"/>
              <w:rPr>
                <w:rFonts w:hint="eastAsia"/>
              </w:rPr>
            </w:pPr>
          </w:p>
        </w:tc>
        <w:tc>
          <w:tcPr>
            <w:tcW w:w="1330" w:type="pct"/>
            <w:noWrap/>
            <w:vAlign w:val="center"/>
          </w:tcPr>
          <w:p>
            <w:pPr>
              <w:pStyle w:val="3013"/>
              <w:rPr>
                <w:rFonts w:hint="eastAsia"/>
              </w:rPr>
            </w:pPr>
            <w:r>
              <w:rPr>
                <w:rFonts w:hint="eastAsia"/>
              </w:rPr>
              <w:t>沙溪河</w:t>
            </w:r>
          </w:p>
        </w:tc>
        <w:tc>
          <w:tcPr>
            <w:tcW w:w="530" w:type="pct"/>
            <w:noWrap/>
            <w:vAlign w:val="center"/>
          </w:tcPr>
          <w:p>
            <w:pPr>
              <w:pStyle w:val="3013"/>
              <w:rPr>
                <w:rFonts w:hint="eastAsia"/>
              </w:rPr>
            </w:pPr>
            <w:r>
              <w:rPr>
                <w:rFonts w:hint="eastAsia"/>
              </w:rPr>
              <w:t>2</w:t>
            </w:r>
          </w:p>
        </w:tc>
        <w:tc>
          <w:tcPr>
            <w:tcW w:w="530" w:type="pct"/>
            <w:noWrap/>
            <w:vAlign w:val="center"/>
          </w:tcPr>
          <w:p>
            <w:pPr>
              <w:pStyle w:val="3013"/>
              <w:rPr>
                <w:rFonts w:hint="eastAsia"/>
              </w:rPr>
            </w:pPr>
            <w:r>
              <w:rPr>
                <w:rFonts w:hint="eastAsia"/>
              </w:rPr>
              <w:t>2</w:t>
            </w:r>
          </w:p>
        </w:tc>
        <w:tc>
          <w:tcPr>
            <w:tcW w:w="530" w:type="pct"/>
            <w:noWrap/>
            <w:vAlign w:val="center"/>
          </w:tcPr>
          <w:p>
            <w:pPr>
              <w:pStyle w:val="3013"/>
              <w:rPr>
                <w:rFonts w:hint="eastAsia"/>
              </w:rPr>
            </w:pPr>
            <w:r>
              <w:rPr>
                <w:rFonts w:hint="eastAsia"/>
              </w:rPr>
              <w:t>1</w:t>
            </w:r>
          </w:p>
        </w:tc>
        <w:tc>
          <w:tcPr>
            <w:tcW w:w="530" w:type="pct"/>
            <w:noWrap/>
            <w:vAlign w:val="center"/>
          </w:tcPr>
          <w:p>
            <w:pPr>
              <w:pStyle w:val="3013"/>
              <w:rPr>
                <w:rFonts w:hint="eastAsia"/>
              </w:rPr>
            </w:pPr>
            <w:r>
              <w:rPr>
                <w:rFonts w:hint="eastAsia"/>
              </w:rPr>
              <w:t>1</w:t>
            </w:r>
          </w:p>
        </w:tc>
        <w:tc>
          <w:tcPr>
            <w:tcW w:w="529" w:type="pct"/>
            <w:noWrap/>
            <w:vAlign w:val="center"/>
          </w:tcPr>
          <w:p>
            <w:pPr>
              <w:pStyle w:val="3013"/>
              <w:rPr>
                <w:rFonts w:hint="eastAsia"/>
              </w:rPr>
            </w:pPr>
            <w:r>
              <w:rPr>
                <w:rFonts w:hint="eastAsia"/>
              </w:rPr>
              <w:t>2</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1021" w:type="pct"/>
            <w:vMerge w:val="continue"/>
            <w:noWrap w:val="0"/>
            <w:vAlign w:val="center"/>
          </w:tcPr>
          <w:p>
            <w:pPr>
              <w:pStyle w:val="3013"/>
              <w:rPr>
                <w:rFonts w:hint="eastAsia"/>
              </w:rPr>
            </w:pPr>
          </w:p>
        </w:tc>
        <w:tc>
          <w:tcPr>
            <w:tcW w:w="1330" w:type="pct"/>
            <w:noWrap/>
            <w:vAlign w:val="center"/>
          </w:tcPr>
          <w:p>
            <w:pPr>
              <w:pStyle w:val="3013"/>
              <w:rPr>
                <w:rFonts w:hint="eastAsia"/>
              </w:rPr>
            </w:pPr>
            <w:r>
              <w:rPr>
                <w:rFonts w:hint="eastAsia"/>
              </w:rPr>
              <w:t>沙溪河口</w:t>
            </w:r>
            <w:r>
              <w:rPr>
                <w:rFonts w:hint="eastAsia"/>
                <w:lang w:eastAsia="zh-CN"/>
              </w:rPr>
              <w:t>—</w:t>
            </w:r>
            <w:r>
              <w:rPr>
                <w:rFonts w:hint="eastAsia"/>
              </w:rPr>
              <w:t>城北大桥</w:t>
            </w:r>
          </w:p>
        </w:tc>
        <w:tc>
          <w:tcPr>
            <w:tcW w:w="530" w:type="pct"/>
            <w:noWrap/>
            <w:vAlign w:val="center"/>
          </w:tcPr>
          <w:p>
            <w:pPr>
              <w:pStyle w:val="3013"/>
              <w:rPr>
                <w:rFonts w:hint="eastAsia"/>
              </w:rPr>
            </w:pPr>
            <w:r>
              <w:rPr>
                <w:rFonts w:hint="eastAsia"/>
              </w:rPr>
              <w:t>21</w:t>
            </w:r>
          </w:p>
        </w:tc>
        <w:tc>
          <w:tcPr>
            <w:tcW w:w="530" w:type="pct"/>
            <w:noWrap/>
            <w:vAlign w:val="center"/>
          </w:tcPr>
          <w:p>
            <w:pPr>
              <w:pStyle w:val="3013"/>
              <w:rPr>
                <w:rFonts w:hint="eastAsia"/>
              </w:rPr>
            </w:pPr>
            <w:r>
              <w:rPr>
                <w:rFonts w:hint="eastAsia"/>
              </w:rPr>
              <w:t>22</w:t>
            </w:r>
          </w:p>
        </w:tc>
        <w:tc>
          <w:tcPr>
            <w:tcW w:w="530" w:type="pct"/>
            <w:noWrap/>
            <w:vAlign w:val="center"/>
          </w:tcPr>
          <w:p>
            <w:pPr>
              <w:pStyle w:val="3013"/>
              <w:rPr>
                <w:rFonts w:hint="eastAsia"/>
              </w:rPr>
            </w:pPr>
            <w:r>
              <w:rPr>
                <w:rFonts w:hint="eastAsia"/>
              </w:rPr>
              <w:t>19</w:t>
            </w:r>
          </w:p>
        </w:tc>
        <w:tc>
          <w:tcPr>
            <w:tcW w:w="530" w:type="pct"/>
            <w:noWrap/>
            <w:vAlign w:val="center"/>
          </w:tcPr>
          <w:p>
            <w:pPr>
              <w:pStyle w:val="3013"/>
              <w:rPr>
                <w:rFonts w:hint="eastAsia"/>
              </w:rPr>
            </w:pPr>
            <w:r>
              <w:rPr>
                <w:rFonts w:hint="eastAsia"/>
              </w:rPr>
              <w:t>18</w:t>
            </w:r>
          </w:p>
        </w:tc>
        <w:tc>
          <w:tcPr>
            <w:tcW w:w="529" w:type="pct"/>
            <w:noWrap/>
            <w:vAlign w:val="center"/>
          </w:tcPr>
          <w:p>
            <w:pPr>
              <w:pStyle w:val="3013"/>
              <w:rPr>
                <w:rFonts w:hint="eastAsia"/>
              </w:rPr>
            </w:pPr>
            <w:r>
              <w:rPr>
                <w:rFonts w:hint="eastAsia"/>
              </w:rPr>
              <w:t>16</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1021" w:type="pct"/>
            <w:vMerge w:val="continue"/>
            <w:noWrap w:val="0"/>
            <w:vAlign w:val="center"/>
          </w:tcPr>
          <w:p>
            <w:pPr>
              <w:pStyle w:val="3013"/>
              <w:rPr>
                <w:rFonts w:hint="eastAsia"/>
              </w:rPr>
            </w:pPr>
          </w:p>
        </w:tc>
        <w:tc>
          <w:tcPr>
            <w:tcW w:w="1330" w:type="pct"/>
            <w:noWrap/>
            <w:vAlign w:val="center"/>
          </w:tcPr>
          <w:p>
            <w:pPr>
              <w:pStyle w:val="3013"/>
              <w:rPr>
                <w:rFonts w:hint="eastAsia"/>
              </w:rPr>
            </w:pPr>
            <w:r>
              <w:rPr>
                <w:rFonts w:hint="eastAsia"/>
              </w:rPr>
              <w:t>城北大桥</w:t>
            </w:r>
            <w:r>
              <w:rPr>
                <w:rFonts w:hint="eastAsia"/>
                <w:lang w:eastAsia="zh-CN"/>
              </w:rPr>
              <w:t>—</w:t>
            </w:r>
            <w:r>
              <w:rPr>
                <w:rFonts w:hint="eastAsia"/>
              </w:rPr>
              <w:t>清溪河口</w:t>
            </w:r>
          </w:p>
        </w:tc>
        <w:tc>
          <w:tcPr>
            <w:tcW w:w="530" w:type="pct"/>
            <w:noWrap/>
            <w:vAlign w:val="center"/>
          </w:tcPr>
          <w:p>
            <w:pPr>
              <w:pStyle w:val="3013"/>
              <w:rPr>
                <w:rFonts w:hint="eastAsia"/>
              </w:rPr>
            </w:pPr>
            <w:r>
              <w:rPr>
                <w:rFonts w:hint="eastAsia"/>
              </w:rPr>
              <w:t>10</w:t>
            </w:r>
          </w:p>
        </w:tc>
        <w:tc>
          <w:tcPr>
            <w:tcW w:w="530" w:type="pct"/>
            <w:noWrap/>
            <w:vAlign w:val="center"/>
          </w:tcPr>
          <w:p>
            <w:pPr>
              <w:pStyle w:val="3013"/>
              <w:rPr>
                <w:rFonts w:hint="eastAsia"/>
              </w:rPr>
            </w:pPr>
            <w:r>
              <w:rPr>
                <w:rFonts w:hint="eastAsia"/>
              </w:rPr>
              <w:t>10</w:t>
            </w:r>
          </w:p>
        </w:tc>
        <w:tc>
          <w:tcPr>
            <w:tcW w:w="530" w:type="pct"/>
            <w:noWrap/>
            <w:vAlign w:val="center"/>
          </w:tcPr>
          <w:p>
            <w:pPr>
              <w:pStyle w:val="3013"/>
              <w:rPr>
                <w:rFonts w:hint="eastAsia"/>
              </w:rPr>
            </w:pPr>
            <w:r>
              <w:rPr>
                <w:rFonts w:hint="eastAsia"/>
              </w:rPr>
              <w:t>10</w:t>
            </w:r>
          </w:p>
        </w:tc>
        <w:tc>
          <w:tcPr>
            <w:tcW w:w="530" w:type="pct"/>
            <w:noWrap/>
            <w:vAlign w:val="center"/>
          </w:tcPr>
          <w:p>
            <w:pPr>
              <w:pStyle w:val="3013"/>
              <w:rPr>
                <w:rFonts w:hint="eastAsia"/>
              </w:rPr>
            </w:pPr>
            <w:r>
              <w:rPr>
                <w:rFonts w:hint="eastAsia"/>
              </w:rPr>
              <w:t>10</w:t>
            </w:r>
          </w:p>
        </w:tc>
        <w:tc>
          <w:tcPr>
            <w:tcW w:w="529" w:type="pct"/>
            <w:noWrap/>
            <w:vAlign w:val="center"/>
          </w:tcPr>
          <w:p>
            <w:pPr>
              <w:pStyle w:val="3013"/>
              <w:rPr>
                <w:rFonts w:hint="eastAsia"/>
              </w:rPr>
            </w:pPr>
            <w:r>
              <w:rPr>
                <w:rFonts w:hint="eastAsia"/>
              </w:rPr>
              <w:t>10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1021" w:type="pct"/>
            <w:vMerge w:val="continue"/>
            <w:noWrap w:val="0"/>
            <w:vAlign w:val="center"/>
          </w:tcPr>
          <w:p>
            <w:pPr>
              <w:pStyle w:val="3013"/>
              <w:rPr>
                <w:rFonts w:hint="eastAsia"/>
              </w:rPr>
            </w:pPr>
          </w:p>
        </w:tc>
        <w:tc>
          <w:tcPr>
            <w:tcW w:w="1330" w:type="pct"/>
            <w:noWrap/>
            <w:vAlign w:val="center"/>
          </w:tcPr>
          <w:p>
            <w:pPr>
              <w:pStyle w:val="3013"/>
              <w:rPr>
                <w:rFonts w:hint="eastAsia"/>
              </w:rPr>
            </w:pPr>
            <w:r>
              <w:rPr>
                <w:rFonts w:hint="eastAsia"/>
              </w:rPr>
              <w:t>清溪河</w:t>
            </w:r>
          </w:p>
        </w:tc>
        <w:tc>
          <w:tcPr>
            <w:tcW w:w="530" w:type="pct"/>
            <w:noWrap/>
            <w:vAlign w:val="center"/>
          </w:tcPr>
          <w:p>
            <w:pPr>
              <w:pStyle w:val="3013"/>
              <w:rPr>
                <w:rFonts w:hint="eastAsia"/>
              </w:rPr>
            </w:pPr>
            <w:r>
              <w:rPr>
                <w:rFonts w:hint="eastAsia"/>
              </w:rPr>
              <w:t>153</w:t>
            </w:r>
          </w:p>
        </w:tc>
        <w:tc>
          <w:tcPr>
            <w:tcW w:w="530" w:type="pct"/>
            <w:noWrap/>
            <w:vAlign w:val="center"/>
          </w:tcPr>
          <w:p>
            <w:pPr>
              <w:pStyle w:val="3013"/>
              <w:rPr>
                <w:rFonts w:hint="eastAsia"/>
              </w:rPr>
            </w:pPr>
            <w:r>
              <w:rPr>
                <w:rFonts w:hint="eastAsia"/>
              </w:rPr>
              <w:t>152</w:t>
            </w:r>
          </w:p>
        </w:tc>
        <w:tc>
          <w:tcPr>
            <w:tcW w:w="530" w:type="pct"/>
            <w:noWrap/>
            <w:vAlign w:val="center"/>
          </w:tcPr>
          <w:p>
            <w:pPr>
              <w:pStyle w:val="3013"/>
              <w:rPr>
                <w:rFonts w:hint="eastAsia"/>
              </w:rPr>
            </w:pPr>
            <w:r>
              <w:rPr>
                <w:rFonts w:hint="eastAsia"/>
              </w:rPr>
              <w:t>154</w:t>
            </w:r>
          </w:p>
        </w:tc>
        <w:tc>
          <w:tcPr>
            <w:tcW w:w="530" w:type="pct"/>
            <w:noWrap/>
            <w:vAlign w:val="center"/>
          </w:tcPr>
          <w:p>
            <w:pPr>
              <w:pStyle w:val="3013"/>
              <w:rPr>
                <w:rFonts w:hint="eastAsia"/>
              </w:rPr>
            </w:pPr>
            <w:r>
              <w:rPr>
                <w:rFonts w:hint="eastAsia"/>
              </w:rPr>
              <w:t>150</w:t>
            </w:r>
          </w:p>
        </w:tc>
        <w:tc>
          <w:tcPr>
            <w:tcW w:w="529" w:type="pct"/>
            <w:noWrap/>
            <w:vAlign w:val="center"/>
          </w:tcPr>
          <w:p>
            <w:pPr>
              <w:pStyle w:val="3013"/>
              <w:rPr>
                <w:rFonts w:hint="eastAsia"/>
              </w:rPr>
            </w:pPr>
            <w:r>
              <w:rPr>
                <w:rFonts w:hint="eastAsia"/>
              </w:rPr>
              <w:t>140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1021" w:type="pct"/>
            <w:vMerge w:val="continue"/>
            <w:noWrap w:val="0"/>
            <w:vAlign w:val="center"/>
          </w:tcPr>
          <w:p>
            <w:pPr>
              <w:pStyle w:val="3013"/>
              <w:rPr>
                <w:rFonts w:hint="eastAsia"/>
              </w:rPr>
            </w:pPr>
          </w:p>
        </w:tc>
        <w:tc>
          <w:tcPr>
            <w:tcW w:w="1330" w:type="pct"/>
            <w:noWrap/>
            <w:vAlign w:val="center"/>
          </w:tcPr>
          <w:p>
            <w:pPr>
              <w:pStyle w:val="3013"/>
              <w:rPr>
                <w:rFonts w:hint="eastAsia"/>
              </w:rPr>
            </w:pPr>
            <w:r>
              <w:rPr>
                <w:rFonts w:hint="eastAsia"/>
              </w:rPr>
              <w:t>清溪河口</w:t>
            </w:r>
            <w:r>
              <w:rPr>
                <w:rFonts w:hint="eastAsia"/>
                <w:lang w:eastAsia="zh-CN"/>
              </w:rPr>
              <w:t>—</w:t>
            </w:r>
            <w:r>
              <w:rPr>
                <w:rFonts w:hint="eastAsia"/>
              </w:rPr>
              <w:t>五岔水文站</w:t>
            </w:r>
          </w:p>
        </w:tc>
        <w:tc>
          <w:tcPr>
            <w:tcW w:w="530" w:type="pct"/>
            <w:noWrap/>
            <w:vAlign w:val="center"/>
          </w:tcPr>
          <w:p>
            <w:pPr>
              <w:pStyle w:val="3013"/>
              <w:rPr>
                <w:rFonts w:hint="eastAsia"/>
              </w:rPr>
            </w:pPr>
            <w:r>
              <w:rPr>
                <w:rFonts w:hint="eastAsia"/>
              </w:rPr>
              <w:t>97</w:t>
            </w:r>
          </w:p>
        </w:tc>
        <w:tc>
          <w:tcPr>
            <w:tcW w:w="530" w:type="pct"/>
            <w:noWrap/>
            <w:vAlign w:val="center"/>
          </w:tcPr>
          <w:p>
            <w:pPr>
              <w:pStyle w:val="3013"/>
              <w:rPr>
                <w:rFonts w:hint="eastAsia"/>
              </w:rPr>
            </w:pPr>
            <w:r>
              <w:rPr>
                <w:rFonts w:hint="eastAsia"/>
              </w:rPr>
              <w:t>98</w:t>
            </w:r>
          </w:p>
        </w:tc>
        <w:tc>
          <w:tcPr>
            <w:tcW w:w="530" w:type="pct"/>
            <w:noWrap/>
            <w:vAlign w:val="center"/>
          </w:tcPr>
          <w:p>
            <w:pPr>
              <w:pStyle w:val="3013"/>
              <w:rPr>
                <w:rFonts w:hint="eastAsia"/>
              </w:rPr>
            </w:pPr>
            <w:r>
              <w:rPr>
                <w:rFonts w:hint="eastAsia"/>
              </w:rPr>
              <w:t>96</w:t>
            </w:r>
          </w:p>
        </w:tc>
        <w:tc>
          <w:tcPr>
            <w:tcW w:w="530" w:type="pct"/>
            <w:noWrap/>
            <w:vAlign w:val="center"/>
          </w:tcPr>
          <w:p>
            <w:pPr>
              <w:pStyle w:val="3013"/>
              <w:rPr>
                <w:rFonts w:hint="eastAsia"/>
              </w:rPr>
            </w:pPr>
            <w:r>
              <w:rPr>
                <w:rFonts w:hint="eastAsia"/>
              </w:rPr>
              <w:t>90</w:t>
            </w:r>
          </w:p>
        </w:tc>
        <w:tc>
          <w:tcPr>
            <w:tcW w:w="529" w:type="pct"/>
            <w:noWrap/>
            <w:vAlign w:val="center"/>
          </w:tcPr>
          <w:p>
            <w:pPr>
              <w:pStyle w:val="3013"/>
              <w:rPr>
                <w:rFonts w:hint="eastAsia"/>
              </w:rPr>
            </w:pPr>
            <w:r>
              <w:rPr>
                <w:rFonts w:hint="eastAsia"/>
              </w:rPr>
              <w:t>80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1021" w:type="pct"/>
            <w:noWrap w:val="0"/>
            <w:vAlign w:val="center"/>
          </w:tcPr>
          <w:p>
            <w:pPr>
              <w:pStyle w:val="3013"/>
              <w:rPr>
                <w:rFonts w:hint="eastAsia"/>
              </w:rPr>
            </w:pPr>
            <w:r>
              <w:rPr>
                <w:rFonts w:hint="eastAsia"/>
              </w:rPr>
              <w:t>下边界条件</w:t>
            </w:r>
          </w:p>
        </w:tc>
        <w:tc>
          <w:tcPr>
            <w:tcW w:w="1330" w:type="pct"/>
            <w:noWrap/>
            <w:vAlign w:val="center"/>
          </w:tcPr>
          <w:p>
            <w:pPr>
              <w:pStyle w:val="3013"/>
              <w:rPr>
                <w:rFonts w:hint="eastAsia"/>
              </w:rPr>
            </w:pPr>
            <w:r>
              <w:rPr>
                <w:rFonts w:hint="eastAsia"/>
              </w:rPr>
              <w:t>五岔水文站</w:t>
            </w:r>
          </w:p>
        </w:tc>
        <w:tc>
          <w:tcPr>
            <w:tcW w:w="2648" w:type="pct"/>
            <w:gridSpan w:val="5"/>
            <w:noWrap/>
            <w:vAlign w:val="center"/>
          </w:tcPr>
          <w:p>
            <w:pPr>
              <w:pStyle w:val="3013"/>
              <w:rPr>
                <w:rFonts w:hint="eastAsia"/>
              </w:rPr>
            </w:pPr>
            <w:r>
              <w:rPr>
                <w:rFonts w:hint="eastAsia"/>
              </w:rPr>
              <w:t>五岔水文站的水位流量关系</w:t>
            </w:r>
          </w:p>
        </w:tc>
      </w:tr>
    </w:tbl>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lang w:val="en-US" w:eastAsia="zh-CN"/>
        </w:rPr>
        <w:t>2.1.3</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rPr>
        <w:t>下边界条件</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rPr>
        <w:t>下边界条件为五岔水文站的水位流量关系，见表4.5</w:t>
      </w:r>
      <w:r>
        <w:rPr>
          <w:rFonts w:hint="eastAsia" w:ascii="Times New Roman" w:eastAsia="方正仿宋_GBK" w:cs="Times New Roman"/>
          <w:sz w:val="32"/>
          <w:szCs w:val="32"/>
          <w:lang w:eastAsia="zh-CN"/>
        </w:rPr>
        <w:t>—</w:t>
      </w:r>
      <w:r>
        <w:rPr>
          <w:rFonts w:hint="eastAsia" w:ascii="Times New Roman" w:hAnsi="Times New Roman" w:eastAsia="方正仿宋_GBK" w:cs="Times New Roman"/>
          <w:sz w:val="32"/>
          <w:szCs w:val="32"/>
        </w:rPr>
        <w:t>4。</w:t>
      </w:r>
    </w:p>
    <w:p>
      <w:pPr>
        <w:pStyle w:val="2312"/>
        <w:ind w:firstLine="240"/>
        <w:jc w:val="center"/>
        <w:rPr>
          <w:rFonts w:hint="default" w:ascii="Times New Roman" w:hAnsi="Times New Roman" w:cs="Times New Roman"/>
        </w:rPr>
      </w:pPr>
      <w:r>
        <w:rPr>
          <w:rFonts w:hint="default" w:ascii="Times New Roman" w:hAnsi="Times New Roman" w:cs="Times New Roman"/>
        </w:rPr>
        <w:t>表4.5</w:t>
      </w:r>
      <w:r>
        <w:rPr>
          <w:rFonts w:hint="default" w:ascii="Times New Roman" w:hAnsi="Times New Roman" w:cs="Times New Roman"/>
          <w:lang w:eastAsia="zh-CN"/>
        </w:rPr>
        <w:t>—</w:t>
      </w:r>
      <w:r>
        <w:rPr>
          <w:rFonts w:hint="default" w:ascii="Times New Roman" w:hAnsi="Times New Roman" w:cs="Times New Roman"/>
        </w:rPr>
        <w:t>4              五岔水文站的水位流量关系表</w:t>
      </w:r>
    </w:p>
    <w:tbl>
      <w:tblPr>
        <w:tblStyle w:val="88"/>
        <w:tblW w:w="5000"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108" w:type="dxa"/>
          <w:bottom w:w="0" w:type="dxa"/>
          <w:right w:w="108" w:type="dxa"/>
        </w:tblCellMar>
      </w:tblPr>
      <w:tblGrid>
        <w:gridCol w:w="2086"/>
        <w:gridCol w:w="2559"/>
        <w:gridCol w:w="2083"/>
        <w:gridCol w:w="2559"/>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1123" w:type="pct"/>
            <w:noWrap w:val="0"/>
            <w:vAlign w:val="center"/>
          </w:tcPr>
          <w:p>
            <w:pPr>
              <w:pStyle w:val="3013"/>
              <w:rPr>
                <w:rFonts w:hint="eastAsia" w:cs="宋体"/>
                <w:snapToGrid w:val="0"/>
              </w:rPr>
            </w:pPr>
            <w:r>
              <w:rPr>
                <w:rFonts w:hint="eastAsia"/>
                <w:snapToGrid w:val="0"/>
              </w:rPr>
              <w:t>水位（m）</w:t>
            </w:r>
          </w:p>
        </w:tc>
        <w:tc>
          <w:tcPr>
            <w:tcW w:w="1377" w:type="pct"/>
            <w:noWrap w:val="0"/>
            <w:vAlign w:val="center"/>
          </w:tcPr>
          <w:p>
            <w:pPr>
              <w:pStyle w:val="3013"/>
              <w:rPr>
                <w:rFonts w:hint="eastAsia" w:cs="宋体"/>
                <w:snapToGrid w:val="0"/>
              </w:rPr>
            </w:pPr>
            <w:r>
              <w:rPr>
                <w:rFonts w:hint="eastAsia"/>
                <w:snapToGrid w:val="0"/>
              </w:rPr>
              <w:t>流量（m</w:t>
            </w:r>
            <w:r>
              <w:rPr>
                <w:rFonts w:hint="eastAsia"/>
                <w:snapToGrid w:val="0"/>
                <w:vertAlign w:val="superscript"/>
              </w:rPr>
              <w:t>3</w:t>
            </w:r>
            <w:r>
              <w:rPr>
                <w:rFonts w:hint="eastAsia"/>
                <w:snapToGrid w:val="0"/>
              </w:rPr>
              <w:t>/s）</w:t>
            </w:r>
          </w:p>
        </w:tc>
        <w:tc>
          <w:tcPr>
            <w:tcW w:w="1121" w:type="pct"/>
            <w:noWrap w:val="0"/>
            <w:vAlign w:val="center"/>
          </w:tcPr>
          <w:p>
            <w:pPr>
              <w:pStyle w:val="3013"/>
              <w:rPr>
                <w:rFonts w:hint="eastAsia" w:cs="宋体"/>
                <w:snapToGrid w:val="0"/>
              </w:rPr>
            </w:pPr>
            <w:r>
              <w:rPr>
                <w:rFonts w:hint="eastAsia"/>
                <w:snapToGrid w:val="0"/>
              </w:rPr>
              <w:t>水位（m）</w:t>
            </w:r>
          </w:p>
        </w:tc>
        <w:tc>
          <w:tcPr>
            <w:tcW w:w="1377" w:type="pct"/>
            <w:noWrap w:val="0"/>
            <w:vAlign w:val="center"/>
          </w:tcPr>
          <w:p>
            <w:pPr>
              <w:pStyle w:val="3013"/>
              <w:rPr>
                <w:rFonts w:hint="eastAsia" w:cs="宋体"/>
                <w:snapToGrid w:val="0"/>
              </w:rPr>
            </w:pPr>
            <w:r>
              <w:rPr>
                <w:rFonts w:hint="eastAsia"/>
                <w:snapToGrid w:val="0"/>
              </w:rPr>
              <w:t>流量（m</w:t>
            </w:r>
            <w:r>
              <w:rPr>
                <w:rFonts w:hint="eastAsia"/>
                <w:snapToGrid w:val="0"/>
                <w:vertAlign w:val="superscript"/>
              </w:rPr>
              <w:t>3</w:t>
            </w:r>
            <w:r>
              <w:rPr>
                <w:rFonts w:hint="eastAsia"/>
                <w:snapToGrid w:val="0"/>
              </w:rPr>
              <w:t>/s）</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1123" w:type="pct"/>
            <w:noWrap w:val="0"/>
            <w:vAlign w:val="center"/>
          </w:tcPr>
          <w:p>
            <w:pPr>
              <w:pStyle w:val="3013"/>
              <w:rPr>
                <w:rFonts w:hint="eastAsia"/>
                <w:snapToGrid w:val="0"/>
              </w:rPr>
            </w:pPr>
            <w:r>
              <w:rPr>
                <w:rFonts w:hint="eastAsia"/>
                <w:snapToGrid w:val="0"/>
              </w:rPr>
              <w:t>192.47</w:t>
            </w:r>
          </w:p>
        </w:tc>
        <w:tc>
          <w:tcPr>
            <w:tcW w:w="1377" w:type="pct"/>
            <w:noWrap w:val="0"/>
            <w:vAlign w:val="center"/>
          </w:tcPr>
          <w:p>
            <w:pPr>
              <w:pStyle w:val="3013"/>
              <w:rPr>
                <w:rFonts w:hint="eastAsia"/>
                <w:snapToGrid w:val="0"/>
              </w:rPr>
            </w:pPr>
            <w:r>
              <w:rPr>
                <w:rFonts w:hint="eastAsia"/>
                <w:snapToGrid w:val="0"/>
              </w:rPr>
              <w:t>0</w:t>
            </w:r>
          </w:p>
        </w:tc>
        <w:tc>
          <w:tcPr>
            <w:tcW w:w="1121" w:type="pct"/>
            <w:noWrap w:val="0"/>
            <w:vAlign w:val="center"/>
          </w:tcPr>
          <w:p>
            <w:pPr>
              <w:pStyle w:val="3013"/>
              <w:rPr>
                <w:rFonts w:hint="eastAsia"/>
                <w:snapToGrid w:val="0"/>
              </w:rPr>
            </w:pPr>
            <w:r>
              <w:rPr>
                <w:rFonts w:hint="eastAsia"/>
                <w:snapToGrid w:val="0"/>
              </w:rPr>
              <w:t>201.97</w:t>
            </w:r>
          </w:p>
        </w:tc>
        <w:tc>
          <w:tcPr>
            <w:tcW w:w="1377" w:type="pct"/>
            <w:noWrap w:val="0"/>
            <w:vAlign w:val="center"/>
          </w:tcPr>
          <w:p>
            <w:pPr>
              <w:pStyle w:val="3013"/>
              <w:rPr>
                <w:rFonts w:hint="eastAsia"/>
                <w:snapToGrid w:val="0"/>
              </w:rPr>
            </w:pPr>
            <w:r>
              <w:rPr>
                <w:rFonts w:hint="eastAsia"/>
                <w:snapToGrid w:val="0"/>
              </w:rPr>
              <w:t>3380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1123" w:type="pct"/>
            <w:noWrap w:val="0"/>
            <w:vAlign w:val="center"/>
          </w:tcPr>
          <w:p>
            <w:pPr>
              <w:pStyle w:val="3013"/>
              <w:rPr>
                <w:rFonts w:hint="eastAsia"/>
                <w:snapToGrid w:val="0"/>
              </w:rPr>
            </w:pPr>
            <w:r>
              <w:rPr>
                <w:rFonts w:hint="eastAsia"/>
                <w:snapToGrid w:val="0"/>
              </w:rPr>
              <w:t>192.97</w:t>
            </w:r>
          </w:p>
        </w:tc>
        <w:tc>
          <w:tcPr>
            <w:tcW w:w="1377" w:type="pct"/>
            <w:noWrap w:val="0"/>
            <w:vAlign w:val="center"/>
          </w:tcPr>
          <w:p>
            <w:pPr>
              <w:pStyle w:val="3013"/>
              <w:rPr>
                <w:rFonts w:hint="eastAsia"/>
                <w:snapToGrid w:val="0"/>
              </w:rPr>
            </w:pPr>
            <w:r>
              <w:rPr>
                <w:rFonts w:hint="eastAsia"/>
                <w:snapToGrid w:val="0"/>
              </w:rPr>
              <w:t>12.6</w:t>
            </w:r>
          </w:p>
        </w:tc>
        <w:tc>
          <w:tcPr>
            <w:tcW w:w="1121" w:type="pct"/>
            <w:noWrap w:val="0"/>
            <w:vAlign w:val="center"/>
          </w:tcPr>
          <w:p>
            <w:pPr>
              <w:pStyle w:val="3013"/>
              <w:rPr>
                <w:rFonts w:hint="eastAsia"/>
                <w:snapToGrid w:val="0"/>
              </w:rPr>
            </w:pPr>
            <w:r>
              <w:rPr>
                <w:rFonts w:hint="eastAsia"/>
                <w:snapToGrid w:val="0"/>
              </w:rPr>
              <w:t>202.47</w:t>
            </w:r>
          </w:p>
        </w:tc>
        <w:tc>
          <w:tcPr>
            <w:tcW w:w="1377" w:type="pct"/>
            <w:noWrap w:val="0"/>
            <w:vAlign w:val="center"/>
          </w:tcPr>
          <w:p>
            <w:pPr>
              <w:pStyle w:val="3013"/>
              <w:rPr>
                <w:rFonts w:hint="eastAsia"/>
                <w:snapToGrid w:val="0"/>
              </w:rPr>
            </w:pPr>
            <w:r>
              <w:rPr>
                <w:rFonts w:hint="eastAsia"/>
                <w:snapToGrid w:val="0"/>
              </w:rPr>
              <w:t>3640</w:t>
            </w:r>
          </w:p>
        </w:tc>
      </w:tr>
      <w:tr>
        <w:trPr>
          <w:trHeight w:val="312" w:hRule="atLeast"/>
          <w:jc w:val="center"/>
        </w:trPr>
        <w:tc>
          <w:tcPr>
            <w:tcW w:w="1123" w:type="pct"/>
            <w:noWrap w:val="0"/>
            <w:vAlign w:val="center"/>
          </w:tcPr>
          <w:p>
            <w:pPr>
              <w:pStyle w:val="3013"/>
              <w:rPr>
                <w:rFonts w:hint="eastAsia"/>
                <w:snapToGrid w:val="0"/>
              </w:rPr>
            </w:pPr>
            <w:r>
              <w:rPr>
                <w:rFonts w:hint="eastAsia"/>
                <w:snapToGrid w:val="0"/>
              </w:rPr>
              <w:t>193.97</w:t>
            </w:r>
          </w:p>
        </w:tc>
        <w:tc>
          <w:tcPr>
            <w:tcW w:w="1377" w:type="pct"/>
            <w:noWrap w:val="0"/>
            <w:vAlign w:val="center"/>
          </w:tcPr>
          <w:p>
            <w:pPr>
              <w:pStyle w:val="3013"/>
              <w:rPr>
                <w:rFonts w:hint="eastAsia"/>
                <w:snapToGrid w:val="0"/>
              </w:rPr>
            </w:pPr>
            <w:r>
              <w:rPr>
                <w:rFonts w:hint="eastAsia"/>
                <w:snapToGrid w:val="0"/>
              </w:rPr>
              <w:t>140</w:t>
            </w:r>
          </w:p>
        </w:tc>
        <w:tc>
          <w:tcPr>
            <w:tcW w:w="1121" w:type="pct"/>
            <w:noWrap w:val="0"/>
            <w:vAlign w:val="center"/>
          </w:tcPr>
          <w:p>
            <w:pPr>
              <w:pStyle w:val="3013"/>
              <w:rPr>
                <w:rFonts w:hint="eastAsia"/>
                <w:snapToGrid w:val="0"/>
              </w:rPr>
            </w:pPr>
            <w:r>
              <w:rPr>
                <w:rFonts w:hint="eastAsia"/>
                <w:snapToGrid w:val="0"/>
              </w:rPr>
              <w:t>202.97</w:t>
            </w:r>
          </w:p>
        </w:tc>
        <w:tc>
          <w:tcPr>
            <w:tcW w:w="1377" w:type="pct"/>
            <w:noWrap w:val="0"/>
            <w:vAlign w:val="center"/>
          </w:tcPr>
          <w:p>
            <w:pPr>
              <w:pStyle w:val="3013"/>
              <w:rPr>
                <w:rFonts w:hint="eastAsia"/>
                <w:snapToGrid w:val="0"/>
              </w:rPr>
            </w:pPr>
            <w:r>
              <w:rPr>
                <w:rFonts w:hint="eastAsia"/>
                <w:snapToGrid w:val="0"/>
              </w:rPr>
              <w:t>3900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1123" w:type="pct"/>
            <w:noWrap w:val="0"/>
            <w:vAlign w:val="center"/>
          </w:tcPr>
          <w:p>
            <w:pPr>
              <w:pStyle w:val="3013"/>
              <w:rPr>
                <w:rFonts w:hint="eastAsia"/>
                <w:snapToGrid w:val="0"/>
              </w:rPr>
            </w:pPr>
            <w:r>
              <w:rPr>
                <w:rFonts w:hint="eastAsia"/>
                <w:snapToGrid w:val="0"/>
              </w:rPr>
              <w:t>194.97</w:t>
            </w:r>
          </w:p>
        </w:tc>
        <w:tc>
          <w:tcPr>
            <w:tcW w:w="1377" w:type="pct"/>
            <w:noWrap w:val="0"/>
            <w:vAlign w:val="center"/>
          </w:tcPr>
          <w:p>
            <w:pPr>
              <w:pStyle w:val="3013"/>
              <w:rPr>
                <w:rFonts w:hint="eastAsia"/>
                <w:snapToGrid w:val="0"/>
              </w:rPr>
            </w:pPr>
            <w:r>
              <w:rPr>
                <w:rFonts w:hint="eastAsia"/>
                <w:snapToGrid w:val="0"/>
              </w:rPr>
              <w:t>410</w:t>
            </w:r>
          </w:p>
        </w:tc>
        <w:tc>
          <w:tcPr>
            <w:tcW w:w="1121" w:type="pct"/>
            <w:noWrap w:val="0"/>
            <w:vAlign w:val="center"/>
          </w:tcPr>
          <w:p>
            <w:pPr>
              <w:pStyle w:val="3013"/>
              <w:rPr>
                <w:rFonts w:hint="eastAsia"/>
                <w:snapToGrid w:val="0"/>
              </w:rPr>
            </w:pPr>
            <w:r>
              <w:rPr>
                <w:rFonts w:hint="eastAsia"/>
                <w:snapToGrid w:val="0"/>
              </w:rPr>
              <w:t>203.47</w:t>
            </w:r>
          </w:p>
        </w:tc>
        <w:tc>
          <w:tcPr>
            <w:tcW w:w="1377" w:type="pct"/>
            <w:noWrap w:val="0"/>
            <w:vAlign w:val="center"/>
          </w:tcPr>
          <w:p>
            <w:pPr>
              <w:pStyle w:val="3013"/>
              <w:rPr>
                <w:rFonts w:hint="eastAsia"/>
                <w:snapToGrid w:val="0"/>
              </w:rPr>
            </w:pPr>
            <w:r>
              <w:rPr>
                <w:rFonts w:hint="eastAsia"/>
                <w:snapToGrid w:val="0"/>
              </w:rPr>
              <w:t>4170</w:t>
            </w:r>
          </w:p>
        </w:tc>
      </w:tr>
      <w:tr>
        <w:trPr>
          <w:trHeight w:val="312" w:hRule="atLeast"/>
          <w:jc w:val="center"/>
        </w:trPr>
        <w:tc>
          <w:tcPr>
            <w:tcW w:w="1123" w:type="pct"/>
            <w:noWrap w:val="0"/>
            <w:vAlign w:val="center"/>
          </w:tcPr>
          <w:p>
            <w:pPr>
              <w:pStyle w:val="3013"/>
              <w:rPr>
                <w:rFonts w:hint="eastAsia"/>
                <w:snapToGrid w:val="0"/>
              </w:rPr>
            </w:pPr>
            <w:r>
              <w:rPr>
                <w:rFonts w:hint="eastAsia"/>
                <w:snapToGrid w:val="0"/>
              </w:rPr>
              <w:t>195.97</w:t>
            </w:r>
          </w:p>
        </w:tc>
        <w:tc>
          <w:tcPr>
            <w:tcW w:w="1377" w:type="pct"/>
            <w:noWrap w:val="0"/>
            <w:vAlign w:val="center"/>
          </w:tcPr>
          <w:p>
            <w:pPr>
              <w:pStyle w:val="3013"/>
              <w:rPr>
                <w:rFonts w:hint="eastAsia"/>
                <w:snapToGrid w:val="0"/>
              </w:rPr>
            </w:pPr>
            <w:r>
              <w:rPr>
                <w:rFonts w:hint="eastAsia"/>
                <w:snapToGrid w:val="0"/>
              </w:rPr>
              <w:t>740</w:t>
            </w:r>
          </w:p>
        </w:tc>
        <w:tc>
          <w:tcPr>
            <w:tcW w:w="1121" w:type="pct"/>
            <w:noWrap w:val="0"/>
            <w:vAlign w:val="center"/>
          </w:tcPr>
          <w:p>
            <w:pPr>
              <w:pStyle w:val="3013"/>
              <w:rPr>
                <w:rFonts w:hint="eastAsia"/>
                <w:snapToGrid w:val="0"/>
              </w:rPr>
            </w:pPr>
            <w:r>
              <w:rPr>
                <w:rFonts w:hint="eastAsia"/>
                <w:snapToGrid w:val="0"/>
              </w:rPr>
              <w:t>203.97</w:t>
            </w:r>
          </w:p>
        </w:tc>
        <w:tc>
          <w:tcPr>
            <w:tcW w:w="1377" w:type="pct"/>
            <w:noWrap w:val="0"/>
            <w:vAlign w:val="center"/>
          </w:tcPr>
          <w:p>
            <w:pPr>
              <w:pStyle w:val="3013"/>
              <w:rPr>
                <w:rFonts w:hint="eastAsia"/>
                <w:snapToGrid w:val="0"/>
              </w:rPr>
            </w:pPr>
            <w:r>
              <w:rPr>
                <w:rFonts w:hint="eastAsia"/>
                <w:snapToGrid w:val="0"/>
              </w:rPr>
              <w:t>4440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1123" w:type="pct"/>
            <w:noWrap w:val="0"/>
            <w:vAlign w:val="center"/>
          </w:tcPr>
          <w:p>
            <w:pPr>
              <w:pStyle w:val="3013"/>
              <w:rPr>
                <w:rFonts w:hint="eastAsia"/>
                <w:snapToGrid w:val="0"/>
              </w:rPr>
            </w:pPr>
            <w:r>
              <w:rPr>
                <w:rFonts w:hint="eastAsia"/>
                <w:snapToGrid w:val="0"/>
              </w:rPr>
              <w:t>196.97</w:t>
            </w:r>
          </w:p>
        </w:tc>
        <w:tc>
          <w:tcPr>
            <w:tcW w:w="1377" w:type="pct"/>
            <w:noWrap w:val="0"/>
            <w:vAlign w:val="center"/>
          </w:tcPr>
          <w:p>
            <w:pPr>
              <w:pStyle w:val="3013"/>
              <w:rPr>
                <w:rFonts w:hint="eastAsia"/>
                <w:snapToGrid w:val="0"/>
              </w:rPr>
            </w:pPr>
            <w:r>
              <w:rPr>
                <w:rFonts w:hint="eastAsia"/>
                <w:snapToGrid w:val="0"/>
              </w:rPr>
              <w:t>1100</w:t>
            </w:r>
          </w:p>
        </w:tc>
        <w:tc>
          <w:tcPr>
            <w:tcW w:w="1121" w:type="pct"/>
            <w:noWrap w:val="0"/>
            <w:vAlign w:val="center"/>
          </w:tcPr>
          <w:p>
            <w:pPr>
              <w:pStyle w:val="3013"/>
              <w:rPr>
                <w:rFonts w:hint="eastAsia"/>
                <w:snapToGrid w:val="0"/>
              </w:rPr>
            </w:pPr>
            <w:r>
              <w:rPr>
                <w:rFonts w:hint="eastAsia"/>
                <w:snapToGrid w:val="0"/>
              </w:rPr>
              <w:t>204.47</w:t>
            </w:r>
          </w:p>
        </w:tc>
        <w:tc>
          <w:tcPr>
            <w:tcW w:w="1377" w:type="pct"/>
            <w:noWrap w:val="0"/>
            <w:vAlign w:val="center"/>
          </w:tcPr>
          <w:p>
            <w:pPr>
              <w:pStyle w:val="3013"/>
              <w:rPr>
                <w:rFonts w:hint="eastAsia"/>
                <w:snapToGrid w:val="0"/>
              </w:rPr>
            </w:pPr>
            <w:r>
              <w:rPr>
                <w:rFonts w:hint="eastAsia"/>
                <w:snapToGrid w:val="0"/>
              </w:rPr>
              <w:t>4710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1123" w:type="pct"/>
            <w:noWrap w:val="0"/>
            <w:vAlign w:val="center"/>
          </w:tcPr>
          <w:p>
            <w:pPr>
              <w:pStyle w:val="3013"/>
              <w:rPr>
                <w:rFonts w:hint="eastAsia"/>
                <w:snapToGrid w:val="0"/>
              </w:rPr>
            </w:pPr>
            <w:r>
              <w:rPr>
                <w:rFonts w:hint="eastAsia"/>
                <w:snapToGrid w:val="0"/>
              </w:rPr>
              <w:t>197.97</w:t>
            </w:r>
          </w:p>
        </w:tc>
        <w:tc>
          <w:tcPr>
            <w:tcW w:w="1377" w:type="pct"/>
            <w:noWrap w:val="0"/>
            <w:vAlign w:val="center"/>
          </w:tcPr>
          <w:p>
            <w:pPr>
              <w:pStyle w:val="3013"/>
              <w:rPr>
                <w:rFonts w:hint="eastAsia"/>
                <w:snapToGrid w:val="0"/>
              </w:rPr>
            </w:pPr>
            <w:r>
              <w:rPr>
                <w:rFonts w:hint="eastAsia"/>
                <w:snapToGrid w:val="0"/>
              </w:rPr>
              <w:t>1520</w:t>
            </w:r>
          </w:p>
        </w:tc>
        <w:tc>
          <w:tcPr>
            <w:tcW w:w="1121" w:type="pct"/>
            <w:noWrap w:val="0"/>
            <w:vAlign w:val="center"/>
          </w:tcPr>
          <w:p>
            <w:pPr>
              <w:pStyle w:val="3013"/>
              <w:rPr>
                <w:rFonts w:hint="eastAsia"/>
                <w:snapToGrid w:val="0"/>
              </w:rPr>
            </w:pPr>
            <w:r>
              <w:rPr>
                <w:rFonts w:hint="eastAsia"/>
                <w:snapToGrid w:val="0"/>
              </w:rPr>
              <w:t>204.97</w:t>
            </w:r>
          </w:p>
        </w:tc>
        <w:tc>
          <w:tcPr>
            <w:tcW w:w="1377" w:type="pct"/>
            <w:noWrap w:val="0"/>
            <w:vAlign w:val="center"/>
          </w:tcPr>
          <w:p>
            <w:pPr>
              <w:pStyle w:val="3013"/>
              <w:rPr>
                <w:rFonts w:hint="eastAsia"/>
                <w:snapToGrid w:val="0"/>
              </w:rPr>
            </w:pPr>
            <w:r>
              <w:rPr>
                <w:rFonts w:hint="eastAsia"/>
                <w:snapToGrid w:val="0"/>
              </w:rPr>
              <w:t>4980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1123" w:type="pct"/>
            <w:noWrap w:val="0"/>
            <w:vAlign w:val="center"/>
          </w:tcPr>
          <w:p>
            <w:pPr>
              <w:pStyle w:val="3013"/>
              <w:rPr>
                <w:rFonts w:hint="eastAsia"/>
                <w:snapToGrid w:val="0"/>
              </w:rPr>
            </w:pPr>
            <w:r>
              <w:rPr>
                <w:rFonts w:hint="eastAsia"/>
                <w:snapToGrid w:val="0"/>
              </w:rPr>
              <w:t>198.97</w:t>
            </w:r>
          </w:p>
        </w:tc>
        <w:tc>
          <w:tcPr>
            <w:tcW w:w="1377" w:type="pct"/>
            <w:noWrap w:val="0"/>
            <w:vAlign w:val="center"/>
          </w:tcPr>
          <w:p>
            <w:pPr>
              <w:pStyle w:val="3013"/>
              <w:rPr>
                <w:rFonts w:hint="eastAsia"/>
                <w:snapToGrid w:val="0"/>
              </w:rPr>
            </w:pPr>
            <w:r>
              <w:rPr>
                <w:rFonts w:hint="eastAsia"/>
                <w:snapToGrid w:val="0"/>
              </w:rPr>
              <w:t>1960</w:t>
            </w:r>
          </w:p>
        </w:tc>
        <w:tc>
          <w:tcPr>
            <w:tcW w:w="1121" w:type="pct"/>
            <w:noWrap w:val="0"/>
            <w:vAlign w:val="center"/>
          </w:tcPr>
          <w:p>
            <w:pPr>
              <w:pStyle w:val="3013"/>
              <w:rPr>
                <w:rFonts w:hint="eastAsia"/>
                <w:snapToGrid w:val="0"/>
              </w:rPr>
            </w:pPr>
            <w:r>
              <w:rPr>
                <w:rFonts w:hint="eastAsia"/>
                <w:snapToGrid w:val="0"/>
              </w:rPr>
              <w:t>205.17</w:t>
            </w:r>
          </w:p>
        </w:tc>
        <w:tc>
          <w:tcPr>
            <w:tcW w:w="1377" w:type="pct"/>
            <w:noWrap w:val="0"/>
            <w:vAlign w:val="center"/>
          </w:tcPr>
          <w:p>
            <w:pPr>
              <w:pStyle w:val="3013"/>
              <w:rPr>
                <w:rFonts w:hint="eastAsia"/>
                <w:snapToGrid w:val="0"/>
              </w:rPr>
            </w:pPr>
            <w:r>
              <w:rPr>
                <w:rFonts w:hint="eastAsia"/>
                <w:snapToGrid w:val="0"/>
              </w:rPr>
              <w:t>5100</w:t>
            </w:r>
          </w:p>
        </w:tc>
      </w:tr>
      <w:tr>
        <w:trPr>
          <w:trHeight w:val="312" w:hRule="atLeast"/>
          <w:jc w:val="center"/>
        </w:trPr>
        <w:tc>
          <w:tcPr>
            <w:tcW w:w="1123" w:type="pct"/>
            <w:noWrap w:val="0"/>
            <w:vAlign w:val="center"/>
          </w:tcPr>
          <w:p>
            <w:pPr>
              <w:pStyle w:val="3013"/>
              <w:rPr>
                <w:rFonts w:hint="eastAsia"/>
                <w:snapToGrid w:val="0"/>
              </w:rPr>
            </w:pPr>
            <w:r>
              <w:rPr>
                <w:rFonts w:hint="eastAsia"/>
                <w:snapToGrid w:val="0"/>
              </w:rPr>
              <w:t>199.97</w:t>
            </w:r>
          </w:p>
        </w:tc>
        <w:tc>
          <w:tcPr>
            <w:tcW w:w="1377" w:type="pct"/>
            <w:noWrap w:val="0"/>
            <w:vAlign w:val="center"/>
          </w:tcPr>
          <w:p>
            <w:pPr>
              <w:pStyle w:val="3013"/>
              <w:rPr>
                <w:rFonts w:hint="eastAsia"/>
                <w:snapToGrid w:val="0"/>
              </w:rPr>
            </w:pPr>
            <w:r>
              <w:rPr>
                <w:rFonts w:hint="eastAsia"/>
                <w:snapToGrid w:val="0"/>
              </w:rPr>
              <w:t>2410</w:t>
            </w:r>
          </w:p>
        </w:tc>
        <w:tc>
          <w:tcPr>
            <w:tcW w:w="1121" w:type="pct"/>
            <w:noWrap w:val="0"/>
            <w:vAlign w:val="center"/>
          </w:tcPr>
          <w:p>
            <w:pPr>
              <w:pStyle w:val="3013"/>
              <w:rPr>
                <w:rFonts w:hint="eastAsia"/>
                <w:snapToGrid w:val="0"/>
              </w:rPr>
            </w:pPr>
            <w:r>
              <w:rPr>
                <w:rFonts w:hint="eastAsia"/>
                <w:snapToGrid w:val="0"/>
              </w:rPr>
              <w:t>205.97</w:t>
            </w:r>
          </w:p>
        </w:tc>
        <w:tc>
          <w:tcPr>
            <w:tcW w:w="1377" w:type="pct"/>
            <w:noWrap w:val="0"/>
            <w:vAlign w:val="center"/>
          </w:tcPr>
          <w:p>
            <w:pPr>
              <w:pStyle w:val="3013"/>
              <w:rPr>
                <w:rFonts w:hint="eastAsia"/>
                <w:snapToGrid w:val="0"/>
              </w:rPr>
            </w:pPr>
            <w:r>
              <w:rPr>
                <w:rFonts w:hint="eastAsia"/>
                <w:snapToGrid w:val="0"/>
              </w:rPr>
              <w:t>5500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1123" w:type="pct"/>
            <w:noWrap w:val="0"/>
            <w:vAlign w:val="center"/>
          </w:tcPr>
          <w:p>
            <w:pPr>
              <w:pStyle w:val="3013"/>
              <w:rPr>
                <w:rFonts w:hint="eastAsia"/>
                <w:snapToGrid w:val="0"/>
              </w:rPr>
            </w:pPr>
            <w:r>
              <w:rPr>
                <w:rFonts w:hint="eastAsia"/>
                <w:snapToGrid w:val="0"/>
              </w:rPr>
              <w:t>200.47</w:t>
            </w:r>
          </w:p>
        </w:tc>
        <w:tc>
          <w:tcPr>
            <w:tcW w:w="1377" w:type="pct"/>
            <w:noWrap w:val="0"/>
            <w:vAlign w:val="center"/>
          </w:tcPr>
          <w:p>
            <w:pPr>
              <w:pStyle w:val="3013"/>
              <w:rPr>
                <w:rFonts w:hint="eastAsia"/>
                <w:snapToGrid w:val="0"/>
              </w:rPr>
            </w:pPr>
            <w:r>
              <w:rPr>
                <w:rFonts w:hint="eastAsia"/>
                <w:snapToGrid w:val="0"/>
              </w:rPr>
              <w:t>2650</w:t>
            </w:r>
          </w:p>
        </w:tc>
        <w:tc>
          <w:tcPr>
            <w:tcW w:w="1121" w:type="pct"/>
            <w:noWrap w:val="0"/>
            <w:vAlign w:val="center"/>
          </w:tcPr>
          <w:p>
            <w:pPr>
              <w:pStyle w:val="3013"/>
              <w:rPr>
                <w:rFonts w:hint="eastAsia"/>
                <w:snapToGrid w:val="0"/>
              </w:rPr>
            </w:pPr>
            <w:r>
              <w:rPr>
                <w:rFonts w:hint="eastAsia"/>
                <w:snapToGrid w:val="0"/>
              </w:rPr>
              <w:t>206.77</w:t>
            </w:r>
          </w:p>
        </w:tc>
        <w:tc>
          <w:tcPr>
            <w:tcW w:w="1377" w:type="pct"/>
            <w:noWrap w:val="0"/>
            <w:vAlign w:val="center"/>
          </w:tcPr>
          <w:p>
            <w:pPr>
              <w:pStyle w:val="3013"/>
              <w:rPr>
                <w:rFonts w:hint="eastAsia"/>
                <w:snapToGrid w:val="0"/>
              </w:rPr>
            </w:pPr>
            <w:r>
              <w:rPr>
                <w:rFonts w:hint="eastAsia"/>
                <w:snapToGrid w:val="0"/>
              </w:rPr>
              <w:t>6000</w:t>
            </w:r>
          </w:p>
        </w:tc>
      </w:tr>
      <w:tr>
        <w:trPr>
          <w:trHeight w:val="312" w:hRule="atLeast"/>
          <w:jc w:val="center"/>
        </w:trPr>
        <w:tc>
          <w:tcPr>
            <w:tcW w:w="1123" w:type="pct"/>
            <w:noWrap w:val="0"/>
            <w:vAlign w:val="center"/>
          </w:tcPr>
          <w:p>
            <w:pPr>
              <w:pStyle w:val="3013"/>
              <w:rPr>
                <w:rFonts w:hint="eastAsia"/>
                <w:snapToGrid w:val="0"/>
              </w:rPr>
            </w:pPr>
            <w:r>
              <w:rPr>
                <w:rFonts w:hint="eastAsia"/>
                <w:snapToGrid w:val="0"/>
              </w:rPr>
              <w:t>200.97</w:t>
            </w:r>
          </w:p>
        </w:tc>
        <w:tc>
          <w:tcPr>
            <w:tcW w:w="1377" w:type="pct"/>
            <w:noWrap w:val="0"/>
            <w:vAlign w:val="center"/>
          </w:tcPr>
          <w:p>
            <w:pPr>
              <w:pStyle w:val="3013"/>
              <w:rPr>
                <w:rFonts w:hint="eastAsia"/>
                <w:snapToGrid w:val="0"/>
              </w:rPr>
            </w:pPr>
            <w:r>
              <w:rPr>
                <w:rFonts w:hint="eastAsia"/>
                <w:snapToGrid w:val="0"/>
              </w:rPr>
              <w:t>2890</w:t>
            </w:r>
          </w:p>
        </w:tc>
        <w:tc>
          <w:tcPr>
            <w:tcW w:w="1121" w:type="pct"/>
            <w:noWrap w:val="0"/>
            <w:vAlign w:val="center"/>
          </w:tcPr>
          <w:p>
            <w:pPr>
              <w:pStyle w:val="3013"/>
              <w:rPr>
                <w:rFonts w:hint="eastAsia"/>
                <w:snapToGrid w:val="0"/>
              </w:rPr>
            </w:pPr>
            <w:r>
              <w:rPr>
                <w:rFonts w:hint="eastAsia"/>
                <w:snapToGrid w:val="0"/>
              </w:rPr>
              <w:t>207.27</w:t>
            </w:r>
          </w:p>
        </w:tc>
        <w:tc>
          <w:tcPr>
            <w:tcW w:w="1377" w:type="pct"/>
            <w:noWrap w:val="0"/>
            <w:vAlign w:val="center"/>
          </w:tcPr>
          <w:p>
            <w:pPr>
              <w:pStyle w:val="3013"/>
              <w:rPr>
                <w:rFonts w:hint="eastAsia"/>
                <w:snapToGrid w:val="0"/>
              </w:rPr>
            </w:pPr>
            <w:r>
              <w:rPr>
                <w:rFonts w:hint="eastAsia"/>
                <w:snapToGrid w:val="0"/>
              </w:rPr>
              <w:t>6250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1123" w:type="pct"/>
            <w:noWrap w:val="0"/>
            <w:vAlign w:val="center"/>
          </w:tcPr>
          <w:p>
            <w:pPr>
              <w:pStyle w:val="3013"/>
              <w:rPr>
                <w:rFonts w:hint="eastAsia"/>
                <w:snapToGrid w:val="0"/>
              </w:rPr>
            </w:pPr>
            <w:r>
              <w:rPr>
                <w:rFonts w:hint="eastAsia"/>
                <w:snapToGrid w:val="0"/>
              </w:rPr>
              <w:t>201.47</w:t>
            </w:r>
          </w:p>
        </w:tc>
        <w:tc>
          <w:tcPr>
            <w:tcW w:w="1377" w:type="pct"/>
            <w:noWrap w:val="0"/>
            <w:vAlign w:val="center"/>
          </w:tcPr>
          <w:p>
            <w:pPr>
              <w:pStyle w:val="3013"/>
              <w:rPr>
                <w:rFonts w:hint="eastAsia"/>
                <w:snapToGrid w:val="0"/>
              </w:rPr>
            </w:pPr>
            <w:r>
              <w:rPr>
                <w:rFonts w:hint="eastAsia"/>
                <w:snapToGrid w:val="0"/>
              </w:rPr>
              <w:t>3130</w:t>
            </w:r>
          </w:p>
        </w:tc>
        <w:tc>
          <w:tcPr>
            <w:tcW w:w="1121" w:type="pct"/>
            <w:noWrap w:val="0"/>
            <w:vAlign w:val="center"/>
          </w:tcPr>
          <w:p>
            <w:pPr>
              <w:pStyle w:val="3013"/>
              <w:rPr>
                <w:rFonts w:hint="eastAsia"/>
                <w:snapToGrid w:val="0"/>
              </w:rPr>
            </w:pPr>
            <w:r>
              <w:rPr>
                <w:rFonts w:hint="eastAsia"/>
                <w:snapToGrid w:val="0"/>
              </w:rPr>
              <w:t>207.97</w:t>
            </w:r>
          </w:p>
        </w:tc>
        <w:tc>
          <w:tcPr>
            <w:tcW w:w="1377" w:type="pct"/>
            <w:noWrap w:val="0"/>
            <w:vAlign w:val="center"/>
          </w:tcPr>
          <w:p>
            <w:pPr>
              <w:pStyle w:val="3013"/>
              <w:rPr>
                <w:rFonts w:hint="eastAsia"/>
                <w:snapToGrid w:val="0"/>
              </w:rPr>
            </w:pPr>
            <w:r>
              <w:rPr>
                <w:rFonts w:hint="eastAsia"/>
                <w:snapToGrid w:val="0"/>
              </w:rPr>
              <w:t>6650</w:t>
            </w:r>
          </w:p>
        </w:tc>
      </w:tr>
    </w:tbl>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lang w:val="en-US" w:eastAsia="zh-CN"/>
        </w:rPr>
        <w:t>2.2</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rPr>
        <w:t>水面线计算</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rPr>
      </w:pPr>
      <w:r>
        <w:rPr>
          <w:rFonts w:hint="eastAsia" w:ascii="Times New Roman" w:hAnsi="Times New Roman" w:eastAsia="方正仿宋_GBK" w:cs="Times New Roman"/>
          <w:sz w:val="32"/>
          <w:szCs w:val="32"/>
        </w:rPr>
        <w:t>依据上述綦江干流一维水动力数学模型、边界条件及率定的综合糙率，计算出綦江干流綦江城区段不同频率的设计洪水水面线，见表4.5</w:t>
      </w:r>
      <w:r>
        <w:rPr>
          <w:rFonts w:hint="eastAsia" w:ascii="Times New Roman" w:eastAsia="方正仿宋_GBK" w:cs="Times New Roman"/>
          <w:sz w:val="32"/>
          <w:szCs w:val="32"/>
          <w:lang w:eastAsia="zh-CN"/>
        </w:rPr>
        <w:t>—</w:t>
      </w:r>
      <w:r>
        <w:rPr>
          <w:rFonts w:hint="eastAsia" w:ascii="Times New Roman" w:hAnsi="Times New Roman" w:eastAsia="方正仿宋_GBK" w:cs="Times New Roman"/>
          <w:sz w:val="32"/>
          <w:szCs w:val="32"/>
        </w:rPr>
        <w:t>5。</w:t>
      </w:r>
    </w:p>
    <w:p>
      <w:pPr>
        <w:pStyle w:val="2312"/>
        <w:ind w:firstLine="240"/>
        <w:jc w:val="center"/>
        <w:rPr>
          <w:rFonts w:hint="default" w:ascii="Times New Roman" w:hAnsi="Times New Roman" w:cs="Times New Roman"/>
        </w:rPr>
      </w:pPr>
      <w:r>
        <w:rPr>
          <w:rFonts w:hint="default" w:ascii="Times New Roman" w:hAnsi="Times New Roman" w:cs="Times New Roman"/>
        </w:rPr>
        <w:t>表4.5</w:t>
      </w:r>
      <w:r>
        <w:rPr>
          <w:rFonts w:hint="default" w:ascii="Times New Roman" w:hAnsi="Times New Roman" w:cs="Times New Roman"/>
          <w:lang w:eastAsia="zh-CN"/>
        </w:rPr>
        <w:t>—</w:t>
      </w:r>
      <w:r>
        <w:rPr>
          <w:rFonts w:hint="default" w:ascii="Times New Roman" w:hAnsi="Times New Roman" w:cs="Times New Roman"/>
        </w:rPr>
        <w:t>5       綦江干流城区段不同频率水面线计算成果表</w:t>
      </w:r>
    </w:p>
    <w:tbl>
      <w:tblPr>
        <w:tblStyle w:val="88"/>
        <w:tblW w:w="4997" w:type="pct"/>
        <w:tblInd w:w="0" w:type="dxa"/>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108" w:type="dxa"/>
          <w:bottom w:w="0" w:type="dxa"/>
          <w:right w:w="108" w:type="dxa"/>
        </w:tblCellMar>
      </w:tblPr>
      <w:tblGrid>
        <w:gridCol w:w="717"/>
        <w:gridCol w:w="1536"/>
        <w:gridCol w:w="1391"/>
        <w:gridCol w:w="1127"/>
        <w:gridCol w:w="1127"/>
        <w:gridCol w:w="1127"/>
        <w:gridCol w:w="1127"/>
        <w:gridCol w:w="1129"/>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trPr>
        <w:tc>
          <w:tcPr>
            <w:tcW w:w="386" w:type="pct"/>
            <w:vMerge w:val="restart"/>
            <w:noWrap/>
            <w:vAlign w:val="center"/>
          </w:tcPr>
          <w:p>
            <w:pPr>
              <w:pStyle w:val="3013"/>
              <w:spacing w:line="240" w:lineRule="exact"/>
              <w:rPr>
                <w:rFonts w:hint="eastAsia"/>
                <w:snapToGrid w:val="0"/>
              </w:rPr>
            </w:pPr>
            <w:r>
              <w:rPr>
                <w:rFonts w:hint="eastAsia"/>
                <w:snapToGrid w:val="0"/>
              </w:rPr>
              <w:t>序号</w:t>
            </w:r>
          </w:p>
        </w:tc>
        <w:tc>
          <w:tcPr>
            <w:tcW w:w="827" w:type="pct"/>
            <w:vMerge w:val="restart"/>
            <w:noWrap w:val="0"/>
            <w:vAlign w:val="center"/>
          </w:tcPr>
          <w:p>
            <w:pPr>
              <w:pStyle w:val="3013"/>
              <w:spacing w:line="240" w:lineRule="exact"/>
              <w:rPr>
                <w:rFonts w:hint="eastAsia"/>
                <w:snapToGrid w:val="0"/>
              </w:rPr>
            </w:pPr>
            <w:r>
              <w:rPr>
                <w:rFonts w:hint="eastAsia"/>
                <w:snapToGrid w:val="0"/>
              </w:rPr>
              <w:t>地名</w:t>
            </w:r>
          </w:p>
        </w:tc>
        <w:tc>
          <w:tcPr>
            <w:tcW w:w="749" w:type="pct"/>
            <w:vMerge w:val="restart"/>
            <w:noWrap w:val="0"/>
            <w:vAlign w:val="center"/>
          </w:tcPr>
          <w:p>
            <w:pPr>
              <w:pStyle w:val="3013"/>
              <w:spacing w:line="240" w:lineRule="exact"/>
              <w:rPr>
                <w:rFonts w:hint="eastAsia"/>
                <w:snapToGrid w:val="0"/>
              </w:rPr>
            </w:pPr>
            <w:r>
              <w:rPr>
                <w:rFonts w:hint="eastAsia"/>
                <w:snapToGrid w:val="0"/>
              </w:rPr>
              <w:t>河道中心线桩号（m）</w:t>
            </w:r>
          </w:p>
        </w:tc>
        <w:tc>
          <w:tcPr>
            <w:tcW w:w="3036" w:type="pct"/>
            <w:gridSpan w:val="5"/>
            <w:noWrap w:val="0"/>
            <w:vAlign w:val="center"/>
          </w:tcPr>
          <w:p>
            <w:pPr>
              <w:pStyle w:val="3013"/>
              <w:spacing w:line="240" w:lineRule="exact"/>
              <w:rPr>
                <w:rFonts w:hint="eastAsia"/>
                <w:snapToGrid w:val="0"/>
              </w:rPr>
            </w:pPr>
            <w:r>
              <w:rPr>
                <w:rFonts w:hint="eastAsia"/>
                <w:snapToGrid w:val="0"/>
              </w:rPr>
              <w:t>设计水位（m）</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trPr>
        <w:tc>
          <w:tcPr>
            <w:tcW w:w="386" w:type="pct"/>
            <w:vMerge w:val="continue"/>
            <w:noWrap w:val="0"/>
            <w:vAlign w:val="center"/>
          </w:tcPr>
          <w:p>
            <w:pPr>
              <w:pStyle w:val="3013"/>
              <w:spacing w:line="240" w:lineRule="exact"/>
              <w:rPr>
                <w:rFonts w:hint="eastAsia"/>
                <w:snapToGrid w:val="0"/>
              </w:rPr>
            </w:pPr>
          </w:p>
        </w:tc>
        <w:tc>
          <w:tcPr>
            <w:tcW w:w="827" w:type="pct"/>
            <w:vMerge w:val="continue"/>
            <w:noWrap w:val="0"/>
            <w:vAlign w:val="center"/>
          </w:tcPr>
          <w:p>
            <w:pPr>
              <w:pStyle w:val="3013"/>
              <w:spacing w:line="240" w:lineRule="exact"/>
              <w:rPr>
                <w:rFonts w:hint="eastAsia"/>
                <w:snapToGrid w:val="0"/>
              </w:rPr>
            </w:pPr>
          </w:p>
        </w:tc>
        <w:tc>
          <w:tcPr>
            <w:tcW w:w="749" w:type="pct"/>
            <w:vMerge w:val="continue"/>
            <w:noWrap w:val="0"/>
            <w:vAlign w:val="center"/>
          </w:tcPr>
          <w:p>
            <w:pPr>
              <w:pStyle w:val="3013"/>
              <w:spacing w:line="240" w:lineRule="exact"/>
              <w:rPr>
                <w:rFonts w:hint="eastAsia"/>
                <w:snapToGrid w:val="0"/>
              </w:rPr>
            </w:pPr>
          </w:p>
        </w:tc>
        <w:tc>
          <w:tcPr>
            <w:tcW w:w="607" w:type="pct"/>
            <w:noWrap w:val="0"/>
            <w:vAlign w:val="center"/>
          </w:tcPr>
          <w:p>
            <w:pPr>
              <w:pStyle w:val="3013"/>
              <w:spacing w:line="240" w:lineRule="exact"/>
              <w:rPr>
                <w:rFonts w:hint="eastAsia"/>
                <w:snapToGrid w:val="0"/>
              </w:rPr>
            </w:pPr>
            <w:r>
              <w:rPr>
                <w:rFonts w:hint="eastAsia"/>
                <w:snapToGrid w:val="0"/>
              </w:rPr>
              <w:t>P=20%</w:t>
            </w:r>
          </w:p>
        </w:tc>
        <w:tc>
          <w:tcPr>
            <w:tcW w:w="607" w:type="pct"/>
            <w:noWrap w:val="0"/>
            <w:vAlign w:val="center"/>
          </w:tcPr>
          <w:p>
            <w:pPr>
              <w:pStyle w:val="3013"/>
              <w:spacing w:line="240" w:lineRule="exact"/>
              <w:rPr>
                <w:rFonts w:hint="eastAsia"/>
                <w:snapToGrid w:val="0"/>
              </w:rPr>
            </w:pPr>
            <w:r>
              <w:rPr>
                <w:rFonts w:hint="eastAsia"/>
                <w:snapToGrid w:val="0"/>
              </w:rPr>
              <w:t>P=10%</w:t>
            </w:r>
          </w:p>
        </w:tc>
        <w:tc>
          <w:tcPr>
            <w:tcW w:w="607" w:type="pct"/>
            <w:noWrap w:val="0"/>
            <w:vAlign w:val="center"/>
          </w:tcPr>
          <w:p>
            <w:pPr>
              <w:pStyle w:val="3013"/>
              <w:spacing w:line="240" w:lineRule="exact"/>
              <w:rPr>
                <w:rFonts w:hint="eastAsia"/>
                <w:snapToGrid w:val="0"/>
              </w:rPr>
            </w:pPr>
            <w:r>
              <w:rPr>
                <w:rFonts w:hint="eastAsia"/>
                <w:snapToGrid w:val="0"/>
              </w:rPr>
              <w:t>P=5%</w:t>
            </w:r>
          </w:p>
        </w:tc>
        <w:tc>
          <w:tcPr>
            <w:tcW w:w="607" w:type="pct"/>
            <w:noWrap w:val="0"/>
            <w:vAlign w:val="center"/>
          </w:tcPr>
          <w:p>
            <w:pPr>
              <w:pStyle w:val="3013"/>
              <w:spacing w:line="240" w:lineRule="exact"/>
              <w:rPr>
                <w:rFonts w:hint="eastAsia"/>
                <w:snapToGrid w:val="0"/>
              </w:rPr>
            </w:pPr>
            <w:r>
              <w:rPr>
                <w:rFonts w:hint="eastAsia"/>
                <w:snapToGrid w:val="0"/>
              </w:rPr>
              <w:t>P=3.33%</w:t>
            </w:r>
          </w:p>
        </w:tc>
        <w:tc>
          <w:tcPr>
            <w:tcW w:w="608" w:type="pct"/>
            <w:noWrap w:val="0"/>
            <w:vAlign w:val="center"/>
          </w:tcPr>
          <w:p>
            <w:pPr>
              <w:pStyle w:val="3013"/>
              <w:spacing w:line="240" w:lineRule="exact"/>
              <w:rPr>
                <w:rFonts w:hint="eastAsia"/>
                <w:snapToGrid w:val="0"/>
              </w:rPr>
            </w:pPr>
            <w:r>
              <w:rPr>
                <w:rFonts w:hint="eastAsia"/>
                <w:snapToGrid w:val="0"/>
              </w:rPr>
              <w:t>P=2%</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trPr>
        <w:tc>
          <w:tcPr>
            <w:tcW w:w="386" w:type="pct"/>
            <w:noWrap w:val="0"/>
            <w:vAlign w:val="center"/>
          </w:tcPr>
          <w:p>
            <w:pPr>
              <w:pStyle w:val="3013"/>
              <w:spacing w:line="240" w:lineRule="exact"/>
              <w:rPr>
                <w:rFonts w:hint="eastAsia"/>
                <w:snapToGrid w:val="0"/>
              </w:rPr>
            </w:pPr>
            <w:r>
              <w:rPr>
                <w:rFonts w:hint="eastAsia"/>
                <w:snapToGrid w:val="0"/>
              </w:rPr>
              <w:t>1</w:t>
            </w:r>
          </w:p>
        </w:tc>
        <w:tc>
          <w:tcPr>
            <w:tcW w:w="827" w:type="pct"/>
            <w:noWrap w:val="0"/>
            <w:vAlign w:val="center"/>
          </w:tcPr>
          <w:p>
            <w:pPr>
              <w:pStyle w:val="3013"/>
              <w:spacing w:line="240" w:lineRule="exact"/>
              <w:rPr>
                <w:rFonts w:hint="eastAsia"/>
                <w:snapToGrid w:val="0"/>
              </w:rPr>
            </w:pPr>
            <w:r>
              <w:rPr>
                <w:rFonts w:hint="eastAsia"/>
                <w:snapToGrid w:val="0"/>
              </w:rPr>
              <w:t>蒲河口</w:t>
            </w:r>
          </w:p>
        </w:tc>
        <w:tc>
          <w:tcPr>
            <w:tcW w:w="749" w:type="pct"/>
            <w:noWrap w:val="0"/>
            <w:vAlign w:val="center"/>
          </w:tcPr>
          <w:p>
            <w:pPr>
              <w:pStyle w:val="3013"/>
              <w:spacing w:line="240" w:lineRule="exact"/>
              <w:rPr>
                <w:rFonts w:hint="eastAsia"/>
                <w:snapToGrid w:val="0"/>
              </w:rPr>
            </w:pPr>
            <w:r>
              <w:rPr>
                <w:rFonts w:hint="eastAsia"/>
                <w:snapToGrid w:val="0"/>
              </w:rPr>
              <w:t>33+491</w:t>
            </w:r>
          </w:p>
        </w:tc>
        <w:tc>
          <w:tcPr>
            <w:tcW w:w="607" w:type="pct"/>
            <w:noWrap w:val="0"/>
            <w:vAlign w:val="center"/>
          </w:tcPr>
          <w:p>
            <w:pPr>
              <w:pStyle w:val="3013"/>
              <w:spacing w:line="240" w:lineRule="exact"/>
              <w:rPr>
                <w:rFonts w:hint="eastAsia"/>
                <w:snapToGrid w:val="0"/>
              </w:rPr>
            </w:pPr>
            <w:r>
              <w:rPr>
                <w:rFonts w:hint="eastAsia"/>
                <w:snapToGrid w:val="0"/>
              </w:rPr>
              <w:t>236.53</w:t>
            </w:r>
          </w:p>
        </w:tc>
        <w:tc>
          <w:tcPr>
            <w:tcW w:w="607" w:type="pct"/>
            <w:noWrap w:val="0"/>
            <w:vAlign w:val="center"/>
          </w:tcPr>
          <w:p>
            <w:pPr>
              <w:pStyle w:val="3013"/>
              <w:spacing w:line="240" w:lineRule="exact"/>
              <w:rPr>
                <w:rFonts w:hint="eastAsia"/>
                <w:snapToGrid w:val="0"/>
              </w:rPr>
            </w:pPr>
            <w:r>
              <w:rPr>
                <w:rFonts w:hint="eastAsia"/>
                <w:snapToGrid w:val="0"/>
              </w:rPr>
              <w:t>237.96</w:t>
            </w:r>
          </w:p>
        </w:tc>
        <w:tc>
          <w:tcPr>
            <w:tcW w:w="607" w:type="pct"/>
            <w:noWrap w:val="0"/>
            <w:vAlign w:val="center"/>
          </w:tcPr>
          <w:p>
            <w:pPr>
              <w:pStyle w:val="3013"/>
              <w:spacing w:line="240" w:lineRule="exact"/>
              <w:rPr>
                <w:rFonts w:hint="eastAsia"/>
                <w:snapToGrid w:val="0"/>
              </w:rPr>
            </w:pPr>
            <w:r>
              <w:rPr>
                <w:rFonts w:hint="eastAsia"/>
                <w:snapToGrid w:val="0"/>
              </w:rPr>
              <w:t>239.21</w:t>
            </w:r>
          </w:p>
        </w:tc>
        <w:tc>
          <w:tcPr>
            <w:tcW w:w="607" w:type="pct"/>
            <w:noWrap w:val="0"/>
            <w:vAlign w:val="center"/>
          </w:tcPr>
          <w:p>
            <w:pPr>
              <w:pStyle w:val="3013"/>
              <w:spacing w:line="240" w:lineRule="exact"/>
              <w:rPr>
                <w:rFonts w:hint="eastAsia"/>
                <w:snapToGrid w:val="0"/>
              </w:rPr>
            </w:pPr>
            <w:r>
              <w:rPr>
                <w:rFonts w:hint="eastAsia"/>
                <w:snapToGrid w:val="0"/>
              </w:rPr>
              <w:t>239.89</w:t>
            </w:r>
          </w:p>
        </w:tc>
        <w:tc>
          <w:tcPr>
            <w:tcW w:w="608" w:type="pct"/>
            <w:noWrap w:val="0"/>
            <w:vAlign w:val="center"/>
          </w:tcPr>
          <w:p>
            <w:pPr>
              <w:pStyle w:val="3013"/>
              <w:spacing w:line="240" w:lineRule="exact"/>
              <w:rPr>
                <w:rFonts w:hint="eastAsia"/>
                <w:snapToGrid w:val="0"/>
              </w:rPr>
            </w:pPr>
            <w:r>
              <w:rPr>
                <w:rFonts w:hint="eastAsia"/>
                <w:snapToGrid w:val="0"/>
              </w:rPr>
              <w:t>240.67</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trPr>
        <w:tc>
          <w:tcPr>
            <w:tcW w:w="386" w:type="pct"/>
            <w:noWrap w:val="0"/>
            <w:vAlign w:val="center"/>
          </w:tcPr>
          <w:p>
            <w:pPr>
              <w:pStyle w:val="3013"/>
              <w:spacing w:line="240" w:lineRule="exact"/>
              <w:rPr>
                <w:rFonts w:hint="eastAsia"/>
                <w:snapToGrid w:val="0"/>
              </w:rPr>
            </w:pPr>
            <w:r>
              <w:rPr>
                <w:rFonts w:hint="eastAsia"/>
                <w:snapToGrid w:val="0"/>
              </w:rPr>
              <w:t>2</w:t>
            </w:r>
          </w:p>
        </w:tc>
        <w:tc>
          <w:tcPr>
            <w:tcW w:w="827" w:type="pct"/>
            <w:noWrap w:val="0"/>
            <w:vAlign w:val="center"/>
          </w:tcPr>
          <w:p>
            <w:pPr>
              <w:pStyle w:val="3013"/>
              <w:spacing w:line="240" w:lineRule="exact"/>
              <w:rPr>
                <w:rFonts w:hint="eastAsia"/>
                <w:snapToGrid w:val="0"/>
              </w:rPr>
            </w:pPr>
          </w:p>
        </w:tc>
        <w:tc>
          <w:tcPr>
            <w:tcW w:w="749" w:type="pct"/>
            <w:noWrap w:val="0"/>
            <w:vAlign w:val="center"/>
          </w:tcPr>
          <w:p>
            <w:pPr>
              <w:pStyle w:val="3013"/>
              <w:spacing w:line="240" w:lineRule="exact"/>
              <w:rPr>
                <w:rFonts w:hint="eastAsia"/>
                <w:snapToGrid w:val="0"/>
              </w:rPr>
            </w:pPr>
            <w:r>
              <w:rPr>
                <w:rFonts w:hint="eastAsia"/>
                <w:snapToGrid w:val="0"/>
              </w:rPr>
              <w:t>35+722</w:t>
            </w:r>
          </w:p>
        </w:tc>
        <w:tc>
          <w:tcPr>
            <w:tcW w:w="607" w:type="pct"/>
            <w:noWrap w:val="0"/>
            <w:vAlign w:val="center"/>
          </w:tcPr>
          <w:p>
            <w:pPr>
              <w:pStyle w:val="3013"/>
              <w:spacing w:line="240" w:lineRule="exact"/>
              <w:rPr>
                <w:rFonts w:hint="eastAsia"/>
                <w:snapToGrid w:val="0"/>
              </w:rPr>
            </w:pPr>
            <w:r>
              <w:rPr>
                <w:rFonts w:hint="eastAsia"/>
                <w:snapToGrid w:val="0"/>
              </w:rPr>
              <w:t>234.65</w:t>
            </w:r>
          </w:p>
        </w:tc>
        <w:tc>
          <w:tcPr>
            <w:tcW w:w="607" w:type="pct"/>
            <w:noWrap w:val="0"/>
            <w:vAlign w:val="center"/>
          </w:tcPr>
          <w:p>
            <w:pPr>
              <w:pStyle w:val="3013"/>
              <w:spacing w:line="240" w:lineRule="exact"/>
              <w:rPr>
                <w:rFonts w:hint="eastAsia"/>
                <w:snapToGrid w:val="0"/>
              </w:rPr>
            </w:pPr>
            <w:r>
              <w:rPr>
                <w:rFonts w:hint="eastAsia"/>
                <w:snapToGrid w:val="0"/>
              </w:rPr>
              <w:t>235.99</w:t>
            </w:r>
          </w:p>
        </w:tc>
        <w:tc>
          <w:tcPr>
            <w:tcW w:w="607" w:type="pct"/>
            <w:noWrap w:val="0"/>
            <w:vAlign w:val="center"/>
          </w:tcPr>
          <w:p>
            <w:pPr>
              <w:pStyle w:val="3013"/>
              <w:spacing w:line="240" w:lineRule="exact"/>
              <w:rPr>
                <w:rFonts w:hint="eastAsia"/>
                <w:snapToGrid w:val="0"/>
              </w:rPr>
            </w:pPr>
            <w:r>
              <w:rPr>
                <w:rFonts w:hint="eastAsia"/>
                <w:snapToGrid w:val="0"/>
              </w:rPr>
              <w:t>237.20</w:t>
            </w:r>
          </w:p>
        </w:tc>
        <w:tc>
          <w:tcPr>
            <w:tcW w:w="607" w:type="pct"/>
            <w:noWrap w:val="0"/>
            <w:vAlign w:val="center"/>
          </w:tcPr>
          <w:p>
            <w:pPr>
              <w:pStyle w:val="3013"/>
              <w:spacing w:line="240" w:lineRule="exact"/>
              <w:rPr>
                <w:rFonts w:hint="eastAsia"/>
                <w:snapToGrid w:val="0"/>
              </w:rPr>
            </w:pPr>
            <w:r>
              <w:rPr>
                <w:rFonts w:hint="eastAsia"/>
                <w:snapToGrid w:val="0"/>
              </w:rPr>
              <w:t>237.86</w:t>
            </w:r>
          </w:p>
        </w:tc>
        <w:tc>
          <w:tcPr>
            <w:tcW w:w="608" w:type="pct"/>
            <w:noWrap w:val="0"/>
            <w:vAlign w:val="center"/>
          </w:tcPr>
          <w:p>
            <w:pPr>
              <w:pStyle w:val="3013"/>
              <w:spacing w:line="240" w:lineRule="exact"/>
              <w:rPr>
                <w:rFonts w:hint="eastAsia"/>
                <w:snapToGrid w:val="0"/>
              </w:rPr>
            </w:pPr>
            <w:r>
              <w:rPr>
                <w:rFonts w:hint="eastAsia"/>
                <w:snapToGrid w:val="0"/>
              </w:rPr>
              <w:t>238.64</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trPr>
        <w:tc>
          <w:tcPr>
            <w:tcW w:w="386" w:type="pct"/>
            <w:noWrap w:val="0"/>
            <w:vAlign w:val="center"/>
          </w:tcPr>
          <w:p>
            <w:pPr>
              <w:pStyle w:val="3013"/>
              <w:spacing w:line="240" w:lineRule="exact"/>
              <w:rPr>
                <w:rFonts w:hint="eastAsia"/>
                <w:snapToGrid w:val="0"/>
              </w:rPr>
            </w:pPr>
            <w:r>
              <w:rPr>
                <w:rFonts w:hint="eastAsia"/>
                <w:snapToGrid w:val="0"/>
              </w:rPr>
              <w:t>3</w:t>
            </w:r>
          </w:p>
        </w:tc>
        <w:tc>
          <w:tcPr>
            <w:tcW w:w="827" w:type="pct"/>
            <w:noWrap w:val="0"/>
            <w:vAlign w:val="center"/>
          </w:tcPr>
          <w:p>
            <w:pPr>
              <w:pStyle w:val="3013"/>
              <w:spacing w:line="240" w:lineRule="exact"/>
              <w:rPr>
                <w:rFonts w:hint="eastAsia"/>
                <w:snapToGrid w:val="0"/>
              </w:rPr>
            </w:pPr>
          </w:p>
        </w:tc>
        <w:tc>
          <w:tcPr>
            <w:tcW w:w="749" w:type="pct"/>
            <w:noWrap w:val="0"/>
            <w:vAlign w:val="center"/>
          </w:tcPr>
          <w:p>
            <w:pPr>
              <w:pStyle w:val="3013"/>
              <w:spacing w:line="240" w:lineRule="exact"/>
              <w:rPr>
                <w:rFonts w:hint="eastAsia"/>
                <w:snapToGrid w:val="0"/>
              </w:rPr>
            </w:pPr>
            <w:r>
              <w:rPr>
                <w:rFonts w:hint="eastAsia"/>
                <w:snapToGrid w:val="0"/>
              </w:rPr>
              <w:t>38+222</w:t>
            </w:r>
          </w:p>
        </w:tc>
        <w:tc>
          <w:tcPr>
            <w:tcW w:w="607" w:type="pct"/>
            <w:noWrap w:val="0"/>
            <w:vAlign w:val="center"/>
          </w:tcPr>
          <w:p>
            <w:pPr>
              <w:pStyle w:val="3013"/>
              <w:spacing w:line="240" w:lineRule="exact"/>
              <w:rPr>
                <w:rFonts w:hint="eastAsia"/>
                <w:snapToGrid w:val="0"/>
              </w:rPr>
            </w:pPr>
            <w:r>
              <w:rPr>
                <w:rFonts w:hint="eastAsia"/>
                <w:snapToGrid w:val="0"/>
              </w:rPr>
              <w:t>231.88</w:t>
            </w:r>
          </w:p>
        </w:tc>
        <w:tc>
          <w:tcPr>
            <w:tcW w:w="607" w:type="pct"/>
            <w:noWrap w:val="0"/>
            <w:vAlign w:val="center"/>
          </w:tcPr>
          <w:p>
            <w:pPr>
              <w:pStyle w:val="3013"/>
              <w:spacing w:line="240" w:lineRule="exact"/>
              <w:rPr>
                <w:rFonts w:hint="eastAsia"/>
                <w:snapToGrid w:val="0"/>
              </w:rPr>
            </w:pPr>
            <w:r>
              <w:rPr>
                <w:rFonts w:hint="eastAsia"/>
                <w:snapToGrid w:val="0"/>
              </w:rPr>
              <w:t>233.40</w:t>
            </w:r>
          </w:p>
        </w:tc>
        <w:tc>
          <w:tcPr>
            <w:tcW w:w="607" w:type="pct"/>
            <w:noWrap w:val="0"/>
            <w:vAlign w:val="center"/>
          </w:tcPr>
          <w:p>
            <w:pPr>
              <w:pStyle w:val="3013"/>
              <w:spacing w:line="240" w:lineRule="exact"/>
              <w:rPr>
                <w:rFonts w:hint="eastAsia"/>
                <w:snapToGrid w:val="0"/>
              </w:rPr>
            </w:pPr>
            <w:r>
              <w:rPr>
                <w:rFonts w:hint="eastAsia"/>
                <w:snapToGrid w:val="0"/>
              </w:rPr>
              <w:t>234.73</w:t>
            </w:r>
          </w:p>
        </w:tc>
        <w:tc>
          <w:tcPr>
            <w:tcW w:w="607" w:type="pct"/>
            <w:noWrap w:val="0"/>
            <w:vAlign w:val="center"/>
          </w:tcPr>
          <w:p>
            <w:pPr>
              <w:pStyle w:val="3013"/>
              <w:spacing w:line="240" w:lineRule="exact"/>
              <w:rPr>
                <w:rFonts w:hint="eastAsia"/>
                <w:snapToGrid w:val="0"/>
              </w:rPr>
            </w:pPr>
            <w:r>
              <w:rPr>
                <w:rFonts w:hint="eastAsia"/>
                <w:snapToGrid w:val="0"/>
              </w:rPr>
              <w:t>235.46</w:t>
            </w:r>
          </w:p>
        </w:tc>
        <w:tc>
          <w:tcPr>
            <w:tcW w:w="608" w:type="pct"/>
            <w:noWrap w:val="0"/>
            <w:vAlign w:val="center"/>
          </w:tcPr>
          <w:p>
            <w:pPr>
              <w:pStyle w:val="3013"/>
              <w:spacing w:line="240" w:lineRule="exact"/>
              <w:rPr>
                <w:rFonts w:hint="eastAsia"/>
                <w:snapToGrid w:val="0"/>
              </w:rPr>
            </w:pPr>
            <w:r>
              <w:rPr>
                <w:rFonts w:hint="eastAsia"/>
                <w:snapToGrid w:val="0"/>
              </w:rPr>
              <w:t>236.30</w:t>
            </w:r>
          </w:p>
        </w:tc>
      </w:tr>
      <w:tr>
        <w:trPr>
          <w:trHeight w:val="312" w:hRule="atLeast"/>
        </w:trPr>
        <w:tc>
          <w:tcPr>
            <w:tcW w:w="386" w:type="pct"/>
            <w:noWrap w:val="0"/>
            <w:vAlign w:val="center"/>
          </w:tcPr>
          <w:p>
            <w:pPr>
              <w:pStyle w:val="3013"/>
              <w:spacing w:line="240" w:lineRule="exact"/>
              <w:rPr>
                <w:rFonts w:hint="eastAsia"/>
                <w:snapToGrid w:val="0"/>
              </w:rPr>
            </w:pPr>
            <w:r>
              <w:rPr>
                <w:rFonts w:hint="eastAsia"/>
                <w:snapToGrid w:val="0"/>
              </w:rPr>
              <w:t>4</w:t>
            </w:r>
          </w:p>
        </w:tc>
        <w:tc>
          <w:tcPr>
            <w:tcW w:w="827" w:type="pct"/>
            <w:noWrap w:val="0"/>
            <w:vAlign w:val="center"/>
          </w:tcPr>
          <w:p>
            <w:pPr>
              <w:pStyle w:val="3013"/>
              <w:spacing w:line="240" w:lineRule="exact"/>
              <w:rPr>
                <w:rFonts w:hint="eastAsia"/>
                <w:snapToGrid w:val="0"/>
              </w:rPr>
            </w:pPr>
          </w:p>
        </w:tc>
        <w:tc>
          <w:tcPr>
            <w:tcW w:w="749" w:type="pct"/>
            <w:noWrap w:val="0"/>
            <w:vAlign w:val="center"/>
          </w:tcPr>
          <w:p>
            <w:pPr>
              <w:pStyle w:val="3013"/>
              <w:spacing w:line="240" w:lineRule="exact"/>
              <w:rPr>
                <w:rFonts w:hint="eastAsia"/>
                <w:snapToGrid w:val="0"/>
              </w:rPr>
            </w:pPr>
            <w:r>
              <w:rPr>
                <w:rFonts w:hint="eastAsia"/>
                <w:snapToGrid w:val="0"/>
              </w:rPr>
              <w:t>41+526</w:t>
            </w:r>
          </w:p>
        </w:tc>
        <w:tc>
          <w:tcPr>
            <w:tcW w:w="607" w:type="pct"/>
            <w:noWrap w:val="0"/>
            <w:vAlign w:val="center"/>
          </w:tcPr>
          <w:p>
            <w:pPr>
              <w:pStyle w:val="3013"/>
              <w:spacing w:line="240" w:lineRule="exact"/>
              <w:rPr>
                <w:rFonts w:hint="eastAsia"/>
                <w:snapToGrid w:val="0"/>
              </w:rPr>
            </w:pPr>
            <w:r>
              <w:rPr>
                <w:rFonts w:hint="eastAsia"/>
                <w:snapToGrid w:val="0"/>
              </w:rPr>
              <w:t>230.57</w:t>
            </w:r>
          </w:p>
        </w:tc>
        <w:tc>
          <w:tcPr>
            <w:tcW w:w="607" w:type="pct"/>
            <w:noWrap w:val="0"/>
            <w:vAlign w:val="center"/>
          </w:tcPr>
          <w:p>
            <w:pPr>
              <w:pStyle w:val="3013"/>
              <w:spacing w:line="240" w:lineRule="exact"/>
              <w:rPr>
                <w:rFonts w:hint="eastAsia"/>
                <w:snapToGrid w:val="0"/>
              </w:rPr>
            </w:pPr>
            <w:r>
              <w:rPr>
                <w:rFonts w:hint="eastAsia"/>
                <w:snapToGrid w:val="0"/>
              </w:rPr>
              <w:t>232.03</w:t>
            </w:r>
          </w:p>
        </w:tc>
        <w:tc>
          <w:tcPr>
            <w:tcW w:w="607" w:type="pct"/>
            <w:noWrap w:val="0"/>
            <w:vAlign w:val="center"/>
          </w:tcPr>
          <w:p>
            <w:pPr>
              <w:pStyle w:val="3013"/>
              <w:spacing w:line="240" w:lineRule="exact"/>
              <w:rPr>
                <w:rFonts w:hint="eastAsia"/>
                <w:snapToGrid w:val="0"/>
              </w:rPr>
            </w:pPr>
            <w:r>
              <w:rPr>
                <w:rFonts w:hint="eastAsia"/>
                <w:snapToGrid w:val="0"/>
              </w:rPr>
              <w:t>233.32</w:t>
            </w:r>
          </w:p>
        </w:tc>
        <w:tc>
          <w:tcPr>
            <w:tcW w:w="607" w:type="pct"/>
            <w:noWrap w:val="0"/>
            <w:vAlign w:val="center"/>
          </w:tcPr>
          <w:p>
            <w:pPr>
              <w:pStyle w:val="3013"/>
              <w:spacing w:line="240" w:lineRule="exact"/>
              <w:rPr>
                <w:rFonts w:hint="eastAsia"/>
                <w:snapToGrid w:val="0"/>
              </w:rPr>
            </w:pPr>
            <w:r>
              <w:rPr>
                <w:rFonts w:hint="eastAsia"/>
                <w:snapToGrid w:val="0"/>
              </w:rPr>
              <w:t>234.03</w:t>
            </w:r>
          </w:p>
        </w:tc>
        <w:tc>
          <w:tcPr>
            <w:tcW w:w="608" w:type="pct"/>
            <w:noWrap w:val="0"/>
            <w:vAlign w:val="center"/>
          </w:tcPr>
          <w:p>
            <w:pPr>
              <w:pStyle w:val="3013"/>
              <w:spacing w:line="240" w:lineRule="exact"/>
              <w:rPr>
                <w:rFonts w:hint="eastAsia"/>
                <w:snapToGrid w:val="0"/>
              </w:rPr>
            </w:pPr>
            <w:r>
              <w:rPr>
                <w:rFonts w:hint="eastAsia"/>
                <w:snapToGrid w:val="0"/>
              </w:rPr>
              <w:t>234.84</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trPr>
        <w:tc>
          <w:tcPr>
            <w:tcW w:w="386" w:type="pct"/>
            <w:noWrap w:val="0"/>
            <w:vAlign w:val="center"/>
          </w:tcPr>
          <w:p>
            <w:pPr>
              <w:pStyle w:val="3013"/>
              <w:spacing w:line="240" w:lineRule="exact"/>
              <w:rPr>
                <w:rFonts w:hint="eastAsia"/>
                <w:snapToGrid w:val="0"/>
              </w:rPr>
            </w:pPr>
            <w:r>
              <w:rPr>
                <w:rFonts w:hint="eastAsia"/>
                <w:snapToGrid w:val="0"/>
              </w:rPr>
              <w:t>5</w:t>
            </w:r>
          </w:p>
        </w:tc>
        <w:tc>
          <w:tcPr>
            <w:tcW w:w="827" w:type="pct"/>
            <w:noWrap w:val="0"/>
            <w:vAlign w:val="center"/>
          </w:tcPr>
          <w:p>
            <w:pPr>
              <w:pStyle w:val="3013"/>
              <w:spacing w:line="240" w:lineRule="exact"/>
              <w:rPr>
                <w:rFonts w:hint="eastAsia"/>
                <w:snapToGrid w:val="0"/>
              </w:rPr>
            </w:pPr>
            <w:r>
              <w:rPr>
                <w:rFonts w:hint="eastAsia"/>
                <w:snapToGrid w:val="0"/>
              </w:rPr>
              <w:t>桥河枢纽</w:t>
            </w:r>
          </w:p>
        </w:tc>
        <w:tc>
          <w:tcPr>
            <w:tcW w:w="749" w:type="pct"/>
            <w:noWrap w:val="0"/>
            <w:vAlign w:val="center"/>
          </w:tcPr>
          <w:p>
            <w:pPr>
              <w:pStyle w:val="3013"/>
              <w:spacing w:line="240" w:lineRule="exact"/>
              <w:rPr>
                <w:rFonts w:hint="eastAsia"/>
                <w:snapToGrid w:val="0"/>
              </w:rPr>
            </w:pPr>
            <w:r>
              <w:rPr>
                <w:rFonts w:hint="eastAsia"/>
                <w:snapToGrid w:val="0"/>
              </w:rPr>
              <w:t>46+692</w:t>
            </w:r>
          </w:p>
        </w:tc>
        <w:tc>
          <w:tcPr>
            <w:tcW w:w="607" w:type="pct"/>
            <w:noWrap w:val="0"/>
            <w:vAlign w:val="center"/>
          </w:tcPr>
          <w:p>
            <w:pPr>
              <w:pStyle w:val="3013"/>
              <w:spacing w:line="240" w:lineRule="exact"/>
              <w:rPr>
                <w:rFonts w:hint="eastAsia"/>
                <w:snapToGrid w:val="0"/>
              </w:rPr>
            </w:pPr>
            <w:r>
              <w:rPr>
                <w:rFonts w:hint="eastAsia"/>
                <w:snapToGrid w:val="0"/>
              </w:rPr>
              <w:t>227.29</w:t>
            </w:r>
          </w:p>
        </w:tc>
        <w:tc>
          <w:tcPr>
            <w:tcW w:w="607" w:type="pct"/>
            <w:noWrap w:val="0"/>
            <w:vAlign w:val="center"/>
          </w:tcPr>
          <w:p>
            <w:pPr>
              <w:pStyle w:val="3013"/>
              <w:spacing w:line="240" w:lineRule="exact"/>
              <w:rPr>
                <w:rFonts w:hint="eastAsia"/>
                <w:snapToGrid w:val="0"/>
              </w:rPr>
            </w:pPr>
            <w:r>
              <w:rPr>
                <w:rFonts w:hint="eastAsia"/>
                <w:snapToGrid w:val="0"/>
              </w:rPr>
              <w:t>228.71</w:t>
            </w:r>
          </w:p>
        </w:tc>
        <w:tc>
          <w:tcPr>
            <w:tcW w:w="607" w:type="pct"/>
            <w:noWrap w:val="0"/>
            <w:vAlign w:val="center"/>
          </w:tcPr>
          <w:p>
            <w:pPr>
              <w:pStyle w:val="3013"/>
              <w:spacing w:line="240" w:lineRule="exact"/>
              <w:rPr>
                <w:rFonts w:hint="eastAsia"/>
                <w:snapToGrid w:val="0"/>
              </w:rPr>
            </w:pPr>
            <w:r>
              <w:rPr>
                <w:rFonts w:hint="eastAsia"/>
                <w:snapToGrid w:val="0"/>
              </w:rPr>
              <w:t>230.00</w:t>
            </w:r>
          </w:p>
        </w:tc>
        <w:tc>
          <w:tcPr>
            <w:tcW w:w="607" w:type="pct"/>
            <w:noWrap w:val="0"/>
            <w:vAlign w:val="center"/>
          </w:tcPr>
          <w:p>
            <w:pPr>
              <w:pStyle w:val="3013"/>
              <w:spacing w:line="240" w:lineRule="exact"/>
              <w:rPr>
                <w:rFonts w:hint="eastAsia"/>
                <w:snapToGrid w:val="0"/>
              </w:rPr>
            </w:pPr>
            <w:r>
              <w:rPr>
                <w:rFonts w:hint="eastAsia"/>
                <w:snapToGrid w:val="0"/>
              </w:rPr>
              <w:t>230.72</w:t>
            </w:r>
          </w:p>
        </w:tc>
        <w:tc>
          <w:tcPr>
            <w:tcW w:w="608" w:type="pct"/>
            <w:noWrap w:val="0"/>
            <w:vAlign w:val="center"/>
          </w:tcPr>
          <w:p>
            <w:pPr>
              <w:pStyle w:val="3013"/>
              <w:spacing w:line="240" w:lineRule="exact"/>
              <w:rPr>
                <w:rFonts w:hint="eastAsia"/>
                <w:snapToGrid w:val="0"/>
              </w:rPr>
            </w:pPr>
            <w:r>
              <w:rPr>
                <w:rFonts w:hint="eastAsia"/>
                <w:snapToGrid w:val="0"/>
              </w:rPr>
              <w:t>231.53</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trPr>
        <w:tc>
          <w:tcPr>
            <w:tcW w:w="386" w:type="pct"/>
            <w:noWrap/>
            <w:vAlign w:val="center"/>
          </w:tcPr>
          <w:p>
            <w:pPr>
              <w:pStyle w:val="3013"/>
              <w:spacing w:line="240" w:lineRule="exact"/>
              <w:rPr>
                <w:rFonts w:hint="eastAsia"/>
                <w:snapToGrid w:val="0"/>
              </w:rPr>
            </w:pPr>
            <w:r>
              <w:rPr>
                <w:rFonts w:hint="eastAsia"/>
                <w:snapToGrid w:val="0"/>
              </w:rPr>
              <w:t>6</w:t>
            </w:r>
          </w:p>
        </w:tc>
        <w:tc>
          <w:tcPr>
            <w:tcW w:w="827" w:type="pct"/>
            <w:noWrap/>
            <w:vAlign w:val="center"/>
          </w:tcPr>
          <w:p>
            <w:pPr>
              <w:pStyle w:val="3013"/>
              <w:spacing w:line="240" w:lineRule="exact"/>
              <w:rPr>
                <w:rFonts w:hint="eastAsia"/>
                <w:snapToGrid w:val="0"/>
              </w:rPr>
            </w:pPr>
            <w:r>
              <w:rPr>
                <w:rFonts w:hint="eastAsia"/>
                <w:snapToGrid w:val="0"/>
              </w:rPr>
              <w:t>綦江火车站</w:t>
            </w:r>
          </w:p>
        </w:tc>
        <w:tc>
          <w:tcPr>
            <w:tcW w:w="749" w:type="pct"/>
            <w:noWrap/>
            <w:vAlign w:val="center"/>
          </w:tcPr>
          <w:p>
            <w:pPr>
              <w:pStyle w:val="3013"/>
              <w:spacing w:line="240" w:lineRule="exact"/>
              <w:rPr>
                <w:rFonts w:hint="eastAsia"/>
                <w:snapToGrid w:val="0"/>
              </w:rPr>
            </w:pPr>
            <w:r>
              <w:rPr>
                <w:rFonts w:hint="eastAsia"/>
                <w:snapToGrid w:val="0"/>
              </w:rPr>
              <w:t>49+857</w:t>
            </w:r>
          </w:p>
        </w:tc>
        <w:tc>
          <w:tcPr>
            <w:tcW w:w="607" w:type="pct"/>
            <w:noWrap w:val="0"/>
            <w:vAlign w:val="center"/>
          </w:tcPr>
          <w:p>
            <w:pPr>
              <w:pStyle w:val="3013"/>
              <w:spacing w:line="240" w:lineRule="exact"/>
              <w:rPr>
                <w:rFonts w:hint="eastAsia"/>
                <w:snapToGrid w:val="0"/>
              </w:rPr>
            </w:pPr>
            <w:r>
              <w:rPr>
                <w:rFonts w:hint="eastAsia"/>
                <w:snapToGrid w:val="0"/>
              </w:rPr>
              <w:t>225.56</w:t>
            </w:r>
          </w:p>
        </w:tc>
        <w:tc>
          <w:tcPr>
            <w:tcW w:w="607" w:type="pct"/>
            <w:noWrap w:val="0"/>
            <w:vAlign w:val="center"/>
          </w:tcPr>
          <w:p>
            <w:pPr>
              <w:pStyle w:val="3013"/>
              <w:spacing w:line="240" w:lineRule="exact"/>
              <w:rPr>
                <w:rFonts w:hint="eastAsia"/>
                <w:snapToGrid w:val="0"/>
              </w:rPr>
            </w:pPr>
            <w:r>
              <w:rPr>
                <w:rFonts w:hint="eastAsia"/>
                <w:snapToGrid w:val="0"/>
              </w:rPr>
              <w:t>227.05</w:t>
            </w:r>
          </w:p>
        </w:tc>
        <w:tc>
          <w:tcPr>
            <w:tcW w:w="607" w:type="pct"/>
            <w:noWrap w:val="0"/>
            <w:vAlign w:val="center"/>
          </w:tcPr>
          <w:p>
            <w:pPr>
              <w:pStyle w:val="3013"/>
              <w:spacing w:line="240" w:lineRule="exact"/>
              <w:rPr>
                <w:rFonts w:hint="eastAsia"/>
                <w:snapToGrid w:val="0"/>
              </w:rPr>
            </w:pPr>
            <w:r>
              <w:rPr>
                <w:rFonts w:hint="eastAsia"/>
                <w:snapToGrid w:val="0"/>
              </w:rPr>
              <w:t>228.38</w:t>
            </w:r>
          </w:p>
        </w:tc>
        <w:tc>
          <w:tcPr>
            <w:tcW w:w="607" w:type="pct"/>
            <w:noWrap w:val="0"/>
            <w:vAlign w:val="center"/>
          </w:tcPr>
          <w:p>
            <w:pPr>
              <w:pStyle w:val="3013"/>
              <w:spacing w:line="240" w:lineRule="exact"/>
              <w:rPr>
                <w:rFonts w:hint="eastAsia"/>
                <w:snapToGrid w:val="0"/>
              </w:rPr>
            </w:pPr>
            <w:r>
              <w:rPr>
                <w:rFonts w:hint="eastAsia"/>
                <w:snapToGrid w:val="0"/>
              </w:rPr>
              <w:t>229.09</w:t>
            </w:r>
          </w:p>
        </w:tc>
        <w:tc>
          <w:tcPr>
            <w:tcW w:w="608" w:type="pct"/>
            <w:noWrap w:val="0"/>
            <w:vAlign w:val="center"/>
          </w:tcPr>
          <w:p>
            <w:pPr>
              <w:pStyle w:val="3013"/>
              <w:spacing w:line="240" w:lineRule="exact"/>
              <w:rPr>
                <w:rFonts w:hint="eastAsia"/>
                <w:snapToGrid w:val="0"/>
              </w:rPr>
            </w:pPr>
            <w:r>
              <w:rPr>
                <w:rFonts w:hint="eastAsia"/>
                <w:snapToGrid w:val="0"/>
              </w:rPr>
              <w:t>229.91</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trPr>
        <w:tc>
          <w:tcPr>
            <w:tcW w:w="386" w:type="pct"/>
            <w:noWrap/>
            <w:vAlign w:val="center"/>
          </w:tcPr>
          <w:p>
            <w:pPr>
              <w:pStyle w:val="3013"/>
              <w:spacing w:line="240" w:lineRule="exact"/>
              <w:rPr>
                <w:rFonts w:hint="eastAsia"/>
                <w:snapToGrid w:val="0"/>
              </w:rPr>
            </w:pPr>
            <w:r>
              <w:rPr>
                <w:rFonts w:hint="eastAsia"/>
                <w:snapToGrid w:val="0"/>
              </w:rPr>
              <w:t>7</w:t>
            </w:r>
          </w:p>
        </w:tc>
        <w:tc>
          <w:tcPr>
            <w:tcW w:w="827" w:type="pct"/>
            <w:noWrap/>
            <w:vAlign w:val="center"/>
          </w:tcPr>
          <w:p>
            <w:pPr>
              <w:pStyle w:val="3013"/>
              <w:spacing w:line="240" w:lineRule="exact"/>
              <w:rPr>
                <w:rFonts w:hint="eastAsia"/>
                <w:snapToGrid w:val="0"/>
              </w:rPr>
            </w:pPr>
            <w:r>
              <w:rPr>
                <w:rFonts w:hint="eastAsia"/>
                <w:snapToGrid w:val="0"/>
              </w:rPr>
              <w:t>沱湾大桥</w:t>
            </w:r>
          </w:p>
        </w:tc>
        <w:tc>
          <w:tcPr>
            <w:tcW w:w="749" w:type="pct"/>
            <w:noWrap/>
            <w:vAlign w:val="center"/>
          </w:tcPr>
          <w:p>
            <w:pPr>
              <w:pStyle w:val="3013"/>
              <w:spacing w:line="240" w:lineRule="exact"/>
              <w:rPr>
                <w:rFonts w:hint="eastAsia"/>
                <w:snapToGrid w:val="0"/>
              </w:rPr>
            </w:pPr>
            <w:r>
              <w:rPr>
                <w:rFonts w:hint="eastAsia"/>
                <w:snapToGrid w:val="0"/>
              </w:rPr>
              <w:t>50+551</w:t>
            </w:r>
          </w:p>
        </w:tc>
        <w:tc>
          <w:tcPr>
            <w:tcW w:w="607" w:type="pct"/>
            <w:noWrap w:val="0"/>
            <w:vAlign w:val="center"/>
          </w:tcPr>
          <w:p>
            <w:pPr>
              <w:pStyle w:val="3013"/>
              <w:spacing w:line="240" w:lineRule="exact"/>
              <w:rPr>
                <w:rFonts w:hint="eastAsia"/>
                <w:snapToGrid w:val="0"/>
              </w:rPr>
            </w:pPr>
            <w:r>
              <w:rPr>
                <w:rFonts w:hint="eastAsia"/>
                <w:snapToGrid w:val="0"/>
              </w:rPr>
              <w:t>224.93</w:t>
            </w:r>
          </w:p>
        </w:tc>
        <w:tc>
          <w:tcPr>
            <w:tcW w:w="607" w:type="pct"/>
            <w:noWrap w:val="0"/>
            <w:vAlign w:val="center"/>
          </w:tcPr>
          <w:p>
            <w:pPr>
              <w:pStyle w:val="3013"/>
              <w:spacing w:line="240" w:lineRule="exact"/>
              <w:rPr>
                <w:rFonts w:hint="eastAsia"/>
                <w:snapToGrid w:val="0"/>
              </w:rPr>
            </w:pPr>
            <w:r>
              <w:rPr>
                <w:rFonts w:hint="eastAsia"/>
                <w:snapToGrid w:val="0"/>
              </w:rPr>
              <w:t>226.35</w:t>
            </w:r>
          </w:p>
        </w:tc>
        <w:tc>
          <w:tcPr>
            <w:tcW w:w="607" w:type="pct"/>
            <w:noWrap w:val="0"/>
            <w:vAlign w:val="center"/>
          </w:tcPr>
          <w:p>
            <w:pPr>
              <w:pStyle w:val="3013"/>
              <w:spacing w:line="240" w:lineRule="exact"/>
              <w:rPr>
                <w:rFonts w:hint="eastAsia"/>
                <w:snapToGrid w:val="0"/>
              </w:rPr>
            </w:pPr>
            <w:r>
              <w:rPr>
                <w:rFonts w:hint="eastAsia"/>
                <w:snapToGrid w:val="0"/>
              </w:rPr>
              <w:t>227.63</w:t>
            </w:r>
          </w:p>
        </w:tc>
        <w:tc>
          <w:tcPr>
            <w:tcW w:w="607" w:type="pct"/>
            <w:noWrap w:val="0"/>
            <w:vAlign w:val="center"/>
          </w:tcPr>
          <w:p>
            <w:pPr>
              <w:pStyle w:val="3013"/>
              <w:spacing w:line="240" w:lineRule="exact"/>
              <w:rPr>
                <w:rFonts w:hint="eastAsia"/>
                <w:snapToGrid w:val="0"/>
              </w:rPr>
            </w:pPr>
            <w:r>
              <w:rPr>
                <w:rFonts w:hint="eastAsia"/>
                <w:snapToGrid w:val="0"/>
              </w:rPr>
              <w:t>228.33</w:t>
            </w:r>
          </w:p>
        </w:tc>
        <w:tc>
          <w:tcPr>
            <w:tcW w:w="608" w:type="pct"/>
            <w:noWrap w:val="0"/>
            <w:vAlign w:val="center"/>
          </w:tcPr>
          <w:p>
            <w:pPr>
              <w:pStyle w:val="3013"/>
              <w:spacing w:line="240" w:lineRule="exact"/>
              <w:rPr>
                <w:rFonts w:hint="eastAsia"/>
                <w:snapToGrid w:val="0"/>
              </w:rPr>
            </w:pPr>
            <w:r>
              <w:rPr>
                <w:rFonts w:hint="eastAsia"/>
                <w:snapToGrid w:val="0"/>
              </w:rPr>
              <w:t>229.12</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trPr>
        <w:tc>
          <w:tcPr>
            <w:tcW w:w="386" w:type="pct"/>
            <w:noWrap/>
            <w:vAlign w:val="center"/>
          </w:tcPr>
          <w:p>
            <w:pPr>
              <w:pStyle w:val="3013"/>
              <w:spacing w:line="240" w:lineRule="exact"/>
              <w:rPr>
                <w:rFonts w:hint="eastAsia"/>
                <w:snapToGrid w:val="0"/>
              </w:rPr>
            </w:pPr>
            <w:r>
              <w:rPr>
                <w:rFonts w:hint="eastAsia"/>
                <w:snapToGrid w:val="0"/>
              </w:rPr>
              <w:t>8</w:t>
            </w:r>
          </w:p>
        </w:tc>
        <w:tc>
          <w:tcPr>
            <w:tcW w:w="827" w:type="pct"/>
            <w:noWrap/>
            <w:vAlign w:val="center"/>
          </w:tcPr>
          <w:p>
            <w:pPr>
              <w:pStyle w:val="3013"/>
              <w:spacing w:line="240" w:lineRule="exact"/>
              <w:rPr>
                <w:rFonts w:hint="eastAsia"/>
                <w:snapToGrid w:val="0"/>
              </w:rPr>
            </w:pPr>
            <w:r>
              <w:rPr>
                <w:rFonts w:hint="eastAsia"/>
                <w:snapToGrid w:val="0"/>
              </w:rPr>
              <w:t>彩虹桥</w:t>
            </w:r>
          </w:p>
        </w:tc>
        <w:tc>
          <w:tcPr>
            <w:tcW w:w="749" w:type="pct"/>
            <w:noWrap/>
            <w:vAlign w:val="center"/>
          </w:tcPr>
          <w:p>
            <w:pPr>
              <w:pStyle w:val="3013"/>
              <w:spacing w:line="240" w:lineRule="exact"/>
              <w:rPr>
                <w:rFonts w:hint="eastAsia"/>
                <w:snapToGrid w:val="0"/>
              </w:rPr>
            </w:pPr>
            <w:r>
              <w:rPr>
                <w:rFonts w:hint="eastAsia"/>
                <w:snapToGrid w:val="0"/>
              </w:rPr>
              <w:t>51+378</w:t>
            </w:r>
          </w:p>
        </w:tc>
        <w:tc>
          <w:tcPr>
            <w:tcW w:w="607" w:type="pct"/>
            <w:noWrap w:val="0"/>
            <w:vAlign w:val="center"/>
          </w:tcPr>
          <w:p>
            <w:pPr>
              <w:pStyle w:val="3013"/>
              <w:spacing w:line="240" w:lineRule="exact"/>
              <w:rPr>
                <w:rFonts w:hint="eastAsia"/>
                <w:snapToGrid w:val="0"/>
              </w:rPr>
            </w:pPr>
            <w:r>
              <w:rPr>
                <w:rFonts w:hint="eastAsia"/>
                <w:snapToGrid w:val="0"/>
              </w:rPr>
              <w:t>224.44</w:t>
            </w:r>
          </w:p>
        </w:tc>
        <w:tc>
          <w:tcPr>
            <w:tcW w:w="607" w:type="pct"/>
            <w:noWrap w:val="0"/>
            <w:vAlign w:val="center"/>
          </w:tcPr>
          <w:p>
            <w:pPr>
              <w:pStyle w:val="3013"/>
              <w:spacing w:line="240" w:lineRule="exact"/>
              <w:rPr>
                <w:rFonts w:hint="eastAsia"/>
                <w:snapToGrid w:val="0"/>
              </w:rPr>
            </w:pPr>
            <w:r>
              <w:rPr>
                <w:rFonts w:hint="eastAsia"/>
                <w:snapToGrid w:val="0"/>
              </w:rPr>
              <w:t>225.90</w:t>
            </w:r>
          </w:p>
        </w:tc>
        <w:tc>
          <w:tcPr>
            <w:tcW w:w="607" w:type="pct"/>
            <w:noWrap w:val="0"/>
            <w:vAlign w:val="center"/>
          </w:tcPr>
          <w:p>
            <w:pPr>
              <w:pStyle w:val="3013"/>
              <w:spacing w:line="240" w:lineRule="exact"/>
              <w:rPr>
                <w:rFonts w:hint="eastAsia"/>
                <w:snapToGrid w:val="0"/>
              </w:rPr>
            </w:pPr>
            <w:r>
              <w:rPr>
                <w:rFonts w:hint="eastAsia"/>
                <w:snapToGrid w:val="0"/>
              </w:rPr>
              <w:t>227.19</w:t>
            </w:r>
          </w:p>
        </w:tc>
        <w:tc>
          <w:tcPr>
            <w:tcW w:w="607" w:type="pct"/>
            <w:noWrap w:val="0"/>
            <w:vAlign w:val="center"/>
          </w:tcPr>
          <w:p>
            <w:pPr>
              <w:pStyle w:val="3013"/>
              <w:spacing w:line="240" w:lineRule="exact"/>
              <w:rPr>
                <w:rFonts w:hint="eastAsia"/>
                <w:snapToGrid w:val="0"/>
              </w:rPr>
            </w:pPr>
            <w:r>
              <w:rPr>
                <w:rFonts w:hint="eastAsia"/>
                <w:snapToGrid w:val="0"/>
              </w:rPr>
              <w:t>227.89</w:t>
            </w:r>
          </w:p>
        </w:tc>
        <w:tc>
          <w:tcPr>
            <w:tcW w:w="608" w:type="pct"/>
            <w:noWrap w:val="0"/>
            <w:vAlign w:val="center"/>
          </w:tcPr>
          <w:p>
            <w:pPr>
              <w:pStyle w:val="3013"/>
              <w:spacing w:line="240" w:lineRule="exact"/>
              <w:rPr>
                <w:rFonts w:hint="eastAsia"/>
                <w:snapToGrid w:val="0"/>
              </w:rPr>
            </w:pPr>
            <w:r>
              <w:rPr>
                <w:rFonts w:hint="eastAsia"/>
                <w:snapToGrid w:val="0"/>
              </w:rPr>
              <w:t>228.69</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trPr>
        <w:tc>
          <w:tcPr>
            <w:tcW w:w="386" w:type="pct"/>
            <w:noWrap/>
            <w:vAlign w:val="center"/>
          </w:tcPr>
          <w:p>
            <w:pPr>
              <w:pStyle w:val="3013"/>
              <w:spacing w:line="240" w:lineRule="exact"/>
              <w:rPr>
                <w:rFonts w:hint="eastAsia"/>
                <w:snapToGrid w:val="0"/>
              </w:rPr>
            </w:pPr>
            <w:r>
              <w:rPr>
                <w:rFonts w:hint="eastAsia"/>
                <w:snapToGrid w:val="0"/>
              </w:rPr>
              <w:t>9</w:t>
            </w:r>
          </w:p>
        </w:tc>
        <w:tc>
          <w:tcPr>
            <w:tcW w:w="827" w:type="pct"/>
            <w:noWrap/>
            <w:vAlign w:val="center"/>
          </w:tcPr>
          <w:p>
            <w:pPr>
              <w:pStyle w:val="3013"/>
              <w:spacing w:line="240" w:lineRule="exact"/>
              <w:rPr>
                <w:rFonts w:hint="eastAsia"/>
                <w:snapToGrid w:val="0"/>
              </w:rPr>
            </w:pPr>
            <w:r>
              <w:rPr>
                <w:rFonts w:hint="eastAsia"/>
                <w:snapToGrid w:val="0"/>
              </w:rPr>
              <w:t>綦江大桥</w:t>
            </w:r>
          </w:p>
        </w:tc>
        <w:tc>
          <w:tcPr>
            <w:tcW w:w="749" w:type="pct"/>
            <w:noWrap/>
            <w:vAlign w:val="center"/>
          </w:tcPr>
          <w:p>
            <w:pPr>
              <w:pStyle w:val="3013"/>
              <w:spacing w:line="240" w:lineRule="exact"/>
              <w:rPr>
                <w:rFonts w:hint="eastAsia"/>
                <w:snapToGrid w:val="0"/>
              </w:rPr>
            </w:pPr>
            <w:r>
              <w:rPr>
                <w:rFonts w:hint="eastAsia"/>
                <w:snapToGrid w:val="0"/>
              </w:rPr>
              <w:t>51+916</w:t>
            </w:r>
          </w:p>
        </w:tc>
        <w:tc>
          <w:tcPr>
            <w:tcW w:w="607" w:type="pct"/>
            <w:noWrap w:val="0"/>
            <w:vAlign w:val="center"/>
          </w:tcPr>
          <w:p>
            <w:pPr>
              <w:pStyle w:val="3013"/>
              <w:spacing w:line="240" w:lineRule="exact"/>
              <w:rPr>
                <w:rFonts w:hint="eastAsia"/>
                <w:snapToGrid w:val="0"/>
              </w:rPr>
            </w:pPr>
            <w:r>
              <w:rPr>
                <w:rFonts w:hint="eastAsia"/>
                <w:snapToGrid w:val="0"/>
              </w:rPr>
              <w:t>224.09</w:t>
            </w:r>
          </w:p>
        </w:tc>
        <w:tc>
          <w:tcPr>
            <w:tcW w:w="607" w:type="pct"/>
            <w:noWrap w:val="0"/>
            <w:vAlign w:val="center"/>
          </w:tcPr>
          <w:p>
            <w:pPr>
              <w:pStyle w:val="3013"/>
              <w:spacing w:line="240" w:lineRule="exact"/>
              <w:rPr>
                <w:rFonts w:hint="eastAsia"/>
                <w:snapToGrid w:val="0"/>
              </w:rPr>
            </w:pPr>
            <w:r>
              <w:rPr>
                <w:rFonts w:hint="eastAsia"/>
                <w:snapToGrid w:val="0"/>
              </w:rPr>
              <w:t>225.49</w:t>
            </w:r>
          </w:p>
        </w:tc>
        <w:tc>
          <w:tcPr>
            <w:tcW w:w="607" w:type="pct"/>
            <w:noWrap w:val="0"/>
            <w:vAlign w:val="center"/>
          </w:tcPr>
          <w:p>
            <w:pPr>
              <w:pStyle w:val="3013"/>
              <w:spacing w:line="240" w:lineRule="exact"/>
              <w:rPr>
                <w:rFonts w:hint="eastAsia"/>
                <w:snapToGrid w:val="0"/>
              </w:rPr>
            </w:pPr>
            <w:r>
              <w:rPr>
                <w:rFonts w:hint="eastAsia"/>
                <w:snapToGrid w:val="0"/>
              </w:rPr>
              <w:t>226.71</w:t>
            </w:r>
          </w:p>
        </w:tc>
        <w:tc>
          <w:tcPr>
            <w:tcW w:w="607" w:type="pct"/>
            <w:noWrap w:val="0"/>
            <w:vAlign w:val="center"/>
          </w:tcPr>
          <w:p>
            <w:pPr>
              <w:pStyle w:val="3013"/>
              <w:spacing w:line="240" w:lineRule="exact"/>
              <w:rPr>
                <w:rFonts w:hint="eastAsia"/>
                <w:snapToGrid w:val="0"/>
              </w:rPr>
            </w:pPr>
            <w:r>
              <w:rPr>
                <w:rFonts w:hint="eastAsia"/>
                <w:snapToGrid w:val="0"/>
              </w:rPr>
              <w:t>227.36</w:t>
            </w:r>
          </w:p>
        </w:tc>
        <w:tc>
          <w:tcPr>
            <w:tcW w:w="608" w:type="pct"/>
            <w:noWrap w:val="0"/>
            <w:vAlign w:val="center"/>
          </w:tcPr>
          <w:p>
            <w:pPr>
              <w:pStyle w:val="3013"/>
              <w:spacing w:line="240" w:lineRule="exact"/>
              <w:rPr>
                <w:rFonts w:hint="eastAsia"/>
                <w:snapToGrid w:val="0"/>
              </w:rPr>
            </w:pPr>
            <w:r>
              <w:rPr>
                <w:rFonts w:hint="eastAsia"/>
                <w:snapToGrid w:val="0"/>
              </w:rPr>
              <w:t>228.10</w:t>
            </w:r>
          </w:p>
        </w:tc>
      </w:tr>
      <w:tr>
        <w:trPr>
          <w:trHeight w:val="312" w:hRule="atLeast"/>
        </w:trPr>
        <w:tc>
          <w:tcPr>
            <w:tcW w:w="386" w:type="pct"/>
            <w:noWrap/>
            <w:vAlign w:val="center"/>
          </w:tcPr>
          <w:p>
            <w:pPr>
              <w:pStyle w:val="3013"/>
              <w:spacing w:line="240" w:lineRule="exact"/>
              <w:rPr>
                <w:rFonts w:hint="eastAsia"/>
                <w:snapToGrid w:val="0"/>
              </w:rPr>
            </w:pPr>
            <w:r>
              <w:rPr>
                <w:rFonts w:hint="eastAsia"/>
                <w:snapToGrid w:val="0"/>
              </w:rPr>
              <w:t>10</w:t>
            </w:r>
          </w:p>
        </w:tc>
        <w:tc>
          <w:tcPr>
            <w:tcW w:w="827" w:type="pct"/>
            <w:noWrap/>
            <w:vAlign w:val="center"/>
          </w:tcPr>
          <w:p>
            <w:pPr>
              <w:pStyle w:val="3013"/>
              <w:spacing w:line="240" w:lineRule="exact"/>
              <w:rPr>
                <w:rFonts w:hint="eastAsia"/>
                <w:snapToGrid w:val="0"/>
              </w:rPr>
            </w:pPr>
          </w:p>
        </w:tc>
        <w:tc>
          <w:tcPr>
            <w:tcW w:w="749" w:type="pct"/>
            <w:noWrap/>
            <w:vAlign w:val="center"/>
          </w:tcPr>
          <w:p>
            <w:pPr>
              <w:pStyle w:val="3013"/>
              <w:spacing w:line="240" w:lineRule="exact"/>
              <w:rPr>
                <w:rFonts w:hint="eastAsia"/>
                <w:snapToGrid w:val="0"/>
              </w:rPr>
            </w:pPr>
            <w:r>
              <w:rPr>
                <w:rFonts w:hint="eastAsia"/>
                <w:snapToGrid w:val="0"/>
              </w:rPr>
              <w:t>52+210</w:t>
            </w:r>
          </w:p>
        </w:tc>
        <w:tc>
          <w:tcPr>
            <w:tcW w:w="607" w:type="pct"/>
            <w:noWrap w:val="0"/>
            <w:vAlign w:val="center"/>
          </w:tcPr>
          <w:p>
            <w:pPr>
              <w:pStyle w:val="3013"/>
              <w:spacing w:line="240" w:lineRule="exact"/>
              <w:rPr>
                <w:rFonts w:hint="eastAsia"/>
                <w:snapToGrid w:val="0"/>
              </w:rPr>
            </w:pPr>
            <w:r>
              <w:rPr>
                <w:rFonts w:hint="eastAsia"/>
                <w:snapToGrid w:val="0"/>
              </w:rPr>
              <w:t>223.92</w:t>
            </w:r>
          </w:p>
        </w:tc>
        <w:tc>
          <w:tcPr>
            <w:tcW w:w="607" w:type="pct"/>
            <w:noWrap w:val="0"/>
            <w:vAlign w:val="center"/>
          </w:tcPr>
          <w:p>
            <w:pPr>
              <w:pStyle w:val="3013"/>
              <w:spacing w:line="240" w:lineRule="exact"/>
              <w:rPr>
                <w:rFonts w:hint="eastAsia"/>
                <w:snapToGrid w:val="0"/>
              </w:rPr>
            </w:pPr>
            <w:r>
              <w:rPr>
                <w:rFonts w:hint="eastAsia"/>
                <w:snapToGrid w:val="0"/>
              </w:rPr>
              <w:t>225.36</w:t>
            </w:r>
          </w:p>
        </w:tc>
        <w:tc>
          <w:tcPr>
            <w:tcW w:w="607" w:type="pct"/>
            <w:noWrap w:val="0"/>
            <w:vAlign w:val="center"/>
          </w:tcPr>
          <w:p>
            <w:pPr>
              <w:pStyle w:val="3013"/>
              <w:spacing w:line="240" w:lineRule="exact"/>
              <w:rPr>
                <w:rFonts w:hint="eastAsia"/>
                <w:snapToGrid w:val="0"/>
              </w:rPr>
            </w:pPr>
            <w:r>
              <w:rPr>
                <w:rFonts w:hint="eastAsia"/>
                <w:snapToGrid w:val="0"/>
              </w:rPr>
              <w:t>226.65</w:t>
            </w:r>
          </w:p>
        </w:tc>
        <w:tc>
          <w:tcPr>
            <w:tcW w:w="607" w:type="pct"/>
            <w:noWrap w:val="0"/>
            <w:vAlign w:val="center"/>
          </w:tcPr>
          <w:p>
            <w:pPr>
              <w:pStyle w:val="3013"/>
              <w:spacing w:line="240" w:lineRule="exact"/>
              <w:rPr>
                <w:rFonts w:hint="eastAsia"/>
                <w:snapToGrid w:val="0"/>
              </w:rPr>
            </w:pPr>
            <w:r>
              <w:rPr>
                <w:rFonts w:hint="eastAsia"/>
                <w:snapToGrid w:val="0"/>
              </w:rPr>
              <w:t>227.35</w:t>
            </w:r>
          </w:p>
        </w:tc>
        <w:tc>
          <w:tcPr>
            <w:tcW w:w="608" w:type="pct"/>
            <w:noWrap w:val="0"/>
            <w:vAlign w:val="center"/>
          </w:tcPr>
          <w:p>
            <w:pPr>
              <w:pStyle w:val="3013"/>
              <w:spacing w:line="240" w:lineRule="exact"/>
              <w:rPr>
                <w:rFonts w:hint="eastAsia"/>
                <w:snapToGrid w:val="0"/>
              </w:rPr>
            </w:pPr>
            <w:r>
              <w:rPr>
                <w:rFonts w:hint="eastAsia"/>
                <w:snapToGrid w:val="0"/>
              </w:rPr>
              <w:t>228.14</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trPr>
        <w:tc>
          <w:tcPr>
            <w:tcW w:w="386" w:type="pct"/>
            <w:noWrap/>
            <w:vAlign w:val="center"/>
          </w:tcPr>
          <w:p>
            <w:pPr>
              <w:pStyle w:val="3013"/>
              <w:spacing w:line="240" w:lineRule="exact"/>
              <w:rPr>
                <w:rFonts w:hint="eastAsia"/>
                <w:snapToGrid w:val="0"/>
              </w:rPr>
            </w:pPr>
            <w:r>
              <w:rPr>
                <w:rFonts w:hint="eastAsia"/>
                <w:snapToGrid w:val="0"/>
              </w:rPr>
              <w:t>11</w:t>
            </w:r>
          </w:p>
        </w:tc>
        <w:tc>
          <w:tcPr>
            <w:tcW w:w="827" w:type="pct"/>
            <w:noWrap/>
            <w:vAlign w:val="center"/>
          </w:tcPr>
          <w:p>
            <w:pPr>
              <w:pStyle w:val="3013"/>
              <w:spacing w:line="240" w:lineRule="exact"/>
              <w:rPr>
                <w:rFonts w:hint="eastAsia"/>
                <w:snapToGrid w:val="0"/>
              </w:rPr>
            </w:pPr>
            <w:r>
              <w:rPr>
                <w:rFonts w:hint="eastAsia"/>
                <w:snapToGrid w:val="0"/>
              </w:rPr>
              <w:t>大常枢纽</w:t>
            </w:r>
          </w:p>
        </w:tc>
        <w:tc>
          <w:tcPr>
            <w:tcW w:w="749" w:type="pct"/>
            <w:noWrap/>
            <w:vAlign w:val="center"/>
          </w:tcPr>
          <w:p>
            <w:pPr>
              <w:pStyle w:val="3013"/>
              <w:spacing w:line="240" w:lineRule="exact"/>
              <w:rPr>
                <w:rFonts w:hint="eastAsia"/>
                <w:snapToGrid w:val="0"/>
              </w:rPr>
            </w:pPr>
            <w:r>
              <w:rPr>
                <w:rFonts w:hint="eastAsia"/>
                <w:snapToGrid w:val="0"/>
              </w:rPr>
              <w:t>52+990</w:t>
            </w:r>
          </w:p>
        </w:tc>
        <w:tc>
          <w:tcPr>
            <w:tcW w:w="607" w:type="pct"/>
            <w:noWrap w:val="0"/>
            <w:vAlign w:val="center"/>
          </w:tcPr>
          <w:p>
            <w:pPr>
              <w:pStyle w:val="3013"/>
              <w:spacing w:line="240" w:lineRule="exact"/>
              <w:rPr>
                <w:rFonts w:hint="eastAsia"/>
                <w:snapToGrid w:val="0"/>
              </w:rPr>
            </w:pPr>
            <w:r>
              <w:rPr>
                <w:rFonts w:hint="eastAsia"/>
                <w:snapToGrid w:val="0"/>
              </w:rPr>
              <w:t>223.17</w:t>
            </w:r>
          </w:p>
        </w:tc>
        <w:tc>
          <w:tcPr>
            <w:tcW w:w="607" w:type="pct"/>
            <w:noWrap w:val="0"/>
            <w:vAlign w:val="center"/>
          </w:tcPr>
          <w:p>
            <w:pPr>
              <w:pStyle w:val="3013"/>
              <w:spacing w:line="240" w:lineRule="exact"/>
              <w:rPr>
                <w:rFonts w:hint="eastAsia"/>
                <w:snapToGrid w:val="0"/>
              </w:rPr>
            </w:pPr>
            <w:r>
              <w:rPr>
                <w:rFonts w:hint="eastAsia"/>
                <w:snapToGrid w:val="0"/>
              </w:rPr>
              <w:t>224.56</w:t>
            </w:r>
          </w:p>
        </w:tc>
        <w:tc>
          <w:tcPr>
            <w:tcW w:w="607" w:type="pct"/>
            <w:noWrap w:val="0"/>
            <w:vAlign w:val="center"/>
          </w:tcPr>
          <w:p>
            <w:pPr>
              <w:pStyle w:val="3013"/>
              <w:spacing w:line="240" w:lineRule="exact"/>
              <w:rPr>
                <w:rFonts w:hint="eastAsia"/>
                <w:snapToGrid w:val="0"/>
              </w:rPr>
            </w:pPr>
            <w:r>
              <w:rPr>
                <w:rFonts w:hint="eastAsia"/>
                <w:snapToGrid w:val="0"/>
              </w:rPr>
              <w:t>225.81</w:t>
            </w:r>
          </w:p>
        </w:tc>
        <w:tc>
          <w:tcPr>
            <w:tcW w:w="607" w:type="pct"/>
            <w:noWrap w:val="0"/>
            <w:vAlign w:val="center"/>
          </w:tcPr>
          <w:p>
            <w:pPr>
              <w:pStyle w:val="3013"/>
              <w:spacing w:line="240" w:lineRule="exact"/>
              <w:rPr>
                <w:rFonts w:hint="eastAsia"/>
                <w:snapToGrid w:val="0"/>
              </w:rPr>
            </w:pPr>
            <w:r>
              <w:rPr>
                <w:rFonts w:hint="eastAsia"/>
                <w:snapToGrid w:val="0"/>
              </w:rPr>
              <w:t>226.49</w:t>
            </w:r>
          </w:p>
        </w:tc>
        <w:tc>
          <w:tcPr>
            <w:tcW w:w="608" w:type="pct"/>
            <w:noWrap w:val="0"/>
            <w:vAlign w:val="center"/>
          </w:tcPr>
          <w:p>
            <w:pPr>
              <w:pStyle w:val="3013"/>
              <w:spacing w:line="240" w:lineRule="exact"/>
              <w:rPr>
                <w:rFonts w:hint="eastAsia"/>
                <w:snapToGrid w:val="0"/>
              </w:rPr>
            </w:pPr>
            <w:r>
              <w:rPr>
                <w:rFonts w:hint="eastAsia"/>
                <w:snapToGrid w:val="0"/>
              </w:rPr>
              <w:t>227.26</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trPr>
        <w:tc>
          <w:tcPr>
            <w:tcW w:w="386" w:type="pct"/>
            <w:noWrap/>
            <w:vAlign w:val="center"/>
          </w:tcPr>
          <w:p>
            <w:pPr>
              <w:pStyle w:val="3013"/>
              <w:spacing w:line="240" w:lineRule="exact"/>
              <w:rPr>
                <w:rFonts w:hint="eastAsia"/>
                <w:snapToGrid w:val="0"/>
              </w:rPr>
            </w:pPr>
            <w:r>
              <w:rPr>
                <w:rFonts w:hint="eastAsia"/>
                <w:snapToGrid w:val="0"/>
              </w:rPr>
              <w:t>12</w:t>
            </w:r>
          </w:p>
        </w:tc>
        <w:tc>
          <w:tcPr>
            <w:tcW w:w="827" w:type="pct"/>
            <w:noWrap/>
            <w:vAlign w:val="center"/>
          </w:tcPr>
          <w:p>
            <w:pPr>
              <w:pStyle w:val="3013"/>
              <w:spacing w:line="240" w:lineRule="exact"/>
              <w:rPr>
                <w:rFonts w:hint="eastAsia"/>
                <w:snapToGrid w:val="0"/>
              </w:rPr>
            </w:pPr>
            <w:r>
              <w:rPr>
                <w:rFonts w:hint="eastAsia"/>
                <w:snapToGrid w:val="0"/>
              </w:rPr>
              <w:t>沙溪河口</w:t>
            </w:r>
          </w:p>
        </w:tc>
        <w:tc>
          <w:tcPr>
            <w:tcW w:w="749" w:type="pct"/>
            <w:noWrap/>
            <w:vAlign w:val="center"/>
          </w:tcPr>
          <w:p>
            <w:pPr>
              <w:pStyle w:val="3013"/>
              <w:spacing w:line="240" w:lineRule="exact"/>
              <w:rPr>
                <w:rFonts w:hint="eastAsia"/>
                <w:snapToGrid w:val="0"/>
              </w:rPr>
            </w:pPr>
            <w:r>
              <w:rPr>
                <w:rFonts w:hint="eastAsia"/>
                <w:snapToGrid w:val="0"/>
              </w:rPr>
              <w:t>53+817</w:t>
            </w:r>
          </w:p>
        </w:tc>
        <w:tc>
          <w:tcPr>
            <w:tcW w:w="607" w:type="pct"/>
            <w:noWrap w:val="0"/>
            <w:vAlign w:val="center"/>
          </w:tcPr>
          <w:p>
            <w:pPr>
              <w:pStyle w:val="3013"/>
              <w:spacing w:line="240" w:lineRule="exact"/>
              <w:rPr>
                <w:rFonts w:hint="eastAsia"/>
                <w:snapToGrid w:val="0"/>
              </w:rPr>
            </w:pPr>
            <w:r>
              <w:rPr>
                <w:rFonts w:hint="eastAsia"/>
                <w:snapToGrid w:val="0"/>
              </w:rPr>
              <w:t>222.56</w:t>
            </w:r>
          </w:p>
        </w:tc>
        <w:tc>
          <w:tcPr>
            <w:tcW w:w="607" w:type="pct"/>
            <w:noWrap w:val="0"/>
            <w:vAlign w:val="center"/>
          </w:tcPr>
          <w:p>
            <w:pPr>
              <w:pStyle w:val="3013"/>
              <w:spacing w:line="240" w:lineRule="exact"/>
              <w:rPr>
                <w:rFonts w:hint="eastAsia"/>
                <w:snapToGrid w:val="0"/>
              </w:rPr>
            </w:pPr>
            <w:r>
              <w:rPr>
                <w:rFonts w:hint="eastAsia"/>
                <w:snapToGrid w:val="0"/>
              </w:rPr>
              <w:t>224.07</w:t>
            </w:r>
          </w:p>
        </w:tc>
        <w:tc>
          <w:tcPr>
            <w:tcW w:w="607" w:type="pct"/>
            <w:noWrap w:val="0"/>
            <w:vAlign w:val="center"/>
          </w:tcPr>
          <w:p>
            <w:pPr>
              <w:pStyle w:val="3013"/>
              <w:spacing w:line="240" w:lineRule="exact"/>
              <w:rPr>
                <w:rFonts w:hint="eastAsia"/>
                <w:snapToGrid w:val="0"/>
              </w:rPr>
            </w:pPr>
            <w:r>
              <w:rPr>
                <w:rFonts w:hint="eastAsia"/>
                <w:snapToGrid w:val="0"/>
              </w:rPr>
              <w:t>225.39</w:t>
            </w:r>
          </w:p>
        </w:tc>
        <w:tc>
          <w:tcPr>
            <w:tcW w:w="607" w:type="pct"/>
            <w:noWrap w:val="0"/>
            <w:vAlign w:val="center"/>
          </w:tcPr>
          <w:p>
            <w:pPr>
              <w:pStyle w:val="3013"/>
              <w:spacing w:line="240" w:lineRule="exact"/>
              <w:rPr>
                <w:rFonts w:hint="eastAsia"/>
                <w:snapToGrid w:val="0"/>
              </w:rPr>
            </w:pPr>
            <w:r>
              <w:rPr>
                <w:rFonts w:hint="eastAsia"/>
                <w:snapToGrid w:val="0"/>
              </w:rPr>
              <w:t>226.10</w:t>
            </w:r>
          </w:p>
        </w:tc>
        <w:tc>
          <w:tcPr>
            <w:tcW w:w="608" w:type="pct"/>
            <w:noWrap w:val="0"/>
            <w:vAlign w:val="center"/>
          </w:tcPr>
          <w:p>
            <w:pPr>
              <w:pStyle w:val="3013"/>
              <w:spacing w:line="240" w:lineRule="exact"/>
              <w:rPr>
                <w:rFonts w:hint="eastAsia"/>
                <w:snapToGrid w:val="0"/>
              </w:rPr>
            </w:pPr>
            <w:r>
              <w:rPr>
                <w:rFonts w:hint="eastAsia"/>
                <w:snapToGrid w:val="0"/>
              </w:rPr>
              <w:t>226.91</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trPr>
        <w:tc>
          <w:tcPr>
            <w:tcW w:w="386" w:type="pct"/>
            <w:noWrap/>
            <w:vAlign w:val="center"/>
          </w:tcPr>
          <w:p>
            <w:pPr>
              <w:pStyle w:val="3013"/>
              <w:spacing w:line="240" w:lineRule="exact"/>
              <w:rPr>
                <w:rFonts w:hint="eastAsia"/>
                <w:snapToGrid w:val="0"/>
              </w:rPr>
            </w:pPr>
            <w:r>
              <w:rPr>
                <w:rFonts w:hint="eastAsia"/>
                <w:snapToGrid w:val="0"/>
              </w:rPr>
              <w:t>13</w:t>
            </w:r>
          </w:p>
        </w:tc>
        <w:tc>
          <w:tcPr>
            <w:tcW w:w="827" w:type="pct"/>
            <w:noWrap/>
            <w:vAlign w:val="center"/>
          </w:tcPr>
          <w:p>
            <w:pPr>
              <w:pStyle w:val="3013"/>
              <w:spacing w:line="240" w:lineRule="exact"/>
              <w:rPr>
                <w:rFonts w:hint="eastAsia"/>
                <w:snapToGrid w:val="0"/>
              </w:rPr>
            </w:pPr>
            <w:r>
              <w:rPr>
                <w:rFonts w:hint="eastAsia"/>
                <w:snapToGrid w:val="0"/>
              </w:rPr>
              <w:t>城北大桥</w:t>
            </w:r>
          </w:p>
        </w:tc>
        <w:tc>
          <w:tcPr>
            <w:tcW w:w="749" w:type="pct"/>
            <w:noWrap/>
            <w:vAlign w:val="center"/>
          </w:tcPr>
          <w:p>
            <w:pPr>
              <w:pStyle w:val="3013"/>
              <w:spacing w:line="240" w:lineRule="exact"/>
              <w:rPr>
                <w:rFonts w:hint="eastAsia"/>
                <w:snapToGrid w:val="0"/>
              </w:rPr>
            </w:pPr>
            <w:r>
              <w:rPr>
                <w:rFonts w:hint="eastAsia"/>
                <w:snapToGrid w:val="0"/>
              </w:rPr>
              <w:t>54+400</w:t>
            </w:r>
          </w:p>
        </w:tc>
        <w:tc>
          <w:tcPr>
            <w:tcW w:w="607" w:type="pct"/>
            <w:noWrap w:val="0"/>
            <w:vAlign w:val="center"/>
          </w:tcPr>
          <w:p>
            <w:pPr>
              <w:pStyle w:val="3013"/>
              <w:spacing w:line="240" w:lineRule="exact"/>
              <w:rPr>
                <w:rFonts w:hint="eastAsia"/>
                <w:snapToGrid w:val="0"/>
              </w:rPr>
            </w:pPr>
            <w:r>
              <w:rPr>
                <w:rFonts w:hint="eastAsia"/>
                <w:snapToGrid w:val="0"/>
              </w:rPr>
              <w:t>222.15</w:t>
            </w:r>
          </w:p>
        </w:tc>
        <w:tc>
          <w:tcPr>
            <w:tcW w:w="607" w:type="pct"/>
            <w:noWrap w:val="0"/>
            <w:vAlign w:val="center"/>
          </w:tcPr>
          <w:p>
            <w:pPr>
              <w:pStyle w:val="3013"/>
              <w:spacing w:line="240" w:lineRule="exact"/>
              <w:rPr>
                <w:rFonts w:hint="eastAsia"/>
                <w:snapToGrid w:val="0"/>
              </w:rPr>
            </w:pPr>
            <w:r>
              <w:rPr>
                <w:rFonts w:hint="eastAsia"/>
                <w:snapToGrid w:val="0"/>
              </w:rPr>
              <w:t>223.59</w:t>
            </w:r>
          </w:p>
        </w:tc>
        <w:tc>
          <w:tcPr>
            <w:tcW w:w="607" w:type="pct"/>
            <w:noWrap w:val="0"/>
            <w:vAlign w:val="center"/>
          </w:tcPr>
          <w:p>
            <w:pPr>
              <w:pStyle w:val="3013"/>
              <w:spacing w:line="240" w:lineRule="exact"/>
              <w:rPr>
                <w:rFonts w:hint="eastAsia"/>
                <w:snapToGrid w:val="0"/>
              </w:rPr>
            </w:pPr>
            <w:r>
              <w:rPr>
                <w:rFonts w:hint="eastAsia"/>
                <w:snapToGrid w:val="0"/>
              </w:rPr>
              <w:t>224.83</w:t>
            </w:r>
          </w:p>
        </w:tc>
        <w:tc>
          <w:tcPr>
            <w:tcW w:w="607" w:type="pct"/>
            <w:noWrap w:val="0"/>
            <w:vAlign w:val="center"/>
          </w:tcPr>
          <w:p>
            <w:pPr>
              <w:pStyle w:val="3013"/>
              <w:spacing w:line="240" w:lineRule="exact"/>
              <w:rPr>
                <w:rFonts w:hint="eastAsia"/>
                <w:snapToGrid w:val="0"/>
              </w:rPr>
            </w:pPr>
            <w:r>
              <w:rPr>
                <w:rFonts w:hint="eastAsia"/>
                <w:snapToGrid w:val="0"/>
              </w:rPr>
              <w:t>225.49</w:t>
            </w:r>
          </w:p>
        </w:tc>
        <w:tc>
          <w:tcPr>
            <w:tcW w:w="608" w:type="pct"/>
            <w:noWrap w:val="0"/>
            <w:vAlign w:val="center"/>
          </w:tcPr>
          <w:p>
            <w:pPr>
              <w:pStyle w:val="3013"/>
              <w:spacing w:line="240" w:lineRule="exact"/>
              <w:rPr>
                <w:rFonts w:hint="eastAsia"/>
                <w:snapToGrid w:val="0"/>
              </w:rPr>
            </w:pPr>
            <w:r>
              <w:rPr>
                <w:rFonts w:hint="eastAsia"/>
                <w:snapToGrid w:val="0"/>
              </w:rPr>
              <w:t>226.23</w:t>
            </w:r>
          </w:p>
        </w:tc>
      </w:tr>
    </w:tbl>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pPr>
      <w:r>
        <w:rPr>
          <w:rFonts w:hint="eastAsia" w:ascii="Times New Roman" w:hAnsi="Times New Roman" w:eastAsia="方正仿宋_GBK" w:cs="Times New Roman"/>
          <w:sz w:val="32"/>
          <w:szCs w:val="32"/>
        </w:rPr>
        <w:t>綦江支流城区段不同频率的设计洪水水面线见表4.5</w:t>
      </w:r>
      <w:r>
        <w:rPr>
          <w:rFonts w:hint="eastAsia" w:ascii="Times New Roman" w:eastAsia="方正仿宋_GBK" w:cs="Times New Roman"/>
          <w:sz w:val="32"/>
          <w:szCs w:val="32"/>
          <w:lang w:eastAsia="zh-CN"/>
        </w:rPr>
        <w:t>—</w:t>
      </w:r>
      <w:r>
        <w:rPr>
          <w:rFonts w:hint="eastAsia" w:ascii="Times New Roman" w:hAnsi="Times New Roman" w:eastAsia="方正仿宋_GBK" w:cs="Times New Roman"/>
          <w:sz w:val="32"/>
          <w:szCs w:val="32"/>
        </w:rPr>
        <w:t>6。</w:t>
      </w:r>
    </w:p>
    <w:p>
      <w:pPr>
        <w:pStyle w:val="2312"/>
        <w:ind w:firstLine="240"/>
        <w:jc w:val="center"/>
        <w:rPr>
          <w:rFonts w:hint="default" w:ascii="Times New Roman" w:hAnsi="Times New Roman" w:cs="Times New Roman"/>
        </w:rPr>
      </w:pPr>
      <w:r>
        <w:rPr>
          <w:rFonts w:hint="default" w:ascii="Times New Roman" w:hAnsi="Times New Roman" w:cs="Times New Roman"/>
        </w:rPr>
        <w:t>表4.5</w:t>
      </w:r>
      <w:r>
        <w:rPr>
          <w:rFonts w:hint="default" w:ascii="Times New Roman" w:hAnsi="Times New Roman" w:cs="Times New Roman"/>
          <w:lang w:eastAsia="zh-CN"/>
        </w:rPr>
        <w:t>—</w:t>
      </w:r>
      <w:r>
        <w:rPr>
          <w:rFonts w:hint="default" w:ascii="Times New Roman" w:hAnsi="Times New Roman" w:cs="Times New Roman"/>
        </w:rPr>
        <w:t xml:space="preserve">6     </w:t>
      </w:r>
      <w:r>
        <w:rPr>
          <w:rFonts w:hint="default" w:ascii="Times New Roman" w:hAnsi="Times New Roman" w:cs="Times New Roman"/>
        </w:rPr>
        <w:tab/>
      </w:r>
      <w:r>
        <w:rPr>
          <w:rFonts w:hint="default" w:ascii="Times New Roman" w:hAnsi="Times New Roman" w:cs="Times New Roman"/>
        </w:rPr>
        <w:t xml:space="preserve"> 綦江支流城区段各重要防洪断面水位</w:t>
      </w:r>
    </w:p>
    <w:tbl>
      <w:tblPr>
        <w:tblStyle w:val="88"/>
        <w:tblW w:w="499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643"/>
        <w:gridCol w:w="1372"/>
        <w:gridCol w:w="3078"/>
        <w:gridCol w:w="300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83" w:hRule="atLeast"/>
          <w:jc w:val="center"/>
        </w:trPr>
        <w:tc>
          <w:tcPr>
            <w:tcW w:w="903" w:type="pct"/>
            <w:noWrap/>
            <w:tcMar>
              <w:top w:w="15" w:type="dxa"/>
              <w:left w:w="15" w:type="dxa"/>
              <w:right w:w="15" w:type="dxa"/>
            </w:tcMar>
            <w:vAlign w:val="center"/>
          </w:tcPr>
          <w:p>
            <w:pPr>
              <w:pStyle w:val="3013"/>
              <w:widowControl/>
              <w:spacing w:line="240" w:lineRule="exact"/>
              <w:textAlignment w:val="center"/>
              <w:rPr>
                <w:snapToGrid w:val="0"/>
              </w:rPr>
            </w:pPr>
            <w:r>
              <w:rPr>
                <w:rFonts w:hint="eastAsia"/>
                <w:snapToGrid w:val="0"/>
                <w:lang w:bidi="ar"/>
              </w:rPr>
              <w:t>河流名称</w:t>
            </w:r>
          </w:p>
        </w:tc>
        <w:tc>
          <w:tcPr>
            <w:tcW w:w="754" w:type="pct"/>
            <w:noWrap/>
            <w:tcMar>
              <w:top w:w="15" w:type="dxa"/>
              <w:left w:w="15" w:type="dxa"/>
              <w:right w:w="15" w:type="dxa"/>
            </w:tcMar>
            <w:vAlign w:val="center"/>
          </w:tcPr>
          <w:p>
            <w:pPr>
              <w:pStyle w:val="3013"/>
              <w:widowControl/>
              <w:spacing w:line="240" w:lineRule="exact"/>
              <w:textAlignment w:val="center"/>
              <w:rPr>
                <w:rFonts w:hint="eastAsia"/>
                <w:snapToGrid w:val="0"/>
              </w:rPr>
            </w:pPr>
            <w:r>
              <w:rPr>
                <w:rFonts w:hint="eastAsia"/>
                <w:snapToGrid w:val="0"/>
                <w:lang w:bidi="ar"/>
              </w:rPr>
              <w:t>地名</w:t>
            </w:r>
          </w:p>
        </w:tc>
        <w:tc>
          <w:tcPr>
            <w:tcW w:w="1691" w:type="pct"/>
            <w:noWrap/>
            <w:tcMar>
              <w:top w:w="15" w:type="dxa"/>
              <w:left w:w="15" w:type="dxa"/>
              <w:right w:w="15" w:type="dxa"/>
            </w:tcMar>
            <w:vAlign w:val="center"/>
          </w:tcPr>
          <w:p>
            <w:pPr>
              <w:pStyle w:val="3013"/>
              <w:widowControl/>
              <w:spacing w:line="240" w:lineRule="exact"/>
              <w:textAlignment w:val="center"/>
              <w:rPr>
                <w:snapToGrid w:val="0"/>
              </w:rPr>
            </w:pPr>
            <w:r>
              <w:rPr>
                <w:rFonts w:hint="eastAsia"/>
                <w:snapToGrid w:val="0"/>
                <w:lang w:bidi="ar"/>
              </w:rPr>
              <w:t>50年一遇设计洪水位</w:t>
            </w:r>
            <w:r>
              <w:rPr>
                <w:rFonts w:hint="eastAsia"/>
                <w:snapToGrid w:val="0"/>
              </w:rPr>
              <w:t>（m）</w:t>
            </w:r>
          </w:p>
        </w:tc>
        <w:tc>
          <w:tcPr>
            <w:tcW w:w="1650" w:type="pct"/>
            <w:noWrap/>
            <w:tcMar>
              <w:top w:w="15" w:type="dxa"/>
              <w:left w:w="15" w:type="dxa"/>
              <w:right w:w="15" w:type="dxa"/>
            </w:tcMar>
            <w:vAlign w:val="center"/>
          </w:tcPr>
          <w:p>
            <w:pPr>
              <w:pStyle w:val="3013"/>
              <w:widowControl/>
              <w:spacing w:line="240" w:lineRule="exact"/>
              <w:textAlignment w:val="center"/>
              <w:rPr>
                <w:rFonts w:hint="eastAsia"/>
                <w:snapToGrid w:val="0"/>
              </w:rPr>
            </w:pPr>
            <w:r>
              <w:rPr>
                <w:rFonts w:hint="eastAsia"/>
                <w:snapToGrid w:val="0"/>
                <w:lang w:bidi="ar"/>
              </w:rPr>
              <w:t>20年一遇设计洪水位</w:t>
            </w:r>
            <w:r>
              <w:rPr>
                <w:rFonts w:hint="eastAsia"/>
                <w:snapToGrid w:val="0"/>
              </w:rPr>
              <w:t>（m）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83" w:hRule="atLeast"/>
          <w:jc w:val="center"/>
        </w:trPr>
        <w:tc>
          <w:tcPr>
            <w:tcW w:w="903" w:type="pct"/>
            <w:vMerge w:val="restart"/>
            <w:noWrap/>
            <w:tcMar>
              <w:top w:w="15" w:type="dxa"/>
              <w:left w:w="15" w:type="dxa"/>
              <w:right w:w="15" w:type="dxa"/>
            </w:tcMar>
            <w:vAlign w:val="center"/>
          </w:tcPr>
          <w:p>
            <w:pPr>
              <w:pStyle w:val="3013"/>
              <w:widowControl/>
              <w:spacing w:line="240" w:lineRule="exact"/>
              <w:textAlignment w:val="center"/>
              <w:rPr>
                <w:rFonts w:hint="eastAsia"/>
                <w:snapToGrid w:val="0"/>
              </w:rPr>
            </w:pPr>
            <w:r>
              <w:rPr>
                <w:rFonts w:hint="eastAsia"/>
                <w:snapToGrid w:val="0"/>
                <w:lang w:bidi="ar"/>
              </w:rPr>
              <w:t>沙溪河</w:t>
            </w:r>
          </w:p>
        </w:tc>
        <w:tc>
          <w:tcPr>
            <w:tcW w:w="754" w:type="pct"/>
            <w:noWrap/>
            <w:tcMar>
              <w:top w:w="15" w:type="dxa"/>
              <w:left w:w="15" w:type="dxa"/>
              <w:right w:w="15" w:type="dxa"/>
            </w:tcMar>
            <w:vAlign w:val="center"/>
          </w:tcPr>
          <w:p>
            <w:pPr>
              <w:pStyle w:val="3013"/>
              <w:widowControl/>
              <w:spacing w:line="240" w:lineRule="exact"/>
              <w:textAlignment w:val="center"/>
              <w:rPr>
                <w:rFonts w:hint="eastAsia"/>
                <w:snapToGrid w:val="0"/>
              </w:rPr>
            </w:pPr>
            <w:r>
              <w:rPr>
                <w:rFonts w:hint="eastAsia"/>
                <w:snapToGrid w:val="0"/>
                <w:lang w:bidi="ar"/>
              </w:rPr>
              <w:t>沙溪河口</w:t>
            </w:r>
          </w:p>
        </w:tc>
        <w:tc>
          <w:tcPr>
            <w:tcW w:w="1691" w:type="pct"/>
            <w:noWrap/>
            <w:tcMar>
              <w:top w:w="15" w:type="dxa"/>
              <w:left w:w="15" w:type="dxa"/>
              <w:right w:w="15" w:type="dxa"/>
            </w:tcMar>
            <w:vAlign w:val="center"/>
          </w:tcPr>
          <w:p>
            <w:pPr>
              <w:pStyle w:val="3013"/>
              <w:widowControl/>
              <w:spacing w:line="240" w:lineRule="exact"/>
              <w:textAlignment w:val="center"/>
              <w:rPr>
                <w:rFonts w:hint="eastAsia"/>
                <w:snapToGrid w:val="0"/>
              </w:rPr>
            </w:pPr>
            <w:r>
              <w:rPr>
                <w:rFonts w:hint="eastAsia"/>
                <w:snapToGrid w:val="0"/>
                <w:lang w:bidi="ar"/>
              </w:rPr>
              <w:t>226.91</w:t>
            </w:r>
          </w:p>
        </w:tc>
        <w:tc>
          <w:tcPr>
            <w:tcW w:w="1650" w:type="pct"/>
            <w:noWrap/>
            <w:tcMar>
              <w:top w:w="15" w:type="dxa"/>
              <w:left w:w="15" w:type="dxa"/>
              <w:right w:w="15" w:type="dxa"/>
            </w:tcMar>
            <w:vAlign w:val="center"/>
          </w:tcPr>
          <w:p>
            <w:pPr>
              <w:pStyle w:val="3013"/>
              <w:widowControl/>
              <w:spacing w:line="240" w:lineRule="exact"/>
              <w:textAlignment w:val="center"/>
              <w:rPr>
                <w:rFonts w:hint="eastAsia"/>
                <w:snapToGrid w:val="0"/>
              </w:rPr>
            </w:pPr>
            <w:r>
              <w:rPr>
                <w:rFonts w:hint="eastAsia"/>
                <w:snapToGrid w:val="0"/>
                <w:lang w:bidi="ar"/>
              </w:rPr>
              <w:t>225.39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83" w:hRule="atLeast"/>
          <w:jc w:val="center"/>
        </w:trPr>
        <w:tc>
          <w:tcPr>
            <w:tcW w:w="903" w:type="pct"/>
            <w:vMerge w:val="continue"/>
            <w:noWrap/>
            <w:tcMar>
              <w:top w:w="15" w:type="dxa"/>
              <w:left w:w="15" w:type="dxa"/>
              <w:right w:w="15" w:type="dxa"/>
            </w:tcMar>
            <w:vAlign w:val="center"/>
          </w:tcPr>
          <w:p>
            <w:pPr>
              <w:pStyle w:val="3013"/>
              <w:widowControl/>
              <w:spacing w:line="240" w:lineRule="exact"/>
              <w:textAlignment w:val="center"/>
              <w:rPr>
                <w:rFonts w:hint="eastAsia"/>
                <w:snapToGrid w:val="0"/>
              </w:rPr>
            </w:pPr>
          </w:p>
        </w:tc>
        <w:tc>
          <w:tcPr>
            <w:tcW w:w="754" w:type="pct"/>
            <w:noWrap/>
            <w:tcMar>
              <w:top w:w="15" w:type="dxa"/>
              <w:left w:w="15" w:type="dxa"/>
              <w:right w:w="15" w:type="dxa"/>
            </w:tcMar>
            <w:vAlign w:val="center"/>
          </w:tcPr>
          <w:p>
            <w:pPr>
              <w:pStyle w:val="3013"/>
              <w:widowControl/>
              <w:spacing w:line="240" w:lineRule="exact"/>
              <w:textAlignment w:val="center"/>
              <w:rPr>
                <w:rFonts w:hint="eastAsia"/>
                <w:snapToGrid w:val="0"/>
              </w:rPr>
            </w:pPr>
            <w:r>
              <w:rPr>
                <w:rFonts w:hint="eastAsia"/>
                <w:snapToGrid w:val="0"/>
                <w:lang w:bidi="ar"/>
              </w:rPr>
              <w:t>马家槽大桥</w:t>
            </w:r>
          </w:p>
        </w:tc>
        <w:tc>
          <w:tcPr>
            <w:tcW w:w="1691" w:type="pct"/>
            <w:noWrap/>
            <w:tcMar>
              <w:top w:w="15" w:type="dxa"/>
              <w:left w:w="15" w:type="dxa"/>
              <w:right w:w="15" w:type="dxa"/>
            </w:tcMar>
            <w:vAlign w:val="center"/>
          </w:tcPr>
          <w:p>
            <w:pPr>
              <w:pStyle w:val="3013"/>
              <w:widowControl/>
              <w:spacing w:line="240" w:lineRule="exact"/>
              <w:textAlignment w:val="center"/>
              <w:rPr>
                <w:rFonts w:hint="eastAsia"/>
                <w:snapToGrid w:val="0"/>
              </w:rPr>
            </w:pPr>
            <w:r>
              <w:rPr>
                <w:rFonts w:hint="eastAsia"/>
                <w:snapToGrid w:val="0"/>
                <w:lang w:bidi="ar"/>
              </w:rPr>
              <w:t>227.05</w:t>
            </w:r>
          </w:p>
        </w:tc>
        <w:tc>
          <w:tcPr>
            <w:tcW w:w="1650" w:type="pct"/>
            <w:noWrap/>
            <w:tcMar>
              <w:top w:w="15" w:type="dxa"/>
              <w:left w:w="15" w:type="dxa"/>
              <w:right w:w="15" w:type="dxa"/>
            </w:tcMar>
            <w:vAlign w:val="center"/>
          </w:tcPr>
          <w:p>
            <w:pPr>
              <w:pStyle w:val="3013"/>
              <w:widowControl/>
              <w:spacing w:line="240" w:lineRule="exact"/>
              <w:textAlignment w:val="center"/>
              <w:rPr>
                <w:rFonts w:hint="eastAsia"/>
                <w:snapToGrid w:val="0"/>
              </w:rPr>
            </w:pPr>
            <w:r>
              <w:rPr>
                <w:rFonts w:hint="eastAsia"/>
                <w:snapToGrid w:val="0"/>
                <w:lang w:bidi="ar"/>
              </w:rPr>
              <w:t>225.91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83" w:hRule="atLeast"/>
          <w:jc w:val="center"/>
        </w:trPr>
        <w:tc>
          <w:tcPr>
            <w:tcW w:w="903" w:type="pct"/>
            <w:vMerge w:val="restart"/>
            <w:noWrap/>
            <w:tcMar>
              <w:top w:w="15" w:type="dxa"/>
              <w:left w:w="15" w:type="dxa"/>
              <w:right w:w="15" w:type="dxa"/>
            </w:tcMar>
            <w:vAlign w:val="center"/>
          </w:tcPr>
          <w:p>
            <w:pPr>
              <w:pStyle w:val="3013"/>
              <w:widowControl/>
              <w:spacing w:line="240" w:lineRule="exact"/>
              <w:textAlignment w:val="center"/>
              <w:rPr>
                <w:rFonts w:hint="eastAsia"/>
                <w:snapToGrid w:val="0"/>
                <w:color w:val="000000"/>
              </w:rPr>
            </w:pPr>
            <w:r>
              <w:rPr>
                <w:rFonts w:hint="eastAsia"/>
                <w:snapToGrid w:val="0"/>
                <w:lang w:bidi="ar"/>
              </w:rPr>
              <w:t>通惠河</w:t>
            </w:r>
          </w:p>
        </w:tc>
        <w:tc>
          <w:tcPr>
            <w:tcW w:w="754" w:type="pct"/>
            <w:noWrap/>
            <w:tcMar>
              <w:top w:w="15" w:type="dxa"/>
              <w:left w:w="15" w:type="dxa"/>
              <w:right w:w="15" w:type="dxa"/>
            </w:tcMar>
            <w:vAlign w:val="center"/>
          </w:tcPr>
          <w:p>
            <w:pPr>
              <w:pStyle w:val="3013"/>
              <w:widowControl/>
              <w:spacing w:line="240" w:lineRule="exact"/>
              <w:textAlignment w:val="center"/>
              <w:rPr>
                <w:snapToGrid w:val="0"/>
              </w:rPr>
            </w:pPr>
            <w:r>
              <w:rPr>
                <w:rFonts w:hint="eastAsia"/>
                <w:snapToGrid w:val="0"/>
                <w:lang w:bidi="ar"/>
              </w:rPr>
              <w:t>通惠河口</w:t>
            </w:r>
          </w:p>
        </w:tc>
        <w:tc>
          <w:tcPr>
            <w:tcW w:w="1691" w:type="pct"/>
            <w:noWrap/>
            <w:tcMar>
              <w:top w:w="15" w:type="dxa"/>
              <w:left w:w="15" w:type="dxa"/>
              <w:right w:w="15" w:type="dxa"/>
            </w:tcMar>
            <w:vAlign w:val="center"/>
          </w:tcPr>
          <w:p>
            <w:pPr>
              <w:pStyle w:val="3013"/>
              <w:widowControl/>
              <w:spacing w:line="240" w:lineRule="exact"/>
              <w:textAlignment w:val="center"/>
              <w:rPr>
                <w:snapToGrid w:val="0"/>
              </w:rPr>
            </w:pPr>
            <w:r>
              <w:rPr>
                <w:rFonts w:hint="eastAsia"/>
                <w:snapToGrid w:val="0"/>
                <w:lang w:bidi="ar"/>
              </w:rPr>
              <w:t>228.50</w:t>
            </w:r>
          </w:p>
        </w:tc>
        <w:tc>
          <w:tcPr>
            <w:tcW w:w="1650" w:type="pct"/>
            <w:noWrap/>
            <w:tcMar>
              <w:top w:w="15" w:type="dxa"/>
              <w:left w:w="15" w:type="dxa"/>
              <w:right w:w="15" w:type="dxa"/>
            </w:tcMar>
            <w:vAlign w:val="center"/>
          </w:tcPr>
          <w:p>
            <w:pPr>
              <w:pStyle w:val="3013"/>
              <w:widowControl/>
              <w:spacing w:line="240" w:lineRule="exact"/>
              <w:textAlignment w:val="center"/>
              <w:rPr>
                <w:snapToGrid w:val="0"/>
              </w:rPr>
            </w:pPr>
            <w:r>
              <w:rPr>
                <w:rFonts w:hint="eastAsia"/>
                <w:snapToGrid w:val="0"/>
                <w:lang w:bidi="ar"/>
              </w:rPr>
              <w:t>227.01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83" w:hRule="atLeast"/>
          <w:jc w:val="center"/>
        </w:trPr>
        <w:tc>
          <w:tcPr>
            <w:tcW w:w="903" w:type="pct"/>
            <w:vMerge w:val="continue"/>
            <w:noWrap/>
            <w:tcMar>
              <w:top w:w="15" w:type="dxa"/>
              <w:left w:w="15" w:type="dxa"/>
              <w:right w:w="15" w:type="dxa"/>
            </w:tcMar>
            <w:vAlign w:val="center"/>
          </w:tcPr>
          <w:p>
            <w:pPr>
              <w:pStyle w:val="3013"/>
              <w:widowControl/>
              <w:spacing w:line="240" w:lineRule="exact"/>
              <w:textAlignment w:val="center"/>
              <w:rPr>
                <w:rFonts w:hint="eastAsia"/>
                <w:snapToGrid w:val="0"/>
              </w:rPr>
            </w:pPr>
          </w:p>
        </w:tc>
        <w:tc>
          <w:tcPr>
            <w:tcW w:w="754" w:type="pct"/>
            <w:noWrap/>
            <w:tcMar>
              <w:top w:w="15" w:type="dxa"/>
              <w:left w:w="15" w:type="dxa"/>
              <w:right w:w="15" w:type="dxa"/>
            </w:tcMar>
            <w:vAlign w:val="center"/>
          </w:tcPr>
          <w:p>
            <w:pPr>
              <w:pStyle w:val="3013"/>
              <w:widowControl/>
              <w:spacing w:line="240" w:lineRule="exact"/>
              <w:textAlignment w:val="center"/>
              <w:rPr>
                <w:rFonts w:hint="eastAsia"/>
                <w:snapToGrid w:val="0"/>
              </w:rPr>
            </w:pPr>
            <w:r>
              <w:rPr>
                <w:rFonts w:hint="eastAsia"/>
                <w:snapToGrid w:val="0"/>
                <w:lang w:bidi="ar"/>
              </w:rPr>
              <w:t>规划局</w:t>
            </w:r>
          </w:p>
        </w:tc>
        <w:tc>
          <w:tcPr>
            <w:tcW w:w="1691" w:type="pct"/>
            <w:noWrap/>
            <w:tcMar>
              <w:top w:w="15" w:type="dxa"/>
              <w:left w:w="15" w:type="dxa"/>
              <w:right w:w="15" w:type="dxa"/>
            </w:tcMar>
            <w:vAlign w:val="center"/>
          </w:tcPr>
          <w:p>
            <w:pPr>
              <w:pStyle w:val="3013"/>
              <w:widowControl/>
              <w:spacing w:line="240" w:lineRule="exact"/>
              <w:textAlignment w:val="center"/>
              <w:rPr>
                <w:rFonts w:hint="eastAsia"/>
                <w:snapToGrid w:val="0"/>
              </w:rPr>
            </w:pPr>
            <w:r>
              <w:rPr>
                <w:rFonts w:hint="eastAsia"/>
                <w:snapToGrid w:val="0"/>
                <w:lang w:bidi="ar"/>
              </w:rPr>
              <w:t>228.93</w:t>
            </w:r>
          </w:p>
        </w:tc>
        <w:tc>
          <w:tcPr>
            <w:tcW w:w="1650" w:type="pct"/>
            <w:noWrap/>
            <w:tcMar>
              <w:top w:w="15" w:type="dxa"/>
              <w:left w:w="15" w:type="dxa"/>
              <w:right w:w="15" w:type="dxa"/>
            </w:tcMar>
            <w:vAlign w:val="center"/>
          </w:tcPr>
          <w:p>
            <w:pPr>
              <w:pStyle w:val="3013"/>
              <w:widowControl/>
              <w:spacing w:line="240" w:lineRule="exact"/>
              <w:textAlignment w:val="center"/>
              <w:rPr>
                <w:rFonts w:hint="eastAsia"/>
                <w:snapToGrid w:val="0"/>
              </w:rPr>
            </w:pPr>
            <w:r>
              <w:rPr>
                <w:rFonts w:hint="eastAsia"/>
                <w:snapToGrid w:val="0"/>
                <w:lang w:bidi="ar"/>
              </w:rPr>
              <w:t>227.48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83" w:hRule="atLeast"/>
          <w:jc w:val="center"/>
        </w:trPr>
        <w:tc>
          <w:tcPr>
            <w:tcW w:w="903" w:type="pct"/>
            <w:vMerge w:val="continue"/>
            <w:noWrap/>
            <w:tcMar>
              <w:top w:w="15" w:type="dxa"/>
              <w:left w:w="15" w:type="dxa"/>
              <w:right w:w="15" w:type="dxa"/>
            </w:tcMar>
            <w:vAlign w:val="center"/>
          </w:tcPr>
          <w:p>
            <w:pPr>
              <w:pStyle w:val="3013"/>
              <w:widowControl/>
              <w:spacing w:line="240" w:lineRule="exact"/>
              <w:textAlignment w:val="center"/>
              <w:rPr>
                <w:rFonts w:hint="eastAsia"/>
                <w:snapToGrid w:val="0"/>
              </w:rPr>
            </w:pPr>
          </w:p>
        </w:tc>
        <w:tc>
          <w:tcPr>
            <w:tcW w:w="754" w:type="pct"/>
            <w:noWrap/>
            <w:tcMar>
              <w:top w:w="15" w:type="dxa"/>
              <w:left w:w="15" w:type="dxa"/>
              <w:right w:w="15" w:type="dxa"/>
            </w:tcMar>
            <w:vAlign w:val="center"/>
          </w:tcPr>
          <w:p>
            <w:pPr>
              <w:pStyle w:val="3013"/>
              <w:widowControl/>
              <w:spacing w:line="240" w:lineRule="exact"/>
              <w:textAlignment w:val="center"/>
              <w:rPr>
                <w:rFonts w:hint="eastAsia"/>
                <w:snapToGrid w:val="0"/>
              </w:rPr>
            </w:pPr>
            <w:r>
              <w:rPr>
                <w:rFonts w:hint="eastAsia"/>
                <w:snapToGrid w:val="0"/>
                <w:lang w:bidi="ar"/>
              </w:rPr>
              <w:t>东方新天地</w:t>
            </w:r>
          </w:p>
        </w:tc>
        <w:tc>
          <w:tcPr>
            <w:tcW w:w="1691" w:type="pct"/>
            <w:noWrap/>
            <w:tcMar>
              <w:top w:w="15" w:type="dxa"/>
              <w:left w:w="15" w:type="dxa"/>
              <w:right w:w="15" w:type="dxa"/>
            </w:tcMar>
            <w:vAlign w:val="center"/>
          </w:tcPr>
          <w:p>
            <w:pPr>
              <w:pStyle w:val="3013"/>
              <w:widowControl/>
              <w:spacing w:line="240" w:lineRule="exact"/>
              <w:textAlignment w:val="center"/>
              <w:rPr>
                <w:rFonts w:hint="eastAsia"/>
                <w:snapToGrid w:val="0"/>
              </w:rPr>
            </w:pPr>
            <w:r>
              <w:rPr>
                <w:rFonts w:hint="eastAsia"/>
                <w:snapToGrid w:val="0"/>
                <w:lang w:bidi="ar"/>
              </w:rPr>
              <w:t>248.33</w:t>
            </w:r>
          </w:p>
        </w:tc>
        <w:tc>
          <w:tcPr>
            <w:tcW w:w="1650" w:type="pct"/>
            <w:noWrap/>
            <w:tcMar>
              <w:top w:w="15" w:type="dxa"/>
              <w:left w:w="15" w:type="dxa"/>
              <w:right w:w="15" w:type="dxa"/>
            </w:tcMar>
            <w:vAlign w:val="center"/>
          </w:tcPr>
          <w:p>
            <w:pPr>
              <w:pStyle w:val="3013"/>
              <w:widowControl/>
              <w:spacing w:line="240" w:lineRule="exact"/>
              <w:textAlignment w:val="center"/>
              <w:rPr>
                <w:rFonts w:hint="eastAsia"/>
                <w:snapToGrid w:val="0"/>
              </w:rPr>
            </w:pPr>
            <w:r>
              <w:rPr>
                <w:rFonts w:hint="eastAsia"/>
                <w:snapToGrid w:val="0"/>
                <w:lang w:bidi="ar"/>
              </w:rPr>
              <w:t>247.86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83" w:hRule="atLeast"/>
          <w:jc w:val="center"/>
        </w:trPr>
        <w:tc>
          <w:tcPr>
            <w:tcW w:w="903" w:type="pct"/>
            <w:vMerge w:val="continue"/>
            <w:noWrap/>
            <w:tcMar>
              <w:top w:w="15" w:type="dxa"/>
              <w:left w:w="15" w:type="dxa"/>
              <w:right w:w="15" w:type="dxa"/>
            </w:tcMar>
            <w:vAlign w:val="center"/>
          </w:tcPr>
          <w:p>
            <w:pPr>
              <w:pStyle w:val="3013"/>
              <w:widowControl/>
              <w:spacing w:line="240" w:lineRule="exact"/>
              <w:textAlignment w:val="center"/>
              <w:rPr>
                <w:rFonts w:hint="eastAsia"/>
                <w:snapToGrid w:val="0"/>
              </w:rPr>
            </w:pPr>
          </w:p>
        </w:tc>
        <w:tc>
          <w:tcPr>
            <w:tcW w:w="754" w:type="pct"/>
            <w:noWrap/>
            <w:tcMar>
              <w:top w:w="15" w:type="dxa"/>
              <w:left w:w="15" w:type="dxa"/>
              <w:right w:w="15" w:type="dxa"/>
            </w:tcMar>
            <w:vAlign w:val="center"/>
          </w:tcPr>
          <w:p>
            <w:pPr>
              <w:pStyle w:val="3013"/>
              <w:widowControl/>
              <w:spacing w:line="240" w:lineRule="exact"/>
              <w:textAlignment w:val="center"/>
              <w:rPr>
                <w:rFonts w:hint="eastAsia"/>
                <w:snapToGrid w:val="0"/>
              </w:rPr>
            </w:pPr>
            <w:r>
              <w:rPr>
                <w:rFonts w:hint="eastAsia"/>
                <w:snapToGrid w:val="0"/>
                <w:lang w:bidi="ar"/>
              </w:rPr>
              <w:t>环保局</w:t>
            </w:r>
          </w:p>
        </w:tc>
        <w:tc>
          <w:tcPr>
            <w:tcW w:w="1691" w:type="pct"/>
            <w:noWrap/>
            <w:tcMar>
              <w:top w:w="15" w:type="dxa"/>
              <w:left w:w="15" w:type="dxa"/>
              <w:right w:w="15" w:type="dxa"/>
            </w:tcMar>
            <w:vAlign w:val="center"/>
          </w:tcPr>
          <w:p>
            <w:pPr>
              <w:pStyle w:val="3013"/>
              <w:widowControl/>
              <w:spacing w:line="240" w:lineRule="exact"/>
              <w:textAlignment w:val="center"/>
              <w:rPr>
                <w:rFonts w:hint="eastAsia"/>
                <w:snapToGrid w:val="0"/>
              </w:rPr>
            </w:pPr>
            <w:r>
              <w:rPr>
                <w:rFonts w:hint="eastAsia"/>
                <w:snapToGrid w:val="0"/>
                <w:lang w:bidi="ar"/>
              </w:rPr>
              <w:t>258.57</w:t>
            </w:r>
          </w:p>
        </w:tc>
        <w:tc>
          <w:tcPr>
            <w:tcW w:w="1650" w:type="pct"/>
            <w:noWrap/>
            <w:tcMar>
              <w:top w:w="15" w:type="dxa"/>
              <w:left w:w="15" w:type="dxa"/>
              <w:right w:w="15" w:type="dxa"/>
            </w:tcMar>
            <w:vAlign w:val="center"/>
          </w:tcPr>
          <w:p>
            <w:pPr>
              <w:pStyle w:val="3013"/>
              <w:widowControl/>
              <w:spacing w:line="240" w:lineRule="exact"/>
              <w:textAlignment w:val="center"/>
              <w:rPr>
                <w:rFonts w:hint="eastAsia"/>
                <w:snapToGrid w:val="0"/>
              </w:rPr>
            </w:pPr>
            <w:r>
              <w:rPr>
                <w:rFonts w:hint="eastAsia"/>
                <w:snapToGrid w:val="0"/>
                <w:lang w:bidi="ar"/>
              </w:rPr>
              <w:t>257.79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83" w:hRule="atLeast"/>
          <w:jc w:val="center"/>
        </w:trPr>
        <w:tc>
          <w:tcPr>
            <w:tcW w:w="903" w:type="pct"/>
            <w:vMerge w:val="restart"/>
            <w:noWrap w:val="0"/>
            <w:tcMar>
              <w:top w:w="15" w:type="dxa"/>
              <w:left w:w="15" w:type="dxa"/>
              <w:right w:w="15" w:type="dxa"/>
            </w:tcMar>
            <w:vAlign w:val="center"/>
          </w:tcPr>
          <w:p>
            <w:pPr>
              <w:pStyle w:val="3013"/>
              <w:widowControl/>
              <w:spacing w:line="240" w:lineRule="exact"/>
              <w:textAlignment w:val="center"/>
              <w:rPr>
                <w:rFonts w:hint="eastAsia"/>
                <w:snapToGrid w:val="0"/>
              </w:rPr>
            </w:pPr>
            <w:r>
              <w:rPr>
                <w:rFonts w:hint="eastAsia"/>
                <w:snapToGrid w:val="0"/>
                <w:lang w:bidi="ar"/>
              </w:rPr>
              <w:t>蒲河</w:t>
            </w:r>
          </w:p>
        </w:tc>
        <w:tc>
          <w:tcPr>
            <w:tcW w:w="754" w:type="pct"/>
            <w:noWrap w:val="0"/>
            <w:tcMar>
              <w:top w:w="15" w:type="dxa"/>
              <w:left w:w="15" w:type="dxa"/>
              <w:right w:w="15" w:type="dxa"/>
            </w:tcMar>
            <w:vAlign w:val="center"/>
          </w:tcPr>
          <w:p>
            <w:pPr>
              <w:pStyle w:val="3013"/>
              <w:widowControl/>
              <w:spacing w:line="240" w:lineRule="exact"/>
              <w:textAlignment w:val="center"/>
              <w:rPr>
                <w:rFonts w:hint="eastAsia"/>
                <w:snapToGrid w:val="0"/>
              </w:rPr>
            </w:pPr>
            <w:r>
              <w:rPr>
                <w:rFonts w:hint="eastAsia"/>
                <w:snapToGrid w:val="0"/>
                <w:lang w:bidi="ar"/>
              </w:rPr>
              <w:t>三江老街</w:t>
            </w:r>
          </w:p>
        </w:tc>
        <w:tc>
          <w:tcPr>
            <w:tcW w:w="1691" w:type="pct"/>
            <w:noWrap w:val="0"/>
            <w:tcMar>
              <w:top w:w="15" w:type="dxa"/>
              <w:left w:w="15" w:type="dxa"/>
              <w:right w:w="15" w:type="dxa"/>
            </w:tcMar>
            <w:vAlign w:val="center"/>
          </w:tcPr>
          <w:p>
            <w:pPr>
              <w:pStyle w:val="3013"/>
              <w:widowControl/>
              <w:spacing w:line="240" w:lineRule="exact"/>
              <w:textAlignment w:val="center"/>
              <w:rPr>
                <w:rFonts w:hint="eastAsia"/>
                <w:snapToGrid w:val="0"/>
              </w:rPr>
            </w:pPr>
            <w:r>
              <w:rPr>
                <w:rFonts w:hint="eastAsia"/>
                <w:snapToGrid w:val="0"/>
                <w:lang w:bidi="ar"/>
              </w:rPr>
              <w:t>241.64</w:t>
            </w:r>
          </w:p>
        </w:tc>
        <w:tc>
          <w:tcPr>
            <w:tcW w:w="1650" w:type="pct"/>
            <w:noWrap w:val="0"/>
            <w:tcMar>
              <w:top w:w="15" w:type="dxa"/>
              <w:left w:w="15" w:type="dxa"/>
              <w:right w:w="15" w:type="dxa"/>
            </w:tcMar>
            <w:vAlign w:val="center"/>
          </w:tcPr>
          <w:p>
            <w:pPr>
              <w:pStyle w:val="3013"/>
              <w:widowControl/>
              <w:spacing w:line="240" w:lineRule="exact"/>
              <w:textAlignment w:val="center"/>
              <w:rPr>
                <w:rFonts w:hint="eastAsia"/>
                <w:snapToGrid w:val="0"/>
              </w:rPr>
            </w:pPr>
            <w:r>
              <w:rPr>
                <w:rFonts w:hint="eastAsia"/>
                <w:snapToGrid w:val="0"/>
                <w:lang w:bidi="ar"/>
              </w:rPr>
              <w:t>240.07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83" w:hRule="atLeast"/>
          <w:jc w:val="center"/>
        </w:trPr>
        <w:tc>
          <w:tcPr>
            <w:tcW w:w="903" w:type="pct"/>
            <w:vMerge w:val="continue"/>
            <w:noWrap w:val="0"/>
            <w:tcMar>
              <w:top w:w="15" w:type="dxa"/>
              <w:left w:w="15" w:type="dxa"/>
              <w:right w:w="15" w:type="dxa"/>
            </w:tcMar>
            <w:vAlign w:val="center"/>
          </w:tcPr>
          <w:p>
            <w:pPr>
              <w:pStyle w:val="3013"/>
              <w:widowControl/>
              <w:spacing w:line="240" w:lineRule="exact"/>
              <w:textAlignment w:val="center"/>
              <w:rPr>
                <w:rFonts w:hint="eastAsia"/>
                <w:snapToGrid w:val="0"/>
              </w:rPr>
            </w:pPr>
          </w:p>
        </w:tc>
        <w:tc>
          <w:tcPr>
            <w:tcW w:w="754" w:type="pct"/>
            <w:noWrap w:val="0"/>
            <w:tcMar>
              <w:top w:w="15" w:type="dxa"/>
              <w:left w:w="15" w:type="dxa"/>
              <w:right w:w="15" w:type="dxa"/>
            </w:tcMar>
            <w:vAlign w:val="center"/>
          </w:tcPr>
          <w:p>
            <w:pPr>
              <w:pStyle w:val="3013"/>
              <w:widowControl/>
              <w:spacing w:line="240" w:lineRule="exact"/>
              <w:textAlignment w:val="center"/>
              <w:rPr>
                <w:rFonts w:hint="eastAsia"/>
                <w:snapToGrid w:val="0"/>
              </w:rPr>
            </w:pPr>
            <w:r>
              <w:rPr>
                <w:rFonts w:hint="eastAsia"/>
                <w:snapToGrid w:val="0"/>
                <w:lang w:bidi="ar"/>
              </w:rPr>
              <w:t>闸坝菜市场</w:t>
            </w:r>
          </w:p>
        </w:tc>
        <w:tc>
          <w:tcPr>
            <w:tcW w:w="1691" w:type="pct"/>
            <w:noWrap w:val="0"/>
            <w:tcMar>
              <w:top w:w="15" w:type="dxa"/>
              <w:left w:w="15" w:type="dxa"/>
              <w:right w:w="15" w:type="dxa"/>
            </w:tcMar>
            <w:vAlign w:val="center"/>
          </w:tcPr>
          <w:p>
            <w:pPr>
              <w:pStyle w:val="3013"/>
              <w:widowControl/>
              <w:spacing w:line="240" w:lineRule="exact"/>
              <w:textAlignment w:val="center"/>
              <w:rPr>
                <w:rFonts w:hint="eastAsia"/>
                <w:snapToGrid w:val="0"/>
              </w:rPr>
            </w:pPr>
            <w:r>
              <w:rPr>
                <w:rFonts w:hint="eastAsia"/>
                <w:snapToGrid w:val="0"/>
                <w:lang w:bidi="ar"/>
              </w:rPr>
              <w:t>241.75</w:t>
            </w:r>
          </w:p>
        </w:tc>
        <w:tc>
          <w:tcPr>
            <w:tcW w:w="1650" w:type="pct"/>
            <w:noWrap w:val="0"/>
            <w:tcMar>
              <w:top w:w="15" w:type="dxa"/>
              <w:left w:w="15" w:type="dxa"/>
              <w:right w:w="15" w:type="dxa"/>
            </w:tcMar>
            <w:vAlign w:val="center"/>
          </w:tcPr>
          <w:p>
            <w:pPr>
              <w:pStyle w:val="3013"/>
              <w:widowControl/>
              <w:spacing w:line="240" w:lineRule="exact"/>
              <w:textAlignment w:val="center"/>
              <w:rPr>
                <w:rFonts w:hint="eastAsia"/>
                <w:snapToGrid w:val="0"/>
              </w:rPr>
            </w:pPr>
            <w:r>
              <w:rPr>
                <w:rFonts w:hint="eastAsia"/>
                <w:snapToGrid w:val="0"/>
                <w:lang w:bidi="ar"/>
              </w:rPr>
              <w:t>240.26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83" w:hRule="atLeast"/>
          <w:jc w:val="center"/>
        </w:trPr>
        <w:tc>
          <w:tcPr>
            <w:tcW w:w="903" w:type="pct"/>
            <w:vMerge w:val="restart"/>
            <w:noWrap w:val="0"/>
            <w:tcMar>
              <w:top w:w="15" w:type="dxa"/>
              <w:left w:w="15" w:type="dxa"/>
              <w:right w:w="15" w:type="dxa"/>
            </w:tcMar>
            <w:vAlign w:val="center"/>
          </w:tcPr>
          <w:p>
            <w:pPr>
              <w:pStyle w:val="3013"/>
              <w:widowControl/>
              <w:spacing w:line="240" w:lineRule="exact"/>
              <w:textAlignment w:val="center"/>
              <w:rPr>
                <w:rFonts w:hint="eastAsia"/>
                <w:snapToGrid w:val="0"/>
                <w:lang w:bidi="ar"/>
              </w:rPr>
            </w:pPr>
            <w:r>
              <w:rPr>
                <w:rFonts w:hint="eastAsia"/>
                <w:snapToGrid w:val="0"/>
                <w:lang w:bidi="ar"/>
              </w:rPr>
              <w:t>桥河</w:t>
            </w:r>
          </w:p>
        </w:tc>
        <w:tc>
          <w:tcPr>
            <w:tcW w:w="754" w:type="pct"/>
            <w:noWrap w:val="0"/>
            <w:tcMar>
              <w:top w:w="15" w:type="dxa"/>
              <w:left w:w="15" w:type="dxa"/>
              <w:right w:w="15" w:type="dxa"/>
            </w:tcMar>
            <w:vAlign w:val="center"/>
          </w:tcPr>
          <w:p>
            <w:pPr>
              <w:pStyle w:val="3013"/>
              <w:widowControl/>
              <w:spacing w:line="240" w:lineRule="exact"/>
              <w:textAlignment w:val="center"/>
              <w:rPr>
                <w:rFonts w:hint="eastAsia"/>
                <w:snapToGrid w:val="0"/>
                <w:lang w:bidi="ar"/>
              </w:rPr>
            </w:pPr>
            <w:r>
              <w:rPr>
                <w:rFonts w:hint="eastAsia"/>
                <w:snapToGrid w:val="0"/>
                <w:lang w:bidi="ar"/>
              </w:rPr>
              <w:t>桥河口</w:t>
            </w:r>
          </w:p>
        </w:tc>
        <w:tc>
          <w:tcPr>
            <w:tcW w:w="1691" w:type="pct"/>
            <w:noWrap w:val="0"/>
            <w:tcMar>
              <w:top w:w="15" w:type="dxa"/>
              <w:left w:w="15" w:type="dxa"/>
              <w:right w:w="15" w:type="dxa"/>
            </w:tcMar>
            <w:vAlign w:val="center"/>
          </w:tcPr>
          <w:p>
            <w:pPr>
              <w:pStyle w:val="3013"/>
              <w:widowControl/>
              <w:spacing w:line="240" w:lineRule="exact"/>
              <w:textAlignment w:val="center"/>
              <w:rPr>
                <w:rFonts w:hint="eastAsia"/>
                <w:snapToGrid w:val="0"/>
                <w:lang w:bidi="ar"/>
              </w:rPr>
            </w:pPr>
            <w:r>
              <w:rPr>
                <w:rFonts w:hint="eastAsia"/>
                <w:snapToGrid w:val="0"/>
                <w:lang w:bidi="ar"/>
              </w:rPr>
              <w:t>231.26</w:t>
            </w:r>
          </w:p>
        </w:tc>
        <w:tc>
          <w:tcPr>
            <w:tcW w:w="1650" w:type="pct"/>
            <w:noWrap w:val="0"/>
            <w:tcMar>
              <w:top w:w="15" w:type="dxa"/>
              <w:left w:w="15" w:type="dxa"/>
              <w:right w:w="15" w:type="dxa"/>
            </w:tcMar>
            <w:vAlign w:val="center"/>
          </w:tcPr>
          <w:p>
            <w:pPr>
              <w:pStyle w:val="3013"/>
              <w:widowControl/>
              <w:spacing w:line="240" w:lineRule="exact"/>
              <w:textAlignment w:val="center"/>
              <w:rPr>
                <w:rFonts w:hint="eastAsia"/>
                <w:snapToGrid w:val="0"/>
                <w:lang w:bidi="ar"/>
              </w:rPr>
            </w:pPr>
            <w:r>
              <w:rPr>
                <w:rFonts w:hint="eastAsia"/>
                <w:snapToGrid w:val="0"/>
                <w:lang w:bidi="ar"/>
              </w:rPr>
              <w:t>229.58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83" w:hRule="atLeast"/>
          <w:jc w:val="center"/>
        </w:trPr>
        <w:tc>
          <w:tcPr>
            <w:tcW w:w="903" w:type="pct"/>
            <w:vMerge w:val="continue"/>
            <w:noWrap w:val="0"/>
            <w:tcMar>
              <w:top w:w="15" w:type="dxa"/>
              <w:left w:w="15" w:type="dxa"/>
              <w:right w:w="15" w:type="dxa"/>
            </w:tcMar>
            <w:vAlign w:val="center"/>
          </w:tcPr>
          <w:p>
            <w:pPr>
              <w:pStyle w:val="3013"/>
              <w:widowControl/>
              <w:spacing w:line="240" w:lineRule="exact"/>
              <w:textAlignment w:val="center"/>
              <w:rPr>
                <w:rFonts w:hint="eastAsia"/>
                <w:snapToGrid w:val="0"/>
                <w:lang w:bidi="ar"/>
              </w:rPr>
            </w:pPr>
          </w:p>
        </w:tc>
        <w:tc>
          <w:tcPr>
            <w:tcW w:w="754" w:type="pct"/>
            <w:noWrap w:val="0"/>
            <w:tcMar>
              <w:top w:w="15" w:type="dxa"/>
              <w:left w:w="15" w:type="dxa"/>
              <w:right w:w="15" w:type="dxa"/>
            </w:tcMar>
            <w:vAlign w:val="center"/>
          </w:tcPr>
          <w:p>
            <w:pPr>
              <w:pStyle w:val="3013"/>
              <w:widowControl/>
              <w:spacing w:line="240" w:lineRule="exact"/>
              <w:textAlignment w:val="center"/>
              <w:rPr>
                <w:rFonts w:hint="eastAsia"/>
                <w:snapToGrid w:val="0"/>
                <w:lang w:bidi="ar"/>
              </w:rPr>
            </w:pPr>
            <w:r>
              <w:rPr>
                <w:rFonts w:hint="eastAsia"/>
                <w:snapToGrid w:val="0"/>
                <w:lang w:bidi="ar"/>
              </w:rPr>
              <w:t>城南中学</w:t>
            </w:r>
          </w:p>
        </w:tc>
        <w:tc>
          <w:tcPr>
            <w:tcW w:w="1691" w:type="pct"/>
            <w:noWrap w:val="0"/>
            <w:tcMar>
              <w:top w:w="15" w:type="dxa"/>
              <w:left w:w="15" w:type="dxa"/>
              <w:right w:w="15" w:type="dxa"/>
            </w:tcMar>
            <w:vAlign w:val="center"/>
          </w:tcPr>
          <w:p>
            <w:pPr>
              <w:pStyle w:val="3013"/>
              <w:widowControl/>
              <w:spacing w:line="240" w:lineRule="exact"/>
              <w:textAlignment w:val="center"/>
              <w:rPr>
                <w:rFonts w:hint="eastAsia"/>
                <w:snapToGrid w:val="0"/>
                <w:lang w:bidi="ar"/>
              </w:rPr>
            </w:pPr>
            <w:r>
              <w:rPr>
                <w:rFonts w:hint="eastAsia"/>
                <w:snapToGrid w:val="0"/>
                <w:lang w:bidi="ar"/>
              </w:rPr>
              <w:t>245.59</w:t>
            </w:r>
          </w:p>
        </w:tc>
        <w:tc>
          <w:tcPr>
            <w:tcW w:w="1650" w:type="pct"/>
            <w:noWrap w:val="0"/>
            <w:tcMar>
              <w:top w:w="15" w:type="dxa"/>
              <w:left w:w="15" w:type="dxa"/>
              <w:right w:w="15" w:type="dxa"/>
            </w:tcMar>
            <w:vAlign w:val="center"/>
          </w:tcPr>
          <w:p>
            <w:pPr>
              <w:pStyle w:val="3013"/>
              <w:widowControl/>
              <w:spacing w:line="240" w:lineRule="exact"/>
              <w:textAlignment w:val="center"/>
              <w:rPr>
                <w:rFonts w:hint="eastAsia"/>
                <w:snapToGrid w:val="0"/>
                <w:lang w:bidi="ar"/>
              </w:rPr>
            </w:pPr>
            <w:r>
              <w:rPr>
                <w:rFonts w:hint="eastAsia"/>
                <w:snapToGrid w:val="0"/>
                <w:lang w:bidi="ar"/>
              </w:rPr>
              <w:t>245.11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83" w:hRule="atLeast"/>
          <w:jc w:val="center"/>
        </w:trPr>
        <w:tc>
          <w:tcPr>
            <w:tcW w:w="903" w:type="pct"/>
            <w:vMerge w:val="continue"/>
            <w:noWrap w:val="0"/>
            <w:tcMar>
              <w:top w:w="15" w:type="dxa"/>
              <w:left w:w="15" w:type="dxa"/>
              <w:right w:w="15" w:type="dxa"/>
            </w:tcMar>
            <w:vAlign w:val="center"/>
          </w:tcPr>
          <w:p>
            <w:pPr>
              <w:pStyle w:val="3013"/>
              <w:widowControl/>
              <w:spacing w:line="240" w:lineRule="exact"/>
              <w:textAlignment w:val="center"/>
              <w:rPr>
                <w:rFonts w:hint="eastAsia"/>
                <w:snapToGrid w:val="0"/>
                <w:lang w:bidi="ar"/>
              </w:rPr>
            </w:pPr>
          </w:p>
        </w:tc>
        <w:tc>
          <w:tcPr>
            <w:tcW w:w="754" w:type="pct"/>
            <w:noWrap w:val="0"/>
            <w:tcMar>
              <w:top w:w="15" w:type="dxa"/>
              <w:left w:w="15" w:type="dxa"/>
              <w:right w:w="15" w:type="dxa"/>
            </w:tcMar>
            <w:vAlign w:val="center"/>
          </w:tcPr>
          <w:p>
            <w:pPr>
              <w:pStyle w:val="3013"/>
              <w:widowControl/>
              <w:spacing w:line="240" w:lineRule="exact"/>
              <w:textAlignment w:val="center"/>
              <w:rPr>
                <w:rFonts w:hint="eastAsia"/>
                <w:snapToGrid w:val="0"/>
                <w:lang w:bidi="ar"/>
              </w:rPr>
            </w:pPr>
            <w:r>
              <w:rPr>
                <w:rFonts w:hint="eastAsia"/>
                <w:snapToGrid w:val="0"/>
                <w:lang w:bidi="ar"/>
              </w:rPr>
              <w:t>厂邻村</w:t>
            </w:r>
          </w:p>
        </w:tc>
        <w:tc>
          <w:tcPr>
            <w:tcW w:w="1691" w:type="pct"/>
            <w:noWrap w:val="0"/>
            <w:tcMar>
              <w:top w:w="15" w:type="dxa"/>
              <w:left w:w="15" w:type="dxa"/>
              <w:right w:w="15" w:type="dxa"/>
            </w:tcMar>
            <w:vAlign w:val="center"/>
          </w:tcPr>
          <w:p>
            <w:pPr>
              <w:pStyle w:val="3013"/>
              <w:widowControl/>
              <w:spacing w:line="240" w:lineRule="exact"/>
              <w:textAlignment w:val="center"/>
              <w:rPr>
                <w:rFonts w:hint="eastAsia"/>
                <w:snapToGrid w:val="0"/>
                <w:lang w:bidi="ar"/>
              </w:rPr>
            </w:pPr>
            <w:r>
              <w:rPr>
                <w:rFonts w:hint="eastAsia"/>
                <w:snapToGrid w:val="0"/>
                <w:lang w:bidi="ar"/>
              </w:rPr>
              <w:t>249.71</w:t>
            </w:r>
          </w:p>
        </w:tc>
        <w:tc>
          <w:tcPr>
            <w:tcW w:w="1650" w:type="pct"/>
            <w:noWrap w:val="0"/>
            <w:tcMar>
              <w:top w:w="15" w:type="dxa"/>
              <w:left w:w="15" w:type="dxa"/>
              <w:right w:w="15" w:type="dxa"/>
            </w:tcMar>
            <w:vAlign w:val="center"/>
          </w:tcPr>
          <w:p>
            <w:pPr>
              <w:pStyle w:val="3013"/>
              <w:widowControl/>
              <w:spacing w:line="240" w:lineRule="exact"/>
              <w:textAlignment w:val="center"/>
              <w:rPr>
                <w:rFonts w:hint="eastAsia"/>
                <w:snapToGrid w:val="0"/>
                <w:lang w:bidi="ar"/>
              </w:rPr>
            </w:pPr>
            <w:r>
              <w:rPr>
                <w:rFonts w:hint="eastAsia"/>
                <w:snapToGrid w:val="0"/>
                <w:lang w:bidi="ar"/>
              </w:rPr>
              <w:t>249.13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83" w:hRule="atLeast"/>
          <w:jc w:val="center"/>
        </w:trPr>
        <w:tc>
          <w:tcPr>
            <w:tcW w:w="903" w:type="pct"/>
            <w:vMerge w:val="restart"/>
            <w:noWrap w:val="0"/>
            <w:tcMar>
              <w:top w:w="15" w:type="dxa"/>
              <w:left w:w="15" w:type="dxa"/>
              <w:right w:w="15" w:type="dxa"/>
            </w:tcMar>
            <w:vAlign w:val="center"/>
          </w:tcPr>
          <w:p>
            <w:pPr>
              <w:pStyle w:val="3013"/>
              <w:widowControl/>
              <w:spacing w:line="240" w:lineRule="exact"/>
              <w:textAlignment w:val="center"/>
              <w:rPr>
                <w:rFonts w:hint="eastAsia"/>
                <w:snapToGrid w:val="0"/>
                <w:lang w:bidi="ar"/>
              </w:rPr>
            </w:pPr>
            <w:r>
              <w:rPr>
                <w:rFonts w:hint="eastAsia"/>
                <w:snapToGrid w:val="0"/>
                <w:lang w:bidi="ar"/>
              </w:rPr>
              <w:t>登瀛河</w:t>
            </w:r>
          </w:p>
        </w:tc>
        <w:tc>
          <w:tcPr>
            <w:tcW w:w="754" w:type="pct"/>
            <w:noWrap w:val="0"/>
            <w:tcMar>
              <w:top w:w="15" w:type="dxa"/>
              <w:left w:w="15" w:type="dxa"/>
              <w:right w:w="15" w:type="dxa"/>
            </w:tcMar>
            <w:vAlign w:val="center"/>
          </w:tcPr>
          <w:p>
            <w:pPr>
              <w:pStyle w:val="3013"/>
              <w:widowControl/>
              <w:spacing w:line="240" w:lineRule="exact"/>
              <w:textAlignment w:val="center"/>
              <w:rPr>
                <w:rFonts w:hint="eastAsia"/>
                <w:snapToGrid w:val="0"/>
                <w:lang w:bidi="ar"/>
              </w:rPr>
            </w:pPr>
            <w:r>
              <w:rPr>
                <w:rFonts w:hint="eastAsia"/>
                <w:snapToGrid w:val="0"/>
                <w:lang w:bidi="ar"/>
              </w:rPr>
              <w:t>瀛溪桥</w:t>
            </w:r>
          </w:p>
        </w:tc>
        <w:tc>
          <w:tcPr>
            <w:tcW w:w="1691" w:type="pct"/>
            <w:noWrap w:val="0"/>
            <w:tcMar>
              <w:top w:w="15" w:type="dxa"/>
              <w:left w:w="15" w:type="dxa"/>
              <w:right w:w="15" w:type="dxa"/>
            </w:tcMar>
            <w:vAlign w:val="center"/>
          </w:tcPr>
          <w:p>
            <w:pPr>
              <w:pStyle w:val="3013"/>
              <w:widowControl/>
              <w:spacing w:line="240" w:lineRule="exact"/>
              <w:textAlignment w:val="center"/>
              <w:rPr>
                <w:snapToGrid w:val="0"/>
                <w:lang w:bidi="ar"/>
              </w:rPr>
            </w:pPr>
            <w:r>
              <w:rPr>
                <w:rFonts w:hint="eastAsia"/>
                <w:snapToGrid w:val="0"/>
                <w:lang w:bidi="ar"/>
              </w:rPr>
              <w:t>277.10</w:t>
            </w:r>
          </w:p>
        </w:tc>
        <w:tc>
          <w:tcPr>
            <w:tcW w:w="1650" w:type="pct"/>
            <w:noWrap w:val="0"/>
            <w:tcMar>
              <w:top w:w="15" w:type="dxa"/>
              <w:left w:w="15" w:type="dxa"/>
              <w:right w:w="15" w:type="dxa"/>
            </w:tcMar>
            <w:vAlign w:val="center"/>
          </w:tcPr>
          <w:p>
            <w:pPr>
              <w:pStyle w:val="3013"/>
              <w:widowControl/>
              <w:spacing w:line="240" w:lineRule="exact"/>
              <w:textAlignment w:val="center"/>
              <w:rPr>
                <w:rFonts w:hint="eastAsia"/>
                <w:snapToGrid w:val="0"/>
                <w:lang w:bidi="ar"/>
              </w:rPr>
            </w:pPr>
            <w:r>
              <w:rPr>
                <w:rFonts w:hint="eastAsia"/>
                <w:snapToGrid w:val="0"/>
                <w:lang w:bidi="ar"/>
              </w:rPr>
              <w:t>276.78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83" w:hRule="atLeast"/>
          <w:jc w:val="center"/>
        </w:trPr>
        <w:tc>
          <w:tcPr>
            <w:tcW w:w="903" w:type="pct"/>
            <w:vMerge w:val="continue"/>
            <w:noWrap w:val="0"/>
            <w:tcMar>
              <w:top w:w="15" w:type="dxa"/>
              <w:left w:w="15" w:type="dxa"/>
              <w:right w:w="15" w:type="dxa"/>
            </w:tcMar>
            <w:vAlign w:val="center"/>
          </w:tcPr>
          <w:p>
            <w:pPr>
              <w:pStyle w:val="3013"/>
              <w:widowControl/>
              <w:spacing w:line="240" w:lineRule="exact"/>
              <w:textAlignment w:val="center"/>
              <w:rPr>
                <w:rFonts w:hint="eastAsia"/>
                <w:snapToGrid w:val="0"/>
                <w:lang w:bidi="ar"/>
              </w:rPr>
            </w:pPr>
          </w:p>
        </w:tc>
        <w:tc>
          <w:tcPr>
            <w:tcW w:w="754" w:type="pct"/>
            <w:noWrap w:val="0"/>
            <w:tcMar>
              <w:top w:w="15" w:type="dxa"/>
              <w:left w:w="15" w:type="dxa"/>
              <w:right w:w="15" w:type="dxa"/>
            </w:tcMar>
            <w:vAlign w:val="center"/>
          </w:tcPr>
          <w:p>
            <w:pPr>
              <w:pStyle w:val="3013"/>
              <w:widowControl/>
              <w:spacing w:line="240" w:lineRule="exact"/>
              <w:textAlignment w:val="center"/>
              <w:rPr>
                <w:rFonts w:hint="eastAsia"/>
                <w:snapToGrid w:val="0"/>
                <w:lang w:bidi="ar"/>
              </w:rPr>
            </w:pPr>
            <w:r>
              <w:rPr>
                <w:rFonts w:hint="eastAsia"/>
                <w:snapToGrid w:val="0"/>
                <w:lang w:bidi="ar"/>
              </w:rPr>
              <w:t>人行拱桥</w:t>
            </w:r>
          </w:p>
        </w:tc>
        <w:tc>
          <w:tcPr>
            <w:tcW w:w="1691" w:type="pct"/>
            <w:noWrap w:val="0"/>
            <w:tcMar>
              <w:top w:w="15" w:type="dxa"/>
              <w:left w:w="15" w:type="dxa"/>
              <w:right w:w="15" w:type="dxa"/>
            </w:tcMar>
            <w:vAlign w:val="center"/>
          </w:tcPr>
          <w:p>
            <w:pPr>
              <w:pStyle w:val="3013"/>
              <w:widowControl/>
              <w:spacing w:line="240" w:lineRule="exact"/>
              <w:textAlignment w:val="center"/>
              <w:rPr>
                <w:rFonts w:hint="eastAsia"/>
                <w:snapToGrid w:val="0"/>
                <w:lang w:bidi="ar"/>
              </w:rPr>
            </w:pPr>
            <w:r>
              <w:rPr>
                <w:rFonts w:hint="eastAsia"/>
                <w:snapToGrid w:val="0"/>
                <w:lang w:bidi="ar"/>
              </w:rPr>
              <w:t>277.24</w:t>
            </w:r>
          </w:p>
        </w:tc>
        <w:tc>
          <w:tcPr>
            <w:tcW w:w="1650" w:type="pct"/>
            <w:noWrap w:val="0"/>
            <w:tcMar>
              <w:top w:w="15" w:type="dxa"/>
              <w:left w:w="15" w:type="dxa"/>
              <w:right w:w="15" w:type="dxa"/>
            </w:tcMar>
            <w:vAlign w:val="center"/>
          </w:tcPr>
          <w:p>
            <w:pPr>
              <w:pStyle w:val="3013"/>
              <w:widowControl/>
              <w:spacing w:line="240" w:lineRule="exact"/>
              <w:textAlignment w:val="center"/>
              <w:rPr>
                <w:rFonts w:hint="eastAsia"/>
                <w:snapToGrid w:val="0"/>
                <w:lang w:bidi="ar"/>
              </w:rPr>
            </w:pPr>
            <w:r>
              <w:rPr>
                <w:rFonts w:hint="eastAsia"/>
                <w:snapToGrid w:val="0"/>
                <w:lang w:bidi="ar"/>
              </w:rPr>
              <w:t>276.94</w:t>
            </w:r>
          </w:p>
        </w:tc>
      </w:tr>
    </w:tbl>
    <w:p>
      <w:pPr>
        <w:pStyle w:val="1795"/>
        <w:keepNext w:val="0"/>
        <w:keepLines w:val="0"/>
        <w:pageBreakBefore w:val="0"/>
        <w:widowControl w:val="0"/>
        <w:kinsoku/>
        <w:wordWrap/>
        <w:overflowPunct/>
        <w:topLinePunct w:val="0"/>
        <w:autoSpaceDE/>
        <w:autoSpaceDN/>
        <w:bidi w:val="0"/>
        <w:adjustRightInd/>
        <w:snapToGrid/>
        <w:spacing w:before="0" w:after="0"/>
        <w:ind w:firstLine="640" w:firstLineChars="200"/>
        <w:textAlignment w:val="auto"/>
        <w:rPr>
          <w:rFonts w:hint="eastAsia" w:ascii="方正楷体_GBK" w:hAnsi="方正楷体_GBK" w:eastAsia="方正楷体_GBK" w:cs="方正楷体_GBK"/>
        </w:rPr>
      </w:pPr>
      <w:bookmarkStart w:id="111" w:name="_Toc71782084"/>
      <w:bookmarkStart w:id="112" w:name="_Toc22619"/>
      <w:bookmarkStart w:id="113" w:name="_Toc71665867"/>
      <w:bookmarkStart w:id="114" w:name="_Toc11782"/>
      <w:r>
        <w:rPr>
          <w:rFonts w:hint="eastAsia" w:ascii="方正楷体_GBK" w:hAnsi="方正楷体_GBK" w:eastAsia="方正楷体_GBK" w:cs="方正楷体_GBK"/>
          <w:lang w:eastAsia="zh-CN"/>
        </w:rPr>
        <w:t>（</w:t>
      </w:r>
      <w:r>
        <w:rPr>
          <w:rFonts w:hint="eastAsia" w:ascii="方正楷体_GBK" w:hAnsi="方正楷体_GBK" w:eastAsia="方正楷体_GBK" w:cs="方正楷体_GBK"/>
          <w:lang w:val="en-US" w:eastAsia="zh-CN"/>
        </w:rPr>
        <w:t>六</w:t>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rPr>
        <w:t>现状河道安全泄量</w:t>
      </w:r>
      <w:bookmarkEnd w:id="111"/>
      <w:bookmarkEnd w:id="112"/>
      <w:bookmarkEnd w:id="113"/>
      <w:bookmarkEnd w:id="114"/>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rPr>
        <w:t>根据綦江城区主要防洪保护对象的最低地面高程确定河道安全泄量。《重庆市綦江区河道“五线”洪水分析计算及划定报告》（2014年）将彩虹桥断面作为綦江城区的防洪控制断面。根据《重庆市綦江区城区防汛应急预案》，当彩虹桥断面可能达到或超过保证水位222.50m时，綦江城区启动Ⅲ级预警，相应警情为文龙街道新街子、孟家院、菜坝，古南街道文昌宫、遇仙桥等社区部分房屋进水。根据綦江干流一维水动力学数学模型计算结果，彩虹桥保证水位（222.50m）对应河道安全泄量为2340m</w:t>
      </w:r>
      <w:r>
        <w:rPr>
          <w:rFonts w:hint="eastAsia" w:ascii="Times New Roman" w:hAnsi="Times New Roman" w:eastAsia="方正仿宋_GBK" w:cs="Times New Roman"/>
          <w:sz w:val="32"/>
          <w:szCs w:val="32"/>
          <w:vertAlign w:val="superscript"/>
        </w:rPr>
        <w:t>3</w:t>
      </w:r>
      <w:r>
        <w:rPr>
          <w:rFonts w:hint="eastAsia" w:ascii="Times New Roman" w:hAnsi="Times New Roman" w:eastAsia="方正仿宋_GBK" w:cs="Times New Roman"/>
          <w:sz w:val="32"/>
          <w:szCs w:val="32"/>
        </w:rPr>
        <w:t>/s，不足5年一遇。</w:t>
      </w:r>
    </w:p>
    <w:p>
      <w:pPr>
        <w:ind w:firstLine="560"/>
        <w:rPr>
          <w:rFonts w:hAnsi="Calibri" w:cs="宋体"/>
          <w:szCs w:val="20"/>
        </w:rPr>
      </w:pPr>
    </w:p>
    <w:bookmarkEnd w:id="97"/>
    <w:p>
      <w:pPr>
        <w:tabs>
          <w:tab w:val="left" w:pos="2166"/>
        </w:tabs>
        <w:bidi w:val="0"/>
        <w:ind w:left="0" w:leftChars="0" w:firstLine="0" w:firstLineChars="0"/>
        <w:jc w:val="left"/>
        <w:rPr>
          <w:rFonts w:hint="eastAsia" w:eastAsia="仿宋_GB2312"/>
          <w:lang w:eastAsia="zh-CN"/>
        </w:rPr>
        <w:sectPr>
          <w:pgSz w:w="11907" w:h="16840"/>
          <w:pgMar w:top="1616" w:right="1418" w:bottom="1616" w:left="1418" w:header="851" w:footer="1304" w:gutter="0"/>
          <w:pgBorders>
            <w:top w:val="none" w:sz="0" w:space="0"/>
            <w:left w:val="none" w:sz="0" w:space="0"/>
            <w:bottom w:val="none" w:sz="0" w:space="0"/>
            <w:right w:val="none" w:sz="0" w:space="0"/>
          </w:pgBorders>
          <w:pgNumType w:fmt="decimal"/>
          <w:cols w:space="720" w:num="1"/>
          <w:docGrid w:type="lines" w:linePitch="381" w:charSpace="0"/>
        </w:sectPr>
      </w:pPr>
      <w:bookmarkStart w:id="115" w:name="_Toc250624520"/>
    </w:p>
    <w:p>
      <w:pPr>
        <w:pStyle w:val="1530"/>
        <w:keepNext w:val="0"/>
        <w:keepLines w:val="0"/>
        <w:pageBreakBefore w:val="0"/>
        <w:widowControl w:val="0"/>
        <w:kinsoku/>
        <w:wordWrap/>
        <w:overflowPunct/>
        <w:topLinePunct w:val="0"/>
        <w:autoSpaceDE/>
        <w:autoSpaceDN/>
        <w:bidi w:val="0"/>
        <w:adjustRightInd w:val="0"/>
        <w:snapToGrid/>
        <w:ind w:firstLine="640" w:firstLineChars="200"/>
        <w:textAlignment w:val="auto"/>
        <w:rPr>
          <w:rFonts w:hint="eastAsia" w:ascii="方正黑体_GBK" w:hAnsi="方正黑体_GBK" w:eastAsia="方正黑体_GBK" w:cs="方正黑体_GBK"/>
          <w:sz w:val="32"/>
          <w:szCs w:val="32"/>
        </w:rPr>
      </w:pPr>
      <w:bookmarkStart w:id="116" w:name="_Toc71782085"/>
      <w:bookmarkStart w:id="117" w:name="_Toc12379"/>
      <w:bookmarkStart w:id="118" w:name="_Toc20791"/>
      <w:bookmarkStart w:id="119" w:name="_Toc71665868"/>
      <w:r>
        <w:rPr>
          <w:rFonts w:hint="eastAsia" w:ascii="方正黑体_GBK" w:hAnsi="方正黑体_GBK" w:eastAsia="方正黑体_GBK" w:cs="方正黑体_GBK"/>
          <w:sz w:val="32"/>
          <w:szCs w:val="32"/>
          <w:lang w:val="en-US" w:eastAsia="zh-CN"/>
        </w:rPr>
        <w:t>五、</w:t>
      </w:r>
      <w:r>
        <w:rPr>
          <w:rFonts w:hint="eastAsia" w:ascii="方正黑体_GBK" w:hAnsi="方正黑体_GBK" w:eastAsia="方正黑体_GBK" w:cs="方正黑体_GBK"/>
          <w:sz w:val="32"/>
          <w:szCs w:val="32"/>
        </w:rPr>
        <w:t>防洪工程总体布局</w:t>
      </w:r>
      <w:bookmarkEnd w:id="116"/>
      <w:bookmarkEnd w:id="117"/>
      <w:bookmarkEnd w:id="118"/>
      <w:bookmarkEnd w:id="119"/>
    </w:p>
    <w:p>
      <w:pPr>
        <w:pStyle w:val="1530"/>
        <w:keepNext w:val="0"/>
        <w:keepLines w:val="0"/>
        <w:pageBreakBefore w:val="0"/>
        <w:widowControl w:val="0"/>
        <w:kinsoku/>
        <w:wordWrap/>
        <w:overflowPunct/>
        <w:topLinePunct w:val="0"/>
        <w:autoSpaceDE/>
        <w:autoSpaceDN/>
        <w:bidi w:val="0"/>
        <w:adjustRightInd w:val="0"/>
        <w:snapToGrid/>
        <w:ind w:firstLine="640" w:firstLineChars="200"/>
        <w:textAlignment w:val="auto"/>
        <w:rPr>
          <w:rFonts w:hint="eastAsia" w:ascii="方正楷体_GBK" w:hAnsi="方正楷体_GBK" w:eastAsia="方正楷体_GBK" w:cs="方正楷体_GBK"/>
          <w:sz w:val="32"/>
          <w:szCs w:val="32"/>
          <w:lang w:val="en-US" w:eastAsia="zh-CN"/>
        </w:rPr>
      </w:pPr>
      <w:bookmarkStart w:id="120" w:name="_Toc12071"/>
      <w:bookmarkStart w:id="121" w:name="_Toc71665869"/>
      <w:bookmarkStart w:id="122" w:name="_Toc29786"/>
      <w:bookmarkStart w:id="123" w:name="_Toc71782086"/>
      <w:r>
        <w:rPr>
          <w:rFonts w:hint="eastAsia" w:ascii="方正楷体_GBK" w:hAnsi="方正楷体_GBK" w:eastAsia="方正楷体_GBK" w:cs="方正楷体_GBK"/>
          <w:sz w:val="32"/>
          <w:szCs w:val="32"/>
          <w:lang w:val="en-US" w:eastAsia="zh-CN"/>
        </w:rPr>
        <w:t>（一）防洪标准</w:t>
      </w:r>
      <w:bookmarkEnd w:id="120"/>
      <w:bookmarkEnd w:id="121"/>
      <w:bookmarkEnd w:id="122"/>
      <w:bookmarkEnd w:id="123"/>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綦江城区包括古南、文龙、三江、通惠、新盛5个街道，</w:t>
      </w:r>
      <w:r>
        <w:rPr>
          <w:rFonts w:hint="default" w:ascii="Times New Roman" w:hAnsi="Times New Roman" w:eastAsia="方正仿宋_GBK" w:cs="Times New Roman"/>
          <w:kern w:val="0"/>
          <w:sz w:val="32"/>
          <w:szCs w:val="32"/>
        </w:rPr>
        <w:t>20</w:t>
      </w:r>
      <w:r>
        <w:rPr>
          <w:rFonts w:hint="default" w:ascii="Times New Roman" w:hAnsi="Times New Roman" w:eastAsia="方正仿宋_GBK" w:cs="Times New Roman"/>
          <w:sz w:val="32"/>
          <w:szCs w:val="32"/>
        </w:rPr>
        <w:t>20</w:t>
      </w:r>
      <w:r>
        <w:rPr>
          <w:rFonts w:hint="default" w:ascii="Times New Roman" w:hAnsi="Times New Roman" w:eastAsia="方正仿宋_GBK" w:cs="Times New Roman"/>
          <w:kern w:val="0"/>
          <w:sz w:val="32"/>
          <w:szCs w:val="32"/>
        </w:rPr>
        <w:t>年</w:t>
      </w:r>
      <w:r>
        <w:rPr>
          <w:rFonts w:hint="default" w:ascii="Times New Roman" w:hAnsi="Times New Roman" w:eastAsia="方正仿宋_GBK" w:cs="Times New Roman"/>
          <w:sz w:val="32"/>
          <w:szCs w:val="32"/>
        </w:rPr>
        <w:t>总人口26.38万人，2019年地区生产总值300.94亿元。</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根据《重庆市綦江区城乡总体规划》，綦江中心城区延续现状发展态势，构建“一核、一环、两心、三组团”格局。规划到2030年，中心城区人口40万人，当量经济规模80万人。</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綦江区为渝、黔两省的重要物资集散地和产业密集带，有“重庆南大门”之称，随着渝黔合作重要性、联动性的凸显，綦江区的集聚辐射能力进一步增强。“十四五”时期綦江区经济社会发展的主要目标是：努力建好重庆“南大门”，战略支点城市建设初具规模，綦万创新经济走廊建设取得重大进展；成功创建国家高新区，基本建成区域性科技创新中心；重点领域改革取得重要成效，全面融入成渝地区双城经济圈建设，深入对接国内国际双循环新格局，实现更高质量、更有效率、更加公平、更可持续、更为安全的发展；生态优先、绿色发展新路更加坚实，城乡公共服务更加优质均衡，社会保障体系更加健全，人民群众获得感、幸福感、安全感不断增强。</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綦江区是重庆市的老工业基地及矿产资源聚集区，在上世纪八十年代，綦江的工业水平曾居西南县（区）首位，近年来较高的经济增速和良好的资源条件依托，逐步增强了綦江经济开发的基础，也展现出了巨大的发展潜力。綦江工业园区目前已签约入驻企业248家</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其中已投产195家</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2020年上半年园区84家规模以上企业完成工业总产值111.2亿元，完成固定资产总投资10.3亿元，签约招商项目17个，协议引资41.45亿元；2021年1月，重庆市经信委和四川省经信厅发布《关于首批成渝地区双城经济圈产业合作示范园区的公告》，綦江工业园区携手自贡高新技术产业开发区共同推动打造了自贡·綦江川渝产业合作示范园区，以及自贡·綦江高端铝合金材料研发应用中心、自贡·綦江齿轮专用硬质合金刀具模具研究应用中心和自贡·綦江矿山输送机械应用服务中心。其中，桥河组团为省级特色工业园区，中国西部齿轮城，国家高性能齿轮产业化基地；北渡组团为重庆市循环经济试点园区，旨在发展以交通用铝为重点的高端金属材料产业集群，将其打造成重庆交通用铝产业基地、国家循环经济示范园区。</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根据《防洪标准》（GB50201</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2014），考虑区域经济、政治地位的重要性及社会、环境等因素，结合</w:t>
      </w:r>
      <w:r>
        <w:rPr>
          <w:rFonts w:hint="default" w:ascii="Times New Roman" w:hAnsi="Times New Roman" w:eastAsia="方正仿宋_GBK" w:cs="Times New Roman"/>
          <w:kern w:val="0"/>
          <w:sz w:val="32"/>
          <w:szCs w:val="32"/>
        </w:rPr>
        <w:t>《重庆市綦江区城乡总体规划（2012</w:t>
      </w:r>
      <w:r>
        <w:rPr>
          <w:rFonts w:hint="eastAsia" w:ascii="Times New Roman" w:eastAsia="方正仿宋_GBK" w:cs="Times New Roman"/>
          <w:kern w:val="0"/>
          <w:sz w:val="32"/>
          <w:szCs w:val="32"/>
          <w:lang w:eastAsia="zh-CN"/>
        </w:rPr>
        <w:t>—</w:t>
      </w:r>
      <w:r>
        <w:rPr>
          <w:rFonts w:hint="default" w:ascii="Times New Roman" w:hAnsi="Times New Roman" w:eastAsia="方正仿宋_GBK" w:cs="Times New Roman"/>
          <w:kern w:val="0"/>
          <w:sz w:val="32"/>
          <w:szCs w:val="32"/>
        </w:rPr>
        <w:t>2020年）》</w:t>
      </w:r>
      <w:r>
        <w:rPr>
          <w:rFonts w:hint="default" w:ascii="Times New Roman" w:hAnsi="Times New Roman" w:eastAsia="方正仿宋_GBK" w:cs="Times New Roman"/>
          <w:sz w:val="32"/>
          <w:szCs w:val="32"/>
        </w:rPr>
        <w:t>，拟定綦江城区的防洪标准为50年一遇。</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今后，随着经济社会的发展，其防洪标准经分析论证后可适当提高。</w:t>
      </w:r>
    </w:p>
    <w:p>
      <w:pPr>
        <w:pStyle w:val="1530"/>
        <w:keepNext w:val="0"/>
        <w:keepLines w:val="0"/>
        <w:pageBreakBefore w:val="0"/>
        <w:widowControl w:val="0"/>
        <w:kinsoku/>
        <w:wordWrap/>
        <w:overflowPunct/>
        <w:topLinePunct w:val="0"/>
        <w:autoSpaceDE/>
        <w:autoSpaceDN/>
        <w:bidi w:val="0"/>
        <w:adjustRightInd w:val="0"/>
        <w:snapToGrid/>
        <w:ind w:firstLine="640" w:firstLineChars="200"/>
        <w:textAlignment w:val="auto"/>
        <w:rPr>
          <w:rFonts w:hint="eastAsia" w:ascii="方正楷体_GBK" w:hAnsi="方正楷体_GBK" w:eastAsia="方正楷体_GBK" w:cs="方正楷体_GBK"/>
          <w:sz w:val="32"/>
          <w:szCs w:val="32"/>
          <w:lang w:val="en-US" w:eastAsia="zh-CN"/>
        </w:rPr>
      </w:pPr>
      <w:bookmarkStart w:id="124" w:name="_Toc71665870"/>
      <w:bookmarkStart w:id="125" w:name="_Toc23419"/>
      <w:bookmarkStart w:id="126" w:name="_Toc71782087"/>
      <w:bookmarkStart w:id="127" w:name="_Toc6867"/>
      <w:r>
        <w:rPr>
          <w:rFonts w:hint="eastAsia" w:ascii="方正楷体_GBK" w:hAnsi="方正楷体_GBK" w:eastAsia="方正楷体_GBK" w:cs="方正楷体_GBK"/>
          <w:sz w:val="32"/>
          <w:szCs w:val="32"/>
          <w:lang w:val="en-US" w:eastAsia="zh-CN"/>
        </w:rPr>
        <w:t>（二）防洪</w:t>
      </w:r>
      <w:bookmarkEnd w:id="124"/>
      <w:r>
        <w:rPr>
          <w:rFonts w:hint="eastAsia" w:ascii="方正楷体_GBK" w:hAnsi="方正楷体_GBK" w:eastAsia="方正楷体_GBK" w:cs="方正楷体_GBK"/>
          <w:sz w:val="32"/>
          <w:szCs w:val="32"/>
          <w:lang w:val="en-US" w:eastAsia="zh-CN"/>
        </w:rPr>
        <w:t>工程总体布局</w:t>
      </w:r>
      <w:bookmarkEnd w:id="125"/>
      <w:bookmarkEnd w:id="126"/>
      <w:bookmarkEnd w:id="127"/>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sz w:val="32"/>
          <w:szCs w:val="32"/>
        </w:rPr>
      </w:pPr>
      <w:r>
        <w:rPr>
          <w:rFonts w:hint="eastAsia" w:ascii="Times New Roman" w:hAnsi="Times New Roman" w:eastAsia="方正仿宋_GBK" w:cs="Times New Roman"/>
          <w:sz w:val="32"/>
          <w:szCs w:val="32"/>
        </w:rPr>
        <w:t>綦江</w:t>
      </w:r>
      <w:r>
        <w:rPr>
          <w:rFonts w:hint="default" w:ascii="Times New Roman" w:hAnsi="Times New Roman" w:eastAsia="方正仿宋_GBK" w:cs="Times New Roman"/>
          <w:sz w:val="32"/>
          <w:szCs w:val="32"/>
        </w:rPr>
        <w:t>城区防洪治理以“蓄泄兼筹，以泄为主”为指导方针</w:t>
      </w:r>
      <w:r>
        <w:rPr>
          <w:rFonts w:hint="eastAsia" w:ascii="Times New Roman" w:hAnsi="Times New Roman" w:eastAsia="方正仿宋_GBK" w:cs="Times New Roman"/>
          <w:sz w:val="32"/>
          <w:szCs w:val="32"/>
        </w:rPr>
        <w:t>，拟定防洪工程总体布局为：结合兴利在上游支流逐步兴建调洪水库，整治排洪河道，适当修建堤防，筑堤护岸。綦江</w:t>
      </w:r>
      <w:r>
        <w:rPr>
          <w:rFonts w:hint="default" w:ascii="Times New Roman" w:hAnsi="Times New Roman" w:eastAsia="方正仿宋_GBK" w:cs="Times New Roman"/>
          <w:sz w:val="32"/>
          <w:szCs w:val="32"/>
        </w:rPr>
        <w:t>城区防洪</w:t>
      </w:r>
      <w:r>
        <w:rPr>
          <w:rFonts w:hint="eastAsia" w:ascii="Times New Roman" w:hAnsi="Times New Roman" w:eastAsia="方正仿宋_GBK" w:cs="Times New Roman"/>
          <w:sz w:val="32"/>
          <w:szCs w:val="32"/>
        </w:rPr>
        <w:t>工程</w:t>
      </w:r>
      <w:r>
        <w:rPr>
          <w:rFonts w:hint="default" w:ascii="Times New Roman" w:hAnsi="Times New Roman" w:eastAsia="方正仿宋_GBK" w:cs="Times New Roman"/>
          <w:sz w:val="32"/>
          <w:szCs w:val="32"/>
        </w:rPr>
        <w:t>体系规划布局如图</w:t>
      </w:r>
      <w:r>
        <w:rPr>
          <w:rFonts w:hint="eastAsia" w:ascii="Times New Roman" w:hAnsi="Times New Roman" w:eastAsia="方正仿宋_GBK" w:cs="Times New Roman"/>
          <w:sz w:val="32"/>
          <w:szCs w:val="32"/>
        </w:rPr>
        <w:t>5.</w:t>
      </w:r>
      <w:r>
        <w:rPr>
          <w:rFonts w:hint="default" w:ascii="Times New Roman" w:hAnsi="Times New Roman" w:eastAsia="方正仿宋_GBK" w:cs="Times New Roman"/>
          <w:sz w:val="32"/>
          <w:szCs w:val="32"/>
        </w:rPr>
        <w:t>2</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1</w:t>
      </w:r>
      <w:r>
        <w:rPr>
          <w:rFonts w:hint="eastAsia" w:ascii="Times New Roman" w:hAnsi="Times New Roman" w:eastAsia="方正仿宋_GBK" w:cs="Times New Roman"/>
          <w:sz w:val="32"/>
          <w:szCs w:val="32"/>
        </w:rPr>
        <w:t>所示</w:t>
      </w:r>
      <w:r>
        <w:rPr>
          <w:rFonts w:hint="default" w:ascii="Times New Roman" w:hAnsi="Times New Roman" w:eastAsia="方正仿宋_GBK" w:cs="Times New Roman"/>
          <w:sz w:val="32"/>
          <w:szCs w:val="32"/>
        </w:rPr>
        <w:t>。</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lang w:val="en-US" w:eastAsia="zh-CN"/>
        </w:rPr>
        <w:t>1</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rPr>
        <w:t>堤防</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sz w:val="32"/>
          <w:szCs w:val="32"/>
        </w:rPr>
      </w:pPr>
      <w:r>
        <w:rPr>
          <w:rFonts w:hint="eastAsia" w:ascii="Times New Roman" w:hAnsi="Times New Roman" w:eastAsia="方正仿宋_GBK" w:cs="Times New Roman"/>
          <w:sz w:val="32"/>
          <w:szCs w:val="32"/>
        </w:rPr>
        <w:t>綦江</w:t>
      </w:r>
      <w:r>
        <w:rPr>
          <w:rFonts w:hint="default" w:ascii="Times New Roman" w:hAnsi="Times New Roman" w:eastAsia="方正仿宋_GBK" w:cs="Times New Roman"/>
          <w:sz w:val="32"/>
          <w:szCs w:val="32"/>
        </w:rPr>
        <w:t>城区</w:t>
      </w:r>
      <w:r>
        <w:rPr>
          <w:rFonts w:hint="eastAsia" w:ascii="Times New Roman" w:hAnsi="Times New Roman" w:eastAsia="方正仿宋_GBK" w:cs="Times New Roman"/>
          <w:sz w:val="32"/>
          <w:szCs w:val="32"/>
        </w:rPr>
        <w:t>结合水库规划适当兴建堤防，堤防修建应以保证洪水畅泄为原则，严格控制挤占河道。</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lang w:val="en-US" w:eastAsia="zh-CN"/>
        </w:rPr>
        <w:t>2</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rPr>
        <w:t>河道</w:t>
      </w:r>
      <w:r>
        <w:rPr>
          <w:rFonts w:hint="default" w:ascii="Times New Roman" w:hAnsi="Times New Roman" w:eastAsia="方正仿宋_GBK" w:cs="Times New Roman"/>
          <w:sz w:val="32"/>
          <w:szCs w:val="32"/>
        </w:rPr>
        <w:t>整治</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sz w:val="32"/>
          <w:szCs w:val="32"/>
        </w:rPr>
      </w:pPr>
      <w:r>
        <w:rPr>
          <w:rFonts w:hint="eastAsia" w:ascii="Times New Roman" w:hAnsi="Times New Roman" w:eastAsia="方正仿宋_GBK" w:cs="Times New Roman"/>
          <w:sz w:val="32"/>
          <w:szCs w:val="32"/>
        </w:rPr>
        <w:t>綦江</w:t>
      </w:r>
      <w:r>
        <w:rPr>
          <w:rFonts w:hint="default" w:ascii="Times New Roman" w:hAnsi="Times New Roman" w:eastAsia="方正仿宋_GBK" w:cs="Times New Roman"/>
          <w:sz w:val="32"/>
          <w:szCs w:val="32"/>
        </w:rPr>
        <w:t>城区</w:t>
      </w:r>
      <w:r>
        <w:rPr>
          <w:rFonts w:hint="eastAsia" w:ascii="Times New Roman" w:hAnsi="Times New Roman" w:eastAsia="方正仿宋_GBK" w:cs="Times New Roman"/>
          <w:sz w:val="32"/>
          <w:szCs w:val="32"/>
        </w:rPr>
        <w:t>河道整治的主要内容是加强河道管理，严禁在行洪区内乱占、乱倒、乱采砂石，以保证</w:t>
      </w:r>
      <w:r>
        <w:rPr>
          <w:rFonts w:hint="default" w:ascii="Times New Roman" w:hAnsi="Times New Roman" w:eastAsia="方正仿宋_GBK" w:cs="Times New Roman"/>
          <w:sz w:val="32"/>
          <w:szCs w:val="32"/>
        </w:rPr>
        <w:t>行</w:t>
      </w:r>
      <w:r>
        <w:rPr>
          <w:rFonts w:hint="eastAsia" w:ascii="Times New Roman" w:hAnsi="Times New Roman" w:eastAsia="方正仿宋_GBK" w:cs="Times New Roman"/>
          <w:sz w:val="32"/>
          <w:szCs w:val="32"/>
        </w:rPr>
        <w:t>洪畅通，对城区及</w:t>
      </w:r>
      <w:r>
        <w:rPr>
          <w:rFonts w:hint="default" w:ascii="Times New Roman" w:hAnsi="Times New Roman" w:eastAsia="方正仿宋_GBK" w:cs="Times New Roman"/>
          <w:sz w:val="32"/>
          <w:szCs w:val="32"/>
        </w:rPr>
        <w:t>下游</w:t>
      </w:r>
      <w:r>
        <w:rPr>
          <w:rFonts w:hint="eastAsia" w:ascii="Times New Roman" w:hAnsi="Times New Roman" w:eastAsia="方正仿宋_GBK" w:cs="Times New Roman"/>
          <w:sz w:val="32"/>
          <w:szCs w:val="32"/>
        </w:rPr>
        <w:t>河段采取必要的清淤疏浚、扩卡、</w:t>
      </w:r>
      <w:r>
        <w:rPr>
          <w:rFonts w:hint="default" w:ascii="Times New Roman" w:hAnsi="Times New Roman" w:eastAsia="方正仿宋_GBK" w:cs="Times New Roman"/>
          <w:sz w:val="32"/>
          <w:szCs w:val="32"/>
        </w:rPr>
        <w:t>航运梯级改造</w:t>
      </w:r>
      <w:r>
        <w:rPr>
          <w:rFonts w:hint="eastAsia" w:ascii="Times New Roman" w:hAnsi="Times New Roman" w:eastAsia="方正仿宋_GBK" w:cs="Times New Roman"/>
          <w:sz w:val="32"/>
          <w:szCs w:val="32"/>
        </w:rPr>
        <w:t>等措施。綦江</w:t>
      </w:r>
      <w:r>
        <w:rPr>
          <w:rFonts w:hint="default" w:ascii="Times New Roman" w:hAnsi="Times New Roman" w:eastAsia="方正仿宋_GBK" w:cs="Times New Roman"/>
          <w:sz w:val="32"/>
          <w:szCs w:val="32"/>
        </w:rPr>
        <w:t>河道整治要按照统一规划、综合治理的原则，既考虑防洪，又要兼顾航运、取水以及两岸经济建设发展的需要。</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lang w:val="en-US" w:eastAsia="zh-CN"/>
        </w:rPr>
        <w:t>3</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rPr>
        <w:t>水库</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sz w:val="32"/>
          <w:szCs w:val="32"/>
        </w:rPr>
      </w:pPr>
      <w:r>
        <w:rPr>
          <w:rFonts w:hint="eastAsia" w:ascii="Times New Roman" w:hAnsi="Times New Roman" w:eastAsia="方正仿宋_GBK" w:cs="Times New Roman"/>
          <w:sz w:val="32"/>
          <w:szCs w:val="32"/>
        </w:rPr>
        <w:t>结合兴利建设对綦江</w:t>
      </w:r>
      <w:r>
        <w:rPr>
          <w:rFonts w:hint="default" w:ascii="Times New Roman" w:hAnsi="Times New Roman" w:eastAsia="方正仿宋_GBK" w:cs="Times New Roman"/>
          <w:sz w:val="32"/>
          <w:szCs w:val="32"/>
        </w:rPr>
        <w:t>干流</w:t>
      </w:r>
      <w:r>
        <w:rPr>
          <w:rFonts w:hint="eastAsia" w:ascii="Times New Roman" w:hAnsi="Times New Roman" w:eastAsia="方正仿宋_GBK" w:cs="Times New Roman"/>
          <w:sz w:val="32"/>
          <w:szCs w:val="32"/>
        </w:rPr>
        <w:t>綦江城区段</w:t>
      </w:r>
      <w:r>
        <w:rPr>
          <w:rFonts w:hint="default" w:ascii="Times New Roman" w:hAnsi="Times New Roman" w:eastAsia="方正仿宋_GBK" w:cs="Times New Roman"/>
          <w:sz w:val="32"/>
          <w:szCs w:val="32"/>
        </w:rPr>
        <w:t>及</w:t>
      </w:r>
      <w:r>
        <w:rPr>
          <w:rFonts w:hint="eastAsia" w:ascii="Times New Roman" w:hAnsi="Times New Roman" w:eastAsia="方正仿宋_GBK" w:cs="Times New Roman"/>
          <w:sz w:val="32"/>
          <w:szCs w:val="32"/>
        </w:rPr>
        <w:t>沿江</w:t>
      </w:r>
      <w:r>
        <w:rPr>
          <w:rFonts w:hint="default" w:ascii="Times New Roman" w:hAnsi="Times New Roman" w:eastAsia="方正仿宋_GBK" w:cs="Times New Roman"/>
          <w:sz w:val="32"/>
          <w:szCs w:val="32"/>
        </w:rPr>
        <w:t>乡镇</w:t>
      </w:r>
      <w:r>
        <w:rPr>
          <w:rFonts w:hint="eastAsia" w:ascii="Times New Roman" w:hAnsi="Times New Roman" w:eastAsia="方正仿宋_GBK" w:cs="Times New Roman"/>
          <w:sz w:val="32"/>
          <w:szCs w:val="32"/>
        </w:rPr>
        <w:t>防洪起一定作用、对提高支流防洪标准有明显作用的骨干水库。根据</w:t>
      </w:r>
      <w:r>
        <w:rPr>
          <w:rFonts w:hint="default" w:ascii="Times New Roman" w:hAnsi="Times New Roman" w:eastAsia="方正仿宋_GBK" w:cs="Times New Roman"/>
          <w:sz w:val="32"/>
          <w:szCs w:val="32"/>
        </w:rPr>
        <w:t>綦江流域洪水特性及</w:t>
      </w:r>
      <w:r>
        <w:rPr>
          <w:rFonts w:hint="eastAsia" w:ascii="Times New Roman" w:hAnsi="Times New Roman" w:eastAsia="方正仿宋_GBK" w:cs="Times New Roman"/>
          <w:sz w:val="32"/>
          <w:szCs w:val="32"/>
        </w:rPr>
        <w:t>地形</w:t>
      </w:r>
      <w:r>
        <w:rPr>
          <w:rFonts w:hint="default" w:ascii="Times New Roman" w:hAnsi="Times New Roman" w:eastAsia="方正仿宋_GBK" w:cs="Times New Roman"/>
          <w:sz w:val="32"/>
          <w:szCs w:val="32"/>
        </w:rPr>
        <w:t>地质条件等，规划兴建</w:t>
      </w:r>
      <w:r>
        <w:rPr>
          <w:rFonts w:hint="eastAsia" w:ascii="Times New Roman" w:hAnsi="Times New Roman" w:eastAsia="方正仿宋_GBK" w:cs="Times New Roman"/>
          <w:sz w:val="32"/>
          <w:szCs w:val="32"/>
        </w:rPr>
        <w:t>藻渡等</w:t>
      </w:r>
      <w:r>
        <w:rPr>
          <w:rFonts w:hint="default" w:ascii="Times New Roman" w:hAnsi="Times New Roman" w:eastAsia="方正仿宋_GBK" w:cs="Times New Roman"/>
          <w:sz w:val="32"/>
          <w:szCs w:val="32"/>
        </w:rPr>
        <w:t>水库拦洪。</w:t>
      </w:r>
    </w:p>
    <w:p>
      <w:pPr>
        <w:pStyle w:val="2886"/>
        <w:outlineLvl w:val="9"/>
        <w:rPr>
          <w:rFonts w:ascii="仿宋_GB2312" w:eastAsia="仿宋_GB2312"/>
        </w:rPr>
      </w:pPr>
      <w:r>
        <w:rPr>
          <w:rFonts w:ascii="仿宋_GB2312" w:eastAsia="仿宋_GB2312"/>
        </w:rPr>
        <w:drawing>
          <wp:inline distT="0" distB="0" distL="114300" distR="114300">
            <wp:extent cx="3946525" cy="4648835"/>
            <wp:effectExtent l="0" t="0" r="15875" b="18415"/>
            <wp:docPr id="121" name="图片 335" descr="图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1" name="图片 335" descr="图5"/>
                    <pic:cNvPicPr>
                      <a:picLocks noChangeAspect="true"/>
                    </pic:cNvPicPr>
                  </pic:nvPicPr>
                  <pic:blipFill>
                    <a:blip r:embed="rId160"/>
                    <a:stretch>
                      <a:fillRect/>
                    </a:stretch>
                  </pic:blipFill>
                  <pic:spPr>
                    <a:xfrm>
                      <a:off x="0" y="0"/>
                      <a:ext cx="3946525" cy="4648835"/>
                    </a:xfrm>
                    <a:prstGeom prst="rect">
                      <a:avLst/>
                    </a:prstGeom>
                    <a:noFill/>
                    <a:ln>
                      <a:noFill/>
                    </a:ln>
                  </pic:spPr>
                </pic:pic>
              </a:graphicData>
            </a:graphic>
          </wp:inline>
        </w:drawing>
      </w:r>
    </w:p>
    <w:p>
      <w:pPr>
        <w:pStyle w:val="2886"/>
        <w:rPr>
          <w:rFonts w:hint="default" w:ascii="Times New Roman" w:hAnsi="Times New Roman" w:cs="Times New Roman"/>
        </w:rPr>
      </w:pPr>
      <w:r>
        <w:rPr>
          <w:rFonts w:hint="default" w:ascii="Times New Roman" w:hAnsi="Times New Roman" w:cs="Times New Roman"/>
        </w:rPr>
        <w:t>图5.2</w:t>
      </w:r>
      <w:r>
        <w:rPr>
          <w:rFonts w:hint="default" w:ascii="Times New Roman" w:hAnsi="Times New Roman" w:cs="Times New Roman"/>
          <w:lang w:eastAsia="zh-CN"/>
        </w:rPr>
        <w:t>—</w:t>
      </w:r>
      <w:r>
        <w:rPr>
          <w:rFonts w:hint="default" w:ascii="Times New Roman" w:hAnsi="Times New Roman" w:cs="Times New Roman"/>
        </w:rPr>
        <w:t>1  綦江城区防洪规划布局示意图</w:t>
      </w:r>
    </w:p>
    <w:p>
      <w:pPr>
        <w:ind w:left="0" w:leftChars="0" w:firstLine="0" w:firstLineChars="0"/>
        <w:rPr>
          <w:rFonts w:hint="default" w:ascii="Times New Roman" w:hAnsi="Times New Roman" w:cs="Times New Roman"/>
          <w:szCs w:val="20"/>
        </w:rPr>
        <w:sectPr>
          <w:headerReference r:id="rId24" w:type="default"/>
          <w:headerReference r:id="rId25" w:type="even"/>
          <w:pgSz w:w="11907" w:h="16840"/>
          <w:pgMar w:top="1616" w:right="1418" w:bottom="1616" w:left="1418" w:header="851" w:footer="1304" w:gutter="0"/>
          <w:pgBorders>
            <w:top w:val="none" w:sz="0" w:space="0"/>
            <w:left w:val="none" w:sz="0" w:space="0"/>
            <w:bottom w:val="none" w:sz="0" w:space="0"/>
            <w:right w:val="none" w:sz="0" w:space="0"/>
          </w:pgBorders>
          <w:pgNumType w:fmt="decimal"/>
          <w:cols w:space="720" w:num="1"/>
          <w:docGrid w:type="lines" w:linePitch="381" w:charSpace="0"/>
        </w:sectPr>
      </w:pPr>
    </w:p>
    <w:p>
      <w:pPr>
        <w:pStyle w:val="153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方正黑体_GBK" w:hAnsi="方正黑体_GBK" w:eastAsia="方正黑体_GBK" w:cs="方正黑体_GBK"/>
          <w:sz w:val="32"/>
          <w:szCs w:val="32"/>
        </w:rPr>
      </w:pPr>
      <w:bookmarkStart w:id="128" w:name="_Toc71782088"/>
      <w:bookmarkStart w:id="129" w:name="_Toc25861"/>
      <w:bookmarkStart w:id="130" w:name="_Toc5559"/>
      <w:bookmarkStart w:id="131" w:name="_Toc71665873"/>
      <w:r>
        <w:rPr>
          <w:rFonts w:hint="eastAsia" w:ascii="方正黑体_GBK" w:hAnsi="方正黑体_GBK" w:eastAsia="方正黑体_GBK" w:cs="方正黑体_GBK"/>
          <w:sz w:val="32"/>
          <w:szCs w:val="32"/>
          <w:lang w:val="en-US" w:eastAsia="zh-CN"/>
        </w:rPr>
        <w:t>六、</w:t>
      </w:r>
      <w:r>
        <w:rPr>
          <w:rFonts w:hint="eastAsia" w:ascii="方正黑体_GBK" w:hAnsi="方正黑体_GBK" w:eastAsia="方正黑体_GBK" w:cs="方正黑体_GBK"/>
          <w:sz w:val="32"/>
          <w:szCs w:val="32"/>
        </w:rPr>
        <w:t>防洪工程规划</w:t>
      </w:r>
      <w:bookmarkEnd w:id="128"/>
      <w:bookmarkEnd w:id="129"/>
      <w:bookmarkEnd w:id="130"/>
      <w:bookmarkEnd w:id="131"/>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綦江城区是綦江流域防洪治理的重点，綦江城区的防洪必须贯彻“蓄泄兼筹，以泄为主”的指导方针，采取综合措施，通过合理地加高加固堤防，整治河道，结合兴利兴建防洪水库等工程措施，达到綦江城区50年一遇防洪标准的目标。故綦江城区需以綦江流域总体防洪目标、布局为依据，根据远近结合、突出重点、标本兼治、综合治理的原则安排各项工程。</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綦江属山区性河流，綦江城区主要受到上游暴雨形成的过境洪水威胁，穿城的綦江洪水陡涨陡落，峰高历时短，一个洪峰持续时间一般在1天以内，流速大。防洪突出矛盾是河道的泄洪能力与上游来水不相适应，綦江干流彩虹桥处现状河道过流能力仅为2340m</w:t>
      </w:r>
      <w:r>
        <w:rPr>
          <w:rFonts w:hint="default" w:ascii="Times New Roman" w:hAnsi="Times New Roman" w:eastAsia="方正仿宋_GBK" w:cs="Times New Roman"/>
          <w:sz w:val="32"/>
          <w:szCs w:val="32"/>
          <w:vertAlign w:val="superscript"/>
        </w:rPr>
        <w:t>3</w:t>
      </w:r>
      <w:r>
        <w:rPr>
          <w:rFonts w:hint="default" w:ascii="Times New Roman" w:hAnsi="Times New Roman" w:eastAsia="方正仿宋_GBK" w:cs="Times New Roman"/>
          <w:sz w:val="32"/>
          <w:szCs w:val="32"/>
        </w:rPr>
        <w:t>/s，不足5年一遇（3220m</w:t>
      </w:r>
      <w:r>
        <w:rPr>
          <w:rFonts w:hint="default" w:ascii="Times New Roman" w:hAnsi="Times New Roman" w:eastAsia="方正仿宋_GBK" w:cs="Times New Roman"/>
          <w:sz w:val="32"/>
          <w:szCs w:val="32"/>
          <w:vertAlign w:val="superscript"/>
        </w:rPr>
        <w:t>3</w:t>
      </w:r>
      <w:r>
        <w:rPr>
          <w:rFonts w:hint="default" w:ascii="Times New Roman" w:hAnsi="Times New Roman" w:eastAsia="方正仿宋_GBK" w:cs="Times New Roman"/>
          <w:sz w:val="32"/>
          <w:szCs w:val="32"/>
        </w:rPr>
        <w:t>/s），远低于50年一遇（5868m</w:t>
      </w:r>
      <w:r>
        <w:rPr>
          <w:rFonts w:hint="default" w:ascii="Times New Roman" w:hAnsi="Times New Roman" w:eastAsia="方正仿宋_GBK" w:cs="Times New Roman"/>
          <w:sz w:val="32"/>
          <w:szCs w:val="32"/>
          <w:vertAlign w:val="superscript"/>
        </w:rPr>
        <w:t>3</w:t>
      </w:r>
      <w:r>
        <w:rPr>
          <w:rFonts w:hint="default" w:ascii="Times New Roman" w:hAnsi="Times New Roman" w:eastAsia="方正仿宋_GBK" w:cs="Times New Roman"/>
          <w:sz w:val="32"/>
          <w:szCs w:val="32"/>
        </w:rPr>
        <w:t>/s）洪水标准，但由于洪水历时短，洪水过后两岸阶地很快出露，淹没历时短。</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default" w:ascii="Times New Roman" w:hAnsi="Times New Roman" w:eastAsia="方正仿宋_GBK" w:cs="Times New Roman"/>
          <w:sz w:val="32"/>
          <w:szCs w:val="32"/>
          <w:lang w:val="zh-CN"/>
        </w:rPr>
      </w:pPr>
      <w:r>
        <w:rPr>
          <w:rFonts w:hint="eastAsia" w:ascii="Times New Roman" w:hAnsi="Times New Roman" w:eastAsia="方正仿宋_GBK" w:cs="Times New Roman"/>
          <w:sz w:val="32"/>
          <w:szCs w:val="32"/>
        </w:rPr>
        <w:t>为此，可采取加高加固堤防措施，提高河道过流能力。但由于城市发展，两岸堤防附近房屋密集，根据綦江干流綦江城区段现状防洪能力复核成果，如在</w:t>
      </w:r>
      <w:r>
        <w:rPr>
          <w:rFonts w:hint="default" w:ascii="Times New Roman" w:hAnsi="Times New Roman" w:eastAsia="方正仿宋_GBK" w:cs="Times New Roman"/>
          <w:sz w:val="32"/>
          <w:szCs w:val="32"/>
        </w:rPr>
        <w:t>原堤线</w:t>
      </w:r>
      <w:r>
        <w:rPr>
          <w:rFonts w:hint="eastAsia" w:ascii="Times New Roman" w:hAnsi="Times New Roman" w:eastAsia="方正仿宋_GBK" w:cs="Times New Roman"/>
          <w:sz w:val="32"/>
          <w:szCs w:val="32"/>
        </w:rPr>
        <w:t>（沿水边线布置）按</w:t>
      </w:r>
      <w:r>
        <w:rPr>
          <w:rFonts w:hint="default" w:ascii="Times New Roman" w:hAnsi="Times New Roman" w:eastAsia="方正仿宋_GBK" w:cs="Times New Roman"/>
          <w:sz w:val="32"/>
          <w:szCs w:val="32"/>
        </w:rPr>
        <w:t>2</w:t>
      </w:r>
      <w:r>
        <w:rPr>
          <w:rFonts w:hint="eastAsia" w:ascii="Times New Roman" w:hAnsi="Times New Roman" w:eastAsia="方正仿宋_GBK" w:cs="Times New Roman"/>
          <w:sz w:val="32"/>
          <w:szCs w:val="32"/>
        </w:rPr>
        <w:t>0年和5</w:t>
      </w:r>
      <w:r>
        <w:rPr>
          <w:rFonts w:hint="default" w:ascii="Times New Roman" w:hAnsi="Times New Roman" w:eastAsia="方正仿宋_GBK" w:cs="Times New Roman"/>
          <w:sz w:val="32"/>
          <w:szCs w:val="32"/>
        </w:rPr>
        <w:t>0</w:t>
      </w:r>
      <w:r>
        <w:rPr>
          <w:rFonts w:hint="eastAsia" w:ascii="Times New Roman" w:hAnsi="Times New Roman" w:eastAsia="方正仿宋_GBK" w:cs="Times New Roman"/>
          <w:sz w:val="32"/>
          <w:szCs w:val="32"/>
        </w:rPr>
        <w:t>年一遇防洪标准建堤，则堤身最大高度将分别达</w:t>
      </w:r>
      <w:r>
        <w:rPr>
          <w:rFonts w:hint="default" w:ascii="Times New Roman" w:hAnsi="Times New Roman" w:eastAsia="方正仿宋_GBK" w:cs="Times New Roman"/>
          <w:sz w:val="32"/>
          <w:szCs w:val="32"/>
        </w:rPr>
        <w:t>10.82</w:t>
      </w:r>
      <w:r>
        <w:rPr>
          <w:rFonts w:hint="eastAsia" w:ascii="Times New Roman" w:hAnsi="Times New Roman" w:eastAsia="方正仿宋_GBK" w:cs="Times New Roman"/>
          <w:sz w:val="32"/>
          <w:szCs w:val="32"/>
        </w:rPr>
        <w:t>m和</w:t>
      </w:r>
      <w:r>
        <w:rPr>
          <w:rFonts w:hint="default" w:ascii="Times New Roman" w:hAnsi="Times New Roman" w:eastAsia="方正仿宋_GBK" w:cs="Times New Roman"/>
          <w:sz w:val="32"/>
          <w:szCs w:val="32"/>
        </w:rPr>
        <w:t>12.81m</w:t>
      </w:r>
      <w:r>
        <w:rPr>
          <w:rFonts w:hint="eastAsia" w:ascii="Times New Roman" w:hAnsi="Times New Roman" w:eastAsia="方正仿宋_GBK" w:cs="Times New Roman"/>
          <w:sz w:val="32"/>
          <w:szCs w:val="32"/>
        </w:rPr>
        <w:t>，堤顶高程最大将高出现有地面</w:t>
      </w:r>
      <w:r>
        <w:rPr>
          <w:rFonts w:hint="default" w:ascii="Times New Roman" w:hAnsi="Times New Roman" w:eastAsia="方正仿宋_GBK" w:cs="Times New Roman"/>
          <w:sz w:val="32"/>
          <w:szCs w:val="32"/>
        </w:rPr>
        <w:t>7.75</w:t>
      </w:r>
      <w:r>
        <w:rPr>
          <w:rFonts w:hint="eastAsia" w:ascii="Times New Roman" w:hAnsi="Times New Roman" w:eastAsia="方正仿宋_GBK" w:cs="Times New Roman"/>
          <w:sz w:val="32"/>
          <w:szCs w:val="32"/>
        </w:rPr>
        <w:t>m和</w:t>
      </w:r>
      <w:r>
        <w:rPr>
          <w:rFonts w:hint="default" w:ascii="Times New Roman" w:hAnsi="Times New Roman" w:eastAsia="方正仿宋_GBK" w:cs="Times New Roman"/>
          <w:sz w:val="32"/>
          <w:szCs w:val="32"/>
        </w:rPr>
        <w:t>9.74</w:t>
      </w:r>
      <w:r>
        <w:rPr>
          <w:rFonts w:hint="eastAsia" w:ascii="Times New Roman" w:hAnsi="Times New Roman" w:eastAsia="方正仿宋_GBK" w:cs="Times New Roman"/>
          <w:sz w:val="32"/>
          <w:szCs w:val="32"/>
        </w:rPr>
        <w:t>m。綦江城区是一个典型的山城，修建过高的堤防一方面风险很大，一旦失事，造成的灾害也更严重，所花代价很大；另一方面破坏了山城风貌，</w:t>
      </w:r>
      <w:r>
        <w:rPr>
          <w:rFonts w:hint="eastAsia" w:ascii="Times New Roman" w:hAnsi="Times New Roman" w:eastAsia="方正仿宋_GBK" w:cs="Times New Roman"/>
          <w:sz w:val="32"/>
          <w:szCs w:val="32"/>
          <w:lang w:val="zh-CN"/>
        </w:rPr>
        <w:t>严重影响</w:t>
      </w:r>
      <w:r>
        <w:rPr>
          <w:rFonts w:hint="eastAsia" w:ascii="Times New Roman" w:hAnsi="Times New Roman" w:eastAsia="方正仿宋_GBK" w:cs="Times New Roman"/>
          <w:sz w:val="32"/>
          <w:szCs w:val="32"/>
        </w:rPr>
        <w:t>城市景观，还将占有宝贵的城市用地，造成沿江两岸大量房屋的拆迁。</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default" w:ascii="Times New Roman" w:hAnsi="Times New Roman" w:eastAsia="方正仿宋_GBK" w:cs="Times New Roman"/>
          <w:sz w:val="32"/>
          <w:szCs w:val="32"/>
        </w:rPr>
      </w:pPr>
      <w:r>
        <w:rPr>
          <w:rFonts w:hint="eastAsia" w:ascii="Times New Roman" w:hAnsi="Times New Roman" w:eastAsia="方正仿宋_GBK" w:cs="Times New Roman"/>
          <w:sz w:val="32"/>
          <w:szCs w:val="32"/>
        </w:rPr>
        <w:t>根据綦江城区的洪水及防洪特点，防洪必须采取综合工程措施，蓄泄兼筹。堤防是綦江城区应当采取的主要防洪工程措施；但是对于超过河道安全泄量巨大的綦江洪水，需妥善安排，充分运用各种措施、综合治理，才是最合理也是最经济的。因此綦江城区防洪治理的方针应是“蓄泄兼筹，以泄为主”，蓄与泄（采取堤库结合的防洪工程体系）是共同解决防御綦江城区5</w:t>
      </w:r>
      <w:r>
        <w:rPr>
          <w:rFonts w:hint="default" w:ascii="Times New Roman" w:hAnsi="Times New Roman" w:eastAsia="方正仿宋_GBK" w:cs="Times New Roman"/>
          <w:sz w:val="32"/>
          <w:szCs w:val="32"/>
        </w:rPr>
        <w:t>0年一遇</w:t>
      </w:r>
      <w:r>
        <w:rPr>
          <w:rFonts w:hint="eastAsia" w:ascii="Times New Roman" w:hAnsi="Times New Roman" w:eastAsia="方正仿宋_GBK" w:cs="Times New Roman"/>
          <w:sz w:val="32"/>
          <w:szCs w:val="32"/>
        </w:rPr>
        <w:t>洪水的基本措施。根据多年研究及</w:t>
      </w:r>
      <w:r>
        <w:rPr>
          <w:rFonts w:hint="default" w:ascii="Times New Roman" w:hAnsi="Times New Roman" w:eastAsia="方正仿宋_GBK" w:cs="Times New Roman"/>
          <w:sz w:val="32"/>
          <w:szCs w:val="32"/>
        </w:rPr>
        <w:t>防汛实践</w:t>
      </w:r>
      <w:r>
        <w:rPr>
          <w:rFonts w:hint="eastAsia" w:ascii="Times New Roman" w:hAnsi="Times New Roman" w:eastAsia="方正仿宋_GBK" w:cs="Times New Roman"/>
          <w:sz w:val="32"/>
          <w:szCs w:val="32"/>
        </w:rPr>
        <w:t>，妥善安排山区性</w:t>
      </w:r>
      <w:r>
        <w:rPr>
          <w:rFonts w:hint="default" w:ascii="Times New Roman" w:hAnsi="Times New Roman" w:eastAsia="方正仿宋_GBK" w:cs="Times New Roman"/>
          <w:sz w:val="32"/>
          <w:szCs w:val="32"/>
        </w:rPr>
        <w:t>河流</w:t>
      </w:r>
      <w:r>
        <w:rPr>
          <w:rFonts w:hint="eastAsia" w:ascii="Times New Roman" w:hAnsi="Times New Roman" w:eastAsia="方正仿宋_GBK" w:cs="Times New Roman"/>
          <w:sz w:val="32"/>
          <w:szCs w:val="32"/>
        </w:rPr>
        <w:t>超额洪水的措施主要有在上游支流兴建防洪水库。工程的配合运用首先是以堤防为基础，通过加高加固堤防及河道整治，尽可能充分发挥河道泄洪能力，将洪水安全泄入城区下游；对超过河</w:t>
      </w:r>
      <w:r>
        <w:rPr>
          <w:rFonts w:hint="eastAsia" w:ascii="Times New Roman" w:hAnsi="Times New Roman" w:eastAsia="方正仿宋_GBK" w:cs="Times New Roman"/>
          <w:spacing w:val="-6"/>
          <w:sz w:val="32"/>
          <w:szCs w:val="32"/>
        </w:rPr>
        <w:t>道安全泄量或堤防防洪能力的洪水通过水库拦蓄调节措施妥善安</w:t>
      </w:r>
      <w:r>
        <w:rPr>
          <w:rFonts w:hint="eastAsia" w:ascii="Times New Roman" w:hAnsi="Times New Roman" w:eastAsia="方正仿宋_GBK" w:cs="Times New Roman"/>
          <w:sz w:val="32"/>
          <w:szCs w:val="32"/>
        </w:rPr>
        <w:t>排。</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rPr>
      </w:pPr>
      <w:r>
        <w:rPr>
          <w:rFonts w:hint="eastAsia" w:ascii="方正仿宋_GBK" w:hAnsi="方正仿宋_GBK" w:eastAsia="方正仿宋_GBK" w:cs="方正仿宋_GBK"/>
          <w:sz w:val="32"/>
          <w:szCs w:val="32"/>
        </w:rPr>
        <w:t>关于“泄”，</w:t>
      </w:r>
      <w:r>
        <w:rPr>
          <w:rFonts w:hint="eastAsia" w:ascii="Times New Roman" w:hAnsi="Times New Roman" w:eastAsia="方正仿宋_GBK" w:cs="Times New Roman"/>
          <w:sz w:val="32"/>
          <w:szCs w:val="32"/>
        </w:rPr>
        <w:t>《綦江河流域防洪规划报告（2000</w:t>
      </w:r>
      <w:r>
        <w:rPr>
          <w:rFonts w:hint="eastAsia" w:ascii="Times New Roman" w:eastAsia="方正仿宋_GBK" w:cs="Times New Roman"/>
          <w:sz w:val="32"/>
          <w:szCs w:val="32"/>
          <w:lang w:eastAsia="zh-CN"/>
        </w:rPr>
        <w:t>—</w:t>
      </w:r>
      <w:r>
        <w:rPr>
          <w:rFonts w:hint="eastAsia" w:ascii="Times New Roman" w:hAnsi="Times New Roman" w:eastAsia="方正仿宋_GBK" w:cs="Times New Roman"/>
          <w:sz w:val="32"/>
          <w:szCs w:val="32"/>
        </w:rPr>
        <w:t>2020年）》《綦江县县城防洪规划报告》（2007年）、《重庆市綦江区主城区防洪规划方案研究》（2</w:t>
      </w:r>
      <w:r>
        <w:rPr>
          <w:rFonts w:hint="default" w:ascii="Times New Roman" w:hAnsi="Times New Roman" w:eastAsia="方正仿宋_GBK" w:cs="Times New Roman"/>
          <w:sz w:val="32"/>
          <w:szCs w:val="32"/>
        </w:rPr>
        <w:t>017年</w:t>
      </w:r>
      <w:r>
        <w:rPr>
          <w:rFonts w:hint="eastAsia" w:ascii="Times New Roman" w:hAnsi="Times New Roman" w:eastAsia="方正仿宋_GBK" w:cs="Times New Roman"/>
          <w:sz w:val="32"/>
          <w:szCs w:val="32"/>
        </w:rPr>
        <w:t>）、《重庆市綦江区城乡总体规划（2012</w:t>
      </w:r>
      <w:r>
        <w:rPr>
          <w:rFonts w:hint="eastAsia" w:ascii="Times New Roman" w:eastAsia="方正仿宋_GBK" w:cs="Times New Roman"/>
          <w:sz w:val="32"/>
          <w:szCs w:val="32"/>
          <w:lang w:eastAsia="zh-CN"/>
        </w:rPr>
        <w:t>—</w:t>
      </w:r>
      <w:r>
        <w:rPr>
          <w:rFonts w:hint="eastAsia" w:ascii="Times New Roman" w:hAnsi="Times New Roman" w:eastAsia="方正仿宋_GBK" w:cs="Times New Roman"/>
          <w:sz w:val="32"/>
          <w:szCs w:val="32"/>
        </w:rPr>
        <w:t>2020年）》《重庆市綦江城区防洪护岸综合整治工程初步设计报告》（2008年）、《綦江河城市防洪及综合效益评价报告书》（2014年）、《重庆市綦江河防洪综合整治规划报告》（2017年）、《綦江航运综合开发方案研究》（2015年）、《綦江航运综合开发规划》（2016年）等</w:t>
      </w:r>
      <w:r>
        <w:rPr>
          <w:rFonts w:hint="default" w:ascii="Times New Roman" w:hAnsi="Times New Roman" w:eastAsia="方正仿宋_GBK" w:cs="Times New Roman"/>
          <w:sz w:val="32"/>
          <w:szCs w:val="32"/>
        </w:rPr>
        <w:t>规划成果已做过大量研究，虽然各方案具体</w:t>
      </w:r>
      <w:r>
        <w:rPr>
          <w:rFonts w:hint="eastAsia" w:ascii="Times New Roman" w:hAnsi="Times New Roman" w:eastAsia="方正仿宋_GBK" w:cs="Times New Roman"/>
          <w:sz w:val="32"/>
          <w:szCs w:val="32"/>
        </w:rPr>
        <w:t>安排</w:t>
      </w:r>
      <w:r>
        <w:rPr>
          <w:rFonts w:hint="default" w:ascii="Times New Roman" w:hAnsi="Times New Roman" w:eastAsia="方正仿宋_GBK" w:cs="Times New Roman"/>
          <w:sz w:val="32"/>
          <w:szCs w:val="32"/>
        </w:rPr>
        <w:t>不同</w:t>
      </w:r>
      <w:r>
        <w:rPr>
          <w:rFonts w:hint="eastAsia" w:ascii="Times New Roman" w:hAnsi="Times New Roman" w:eastAsia="方正仿宋_GBK" w:cs="Times New Roman"/>
          <w:sz w:val="32"/>
          <w:szCs w:val="32"/>
        </w:rPr>
        <w:t>，</w:t>
      </w:r>
      <w:r>
        <w:rPr>
          <w:rFonts w:hint="default" w:ascii="Times New Roman" w:hAnsi="Times New Roman" w:eastAsia="方正仿宋_GBK" w:cs="Times New Roman"/>
          <w:sz w:val="32"/>
          <w:szCs w:val="32"/>
        </w:rPr>
        <w:t>但基本结论</w:t>
      </w:r>
      <w:r>
        <w:rPr>
          <w:rFonts w:hint="eastAsia" w:ascii="Times New Roman" w:hAnsi="Times New Roman" w:eastAsia="方正仿宋_GBK" w:cs="Times New Roman"/>
          <w:sz w:val="32"/>
          <w:szCs w:val="32"/>
        </w:rPr>
        <w:t>一致</w:t>
      </w:r>
      <w:r>
        <w:rPr>
          <w:rFonts w:hint="default" w:ascii="Times New Roman" w:hAnsi="Times New Roman" w:eastAsia="方正仿宋_GBK" w:cs="Times New Roman"/>
          <w:sz w:val="32"/>
          <w:szCs w:val="32"/>
        </w:rPr>
        <w:t>：</w:t>
      </w:r>
      <w:r>
        <w:rPr>
          <w:rFonts w:hint="eastAsia" w:ascii="Times New Roman" w:hAnsi="Times New Roman" w:eastAsia="方正仿宋_GBK" w:cs="Times New Roman"/>
          <w:sz w:val="32"/>
          <w:szCs w:val="32"/>
        </w:rPr>
        <w:t>①綦江城区地势低洼，受下游闸坝顶托壅水、河道</w:t>
      </w:r>
      <w:r>
        <w:rPr>
          <w:rFonts w:hint="default" w:ascii="Times New Roman" w:hAnsi="Times New Roman" w:eastAsia="方正仿宋_GBK" w:cs="Times New Roman"/>
          <w:sz w:val="32"/>
          <w:szCs w:val="32"/>
        </w:rPr>
        <w:t>淤积</w:t>
      </w:r>
      <w:r>
        <w:rPr>
          <w:rFonts w:hint="eastAsia" w:ascii="Times New Roman" w:hAnsi="Times New Roman" w:eastAsia="方正仿宋_GBK" w:cs="Times New Roman"/>
          <w:sz w:val="32"/>
          <w:szCs w:val="32"/>
        </w:rPr>
        <w:t>阻水等因素的影响，洪水宣泄不畅，应充分挖掘河道行洪潜力，通过河道清淤疏浚、航电梯级优化改建等河道整治工程，消除阻水影响、增加河道行洪能力后确定堤防控制水位，</w:t>
      </w:r>
      <w:r>
        <w:rPr>
          <w:rFonts w:hint="default" w:ascii="Times New Roman" w:hAnsi="Times New Roman" w:eastAsia="方正仿宋_GBK" w:cs="Times New Roman"/>
          <w:sz w:val="32"/>
          <w:szCs w:val="32"/>
        </w:rPr>
        <w:t>在此基础上</w:t>
      </w:r>
      <w:r>
        <w:rPr>
          <w:rFonts w:hint="eastAsia" w:ascii="Times New Roman" w:hAnsi="Times New Roman" w:eastAsia="方正仿宋_GBK" w:cs="Times New Roman"/>
          <w:sz w:val="32"/>
          <w:szCs w:val="32"/>
        </w:rPr>
        <w:t>加强堤防工程建设；②綦江城区堤防的防洪标准拟定为20年一遇</w:t>
      </w:r>
      <w:r>
        <w:rPr>
          <w:rFonts w:hint="default" w:ascii="Times New Roman" w:hAnsi="Times New Roman" w:eastAsia="方正仿宋_GBK" w:cs="Times New Roman"/>
          <w:sz w:val="32"/>
          <w:szCs w:val="32"/>
        </w:rPr>
        <w:t>。</w:t>
      </w:r>
      <w:r>
        <w:rPr>
          <w:rFonts w:hint="eastAsia" w:ascii="Times New Roman" w:hAnsi="Times New Roman" w:eastAsia="方正仿宋_GBK" w:cs="Times New Roman"/>
          <w:sz w:val="32"/>
          <w:szCs w:val="32"/>
        </w:rPr>
        <w:t>本次规划仍采用该结论，拟定綦江城区堤防的防洪标准为20年一遇。</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s-EC"/>
        </w:rPr>
      </w:pPr>
      <w:r>
        <w:rPr>
          <w:rFonts w:hint="eastAsia" w:ascii="Times New Roman" w:hAnsi="Times New Roman" w:eastAsia="方正仿宋_GBK" w:cs="Times New Roman"/>
          <w:sz w:val="32"/>
          <w:szCs w:val="32"/>
        </w:rPr>
        <w:t>关于“蓄”，各有关规划报告</w:t>
      </w:r>
      <w:r>
        <w:rPr>
          <w:rFonts w:hint="default" w:ascii="Times New Roman" w:hAnsi="Times New Roman" w:eastAsia="方正仿宋_GBK" w:cs="Times New Roman"/>
          <w:sz w:val="32"/>
          <w:szCs w:val="32"/>
        </w:rPr>
        <w:t>结论</w:t>
      </w:r>
      <w:r>
        <w:rPr>
          <w:rFonts w:hint="eastAsia" w:ascii="Times New Roman" w:hAnsi="Times New Roman" w:eastAsia="方正仿宋_GBK" w:cs="Times New Roman"/>
          <w:sz w:val="32"/>
          <w:szCs w:val="32"/>
        </w:rPr>
        <w:t>一致，即在綦江</w:t>
      </w:r>
      <w:r>
        <w:rPr>
          <w:rFonts w:hint="default" w:ascii="Times New Roman" w:hAnsi="Times New Roman" w:eastAsia="方正仿宋_GBK" w:cs="Times New Roman"/>
          <w:sz w:val="32"/>
          <w:szCs w:val="32"/>
        </w:rPr>
        <w:t>城区上游支流</w:t>
      </w:r>
      <w:r>
        <w:rPr>
          <w:rFonts w:hint="eastAsia" w:ascii="Times New Roman" w:hAnsi="Times New Roman" w:eastAsia="方正仿宋_GBK" w:cs="Times New Roman"/>
          <w:sz w:val="32"/>
          <w:szCs w:val="32"/>
        </w:rPr>
        <w:t>藻渡河</w:t>
      </w:r>
      <w:r>
        <w:rPr>
          <w:rFonts w:hint="default" w:ascii="Times New Roman" w:hAnsi="Times New Roman" w:eastAsia="方正仿宋_GBK" w:cs="Times New Roman"/>
          <w:sz w:val="32"/>
          <w:szCs w:val="32"/>
        </w:rPr>
        <w:t>新建</w:t>
      </w:r>
      <w:r>
        <w:rPr>
          <w:rFonts w:hint="eastAsia" w:ascii="Times New Roman" w:hAnsi="Times New Roman" w:eastAsia="方正仿宋_GBK" w:cs="Times New Roman"/>
          <w:sz w:val="32"/>
          <w:szCs w:val="32"/>
        </w:rPr>
        <w:t>藻渡水</w:t>
      </w:r>
      <w:r>
        <w:rPr>
          <w:rFonts w:hint="eastAsia" w:ascii="Times New Roman" w:hAnsi="Times New Roman" w:eastAsia="方正仿宋_GBK" w:cs="Times New Roman"/>
          <w:sz w:val="32"/>
          <w:szCs w:val="32"/>
          <w:lang w:val="es-EC"/>
        </w:rPr>
        <w:t>库，通过规划水库拦截支流洪量，削减綦江洪峰</w:t>
      </w:r>
      <w:r>
        <w:rPr>
          <w:rFonts w:hint="eastAsia" w:ascii="Times New Roman" w:hAnsi="Times New Roman" w:eastAsia="方正仿宋_GBK" w:cs="Times New Roman"/>
          <w:sz w:val="32"/>
          <w:szCs w:val="32"/>
        </w:rPr>
        <w:t>，将</w:t>
      </w:r>
      <w:r>
        <w:rPr>
          <w:rFonts w:hint="eastAsia" w:ascii="Times New Roman" w:hAnsi="Times New Roman" w:eastAsia="方正仿宋_GBK" w:cs="Times New Roman"/>
          <w:sz w:val="32"/>
          <w:szCs w:val="32"/>
          <w:lang w:val="es-EC"/>
        </w:rPr>
        <w:t>綦江</w:t>
      </w:r>
      <w:r>
        <w:rPr>
          <w:rFonts w:hint="eastAsia" w:ascii="Times New Roman" w:hAnsi="Times New Roman" w:eastAsia="方正仿宋_GBK" w:cs="Times New Roman"/>
          <w:sz w:val="32"/>
          <w:szCs w:val="32"/>
        </w:rPr>
        <w:t>城区防洪标准由20年一遇提高至5</w:t>
      </w:r>
      <w:r>
        <w:rPr>
          <w:rFonts w:hint="default" w:ascii="Times New Roman" w:hAnsi="Times New Roman" w:eastAsia="方正仿宋_GBK" w:cs="Times New Roman"/>
          <w:sz w:val="32"/>
          <w:szCs w:val="32"/>
        </w:rPr>
        <w:t>0</w:t>
      </w:r>
      <w:r>
        <w:rPr>
          <w:rFonts w:hint="eastAsia" w:ascii="Times New Roman" w:hAnsi="Times New Roman" w:eastAsia="方正仿宋_GBK" w:cs="Times New Roman"/>
          <w:sz w:val="32"/>
          <w:szCs w:val="32"/>
        </w:rPr>
        <w:t>年一遇</w:t>
      </w:r>
      <w:r>
        <w:rPr>
          <w:rFonts w:hint="eastAsia" w:ascii="Times New Roman" w:hAnsi="Times New Roman" w:eastAsia="方正仿宋_GBK" w:cs="Times New Roman"/>
          <w:sz w:val="32"/>
          <w:szCs w:val="32"/>
          <w:lang w:val="es-EC"/>
        </w:rPr>
        <w:t>，保障城区的</w:t>
      </w:r>
      <w:r>
        <w:rPr>
          <w:rFonts w:hint="eastAsia" w:ascii="Times New Roman" w:hAnsi="Times New Roman" w:eastAsia="方正仿宋_GBK" w:cs="Times New Roman"/>
          <w:sz w:val="32"/>
          <w:szCs w:val="32"/>
        </w:rPr>
        <w:t>防洪安全</w:t>
      </w:r>
      <w:r>
        <w:rPr>
          <w:rFonts w:hint="eastAsia" w:ascii="Times New Roman" w:hAnsi="Times New Roman" w:eastAsia="方正仿宋_GBK" w:cs="Times New Roman"/>
          <w:sz w:val="32"/>
          <w:szCs w:val="32"/>
          <w:lang w:val="es-EC"/>
        </w:rPr>
        <w:t>。</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rPr>
        <w:t>综上分析，本次防洪规划推荐采用堤库结合防洪工程体系，即在綦江城区修建2</w:t>
      </w:r>
      <w:r>
        <w:rPr>
          <w:rFonts w:hint="default" w:ascii="Times New Roman" w:hAnsi="Times New Roman" w:eastAsia="方正仿宋_GBK" w:cs="Times New Roman"/>
          <w:sz w:val="32"/>
          <w:szCs w:val="32"/>
        </w:rPr>
        <w:t>0</w:t>
      </w:r>
      <w:r>
        <w:rPr>
          <w:rFonts w:hint="eastAsia" w:ascii="Times New Roman" w:hAnsi="Times New Roman" w:eastAsia="方正仿宋_GBK" w:cs="Times New Roman"/>
          <w:sz w:val="32"/>
          <w:szCs w:val="32"/>
        </w:rPr>
        <w:t>年一遇堤防护岸，堤防控制水位通过河道疏浚+大常枢纽改造+</w:t>
      </w:r>
      <w:r>
        <w:rPr>
          <w:rFonts w:hint="default" w:ascii="Times New Roman" w:hAnsi="Times New Roman" w:eastAsia="方正仿宋_GBK" w:cs="Times New Roman"/>
          <w:sz w:val="32"/>
          <w:szCs w:val="32"/>
        </w:rPr>
        <w:t>石溪口</w:t>
      </w:r>
      <w:r>
        <w:rPr>
          <w:rFonts w:hint="eastAsia" w:ascii="Times New Roman" w:hAnsi="Times New Roman" w:eastAsia="方正仿宋_GBK" w:cs="Times New Roman"/>
          <w:sz w:val="32"/>
          <w:szCs w:val="32"/>
        </w:rPr>
        <w:t>枢纽+桥溪口枢纽+桥河枢纽改造消除阻水影响后确定；在上游藻渡河等支流修建防洪水库，通过拦洪削峰，将綦江城区防洪标准由20年一遇提高到50年一遇。</w:t>
      </w:r>
    </w:p>
    <w:p>
      <w:pPr>
        <w:keepNext w:val="0"/>
        <w:keepLines w:val="0"/>
        <w:pageBreakBefore w:val="0"/>
        <w:widowControl w:val="0"/>
        <w:kinsoku/>
        <w:wordWrap/>
        <w:overflowPunct/>
        <w:topLinePunct w:val="0"/>
        <w:autoSpaceDE/>
        <w:autoSpaceDN/>
        <w:bidi w:val="0"/>
        <w:adjustRightInd/>
        <w:snapToGrid/>
        <w:ind w:firstLine="640" w:firstLineChars="200"/>
        <w:textAlignment w:val="auto"/>
        <w:outlineLvl w:val="1"/>
        <w:rPr>
          <w:rFonts w:hint="eastAsia" w:ascii="方正楷体_GBK" w:hAnsi="方正楷体_GBK" w:eastAsia="方正楷体_GBK" w:cs="方正楷体_GBK"/>
          <w:bCs/>
          <w:sz w:val="32"/>
        </w:rPr>
      </w:pPr>
      <w:bookmarkStart w:id="132" w:name="_Toc18702"/>
      <w:r>
        <w:rPr>
          <w:rFonts w:hint="eastAsia" w:ascii="方正楷体_GBK" w:hAnsi="方正楷体_GBK" w:eastAsia="方正楷体_GBK" w:cs="方正楷体_GBK"/>
          <w:bCs/>
          <w:sz w:val="32"/>
          <w:lang w:eastAsia="zh-CN"/>
        </w:rPr>
        <w:t>（</w:t>
      </w:r>
      <w:r>
        <w:rPr>
          <w:rFonts w:hint="eastAsia" w:ascii="方正楷体_GBK" w:hAnsi="方正楷体_GBK" w:eastAsia="方正楷体_GBK" w:cs="方正楷体_GBK"/>
          <w:bCs/>
          <w:sz w:val="32"/>
          <w:lang w:val="en-US" w:eastAsia="zh-CN"/>
        </w:rPr>
        <w:t>一</w:t>
      </w:r>
      <w:r>
        <w:rPr>
          <w:rFonts w:hint="eastAsia" w:ascii="方正楷体_GBK" w:hAnsi="方正楷体_GBK" w:eastAsia="方正楷体_GBK" w:cs="方正楷体_GBK"/>
          <w:bCs/>
          <w:sz w:val="32"/>
          <w:lang w:eastAsia="zh-CN"/>
        </w:rPr>
        <w:t>）</w:t>
      </w:r>
      <w:r>
        <w:rPr>
          <w:rFonts w:hint="eastAsia" w:ascii="方正楷体_GBK" w:hAnsi="方正楷体_GBK" w:eastAsia="方正楷体_GBK" w:cs="方正楷体_GBK"/>
          <w:bCs/>
          <w:sz w:val="32"/>
        </w:rPr>
        <w:t>河道综合整治规划</w:t>
      </w:r>
      <w:bookmarkEnd w:id="132"/>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rPr>
        <w:t>研究通过河道疏浚、航电梯级优化改建、旧桥改造等措施，消除阻水影响、增加綦江城区河道洪水宣泄能力，在此基础上确定堤防控制水位。</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lang w:val="en-US" w:eastAsia="zh-CN"/>
        </w:rPr>
        <w:t>1</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rPr>
        <w:t>梯级优化改建</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lang w:val="en-US" w:eastAsia="zh-CN"/>
        </w:rPr>
        <w:t>1.1</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rPr>
        <w:t>工程方案</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rPr>
        <w:t>綦江干流有大量航电枢纽挤占行洪断面，导致泄流能力不畅。结合《重庆市綦江区城乡总体规划（2012</w:t>
      </w:r>
      <w:r>
        <w:rPr>
          <w:rFonts w:hint="eastAsia" w:ascii="Times New Roman" w:eastAsia="方正仿宋_GBK" w:cs="Times New Roman"/>
          <w:sz w:val="32"/>
          <w:szCs w:val="32"/>
          <w:lang w:eastAsia="zh-CN"/>
        </w:rPr>
        <w:t>—</w:t>
      </w:r>
      <w:r>
        <w:rPr>
          <w:rFonts w:hint="eastAsia" w:ascii="Times New Roman" w:hAnsi="Times New Roman" w:eastAsia="方正仿宋_GBK" w:cs="Times New Roman"/>
          <w:sz w:val="32"/>
          <w:szCs w:val="32"/>
        </w:rPr>
        <w:t>2020年）》，考虑对阻水较为严重的涉河建筑物进行改造，保证足够的行洪断面。2016年“6</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rPr>
        <w:t>28”綦江洪灾后，为尽快改变綦江城区防洪局面，重庆市交委启动了綦江梯级优化改建研究，重庆市交通规划勘察设计院编制了《綦江航运综合开发规划（2016年）》，提出拆除对綦江城区河段行洪能力影响较大的石溪口、大常、车滩3座梯级，采用全闸方案改造羊蹄洞、珠滩、桥河、桥溪口、五福5座梯级，洪水期闸门开启泄洪，以增加枢纽泄洪能力，减轻阻水影响。</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rPr>
        <w:t>綦江航运梯级优化改建工程位置见图6.1</w:t>
      </w:r>
      <w:r>
        <w:rPr>
          <w:rFonts w:hint="eastAsia" w:ascii="Times New Roman" w:eastAsia="方正仿宋_GBK" w:cs="Times New Roman"/>
          <w:sz w:val="32"/>
          <w:szCs w:val="32"/>
          <w:lang w:eastAsia="zh-CN"/>
        </w:rPr>
        <w:t>—</w:t>
      </w:r>
      <w:r>
        <w:rPr>
          <w:rFonts w:hint="eastAsia" w:ascii="Times New Roman" w:hAnsi="Times New Roman" w:eastAsia="方正仿宋_GBK" w:cs="Times New Roman"/>
          <w:sz w:val="32"/>
          <w:szCs w:val="32"/>
        </w:rPr>
        <w:t>1。</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rPr>
        <w:t>规划前后溢流净宽变化情况见表6.1</w:t>
      </w:r>
      <w:r>
        <w:rPr>
          <w:rFonts w:hint="eastAsia" w:ascii="Times New Roman" w:eastAsia="方正仿宋_GBK" w:cs="Times New Roman"/>
          <w:sz w:val="32"/>
          <w:szCs w:val="32"/>
          <w:lang w:eastAsia="zh-CN"/>
        </w:rPr>
        <w:t>—</w:t>
      </w:r>
      <w:r>
        <w:rPr>
          <w:rFonts w:hint="eastAsia" w:ascii="Times New Roman" w:hAnsi="Times New Roman" w:eastAsia="方正仿宋_GBK" w:cs="Times New Roman"/>
          <w:sz w:val="32"/>
          <w:szCs w:val="32"/>
        </w:rPr>
        <w:t>1，泄洪闸或溢流坝堰顶高程变化情况见表6.1</w:t>
      </w:r>
      <w:r>
        <w:rPr>
          <w:rFonts w:hint="eastAsia" w:ascii="Times New Roman" w:eastAsia="方正仿宋_GBK" w:cs="Times New Roman"/>
          <w:sz w:val="32"/>
          <w:szCs w:val="32"/>
          <w:lang w:eastAsia="zh-CN"/>
        </w:rPr>
        <w:t>—</w:t>
      </w:r>
      <w:r>
        <w:rPr>
          <w:rFonts w:hint="eastAsia" w:ascii="Times New Roman" w:hAnsi="Times New Roman" w:eastAsia="方正仿宋_GBK" w:cs="Times New Roman"/>
          <w:sz w:val="32"/>
          <w:szCs w:val="32"/>
        </w:rPr>
        <w:t>2，正常蓄水位变化情况见图6.1</w:t>
      </w:r>
      <w:r>
        <w:rPr>
          <w:rFonts w:hint="eastAsia" w:ascii="Times New Roman" w:eastAsia="方正仿宋_GBK" w:cs="Times New Roman"/>
          <w:sz w:val="32"/>
          <w:szCs w:val="32"/>
          <w:lang w:eastAsia="zh-CN"/>
        </w:rPr>
        <w:t>—</w:t>
      </w:r>
      <w:r>
        <w:rPr>
          <w:rFonts w:hint="eastAsia" w:ascii="Times New Roman" w:hAnsi="Times New Roman" w:eastAsia="方正仿宋_GBK" w:cs="Times New Roman"/>
          <w:sz w:val="32"/>
          <w:szCs w:val="32"/>
        </w:rPr>
        <w:t>2。从表6.1</w:t>
      </w:r>
      <w:r>
        <w:rPr>
          <w:rFonts w:hint="eastAsia" w:ascii="Times New Roman" w:eastAsia="方正仿宋_GBK" w:cs="Times New Roman"/>
          <w:sz w:val="32"/>
          <w:szCs w:val="32"/>
          <w:lang w:eastAsia="zh-CN"/>
        </w:rPr>
        <w:t>—</w:t>
      </w:r>
      <w:r>
        <w:rPr>
          <w:rFonts w:hint="eastAsia" w:ascii="Times New Roman" w:hAnsi="Times New Roman" w:eastAsia="方正仿宋_GBK" w:cs="Times New Roman"/>
          <w:sz w:val="32"/>
          <w:szCs w:val="32"/>
        </w:rPr>
        <w:t>1和表6.1</w:t>
      </w:r>
      <w:r>
        <w:rPr>
          <w:rFonts w:hint="eastAsia" w:ascii="Times New Roman" w:eastAsia="方正仿宋_GBK" w:cs="Times New Roman"/>
          <w:sz w:val="32"/>
          <w:szCs w:val="32"/>
          <w:lang w:eastAsia="zh-CN"/>
        </w:rPr>
        <w:t>—</w:t>
      </w:r>
      <w:r>
        <w:rPr>
          <w:rFonts w:hint="eastAsia" w:ascii="Times New Roman" w:hAnsi="Times New Roman" w:eastAsia="方正仿宋_GBK" w:cs="Times New Roman"/>
          <w:sz w:val="32"/>
          <w:szCs w:val="32"/>
        </w:rPr>
        <w:t>2可以看出，綦江干流航运梯级优化改造后，除</w:t>
      </w:r>
      <w:r>
        <w:rPr>
          <w:rFonts w:hint="eastAsia" w:ascii="Times New Roman" w:eastAsia="方正仿宋_GBK" w:cs="Times New Roman"/>
          <w:sz w:val="32"/>
          <w:szCs w:val="32"/>
          <w:lang w:eastAsia="zh-CN"/>
        </w:rPr>
        <w:t>盖石洞</w:t>
      </w:r>
      <w:r>
        <w:rPr>
          <w:rFonts w:hint="eastAsia" w:ascii="Times New Roman" w:hAnsi="Times New Roman" w:eastAsia="方正仿宋_GBK" w:cs="Times New Roman"/>
          <w:sz w:val="32"/>
          <w:szCs w:val="32"/>
        </w:rPr>
        <w:t>枢纽外，各梯级泄洪闸堰顶高程均有所下降，下降值为2.3</w:t>
      </w:r>
      <w:r>
        <w:rPr>
          <w:rFonts w:hint="eastAsia" w:ascii="Times New Roman" w:eastAsia="方正仿宋_GBK" w:cs="Times New Roman"/>
          <w:sz w:val="32"/>
          <w:szCs w:val="32"/>
          <w:lang w:eastAsia="zh-CN"/>
        </w:rPr>
        <w:t>—</w:t>
      </w:r>
      <w:r>
        <w:rPr>
          <w:rFonts w:hint="eastAsia" w:ascii="Times New Roman" w:hAnsi="Times New Roman" w:eastAsia="方正仿宋_GBK" w:cs="Times New Roman"/>
          <w:sz w:val="32"/>
          <w:szCs w:val="32"/>
        </w:rPr>
        <w:t>6.2m，除车滩、大常和石溪口三座枢纽拆除后溢流净宽大幅增大以外，其余梯级溢流净宽略有减小，减小值为9.5</w:t>
      </w:r>
      <w:r>
        <w:rPr>
          <w:rFonts w:hint="eastAsia" w:ascii="Times New Roman" w:eastAsia="方正仿宋_GBK" w:cs="Times New Roman"/>
          <w:sz w:val="32"/>
          <w:szCs w:val="32"/>
          <w:lang w:eastAsia="zh-CN"/>
        </w:rPr>
        <w:t>—</w:t>
      </w:r>
      <w:r>
        <w:rPr>
          <w:rFonts w:hint="eastAsia" w:ascii="Times New Roman" w:hAnsi="Times New Roman" w:eastAsia="方正仿宋_GBK" w:cs="Times New Roman"/>
          <w:sz w:val="32"/>
          <w:szCs w:val="32"/>
        </w:rPr>
        <w:t>17m。从图6.1</w:t>
      </w:r>
      <w:r>
        <w:rPr>
          <w:rFonts w:hint="eastAsia" w:ascii="Times New Roman" w:eastAsia="方正仿宋_GBK" w:cs="Times New Roman"/>
          <w:sz w:val="32"/>
          <w:szCs w:val="32"/>
          <w:lang w:eastAsia="zh-CN"/>
        </w:rPr>
        <w:t>—</w:t>
      </w:r>
      <w:r>
        <w:rPr>
          <w:rFonts w:hint="eastAsia" w:ascii="Times New Roman" w:hAnsi="Times New Roman" w:eastAsia="方正仿宋_GBK" w:cs="Times New Roman"/>
          <w:sz w:val="32"/>
          <w:szCs w:val="32"/>
        </w:rPr>
        <w:t>2可以看出，采用闸门蓄水后綦江城区段的正常蓄水位提高了0.80m，增加了城区的水环境面积，优化了城区环境。</w:t>
      </w:r>
    </w:p>
    <w:p>
      <w:pPr>
        <w:pStyle w:val="2886"/>
        <w:outlineLvl w:val="9"/>
        <w:rPr>
          <w:rFonts w:hint="eastAsia" w:ascii="仿宋_GB2312" w:eastAsia="仿宋_GB2312"/>
        </w:rPr>
      </w:pPr>
      <w:r>
        <w:rPr>
          <w:rFonts w:hint="eastAsia" w:ascii="仿宋_GB2312" w:eastAsia="仿宋_GB2312"/>
        </w:rPr>
        <w:drawing>
          <wp:inline distT="0" distB="0" distL="114300" distR="114300">
            <wp:extent cx="3408680" cy="4703445"/>
            <wp:effectExtent l="0" t="0" r="1270" b="1905"/>
            <wp:docPr id="122" name="图片 456" descr="图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2" name="图片 456" descr="图6"/>
                    <pic:cNvPicPr>
                      <a:picLocks noChangeAspect="true"/>
                    </pic:cNvPicPr>
                  </pic:nvPicPr>
                  <pic:blipFill>
                    <a:blip r:embed="rId161"/>
                    <a:stretch>
                      <a:fillRect/>
                    </a:stretch>
                  </pic:blipFill>
                  <pic:spPr>
                    <a:xfrm>
                      <a:off x="0" y="0"/>
                      <a:ext cx="3408680" cy="4703445"/>
                    </a:xfrm>
                    <a:prstGeom prst="rect">
                      <a:avLst/>
                    </a:prstGeom>
                    <a:noFill/>
                    <a:ln>
                      <a:noFill/>
                    </a:ln>
                  </pic:spPr>
                </pic:pic>
              </a:graphicData>
            </a:graphic>
          </wp:inline>
        </w:drawing>
      </w:r>
    </w:p>
    <w:p>
      <w:pPr>
        <w:pStyle w:val="2886"/>
      </w:pPr>
      <w:r>
        <w:rPr>
          <w:rFonts w:hint="default" w:ascii="Times New Roman" w:hAnsi="Times New Roman" w:cs="Times New Roman"/>
        </w:rPr>
        <w:t>图6.1</w:t>
      </w:r>
      <w:r>
        <w:rPr>
          <w:rFonts w:hint="default" w:ascii="Times New Roman" w:hAnsi="Times New Roman" w:cs="Times New Roman"/>
          <w:lang w:eastAsia="zh-CN"/>
        </w:rPr>
        <w:t>—</w:t>
      </w:r>
      <w:r>
        <w:rPr>
          <w:rFonts w:hint="default" w:ascii="Times New Roman" w:hAnsi="Times New Roman" w:cs="Times New Roman"/>
        </w:rPr>
        <w:t>1    綦江航运梯级优</w:t>
      </w:r>
      <w:r>
        <w:rPr>
          <w:rFonts w:hint="eastAsia"/>
        </w:rPr>
        <w:t>化改建工程</w:t>
      </w:r>
      <w:r>
        <w:t>位置</w:t>
      </w:r>
      <w:r>
        <w:rPr>
          <w:rFonts w:hint="eastAsia"/>
        </w:rPr>
        <w:t>示意图</w:t>
      </w:r>
    </w:p>
    <w:p>
      <w:pPr>
        <w:pStyle w:val="2312"/>
        <w:ind w:firstLine="240"/>
        <w:rPr>
          <w:rFonts w:hint="eastAsia"/>
        </w:rPr>
      </w:pPr>
      <w:r>
        <w:rPr>
          <w:rFonts w:hint="default" w:ascii="Times New Roman" w:hAnsi="Times New Roman" w:cs="Times New Roman"/>
        </w:rPr>
        <w:t>表6.1</w:t>
      </w:r>
      <w:r>
        <w:rPr>
          <w:rFonts w:hint="default" w:ascii="Times New Roman" w:hAnsi="Times New Roman" w:cs="Times New Roman"/>
          <w:lang w:eastAsia="zh-CN"/>
        </w:rPr>
        <w:t>—</w:t>
      </w:r>
      <w:r>
        <w:rPr>
          <w:rFonts w:hint="default" w:ascii="Times New Roman" w:hAnsi="Times New Roman" w:cs="Times New Roman"/>
        </w:rPr>
        <w:t xml:space="preserve">1    </w:t>
      </w:r>
      <w:r>
        <w:rPr>
          <w:rFonts w:hint="eastAsia"/>
        </w:rPr>
        <w:t xml:space="preserve">          綦江干流航运梯级规划前后溢流净宽变化表</w:t>
      </w:r>
    </w:p>
    <w:tbl>
      <w:tblPr>
        <w:tblStyle w:val="88"/>
        <w:tblW w:w="5000"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108" w:type="dxa"/>
          <w:bottom w:w="0" w:type="dxa"/>
          <w:right w:w="108" w:type="dxa"/>
        </w:tblCellMar>
      </w:tblPr>
      <w:tblGrid>
        <w:gridCol w:w="1075"/>
        <w:gridCol w:w="1070"/>
        <w:gridCol w:w="1074"/>
        <w:gridCol w:w="1070"/>
        <w:gridCol w:w="1074"/>
        <w:gridCol w:w="893"/>
        <w:gridCol w:w="1070"/>
        <w:gridCol w:w="893"/>
        <w:gridCol w:w="1068"/>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579" w:type="pct"/>
            <w:noWrap/>
            <w:vAlign w:val="center"/>
          </w:tcPr>
          <w:p>
            <w:pPr>
              <w:pStyle w:val="3013"/>
              <w:spacing w:line="240" w:lineRule="exact"/>
              <w:rPr>
                <w:rFonts w:hint="eastAsia"/>
              </w:rPr>
            </w:pPr>
          </w:p>
        </w:tc>
        <w:tc>
          <w:tcPr>
            <w:tcW w:w="576" w:type="pct"/>
            <w:noWrap w:val="0"/>
            <w:vAlign w:val="center"/>
          </w:tcPr>
          <w:p>
            <w:pPr>
              <w:pStyle w:val="3013"/>
              <w:spacing w:line="240" w:lineRule="exact"/>
              <w:rPr>
                <w:rFonts w:hint="eastAsia"/>
              </w:rPr>
            </w:pPr>
            <w:r>
              <w:rPr>
                <w:rFonts w:hint="eastAsia"/>
              </w:rPr>
              <w:t>五福</w:t>
            </w:r>
          </w:p>
        </w:tc>
        <w:tc>
          <w:tcPr>
            <w:tcW w:w="578" w:type="pct"/>
            <w:noWrap w:val="0"/>
            <w:vAlign w:val="center"/>
          </w:tcPr>
          <w:p>
            <w:pPr>
              <w:pStyle w:val="3013"/>
              <w:spacing w:line="240" w:lineRule="exact"/>
              <w:rPr>
                <w:rFonts w:hint="eastAsia"/>
              </w:rPr>
            </w:pPr>
            <w:r>
              <w:rPr>
                <w:rFonts w:hint="eastAsia"/>
              </w:rPr>
              <w:t>车滩</w:t>
            </w:r>
          </w:p>
        </w:tc>
        <w:tc>
          <w:tcPr>
            <w:tcW w:w="576" w:type="pct"/>
            <w:noWrap w:val="0"/>
            <w:vAlign w:val="center"/>
          </w:tcPr>
          <w:p>
            <w:pPr>
              <w:pStyle w:val="3013"/>
              <w:spacing w:line="240" w:lineRule="exact"/>
              <w:rPr>
                <w:rFonts w:hint="eastAsia"/>
              </w:rPr>
            </w:pPr>
            <w:r>
              <w:rPr>
                <w:rFonts w:hint="eastAsia"/>
              </w:rPr>
              <w:t>桥溪口</w:t>
            </w:r>
          </w:p>
        </w:tc>
        <w:tc>
          <w:tcPr>
            <w:tcW w:w="578" w:type="pct"/>
            <w:noWrap w:val="0"/>
            <w:vAlign w:val="center"/>
          </w:tcPr>
          <w:p>
            <w:pPr>
              <w:pStyle w:val="3013"/>
              <w:spacing w:line="240" w:lineRule="exact"/>
              <w:rPr>
                <w:rFonts w:hint="eastAsia"/>
              </w:rPr>
            </w:pPr>
            <w:r>
              <w:rPr>
                <w:rFonts w:hint="eastAsia"/>
              </w:rPr>
              <w:t>大常</w:t>
            </w:r>
          </w:p>
        </w:tc>
        <w:tc>
          <w:tcPr>
            <w:tcW w:w="481" w:type="pct"/>
            <w:noWrap w:val="0"/>
            <w:vAlign w:val="center"/>
          </w:tcPr>
          <w:p>
            <w:pPr>
              <w:pStyle w:val="3013"/>
              <w:spacing w:line="240" w:lineRule="exact"/>
              <w:rPr>
                <w:rFonts w:hint="eastAsia"/>
              </w:rPr>
            </w:pPr>
            <w:r>
              <w:rPr>
                <w:rFonts w:hint="eastAsia"/>
              </w:rPr>
              <w:t>桥河</w:t>
            </w:r>
          </w:p>
        </w:tc>
        <w:tc>
          <w:tcPr>
            <w:tcW w:w="576" w:type="pct"/>
            <w:noWrap w:val="0"/>
            <w:vAlign w:val="center"/>
          </w:tcPr>
          <w:p>
            <w:pPr>
              <w:pStyle w:val="3013"/>
              <w:spacing w:line="240" w:lineRule="exact"/>
              <w:rPr>
                <w:rFonts w:hint="eastAsia"/>
              </w:rPr>
            </w:pPr>
            <w:r>
              <w:rPr>
                <w:rFonts w:hint="eastAsia"/>
              </w:rPr>
              <w:t>石溪口</w:t>
            </w:r>
          </w:p>
        </w:tc>
        <w:tc>
          <w:tcPr>
            <w:tcW w:w="481" w:type="pct"/>
            <w:noWrap w:val="0"/>
            <w:vAlign w:val="center"/>
          </w:tcPr>
          <w:p>
            <w:pPr>
              <w:pStyle w:val="3013"/>
              <w:spacing w:line="240" w:lineRule="exact"/>
              <w:rPr>
                <w:rFonts w:hint="eastAsia"/>
              </w:rPr>
            </w:pPr>
            <w:r>
              <w:rPr>
                <w:rFonts w:hint="eastAsia"/>
              </w:rPr>
              <w:t>珠滩</w:t>
            </w:r>
          </w:p>
        </w:tc>
        <w:tc>
          <w:tcPr>
            <w:tcW w:w="575" w:type="pct"/>
            <w:noWrap w:val="0"/>
            <w:vAlign w:val="center"/>
          </w:tcPr>
          <w:p>
            <w:pPr>
              <w:pStyle w:val="3013"/>
              <w:spacing w:line="240" w:lineRule="exact"/>
              <w:rPr>
                <w:rFonts w:hint="eastAsia"/>
              </w:rPr>
            </w:pPr>
            <w:r>
              <w:rPr>
                <w:rFonts w:hint="eastAsia"/>
              </w:rPr>
              <w:t>羊蹄洞</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579" w:type="pct"/>
            <w:noWrap/>
            <w:vAlign w:val="center"/>
          </w:tcPr>
          <w:p>
            <w:pPr>
              <w:pStyle w:val="3013"/>
              <w:spacing w:line="240" w:lineRule="exact"/>
              <w:rPr>
                <w:rFonts w:hint="eastAsia"/>
              </w:rPr>
            </w:pPr>
            <w:r>
              <w:rPr>
                <w:rFonts w:hint="eastAsia"/>
              </w:rPr>
              <w:t>规划前</w:t>
            </w:r>
          </w:p>
        </w:tc>
        <w:tc>
          <w:tcPr>
            <w:tcW w:w="576" w:type="pct"/>
            <w:noWrap w:val="0"/>
            <w:vAlign w:val="center"/>
          </w:tcPr>
          <w:p>
            <w:pPr>
              <w:pStyle w:val="3013"/>
              <w:spacing w:line="240" w:lineRule="exact"/>
              <w:rPr>
                <w:rFonts w:hint="eastAsia"/>
              </w:rPr>
            </w:pPr>
            <w:r>
              <w:rPr>
                <w:rFonts w:hint="eastAsia"/>
              </w:rPr>
              <w:t>105.5</w:t>
            </w:r>
          </w:p>
        </w:tc>
        <w:tc>
          <w:tcPr>
            <w:tcW w:w="578" w:type="pct"/>
            <w:noWrap w:val="0"/>
            <w:vAlign w:val="center"/>
          </w:tcPr>
          <w:p>
            <w:pPr>
              <w:pStyle w:val="3013"/>
              <w:spacing w:line="240" w:lineRule="exact"/>
              <w:rPr>
                <w:rFonts w:hint="eastAsia"/>
              </w:rPr>
            </w:pPr>
            <w:r>
              <w:rPr>
                <w:rFonts w:hint="eastAsia"/>
              </w:rPr>
              <w:t>144.9</w:t>
            </w:r>
          </w:p>
        </w:tc>
        <w:tc>
          <w:tcPr>
            <w:tcW w:w="576" w:type="pct"/>
            <w:noWrap w:val="0"/>
            <w:vAlign w:val="center"/>
          </w:tcPr>
          <w:p>
            <w:pPr>
              <w:pStyle w:val="3013"/>
              <w:spacing w:line="240" w:lineRule="exact"/>
              <w:rPr>
                <w:rFonts w:hint="eastAsia"/>
              </w:rPr>
            </w:pPr>
            <w:r>
              <w:rPr>
                <w:rFonts w:hint="eastAsia"/>
              </w:rPr>
              <w:t>97.9</w:t>
            </w:r>
          </w:p>
        </w:tc>
        <w:tc>
          <w:tcPr>
            <w:tcW w:w="578" w:type="pct"/>
            <w:noWrap w:val="0"/>
            <w:vAlign w:val="center"/>
          </w:tcPr>
          <w:p>
            <w:pPr>
              <w:pStyle w:val="3013"/>
              <w:spacing w:line="240" w:lineRule="exact"/>
              <w:rPr>
                <w:rFonts w:hint="eastAsia"/>
              </w:rPr>
            </w:pPr>
            <w:r>
              <w:rPr>
                <w:rFonts w:hint="eastAsia"/>
              </w:rPr>
              <w:t>112</w:t>
            </w:r>
          </w:p>
        </w:tc>
        <w:tc>
          <w:tcPr>
            <w:tcW w:w="481" w:type="pct"/>
            <w:noWrap w:val="0"/>
            <w:vAlign w:val="center"/>
          </w:tcPr>
          <w:p>
            <w:pPr>
              <w:pStyle w:val="3013"/>
              <w:spacing w:line="240" w:lineRule="exact"/>
              <w:rPr>
                <w:rFonts w:hint="eastAsia"/>
              </w:rPr>
            </w:pPr>
            <w:r>
              <w:rPr>
                <w:rFonts w:hint="eastAsia"/>
              </w:rPr>
              <w:t>85</w:t>
            </w:r>
          </w:p>
        </w:tc>
        <w:tc>
          <w:tcPr>
            <w:tcW w:w="576" w:type="pct"/>
            <w:noWrap w:val="0"/>
            <w:vAlign w:val="center"/>
          </w:tcPr>
          <w:p>
            <w:pPr>
              <w:pStyle w:val="3013"/>
              <w:spacing w:line="240" w:lineRule="exact"/>
              <w:rPr>
                <w:rFonts w:hint="eastAsia"/>
              </w:rPr>
            </w:pPr>
            <w:r>
              <w:rPr>
                <w:rFonts w:hint="eastAsia"/>
              </w:rPr>
              <w:t>84</w:t>
            </w:r>
          </w:p>
        </w:tc>
        <w:tc>
          <w:tcPr>
            <w:tcW w:w="481" w:type="pct"/>
            <w:noWrap w:val="0"/>
            <w:vAlign w:val="center"/>
          </w:tcPr>
          <w:p>
            <w:pPr>
              <w:pStyle w:val="3013"/>
              <w:spacing w:line="240" w:lineRule="exact"/>
              <w:rPr>
                <w:rFonts w:hint="eastAsia"/>
              </w:rPr>
            </w:pPr>
            <w:r>
              <w:rPr>
                <w:rFonts w:hint="eastAsia"/>
              </w:rPr>
              <w:t>100</w:t>
            </w:r>
          </w:p>
        </w:tc>
        <w:tc>
          <w:tcPr>
            <w:tcW w:w="575" w:type="pct"/>
            <w:noWrap w:val="0"/>
            <w:vAlign w:val="center"/>
          </w:tcPr>
          <w:p>
            <w:pPr>
              <w:pStyle w:val="3013"/>
              <w:spacing w:line="240" w:lineRule="exact"/>
              <w:rPr>
                <w:rFonts w:hint="eastAsia"/>
              </w:rPr>
            </w:pPr>
            <w:r>
              <w:rPr>
                <w:rFonts w:hint="eastAsia"/>
              </w:rPr>
              <w:t>77</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579" w:type="pct"/>
            <w:noWrap/>
            <w:vAlign w:val="center"/>
          </w:tcPr>
          <w:p>
            <w:pPr>
              <w:pStyle w:val="3013"/>
              <w:spacing w:line="240" w:lineRule="exact"/>
              <w:rPr>
                <w:rFonts w:hint="eastAsia"/>
              </w:rPr>
            </w:pPr>
            <w:r>
              <w:rPr>
                <w:rFonts w:hint="eastAsia"/>
              </w:rPr>
              <w:t>规划后</w:t>
            </w:r>
          </w:p>
        </w:tc>
        <w:tc>
          <w:tcPr>
            <w:tcW w:w="576" w:type="pct"/>
            <w:noWrap/>
            <w:vAlign w:val="center"/>
          </w:tcPr>
          <w:p>
            <w:pPr>
              <w:pStyle w:val="3013"/>
              <w:spacing w:line="240" w:lineRule="exact"/>
              <w:rPr>
                <w:rFonts w:hint="eastAsia"/>
              </w:rPr>
            </w:pPr>
            <w:r>
              <w:rPr>
                <w:rFonts w:hint="eastAsia"/>
              </w:rPr>
              <w:t>96</w:t>
            </w:r>
          </w:p>
        </w:tc>
        <w:tc>
          <w:tcPr>
            <w:tcW w:w="578" w:type="pct"/>
            <w:noWrap/>
            <w:vAlign w:val="center"/>
          </w:tcPr>
          <w:p>
            <w:pPr>
              <w:pStyle w:val="3013"/>
              <w:spacing w:line="240" w:lineRule="exact"/>
              <w:rPr>
                <w:rFonts w:hint="eastAsia"/>
              </w:rPr>
            </w:pPr>
            <w:r>
              <w:rPr>
                <w:rFonts w:hint="eastAsia"/>
              </w:rPr>
              <w:t>265</w:t>
            </w:r>
          </w:p>
        </w:tc>
        <w:tc>
          <w:tcPr>
            <w:tcW w:w="576" w:type="pct"/>
            <w:noWrap/>
            <w:vAlign w:val="center"/>
          </w:tcPr>
          <w:p>
            <w:pPr>
              <w:pStyle w:val="3013"/>
              <w:spacing w:line="240" w:lineRule="exact"/>
              <w:rPr>
                <w:rFonts w:hint="eastAsia"/>
              </w:rPr>
            </w:pPr>
            <w:r>
              <w:rPr>
                <w:rFonts w:hint="eastAsia"/>
              </w:rPr>
              <w:t>84</w:t>
            </w:r>
          </w:p>
        </w:tc>
        <w:tc>
          <w:tcPr>
            <w:tcW w:w="578" w:type="pct"/>
            <w:noWrap/>
            <w:vAlign w:val="center"/>
          </w:tcPr>
          <w:p>
            <w:pPr>
              <w:pStyle w:val="3013"/>
              <w:spacing w:line="240" w:lineRule="exact"/>
              <w:rPr>
                <w:rFonts w:hint="eastAsia"/>
              </w:rPr>
            </w:pPr>
            <w:r>
              <w:rPr>
                <w:rFonts w:hint="eastAsia"/>
              </w:rPr>
              <w:t>148</w:t>
            </w:r>
          </w:p>
        </w:tc>
        <w:tc>
          <w:tcPr>
            <w:tcW w:w="481" w:type="pct"/>
            <w:noWrap/>
            <w:vAlign w:val="center"/>
          </w:tcPr>
          <w:p>
            <w:pPr>
              <w:pStyle w:val="3013"/>
              <w:spacing w:line="240" w:lineRule="exact"/>
              <w:rPr>
                <w:rFonts w:hint="eastAsia"/>
              </w:rPr>
            </w:pPr>
            <w:r>
              <w:rPr>
                <w:rFonts w:hint="eastAsia"/>
              </w:rPr>
              <w:t>60</w:t>
            </w:r>
          </w:p>
        </w:tc>
        <w:tc>
          <w:tcPr>
            <w:tcW w:w="576" w:type="pct"/>
            <w:noWrap/>
            <w:vAlign w:val="center"/>
          </w:tcPr>
          <w:p>
            <w:pPr>
              <w:pStyle w:val="3013"/>
              <w:spacing w:line="240" w:lineRule="exact"/>
              <w:rPr>
                <w:rFonts w:hint="eastAsia"/>
              </w:rPr>
            </w:pPr>
            <w:r>
              <w:rPr>
                <w:rFonts w:hint="eastAsia"/>
              </w:rPr>
              <w:t>135</w:t>
            </w:r>
          </w:p>
        </w:tc>
        <w:tc>
          <w:tcPr>
            <w:tcW w:w="481" w:type="pct"/>
            <w:noWrap/>
            <w:vAlign w:val="center"/>
          </w:tcPr>
          <w:p>
            <w:pPr>
              <w:pStyle w:val="3013"/>
              <w:spacing w:line="240" w:lineRule="exact"/>
              <w:rPr>
                <w:rFonts w:hint="eastAsia"/>
              </w:rPr>
            </w:pPr>
            <w:r>
              <w:rPr>
                <w:rFonts w:hint="eastAsia"/>
              </w:rPr>
              <w:t>84</w:t>
            </w:r>
          </w:p>
        </w:tc>
        <w:tc>
          <w:tcPr>
            <w:tcW w:w="575" w:type="pct"/>
            <w:noWrap/>
            <w:vAlign w:val="center"/>
          </w:tcPr>
          <w:p>
            <w:pPr>
              <w:pStyle w:val="3013"/>
              <w:spacing w:line="240" w:lineRule="exact"/>
              <w:rPr>
                <w:rFonts w:hint="eastAsia"/>
              </w:rPr>
            </w:pPr>
            <w:r>
              <w:rPr>
                <w:rFonts w:hint="eastAsia"/>
              </w:rPr>
              <w:t>60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579" w:type="pct"/>
            <w:noWrap/>
            <w:vAlign w:val="center"/>
          </w:tcPr>
          <w:p>
            <w:pPr>
              <w:pStyle w:val="3013"/>
              <w:spacing w:line="240" w:lineRule="exact"/>
              <w:rPr>
                <w:rFonts w:hint="eastAsia"/>
              </w:rPr>
            </w:pPr>
            <w:r>
              <w:rPr>
                <w:rFonts w:hint="eastAsia"/>
              </w:rPr>
              <w:t>变化值</w:t>
            </w:r>
          </w:p>
        </w:tc>
        <w:tc>
          <w:tcPr>
            <w:tcW w:w="576" w:type="pct"/>
            <w:noWrap/>
            <w:vAlign w:val="center"/>
          </w:tcPr>
          <w:p>
            <w:pPr>
              <w:pStyle w:val="3013"/>
              <w:spacing w:line="240" w:lineRule="exact"/>
              <w:rPr>
                <w:rFonts w:hint="eastAsia"/>
              </w:rPr>
            </w:pPr>
            <w:r>
              <w:rPr>
                <w:rFonts w:hint="eastAsia"/>
                <w:lang w:eastAsia="zh-CN"/>
              </w:rPr>
              <w:t>—</w:t>
            </w:r>
            <w:r>
              <w:rPr>
                <w:rFonts w:hint="eastAsia"/>
              </w:rPr>
              <w:t>9.5</w:t>
            </w:r>
          </w:p>
        </w:tc>
        <w:tc>
          <w:tcPr>
            <w:tcW w:w="578" w:type="pct"/>
            <w:noWrap/>
            <w:vAlign w:val="center"/>
          </w:tcPr>
          <w:p>
            <w:pPr>
              <w:pStyle w:val="3013"/>
              <w:spacing w:line="240" w:lineRule="exact"/>
              <w:rPr>
                <w:rFonts w:hint="eastAsia"/>
              </w:rPr>
            </w:pPr>
            <w:r>
              <w:rPr>
                <w:rFonts w:hint="eastAsia"/>
              </w:rPr>
              <w:t>120.1</w:t>
            </w:r>
          </w:p>
        </w:tc>
        <w:tc>
          <w:tcPr>
            <w:tcW w:w="576" w:type="pct"/>
            <w:noWrap/>
            <w:vAlign w:val="center"/>
          </w:tcPr>
          <w:p>
            <w:pPr>
              <w:pStyle w:val="3013"/>
              <w:spacing w:line="240" w:lineRule="exact"/>
              <w:rPr>
                <w:rFonts w:hint="eastAsia"/>
              </w:rPr>
            </w:pPr>
            <w:r>
              <w:rPr>
                <w:rFonts w:hint="eastAsia"/>
                <w:lang w:eastAsia="zh-CN"/>
              </w:rPr>
              <w:t>—</w:t>
            </w:r>
            <w:r>
              <w:rPr>
                <w:rFonts w:hint="eastAsia"/>
              </w:rPr>
              <w:t>13.9</w:t>
            </w:r>
          </w:p>
        </w:tc>
        <w:tc>
          <w:tcPr>
            <w:tcW w:w="578" w:type="pct"/>
            <w:noWrap/>
            <w:vAlign w:val="center"/>
          </w:tcPr>
          <w:p>
            <w:pPr>
              <w:pStyle w:val="3013"/>
              <w:spacing w:line="240" w:lineRule="exact"/>
              <w:rPr>
                <w:rFonts w:hint="eastAsia"/>
              </w:rPr>
            </w:pPr>
            <w:r>
              <w:rPr>
                <w:rFonts w:hint="eastAsia"/>
              </w:rPr>
              <w:t>36</w:t>
            </w:r>
          </w:p>
        </w:tc>
        <w:tc>
          <w:tcPr>
            <w:tcW w:w="481" w:type="pct"/>
            <w:noWrap/>
            <w:vAlign w:val="center"/>
          </w:tcPr>
          <w:p>
            <w:pPr>
              <w:pStyle w:val="3013"/>
              <w:spacing w:line="240" w:lineRule="exact"/>
              <w:rPr>
                <w:rFonts w:hint="eastAsia"/>
              </w:rPr>
            </w:pPr>
            <w:r>
              <w:rPr>
                <w:rFonts w:hint="eastAsia"/>
                <w:lang w:eastAsia="zh-CN"/>
              </w:rPr>
              <w:t>—</w:t>
            </w:r>
            <w:r>
              <w:rPr>
                <w:rFonts w:hint="eastAsia"/>
              </w:rPr>
              <w:t>25</w:t>
            </w:r>
          </w:p>
        </w:tc>
        <w:tc>
          <w:tcPr>
            <w:tcW w:w="576" w:type="pct"/>
            <w:noWrap/>
            <w:vAlign w:val="center"/>
          </w:tcPr>
          <w:p>
            <w:pPr>
              <w:pStyle w:val="3013"/>
              <w:spacing w:line="240" w:lineRule="exact"/>
              <w:rPr>
                <w:rFonts w:hint="eastAsia"/>
              </w:rPr>
            </w:pPr>
            <w:r>
              <w:rPr>
                <w:rFonts w:hint="eastAsia"/>
              </w:rPr>
              <w:t>51</w:t>
            </w:r>
          </w:p>
        </w:tc>
        <w:tc>
          <w:tcPr>
            <w:tcW w:w="481" w:type="pct"/>
            <w:noWrap/>
            <w:vAlign w:val="center"/>
          </w:tcPr>
          <w:p>
            <w:pPr>
              <w:pStyle w:val="3013"/>
              <w:spacing w:line="240" w:lineRule="exact"/>
              <w:rPr>
                <w:rFonts w:hint="eastAsia"/>
              </w:rPr>
            </w:pPr>
            <w:r>
              <w:rPr>
                <w:rFonts w:hint="eastAsia"/>
                <w:lang w:eastAsia="zh-CN"/>
              </w:rPr>
              <w:t>—</w:t>
            </w:r>
            <w:r>
              <w:rPr>
                <w:rFonts w:hint="eastAsia"/>
              </w:rPr>
              <w:t>16</w:t>
            </w:r>
          </w:p>
        </w:tc>
        <w:tc>
          <w:tcPr>
            <w:tcW w:w="575" w:type="pct"/>
            <w:noWrap/>
            <w:vAlign w:val="center"/>
          </w:tcPr>
          <w:p>
            <w:pPr>
              <w:pStyle w:val="3013"/>
              <w:spacing w:line="240" w:lineRule="exact"/>
              <w:rPr>
                <w:rFonts w:hint="eastAsia"/>
              </w:rPr>
            </w:pPr>
            <w:r>
              <w:rPr>
                <w:rFonts w:hint="eastAsia"/>
                <w:lang w:eastAsia="zh-CN"/>
              </w:rPr>
              <w:t>—</w:t>
            </w:r>
            <w:r>
              <w:rPr>
                <w:rFonts w:hint="eastAsia"/>
              </w:rPr>
              <w:t>17</w:t>
            </w:r>
          </w:p>
        </w:tc>
      </w:tr>
    </w:tbl>
    <w:p>
      <w:pPr>
        <w:pStyle w:val="2312"/>
        <w:ind w:firstLine="240"/>
        <w:rPr>
          <w:rFonts w:hint="eastAsia"/>
        </w:rPr>
      </w:pPr>
      <w:r>
        <w:rPr>
          <w:rFonts w:hint="default" w:ascii="Times New Roman" w:hAnsi="Times New Roman" w:cs="Times New Roman"/>
        </w:rPr>
        <w:t>表6.1</w:t>
      </w:r>
      <w:r>
        <w:rPr>
          <w:rFonts w:hint="default" w:ascii="Times New Roman" w:hAnsi="Times New Roman" w:cs="Times New Roman"/>
          <w:lang w:eastAsia="zh-CN"/>
        </w:rPr>
        <w:t>—</w:t>
      </w:r>
      <w:r>
        <w:rPr>
          <w:rFonts w:hint="default" w:ascii="Times New Roman" w:hAnsi="Times New Roman" w:cs="Times New Roman"/>
        </w:rPr>
        <w:t>2</w:t>
      </w:r>
      <w:r>
        <w:rPr>
          <w:rFonts w:hint="eastAsia"/>
        </w:rPr>
        <w:t xml:space="preserve">              綦江干流航运梯级规划前后堰顶高程变化表</w:t>
      </w:r>
    </w:p>
    <w:tbl>
      <w:tblPr>
        <w:tblStyle w:val="88"/>
        <w:tblW w:w="5000"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108" w:type="dxa"/>
          <w:bottom w:w="0" w:type="dxa"/>
          <w:right w:w="108" w:type="dxa"/>
        </w:tblCellMar>
      </w:tblPr>
      <w:tblGrid>
        <w:gridCol w:w="983"/>
        <w:gridCol w:w="1098"/>
        <w:gridCol w:w="1098"/>
        <w:gridCol w:w="1098"/>
        <w:gridCol w:w="884"/>
        <w:gridCol w:w="951"/>
        <w:gridCol w:w="986"/>
        <w:gridCol w:w="1153"/>
        <w:gridCol w:w="1036"/>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529" w:type="pct"/>
            <w:noWrap/>
            <w:vAlign w:val="center"/>
          </w:tcPr>
          <w:p>
            <w:pPr>
              <w:pStyle w:val="3013"/>
              <w:spacing w:line="240" w:lineRule="exact"/>
              <w:rPr>
                <w:rFonts w:hint="eastAsia"/>
              </w:rPr>
            </w:pPr>
          </w:p>
        </w:tc>
        <w:tc>
          <w:tcPr>
            <w:tcW w:w="591" w:type="pct"/>
            <w:noWrap w:val="0"/>
            <w:vAlign w:val="center"/>
          </w:tcPr>
          <w:p>
            <w:pPr>
              <w:pStyle w:val="3013"/>
              <w:spacing w:line="240" w:lineRule="exact"/>
              <w:rPr>
                <w:rFonts w:hint="eastAsia"/>
              </w:rPr>
            </w:pPr>
            <w:r>
              <w:rPr>
                <w:rFonts w:hint="eastAsia"/>
              </w:rPr>
              <w:t>五福</w:t>
            </w:r>
          </w:p>
        </w:tc>
        <w:tc>
          <w:tcPr>
            <w:tcW w:w="591" w:type="pct"/>
            <w:noWrap w:val="0"/>
            <w:vAlign w:val="center"/>
          </w:tcPr>
          <w:p>
            <w:pPr>
              <w:pStyle w:val="3013"/>
              <w:spacing w:line="240" w:lineRule="exact"/>
              <w:rPr>
                <w:rFonts w:hint="eastAsia"/>
              </w:rPr>
            </w:pPr>
            <w:r>
              <w:rPr>
                <w:rFonts w:hint="eastAsia"/>
              </w:rPr>
              <w:t>车滩</w:t>
            </w:r>
          </w:p>
        </w:tc>
        <w:tc>
          <w:tcPr>
            <w:tcW w:w="591" w:type="pct"/>
            <w:noWrap w:val="0"/>
            <w:vAlign w:val="center"/>
          </w:tcPr>
          <w:p>
            <w:pPr>
              <w:pStyle w:val="3013"/>
              <w:spacing w:line="240" w:lineRule="exact"/>
              <w:rPr>
                <w:rFonts w:hint="eastAsia"/>
              </w:rPr>
            </w:pPr>
            <w:r>
              <w:rPr>
                <w:rFonts w:hint="eastAsia"/>
              </w:rPr>
              <w:t>桥溪口</w:t>
            </w:r>
          </w:p>
        </w:tc>
        <w:tc>
          <w:tcPr>
            <w:tcW w:w="476" w:type="pct"/>
            <w:noWrap w:val="0"/>
            <w:vAlign w:val="center"/>
          </w:tcPr>
          <w:p>
            <w:pPr>
              <w:pStyle w:val="3013"/>
              <w:spacing w:line="240" w:lineRule="exact"/>
              <w:rPr>
                <w:rFonts w:hint="eastAsia"/>
              </w:rPr>
            </w:pPr>
            <w:r>
              <w:rPr>
                <w:rFonts w:hint="eastAsia"/>
              </w:rPr>
              <w:t>大常</w:t>
            </w:r>
          </w:p>
        </w:tc>
        <w:tc>
          <w:tcPr>
            <w:tcW w:w="512" w:type="pct"/>
            <w:noWrap w:val="0"/>
            <w:vAlign w:val="center"/>
          </w:tcPr>
          <w:p>
            <w:pPr>
              <w:pStyle w:val="3013"/>
              <w:spacing w:line="240" w:lineRule="exact"/>
              <w:rPr>
                <w:rFonts w:hint="eastAsia"/>
              </w:rPr>
            </w:pPr>
            <w:r>
              <w:rPr>
                <w:rFonts w:hint="eastAsia"/>
              </w:rPr>
              <w:t>桥河</w:t>
            </w:r>
          </w:p>
        </w:tc>
        <w:tc>
          <w:tcPr>
            <w:tcW w:w="531" w:type="pct"/>
            <w:noWrap w:val="0"/>
            <w:vAlign w:val="center"/>
          </w:tcPr>
          <w:p>
            <w:pPr>
              <w:pStyle w:val="3013"/>
              <w:spacing w:line="240" w:lineRule="exact"/>
              <w:rPr>
                <w:rFonts w:hint="eastAsia"/>
              </w:rPr>
            </w:pPr>
            <w:r>
              <w:rPr>
                <w:rFonts w:hint="eastAsia"/>
              </w:rPr>
              <w:t>石溪口</w:t>
            </w:r>
          </w:p>
        </w:tc>
        <w:tc>
          <w:tcPr>
            <w:tcW w:w="621" w:type="pct"/>
            <w:noWrap w:val="0"/>
            <w:vAlign w:val="center"/>
          </w:tcPr>
          <w:p>
            <w:pPr>
              <w:pStyle w:val="3013"/>
              <w:spacing w:line="240" w:lineRule="exact"/>
              <w:rPr>
                <w:rFonts w:hint="eastAsia"/>
              </w:rPr>
            </w:pPr>
            <w:r>
              <w:rPr>
                <w:rFonts w:hint="eastAsia"/>
              </w:rPr>
              <w:t>珠滩</w:t>
            </w:r>
          </w:p>
        </w:tc>
        <w:tc>
          <w:tcPr>
            <w:tcW w:w="559" w:type="pct"/>
            <w:noWrap w:val="0"/>
            <w:vAlign w:val="center"/>
          </w:tcPr>
          <w:p>
            <w:pPr>
              <w:pStyle w:val="3013"/>
              <w:spacing w:line="240" w:lineRule="exact"/>
              <w:rPr>
                <w:rFonts w:hint="eastAsia"/>
              </w:rPr>
            </w:pPr>
            <w:r>
              <w:rPr>
                <w:rFonts w:hint="eastAsia"/>
              </w:rPr>
              <w:t>羊蹄洞</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529" w:type="pct"/>
            <w:noWrap/>
            <w:vAlign w:val="center"/>
          </w:tcPr>
          <w:p>
            <w:pPr>
              <w:pStyle w:val="3013"/>
              <w:spacing w:line="240" w:lineRule="exact"/>
              <w:rPr>
                <w:rFonts w:hint="eastAsia"/>
              </w:rPr>
            </w:pPr>
            <w:r>
              <w:rPr>
                <w:rFonts w:hint="eastAsia"/>
              </w:rPr>
              <w:t>规划前</w:t>
            </w:r>
          </w:p>
        </w:tc>
        <w:tc>
          <w:tcPr>
            <w:tcW w:w="591" w:type="pct"/>
            <w:noWrap w:val="0"/>
            <w:vAlign w:val="center"/>
          </w:tcPr>
          <w:p>
            <w:pPr>
              <w:pStyle w:val="3013"/>
              <w:spacing w:line="240" w:lineRule="exact"/>
              <w:rPr>
                <w:rFonts w:hint="eastAsia"/>
              </w:rPr>
            </w:pPr>
            <w:r>
              <w:rPr>
                <w:rFonts w:hint="eastAsia"/>
              </w:rPr>
              <w:t>200.5</w:t>
            </w:r>
          </w:p>
        </w:tc>
        <w:tc>
          <w:tcPr>
            <w:tcW w:w="591" w:type="pct"/>
            <w:noWrap w:val="0"/>
            <w:vAlign w:val="center"/>
          </w:tcPr>
          <w:p>
            <w:pPr>
              <w:pStyle w:val="3013"/>
              <w:spacing w:line="240" w:lineRule="exact"/>
              <w:rPr>
                <w:rFonts w:hint="eastAsia"/>
              </w:rPr>
            </w:pPr>
            <w:r>
              <w:rPr>
                <w:rFonts w:hint="eastAsia"/>
              </w:rPr>
              <w:t>206.2</w:t>
            </w:r>
          </w:p>
        </w:tc>
        <w:tc>
          <w:tcPr>
            <w:tcW w:w="591" w:type="pct"/>
            <w:noWrap w:val="0"/>
            <w:vAlign w:val="center"/>
          </w:tcPr>
          <w:p>
            <w:pPr>
              <w:pStyle w:val="3013"/>
              <w:spacing w:line="240" w:lineRule="exact"/>
              <w:rPr>
                <w:rFonts w:hint="eastAsia"/>
              </w:rPr>
            </w:pPr>
            <w:r>
              <w:rPr>
                <w:rFonts w:hint="eastAsia"/>
              </w:rPr>
              <w:t>212.2</w:t>
            </w:r>
          </w:p>
        </w:tc>
        <w:tc>
          <w:tcPr>
            <w:tcW w:w="476" w:type="pct"/>
            <w:noWrap w:val="0"/>
            <w:vAlign w:val="center"/>
          </w:tcPr>
          <w:p>
            <w:pPr>
              <w:pStyle w:val="3013"/>
              <w:spacing w:line="240" w:lineRule="exact"/>
              <w:rPr>
                <w:rFonts w:hint="eastAsia"/>
              </w:rPr>
            </w:pPr>
            <w:r>
              <w:rPr>
                <w:rFonts w:hint="eastAsia"/>
              </w:rPr>
              <w:t>216.2</w:t>
            </w:r>
          </w:p>
        </w:tc>
        <w:tc>
          <w:tcPr>
            <w:tcW w:w="512" w:type="pct"/>
            <w:noWrap w:val="0"/>
            <w:vAlign w:val="center"/>
          </w:tcPr>
          <w:p>
            <w:pPr>
              <w:pStyle w:val="3013"/>
              <w:spacing w:line="240" w:lineRule="exact"/>
              <w:rPr>
                <w:rFonts w:hint="eastAsia"/>
              </w:rPr>
            </w:pPr>
            <w:r>
              <w:rPr>
                <w:rFonts w:hint="eastAsia"/>
              </w:rPr>
              <w:t>221.2</w:t>
            </w:r>
          </w:p>
        </w:tc>
        <w:tc>
          <w:tcPr>
            <w:tcW w:w="531" w:type="pct"/>
            <w:noWrap w:val="0"/>
            <w:vAlign w:val="center"/>
          </w:tcPr>
          <w:p>
            <w:pPr>
              <w:pStyle w:val="3013"/>
              <w:spacing w:line="240" w:lineRule="exact"/>
              <w:rPr>
                <w:rFonts w:hint="eastAsia"/>
              </w:rPr>
            </w:pPr>
            <w:r>
              <w:rPr>
                <w:rFonts w:hint="eastAsia"/>
              </w:rPr>
              <w:t>226.1</w:t>
            </w:r>
          </w:p>
        </w:tc>
        <w:tc>
          <w:tcPr>
            <w:tcW w:w="621" w:type="pct"/>
            <w:noWrap w:val="0"/>
            <w:vAlign w:val="center"/>
          </w:tcPr>
          <w:p>
            <w:pPr>
              <w:pStyle w:val="3013"/>
              <w:spacing w:line="240" w:lineRule="exact"/>
              <w:rPr>
                <w:rFonts w:hint="eastAsia"/>
              </w:rPr>
            </w:pPr>
            <w:r>
              <w:rPr>
                <w:rFonts w:hint="eastAsia"/>
              </w:rPr>
              <w:t>236.5</w:t>
            </w:r>
          </w:p>
        </w:tc>
        <w:tc>
          <w:tcPr>
            <w:tcW w:w="559" w:type="pct"/>
            <w:noWrap w:val="0"/>
            <w:vAlign w:val="center"/>
          </w:tcPr>
          <w:p>
            <w:pPr>
              <w:pStyle w:val="3013"/>
              <w:spacing w:line="240" w:lineRule="exact"/>
              <w:rPr>
                <w:rFonts w:hint="eastAsia"/>
              </w:rPr>
            </w:pPr>
            <w:r>
              <w:rPr>
                <w:rFonts w:hint="eastAsia"/>
              </w:rPr>
              <w:t>273.8</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529" w:type="pct"/>
            <w:noWrap/>
            <w:vAlign w:val="center"/>
          </w:tcPr>
          <w:p>
            <w:pPr>
              <w:pStyle w:val="3013"/>
              <w:spacing w:line="240" w:lineRule="exact"/>
              <w:rPr>
                <w:rFonts w:hint="eastAsia"/>
              </w:rPr>
            </w:pPr>
            <w:r>
              <w:rPr>
                <w:rFonts w:hint="eastAsia"/>
              </w:rPr>
              <w:t>规划后</w:t>
            </w:r>
          </w:p>
        </w:tc>
        <w:tc>
          <w:tcPr>
            <w:tcW w:w="591" w:type="pct"/>
            <w:noWrap/>
            <w:vAlign w:val="center"/>
          </w:tcPr>
          <w:p>
            <w:pPr>
              <w:pStyle w:val="3013"/>
              <w:spacing w:line="240" w:lineRule="exact"/>
              <w:rPr>
                <w:rFonts w:hint="eastAsia"/>
              </w:rPr>
            </w:pPr>
            <w:r>
              <w:rPr>
                <w:rFonts w:hint="eastAsia"/>
              </w:rPr>
              <w:t>195.0</w:t>
            </w:r>
          </w:p>
        </w:tc>
        <w:tc>
          <w:tcPr>
            <w:tcW w:w="591" w:type="pct"/>
            <w:noWrap/>
            <w:vAlign w:val="center"/>
          </w:tcPr>
          <w:p>
            <w:pPr>
              <w:pStyle w:val="3013"/>
              <w:spacing w:line="240" w:lineRule="exact"/>
              <w:rPr>
                <w:rFonts w:hint="eastAsia"/>
              </w:rPr>
            </w:pPr>
            <w:r>
              <w:rPr>
                <w:rFonts w:hint="eastAsia"/>
              </w:rPr>
              <w:t>201.8</w:t>
            </w:r>
          </w:p>
        </w:tc>
        <w:tc>
          <w:tcPr>
            <w:tcW w:w="591" w:type="pct"/>
            <w:noWrap/>
            <w:vAlign w:val="center"/>
          </w:tcPr>
          <w:p>
            <w:pPr>
              <w:pStyle w:val="3013"/>
              <w:spacing w:line="240" w:lineRule="exact"/>
              <w:rPr>
                <w:rFonts w:hint="eastAsia"/>
              </w:rPr>
            </w:pPr>
            <w:r>
              <w:rPr>
                <w:rFonts w:hint="eastAsia"/>
              </w:rPr>
              <w:t>206</w:t>
            </w:r>
          </w:p>
        </w:tc>
        <w:tc>
          <w:tcPr>
            <w:tcW w:w="476" w:type="pct"/>
            <w:noWrap/>
            <w:vAlign w:val="center"/>
          </w:tcPr>
          <w:p>
            <w:pPr>
              <w:pStyle w:val="3013"/>
              <w:spacing w:line="240" w:lineRule="exact"/>
              <w:rPr>
                <w:rFonts w:hint="eastAsia"/>
              </w:rPr>
            </w:pPr>
            <w:r>
              <w:rPr>
                <w:rFonts w:hint="eastAsia"/>
              </w:rPr>
              <w:t>210.9</w:t>
            </w:r>
          </w:p>
        </w:tc>
        <w:tc>
          <w:tcPr>
            <w:tcW w:w="512" w:type="pct"/>
            <w:noWrap/>
            <w:vAlign w:val="center"/>
          </w:tcPr>
          <w:p>
            <w:pPr>
              <w:pStyle w:val="3013"/>
              <w:spacing w:line="240" w:lineRule="exact"/>
              <w:rPr>
                <w:rFonts w:hint="eastAsia"/>
              </w:rPr>
            </w:pPr>
            <w:r>
              <w:rPr>
                <w:rFonts w:hint="eastAsia"/>
              </w:rPr>
              <w:t>215.5</w:t>
            </w:r>
          </w:p>
        </w:tc>
        <w:tc>
          <w:tcPr>
            <w:tcW w:w="531" w:type="pct"/>
            <w:noWrap/>
            <w:vAlign w:val="center"/>
          </w:tcPr>
          <w:p>
            <w:pPr>
              <w:pStyle w:val="3013"/>
              <w:spacing w:line="240" w:lineRule="exact"/>
              <w:rPr>
                <w:rFonts w:hint="eastAsia"/>
              </w:rPr>
            </w:pPr>
            <w:r>
              <w:rPr>
                <w:rFonts w:hint="eastAsia"/>
              </w:rPr>
              <w:t>221.0</w:t>
            </w:r>
          </w:p>
        </w:tc>
        <w:tc>
          <w:tcPr>
            <w:tcW w:w="621" w:type="pct"/>
            <w:noWrap/>
            <w:vAlign w:val="center"/>
          </w:tcPr>
          <w:p>
            <w:pPr>
              <w:pStyle w:val="3013"/>
              <w:spacing w:line="240" w:lineRule="exact"/>
              <w:rPr>
                <w:rFonts w:hint="eastAsia"/>
              </w:rPr>
            </w:pPr>
            <w:r>
              <w:rPr>
                <w:rFonts w:hint="eastAsia"/>
              </w:rPr>
              <w:t>232.0</w:t>
            </w:r>
          </w:p>
        </w:tc>
        <w:tc>
          <w:tcPr>
            <w:tcW w:w="559" w:type="pct"/>
            <w:noWrap/>
            <w:vAlign w:val="center"/>
          </w:tcPr>
          <w:p>
            <w:pPr>
              <w:pStyle w:val="3013"/>
              <w:spacing w:line="240" w:lineRule="exact"/>
              <w:rPr>
                <w:rFonts w:hint="eastAsia"/>
              </w:rPr>
            </w:pPr>
            <w:r>
              <w:rPr>
                <w:rFonts w:hint="eastAsia"/>
              </w:rPr>
              <w:t>271.5</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529" w:type="pct"/>
            <w:noWrap/>
            <w:vAlign w:val="center"/>
          </w:tcPr>
          <w:p>
            <w:pPr>
              <w:pStyle w:val="3013"/>
              <w:spacing w:line="240" w:lineRule="exact"/>
              <w:rPr>
                <w:rFonts w:hint="eastAsia"/>
              </w:rPr>
            </w:pPr>
            <w:r>
              <w:rPr>
                <w:rFonts w:hint="eastAsia"/>
              </w:rPr>
              <w:t>变化值</w:t>
            </w:r>
          </w:p>
        </w:tc>
        <w:tc>
          <w:tcPr>
            <w:tcW w:w="591" w:type="pct"/>
            <w:noWrap/>
            <w:vAlign w:val="center"/>
          </w:tcPr>
          <w:p>
            <w:pPr>
              <w:pStyle w:val="3013"/>
              <w:spacing w:line="240" w:lineRule="exact"/>
              <w:rPr>
                <w:rFonts w:hint="eastAsia"/>
              </w:rPr>
            </w:pPr>
            <w:r>
              <w:rPr>
                <w:rFonts w:hint="eastAsia"/>
                <w:lang w:eastAsia="zh-CN"/>
              </w:rPr>
              <w:t>—</w:t>
            </w:r>
            <w:r>
              <w:rPr>
                <w:rFonts w:hint="eastAsia"/>
              </w:rPr>
              <w:t>5.5</w:t>
            </w:r>
          </w:p>
        </w:tc>
        <w:tc>
          <w:tcPr>
            <w:tcW w:w="591" w:type="pct"/>
            <w:noWrap/>
            <w:vAlign w:val="center"/>
          </w:tcPr>
          <w:p>
            <w:pPr>
              <w:pStyle w:val="3013"/>
              <w:spacing w:line="240" w:lineRule="exact"/>
              <w:rPr>
                <w:rFonts w:hint="eastAsia"/>
              </w:rPr>
            </w:pPr>
            <w:r>
              <w:rPr>
                <w:rFonts w:hint="eastAsia"/>
                <w:lang w:eastAsia="zh-CN"/>
              </w:rPr>
              <w:t>—</w:t>
            </w:r>
            <w:r>
              <w:rPr>
                <w:rFonts w:hint="eastAsia"/>
              </w:rPr>
              <w:t>4.42</w:t>
            </w:r>
          </w:p>
        </w:tc>
        <w:tc>
          <w:tcPr>
            <w:tcW w:w="591" w:type="pct"/>
            <w:noWrap/>
            <w:vAlign w:val="center"/>
          </w:tcPr>
          <w:p>
            <w:pPr>
              <w:pStyle w:val="3013"/>
              <w:spacing w:line="240" w:lineRule="exact"/>
              <w:rPr>
                <w:rFonts w:hint="eastAsia"/>
              </w:rPr>
            </w:pPr>
            <w:r>
              <w:rPr>
                <w:rFonts w:hint="eastAsia"/>
                <w:lang w:eastAsia="zh-CN"/>
              </w:rPr>
              <w:t>—</w:t>
            </w:r>
            <w:r>
              <w:rPr>
                <w:rFonts w:hint="eastAsia"/>
              </w:rPr>
              <w:t>6.2</w:t>
            </w:r>
          </w:p>
        </w:tc>
        <w:tc>
          <w:tcPr>
            <w:tcW w:w="476" w:type="pct"/>
            <w:noWrap/>
            <w:vAlign w:val="center"/>
          </w:tcPr>
          <w:p>
            <w:pPr>
              <w:pStyle w:val="3013"/>
              <w:spacing w:line="240" w:lineRule="exact"/>
              <w:rPr>
                <w:rFonts w:hint="eastAsia"/>
              </w:rPr>
            </w:pPr>
            <w:r>
              <w:rPr>
                <w:rFonts w:hint="eastAsia"/>
                <w:lang w:eastAsia="zh-CN"/>
              </w:rPr>
              <w:t>—</w:t>
            </w:r>
            <w:r>
              <w:rPr>
                <w:rFonts w:hint="eastAsia"/>
              </w:rPr>
              <w:t>5.3</w:t>
            </w:r>
          </w:p>
        </w:tc>
        <w:tc>
          <w:tcPr>
            <w:tcW w:w="512" w:type="pct"/>
            <w:noWrap/>
            <w:vAlign w:val="center"/>
          </w:tcPr>
          <w:p>
            <w:pPr>
              <w:pStyle w:val="3013"/>
              <w:spacing w:line="240" w:lineRule="exact"/>
              <w:rPr>
                <w:rFonts w:hint="eastAsia"/>
              </w:rPr>
            </w:pPr>
            <w:r>
              <w:rPr>
                <w:rFonts w:hint="eastAsia"/>
                <w:lang w:eastAsia="zh-CN"/>
              </w:rPr>
              <w:t>—</w:t>
            </w:r>
            <w:r>
              <w:rPr>
                <w:rFonts w:hint="eastAsia"/>
              </w:rPr>
              <w:t>5.7</w:t>
            </w:r>
          </w:p>
        </w:tc>
        <w:tc>
          <w:tcPr>
            <w:tcW w:w="531" w:type="pct"/>
            <w:noWrap/>
            <w:vAlign w:val="center"/>
          </w:tcPr>
          <w:p>
            <w:pPr>
              <w:pStyle w:val="3013"/>
              <w:spacing w:line="240" w:lineRule="exact"/>
              <w:rPr>
                <w:rFonts w:hint="eastAsia"/>
              </w:rPr>
            </w:pPr>
            <w:r>
              <w:rPr>
                <w:rFonts w:hint="eastAsia"/>
                <w:lang w:eastAsia="zh-CN"/>
              </w:rPr>
              <w:t>—</w:t>
            </w:r>
            <w:r>
              <w:rPr>
                <w:rFonts w:hint="eastAsia"/>
              </w:rPr>
              <w:t>5.1</w:t>
            </w:r>
          </w:p>
        </w:tc>
        <w:tc>
          <w:tcPr>
            <w:tcW w:w="621" w:type="pct"/>
            <w:noWrap/>
            <w:vAlign w:val="center"/>
          </w:tcPr>
          <w:p>
            <w:pPr>
              <w:pStyle w:val="3013"/>
              <w:spacing w:line="240" w:lineRule="exact"/>
              <w:rPr>
                <w:rFonts w:hint="eastAsia"/>
              </w:rPr>
            </w:pPr>
            <w:r>
              <w:rPr>
                <w:rFonts w:hint="eastAsia"/>
                <w:lang w:eastAsia="zh-CN"/>
              </w:rPr>
              <w:t>—</w:t>
            </w:r>
            <w:r>
              <w:rPr>
                <w:rFonts w:hint="eastAsia"/>
              </w:rPr>
              <w:t>4.5</w:t>
            </w:r>
          </w:p>
        </w:tc>
        <w:tc>
          <w:tcPr>
            <w:tcW w:w="559" w:type="pct"/>
            <w:noWrap/>
            <w:vAlign w:val="center"/>
          </w:tcPr>
          <w:p>
            <w:pPr>
              <w:pStyle w:val="3013"/>
              <w:spacing w:line="240" w:lineRule="exact"/>
              <w:rPr>
                <w:rFonts w:hint="eastAsia"/>
              </w:rPr>
            </w:pPr>
            <w:r>
              <w:rPr>
                <w:rFonts w:hint="eastAsia"/>
                <w:lang w:eastAsia="zh-CN"/>
              </w:rPr>
              <w:t>—</w:t>
            </w:r>
            <w:r>
              <w:rPr>
                <w:rFonts w:hint="eastAsia"/>
              </w:rPr>
              <w:t>2.3</w:t>
            </w:r>
          </w:p>
        </w:tc>
      </w:tr>
    </w:tbl>
    <w:p>
      <w:pPr>
        <w:pStyle w:val="2886"/>
        <w:outlineLvl w:val="9"/>
        <w:rPr>
          <w:rFonts w:hint="eastAsia" w:ascii="仿宋_GB2312" w:eastAsia="仿宋_GB2312"/>
        </w:rPr>
      </w:pPr>
      <w:r>
        <w:rPr>
          <w:rFonts w:ascii="仿宋_GB2312" w:eastAsia="仿宋_GB2312"/>
        </w:rPr>
        <w:drawing>
          <wp:anchor distT="0" distB="0" distL="114300" distR="114300" simplePos="0" relativeHeight="251673600" behindDoc="0" locked="0" layoutInCell="1" allowOverlap="1">
            <wp:simplePos x="0" y="0"/>
            <wp:positionH relativeFrom="character">
              <wp:posOffset>0</wp:posOffset>
            </wp:positionH>
            <wp:positionV relativeFrom="line">
              <wp:posOffset>0</wp:posOffset>
            </wp:positionV>
            <wp:extent cx="5317490" cy="2838450"/>
            <wp:effectExtent l="0" t="0" r="16510" b="0"/>
            <wp:wrapNone/>
            <wp:docPr id="15" name="图片 673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 name="图片 6732"/>
                    <pic:cNvPicPr>
                      <a:picLocks noChangeAspect="true"/>
                    </pic:cNvPicPr>
                  </pic:nvPicPr>
                  <pic:blipFill>
                    <a:blip r:embed="rId162"/>
                    <a:stretch>
                      <a:fillRect/>
                    </a:stretch>
                  </pic:blipFill>
                  <pic:spPr>
                    <a:xfrm>
                      <a:off x="0" y="0"/>
                      <a:ext cx="5317490" cy="2838450"/>
                    </a:xfrm>
                    <a:prstGeom prst="rect">
                      <a:avLst/>
                    </a:prstGeom>
                    <a:noFill/>
                    <a:ln>
                      <a:noFill/>
                    </a:ln>
                  </pic:spPr>
                </pic:pic>
              </a:graphicData>
            </a:graphic>
          </wp:anchor>
        </w:drawing>
      </w:r>
      <w:r>
        <w:rPr>
          <w:rFonts w:ascii="仿宋_GB2312" w:eastAsia="仿宋_GB2312"/>
        </w:rPr>
        <mc:AlternateContent>
          <mc:Choice Requires="wps">
            <w:drawing>
              <wp:inline distT="0" distB="0" distL="114300" distR="114300">
                <wp:extent cx="5317490" cy="2838450"/>
                <wp:effectExtent l="0" t="0" r="0" b="0"/>
                <wp:docPr id="123" name="图片 93"/>
                <wp:cNvGraphicFramePr>
                  <a:graphicFrameLocks xmlns:a="http://schemas.openxmlformats.org/drawingml/2006/main" noChangeAspect="true"/>
                </wp:cNvGraphicFramePr>
                <a:graphic xmlns:a="http://schemas.openxmlformats.org/drawingml/2006/main">
                  <a:graphicData uri="http://schemas.microsoft.com/office/word/2010/wordprocessingShape">
                    <wps:wsp>
                      <wps:cNvSpPr>
                        <a:spLocks noChangeAspect="true"/>
                      </wps:cNvSpPr>
                      <wps:spPr>
                        <a:xfrm>
                          <a:off x="0" y="0"/>
                          <a:ext cx="5317490" cy="2838450"/>
                        </a:xfrm>
                        <a:prstGeom prst="rect">
                          <a:avLst/>
                        </a:prstGeom>
                        <a:noFill/>
                        <a:ln>
                          <a:noFill/>
                        </a:ln>
                      </wps:spPr>
                      <wps:bodyPr wrap="square" upright="true"/>
                    </wps:wsp>
                  </a:graphicData>
                </a:graphic>
              </wp:inline>
            </w:drawing>
          </mc:Choice>
          <mc:Fallback>
            <w:pict>
              <v:rect id="图片 93" o:spid="_x0000_s1026" o:spt="1" style="height:223.5pt;width:418.7pt;" filled="f" stroked="f" coordsize="21600,21600" o:gfxdata="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FgAAAGRycy9QSwECFAAU&#10;AAAACACHTuJA7HXgcdcAAAAFAQAADwAAAAAAAAABACAAAAA4AAAAZHJzL2Rvd25yZXYueG1sUEsB&#10;AhQAFAAAAAgAh07iQCVEbQqnAQAALAMAAA4AAAAAAAAAAQAgAAAAPAEAAGRycy9lMm9Eb2MueG1s&#10;UEsFBgAAAAAGAAYAWQEAAFUFAAAAAA==&#10;">
                <v:fill on="f" focussize="0,0"/>
                <v:stroke on="f"/>
                <v:imagedata o:title=""/>
                <o:lock v:ext="edit" aspectratio="t"/>
                <w10:wrap type="none"/>
                <w10:anchorlock/>
              </v:rect>
            </w:pict>
          </mc:Fallback>
        </mc:AlternateContent>
      </w:r>
    </w:p>
    <w:p>
      <w:pPr>
        <w:pStyle w:val="2886"/>
        <w:rPr>
          <w:rFonts w:hint="default" w:ascii="Times New Roman" w:hAnsi="Times New Roman" w:cs="Times New Roman"/>
        </w:rPr>
      </w:pPr>
      <w:r>
        <w:rPr>
          <w:rFonts w:hint="default" w:ascii="Times New Roman" w:hAnsi="Times New Roman" w:cs="Times New Roman"/>
        </w:rPr>
        <w:t>图6.1</w:t>
      </w:r>
      <w:r>
        <w:rPr>
          <w:rFonts w:hint="default" w:ascii="Times New Roman" w:hAnsi="Times New Roman" w:cs="Times New Roman"/>
          <w:lang w:eastAsia="zh-CN"/>
        </w:rPr>
        <w:t>—</w:t>
      </w:r>
      <w:r>
        <w:rPr>
          <w:rFonts w:hint="default" w:ascii="Times New Roman" w:hAnsi="Times New Roman" w:cs="Times New Roman"/>
        </w:rPr>
        <w:t>2    规划前后正常蓄水位示意图</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lang w:val="en-US" w:eastAsia="zh-CN"/>
        </w:rPr>
        <w:t>1.2</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rPr>
        <w:t>防洪作用</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rPr>
        <w:t>綦江城区上游的航电枢纽有羊蹄洞、</w:t>
      </w:r>
      <w:r>
        <w:rPr>
          <w:rFonts w:hint="eastAsia" w:ascii="Times New Roman" w:eastAsia="方正仿宋_GBK" w:cs="Times New Roman"/>
          <w:sz w:val="32"/>
          <w:szCs w:val="32"/>
          <w:lang w:eastAsia="zh-CN"/>
        </w:rPr>
        <w:t>盖石洞</w:t>
      </w:r>
      <w:r>
        <w:rPr>
          <w:rFonts w:hint="eastAsia" w:ascii="Times New Roman" w:hAnsi="Times New Roman" w:eastAsia="方正仿宋_GBK" w:cs="Times New Roman"/>
          <w:sz w:val="32"/>
          <w:szCs w:val="32"/>
        </w:rPr>
        <w:t>、珠滩3座；三江街道至綦江主城区河段的航电枢纽有桥河、石溪口2座，分别距离蒲河口13.20km、4.06km；綦江主城区及下游河段的航电枢纽主要有大常、桥溪口、车滩、五福4座，分别距离彩虹桥1.61km、12.77km、23.47km、31.07km。</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城区上游羊蹄洞、珠滩枢纽改造对綦江城区的防洪作用甚微。城区下游车滩、五福枢纽距离綦江城区城北大桥超过20km，通过綦江干流一维水动力学数学模型计算，在5</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50年一遇设计洪水条件下，车滩枢纽拆除、五福枢纽改造对降低綦江城区行洪水位作用很小，但工程实施后可增加河道流速，促使河道经过自然冲刷，防止回淤，对维持綦江城区河道过流能力仍有益，因此，本次仍采用《綦江航运综合开发规划（2016年）》规划成果。考虑防洪效果，本次重点研究綦江城区河道的大常枢纽拆除、桥河枢纽改造、石溪口枢纽拆除以及城区下游河道的桥溪口枢纽改造的防洪作用。</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根据《綦江航运综合开发规划（2016年）》拟定的梯级优化改建方案，通过綦江干流一维水动力学数学模型计算，梯级优化改建的防洪效果见表6.1</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3。可以看出：大常枢纽拆除、桥溪口枢纽改造的作用范围主要在綦江主城区，且前者远优于后者；桥河枢纽改造、石溪口枢纽拆除的作用范围仅限于三江街道，且后者远优于前者。</w:t>
      </w:r>
    </w:p>
    <w:p>
      <w:pPr>
        <w:pStyle w:val="2312"/>
        <w:ind w:firstLine="240"/>
        <w:rPr>
          <w:rFonts w:hint="eastAsia"/>
        </w:rPr>
      </w:pPr>
      <w:r>
        <w:rPr>
          <w:rFonts w:hint="default" w:ascii="Times New Roman" w:hAnsi="Times New Roman" w:cs="Times New Roman"/>
        </w:rPr>
        <w:t>表6.1</w:t>
      </w:r>
      <w:r>
        <w:rPr>
          <w:rFonts w:hint="default" w:ascii="Times New Roman" w:hAnsi="Times New Roman" w:cs="Times New Roman"/>
          <w:lang w:eastAsia="zh-CN"/>
        </w:rPr>
        <w:t>—</w:t>
      </w:r>
      <w:r>
        <w:rPr>
          <w:rFonts w:hint="default" w:ascii="Times New Roman" w:hAnsi="Times New Roman" w:cs="Times New Roman"/>
        </w:rPr>
        <w:t>3    20年一遇洪水条件下航运梯级工</w:t>
      </w:r>
      <w:r>
        <w:rPr>
          <w:rFonts w:hint="eastAsia"/>
        </w:rPr>
        <w:t>程前后綦江干流水面线变化表</w:t>
      </w:r>
    </w:p>
    <w:tbl>
      <w:tblPr>
        <w:tblStyle w:val="88"/>
        <w:tblW w:w="522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54"/>
        <w:gridCol w:w="732"/>
        <w:gridCol w:w="698"/>
        <w:gridCol w:w="699"/>
        <w:gridCol w:w="698"/>
        <w:gridCol w:w="699"/>
        <w:gridCol w:w="698"/>
        <w:gridCol w:w="701"/>
        <w:gridCol w:w="705"/>
        <w:gridCol w:w="701"/>
        <w:gridCol w:w="698"/>
        <w:gridCol w:w="705"/>
        <w:gridCol w:w="10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397" w:type="pct"/>
            <w:vMerge w:val="restar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lang w:bidi="ar"/>
              </w:rPr>
            </w:pPr>
            <w:r>
              <w:rPr>
                <w:rFonts w:hint="eastAsia"/>
                <w:sz w:val="18"/>
                <w:szCs w:val="18"/>
                <w:lang w:bidi="ar"/>
              </w:rPr>
              <w:t>距离珠滩枢纽(km)</w:t>
            </w:r>
          </w:p>
        </w:tc>
        <w:tc>
          <w:tcPr>
            <w:tcW w:w="385" w:type="pct"/>
            <w:vMerge w:val="restar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rPr>
              <w:t>天然</w:t>
            </w:r>
          </w:p>
          <w:p>
            <w:pPr>
              <w:pStyle w:val="3013"/>
              <w:spacing w:line="240" w:lineRule="exact"/>
              <w:rPr>
                <w:rFonts w:hint="eastAsia"/>
                <w:sz w:val="18"/>
                <w:szCs w:val="18"/>
              </w:rPr>
            </w:pPr>
            <w:r>
              <w:rPr>
                <w:rFonts w:hint="eastAsia"/>
                <w:sz w:val="18"/>
                <w:szCs w:val="18"/>
              </w:rPr>
              <w:t>水面线</w:t>
            </w:r>
          </w:p>
          <w:p>
            <w:pPr>
              <w:pStyle w:val="3013"/>
              <w:spacing w:line="240" w:lineRule="exact"/>
              <w:rPr>
                <w:rFonts w:hint="eastAsia"/>
                <w:sz w:val="18"/>
                <w:szCs w:val="18"/>
                <w:lang w:bidi="ar"/>
              </w:rPr>
            </w:pPr>
            <w:r>
              <w:rPr>
                <w:rFonts w:hint="eastAsia"/>
                <w:sz w:val="18"/>
                <w:szCs w:val="18"/>
              </w:rPr>
              <w:t>（m）</w:t>
            </w:r>
          </w:p>
        </w:tc>
        <w:tc>
          <w:tcPr>
            <w:tcW w:w="735" w:type="pct"/>
            <w:gridSpan w:val="2"/>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桥溪口枢纽改造</w:t>
            </w:r>
          </w:p>
        </w:tc>
        <w:tc>
          <w:tcPr>
            <w:tcW w:w="735" w:type="pct"/>
            <w:gridSpan w:val="2"/>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大常枢纽拆除</w:t>
            </w:r>
          </w:p>
        </w:tc>
        <w:tc>
          <w:tcPr>
            <w:tcW w:w="736" w:type="pct"/>
            <w:gridSpan w:val="2"/>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桥河枢纽改造</w:t>
            </w:r>
          </w:p>
        </w:tc>
        <w:tc>
          <w:tcPr>
            <w:tcW w:w="740" w:type="pct"/>
            <w:gridSpan w:val="2"/>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石溪口枢纽拆除</w:t>
            </w:r>
          </w:p>
        </w:tc>
        <w:tc>
          <w:tcPr>
            <w:tcW w:w="738" w:type="pct"/>
            <w:gridSpan w:val="2"/>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rPr>
              <w:t>四</w:t>
            </w:r>
            <w:r>
              <w:rPr>
                <w:rFonts w:hint="eastAsia"/>
                <w:sz w:val="18"/>
                <w:szCs w:val="18"/>
                <w:lang w:bidi="ar"/>
              </w:rPr>
              <w:t>座枢纽改建</w:t>
            </w:r>
          </w:p>
        </w:tc>
        <w:tc>
          <w:tcPr>
            <w:tcW w:w="535" w:type="pct"/>
            <w:vMerge w:val="restar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断面名称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397" w:type="pct"/>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lang w:bidi="ar"/>
              </w:rPr>
            </w:pPr>
          </w:p>
        </w:tc>
        <w:tc>
          <w:tcPr>
            <w:tcW w:w="385" w:type="pct"/>
            <w:vMerge w:val="continue"/>
            <w:tcBorders>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lang w:bidi="ar"/>
              </w:rPr>
            </w:pP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rPr>
              <w:t>工程后</w:t>
            </w:r>
          </w:p>
          <w:p>
            <w:pPr>
              <w:pStyle w:val="3013"/>
              <w:spacing w:line="240" w:lineRule="exact"/>
              <w:rPr>
                <w:rFonts w:hint="eastAsia"/>
                <w:sz w:val="18"/>
                <w:szCs w:val="18"/>
              </w:rPr>
            </w:pPr>
            <w:r>
              <w:rPr>
                <w:rFonts w:hint="eastAsia"/>
                <w:sz w:val="18"/>
                <w:szCs w:val="18"/>
              </w:rPr>
              <w:t>水面线</w:t>
            </w:r>
          </w:p>
          <w:p>
            <w:pPr>
              <w:pStyle w:val="3013"/>
              <w:spacing w:line="240" w:lineRule="exact"/>
              <w:rPr>
                <w:rFonts w:hint="eastAsia"/>
                <w:sz w:val="18"/>
                <w:szCs w:val="18"/>
                <w:lang w:bidi="ar"/>
              </w:rPr>
            </w:pPr>
            <w:r>
              <w:rPr>
                <w:rFonts w:hint="eastAsia"/>
                <w:sz w:val="18"/>
                <w:szCs w:val="18"/>
              </w:rPr>
              <w:t>（m）</w:t>
            </w:r>
          </w:p>
        </w:tc>
        <w:tc>
          <w:tcPr>
            <w:tcW w:w="36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rPr>
              <w:t>水位降低</w:t>
            </w:r>
          </w:p>
          <w:p>
            <w:pPr>
              <w:pStyle w:val="3013"/>
              <w:spacing w:line="240" w:lineRule="exact"/>
              <w:rPr>
                <w:rFonts w:hint="eastAsia"/>
                <w:sz w:val="18"/>
                <w:szCs w:val="18"/>
                <w:lang w:bidi="ar"/>
              </w:rPr>
            </w:pPr>
            <w:r>
              <w:rPr>
                <w:rFonts w:hint="eastAsia"/>
                <w:sz w:val="18"/>
                <w:szCs w:val="18"/>
              </w:rPr>
              <w:t>（m）</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rPr>
              <w:t>工程后</w:t>
            </w:r>
          </w:p>
          <w:p>
            <w:pPr>
              <w:pStyle w:val="3013"/>
              <w:spacing w:line="240" w:lineRule="exact"/>
              <w:rPr>
                <w:rFonts w:hint="eastAsia"/>
                <w:sz w:val="18"/>
                <w:szCs w:val="18"/>
              </w:rPr>
            </w:pPr>
            <w:r>
              <w:rPr>
                <w:rFonts w:hint="eastAsia"/>
                <w:sz w:val="18"/>
                <w:szCs w:val="18"/>
              </w:rPr>
              <w:t>水面线</w:t>
            </w:r>
          </w:p>
          <w:p>
            <w:pPr>
              <w:pStyle w:val="3013"/>
              <w:spacing w:line="240" w:lineRule="exact"/>
              <w:rPr>
                <w:rFonts w:hint="eastAsia"/>
                <w:sz w:val="18"/>
                <w:szCs w:val="18"/>
                <w:lang w:bidi="ar"/>
              </w:rPr>
            </w:pPr>
            <w:r>
              <w:rPr>
                <w:rFonts w:hint="eastAsia"/>
                <w:sz w:val="18"/>
                <w:szCs w:val="18"/>
              </w:rPr>
              <w:t>（m）</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rPr>
              <w:t>水位降低</w:t>
            </w:r>
          </w:p>
          <w:p>
            <w:pPr>
              <w:pStyle w:val="3013"/>
              <w:spacing w:line="240" w:lineRule="exact"/>
              <w:rPr>
                <w:rFonts w:hint="eastAsia"/>
                <w:sz w:val="18"/>
                <w:szCs w:val="18"/>
                <w:lang w:bidi="ar"/>
              </w:rPr>
            </w:pPr>
            <w:r>
              <w:rPr>
                <w:rFonts w:hint="eastAsia"/>
                <w:sz w:val="18"/>
                <w:szCs w:val="18"/>
              </w:rPr>
              <w:t>（m）</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rPr>
              <w:t>工程后</w:t>
            </w:r>
          </w:p>
          <w:p>
            <w:pPr>
              <w:pStyle w:val="3013"/>
              <w:spacing w:line="240" w:lineRule="exact"/>
              <w:rPr>
                <w:rFonts w:hint="eastAsia"/>
                <w:sz w:val="18"/>
                <w:szCs w:val="18"/>
              </w:rPr>
            </w:pPr>
            <w:r>
              <w:rPr>
                <w:rFonts w:hint="eastAsia"/>
                <w:sz w:val="18"/>
                <w:szCs w:val="18"/>
              </w:rPr>
              <w:t>水面线</w:t>
            </w:r>
          </w:p>
          <w:p>
            <w:pPr>
              <w:pStyle w:val="3013"/>
              <w:spacing w:line="240" w:lineRule="exact"/>
              <w:rPr>
                <w:rFonts w:hint="eastAsia"/>
                <w:sz w:val="18"/>
                <w:szCs w:val="18"/>
                <w:lang w:bidi="ar"/>
              </w:rPr>
            </w:pPr>
            <w:r>
              <w:rPr>
                <w:rFonts w:hint="eastAsia"/>
                <w:sz w:val="18"/>
                <w:szCs w:val="18"/>
              </w:rPr>
              <w:t>（m）</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rPr>
              <w:t>水位降低</w:t>
            </w:r>
          </w:p>
          <w:p>
            <w:pPr>
              <w:pStyle w:val="3013"/>
              <w:spacing w:line="240" w:lineRule="exact"/>
              <w:rPr>
                <w:rFonts w:hint="eastAsia"/>
                <w:sz w:val="18"/>
                <w:szCs w:val="18"/>
                <w:lang w:bidi="ar"/>
              </w:rPr>
            </w:pPr>
            <w:r>
              <w:rPr>
                <w:rFonts w:hint="eastAsia"/>
                <w:sz w:val="18"/>
                <w:szCs w:val="18"/>
              </w:rPr>
              <w:t>（m）</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rPr>
              <w:t>工程后</w:t>
            </w:r>
          </w:p>
          <w:p>
            <w:pPr>
              <w:pStyle w:val="3013"/>
              <w:spacing w:line="240" w:lineRule="exact"/>
              <w:rPr>
                <w:rFonts w:hint="eastAsia"/>
                <w:sz w:val="18"/>
                <w:szCs w:val="18"/>
              </w:rPr>
            </w:pPr>
            <w:r>
              <w:rPr>
                <w:rFonts w:hint="eastAsia"/>
                <w:sz w:val="18"/>
                <w:szCs w:val="18"/>
              </w:rPr>
              <w:t>水面线</w:t>
            </w:r>
          </w:p>
          <w:p>
            <w:pPr>
              <w:pStyle w:val="3013"/>
              <w:spacing w:line="240" w:lineRule="exact"/>
              <w:rPr>
                <w:rFonts w:hint="eastAsia"/>
                <w:sz w:val="18"/>
                <w:szCs w:val="18"/>
                <w:lang w:bidi="ar"/>
              </w:rPr>
            </w:pPr>
            <w:r>
              <w:rPr>
                <w:rFonts w:hint="eastAsia"/>
                <w:sz w:val="18"/>
                <w:szCs w:val="18"/>
              </w:rPr>
              <w:t>（m）</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rPr>
              <w:t>水位降低</w:t>
            </w:r>
          </w:p>
          <w:p>
            <w:pPr>
              <w:pStyle w:val="3013"/>
              <w:spacing w:line="240" w:lineRule="exact"/>
              <w:rPr>
                <w:rFonts w:hint="eastAsia"/>
                <w:sz w:val="18"/>
                <w:szCs w:val="18"/>
                <w:lang w:bidi="ar"/>
              </w:rPr>
            </w:pPr>
            <w:r>
              <w:rPr>
                <w:rFonts w:hint="eastAsia"/>
                <w:sz w:val="18"/>
                <w:szCs w:val="18"/>
              </w:rPr>
              <w:t>（m）</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rPr>
              <w:t>工程后</w:t>
            </w:r>
          </w:p>
          <w:p>
            <w:pPr>
              <w:pStyle w:val="3013"/>
              <w:spacing w:line="240" w:lineRule="exact"/>
              <w:rPr>
                <w:rFonts w:hint="eastAsia"/>
                <w:sz w:val="18"/>
                <w:szCs w:val="18"/>
              </w:rPr>
            </w:pPr>
            <w:r>
              <w:rPr>
                <w:rFonts w:hint="eastAsia"/>
                <w:sz w:val="18"/>
                <w:szCs w:val="18"/>
              </w:rPr>
              <w:t>水面线</w:t>
            </w:r>
          </w:p>
          <w:p>
            <w:pPr>
              <w:pStyle w:val="3013"/>
              <w:spacing w:line="240" w:lineRule="exact"/>
              <w:rPr>
                <w:rFonts w:hint="eastAsia"/>
                <w:sz w:val="18"/>
                <w:szCs w:val="18"/>
                <w:lang w:bidi="ar"/>
              </w:rPr>
            </w:pPr>
            <w:r>
              <w:rPr>
                <w:rFonts w:hint="eastAsia"/>
                <w:sz w:val="18"/>
                <w:szCs w:val="18"/>
              </w:rPr>
              <w:t>（m）</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rPr>
              <w:t>水位降低</w:t>
            </w:r>
          </w:p>
          <w:p>
            <w:pPr>
              <w:pStyle w:val="3013"/>
              <w:spacing w:line="240" w:lineRule="exact"/>
              <w:rPr>
                <w:rFonts w:hint="eastAsia"/>
                <w:sz w:val="18"/>
                <w:szCs w:val="18"/>
                <w:lang w:bidi="ar"/>
              </w:rPr>
            </w:pPr>
            <w:r>
              <w:rPr>
                <w:rFonts w:hint="eastAsia"/>
                <w:sz w:val="18"/>
                <w:szCs w:val="18"/>
              </w:rPr>
              <w:t>（m）</w:t>
            </w:r>
          </w:p>
        </w:tc>
        <w:tc>
          <w:tcPr>
            <w:tcW w:w="535" w:type="pct"/>
            <w:vMerge w:val="continue"/>
            <w:tcBorders>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39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0.20 </w:t>
            </w:r>
          </w:p>
        </w:tc>
        <w:tc>
          <w:tcPr>
            <w:tcW w:w="38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241.94 </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241.94 </w:t>
            </w:r>
          </w:p>
        </w:tc>
        <w:tc>
          <w:tcPr>
            <w:tcW w:w="36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0.00 </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241.94 </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0.00 </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241.94 </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0.00 </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241.89 </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0.05 </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241.89 </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0.05 </w:t>
            </w:r>
          </w:p>
        </w:tc>
        <w:tc>
          <w:tcPr>
            <w:tcW w:w="53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rPr>
              <w:t>郭扶河河口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39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1.07 </w:t>
            </w:r>
          </w:p>
        </w:tc>
        <w:tc>
          <w:tcPr>
            <w:tcW w:w="38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241.03 </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241.02 </w:t>
            </w:r>
          </w:p>
        </w:tc>
        <w:tc>
          <w:tcPr>
            <w:tcW w:w="36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0.00 </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241.02 </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0.00 </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241.02 </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0.01 </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240.96 </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0.06 </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240.95 </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0.07 </w:t>
            </w:r>
          </w:p>
        </w:tc>
        <w:tc>
          <w:tcPr>
            <w:tcW w:w="53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39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2.26 </w:t>
            </w:r>
          </w:p>
        </w:tc>
        <w:tc>
          <w:tcPr>
            <w:tcW w:w="38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239.72 </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239.72 </w:t>
            </w:r>
          </w:p>
        </w:tc>
        <w:tc>
          <w:tcPr>
            <w:tcW w:w="36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0.00 </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239.72 </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0.01 </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239.72 </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0.01 </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239.63 </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0.09 </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239.61 </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0.11 </w:t>
            </w:r>
          </w:p>
        </w:tc>
        <w:tc>
          <w:tcPr>
            <w:tcW w:w="53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39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3.21 </w:t>
            </w:r>
          </w:p>
        </w:tc>
        <w:tc>
          <w:tcPr>
            <w:tcW w:w="38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239.14 </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239.14 </w:t>
            </w:r>
          </w:p>
        </w:tc>
        <w:tc>
          <w:tcPr>
            <w:tcW w:w="36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0.00 </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239.14 </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0.01 </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239.13 </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0.01 </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239.03 </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0.12 </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239.01 </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0.14 </w:t>
            </w:r>
          </w:p>
        </w:tc>
        <w:tc>
          <w:tcPr>
            <w:tcW w:w="53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39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4.20 </w:t>
            </w:r>
          </w:p>
        </w:tc>
        <w:tc>
          <w:tcPr>
            <w:tcW w:w="38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237.82 </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237.82 </w:t>
            </w:r>
          </w:p>
        </w:tc>
        <w:tc>
          <w:tcPr>
            <w:tcW w:w="36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0.00 </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237.81 </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0.01 </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237.81 </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0.01 </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237.65 </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0.17 </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237.62 </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0.20 </w:t>
            </w:r>
          </w:p>
        </w:tc>
        <w:tc>
          <w:tcPr>
            <w:tcW w:w="53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39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5.36 </w:t>
            </w:r>
          </w:p>
        </w:tc>
        <w:tc>
          <w:tcPr>
            <w:tcW w:w="38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236.62 </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236.61 </w:t>
            </w:r>
          </w:p>
        </w:tc>
        <w:tc>
          <w:tcPr>
            <w:tcW w:w="36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0.00 </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236.60 </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0.02 </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236.59 </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0.02 </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236.36 </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0.26 </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236.31 </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r>
              <w:rPr>
                <w:rFonts w:hint="eastAsia"/>
                <w:sz w:val="18"/>
                <w:szCs w:val="18"/>
                <w:lang w:bidi="ar"/>
              </w:rPr>
              <w:t xml:space="preserve">0.31 </w:t>
            </w:r>
          </w:p>
        </w:tc>
        <w:tc>
          <w:tcPr>
            <w:tcW w:w="53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397"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6.70</w:t>
            </w:r>
          </w:p>
        </w:tc>
        <w:tc>
          <w:tcPr>
            <w:tcW w:w="385"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235.00</w:t>
            </w:r>
          </w:p>
        </w:tc>
        <w:tc>
          <w:tcPr>
            <w:tcW w:w="367"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234.99</w:t>
            </w:r>
          </w:p>
        </w:tc>
        <w:tc>
          <w:tcPr>
            <w:tcW w:w="368"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0.01</w:t>
            </w:r>
          </w:p>
        </w:tc>
        <w:tc>
          <w:tcPr>
            <w:tcW w:w="367"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234.97</w:t>
            </w:r>
          </w:p>
        </w:tc>
        <w:tc>
          <w:tcPr>
            <w:tcW w:w="367"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0.03</w:t>
            </w:r>
          </w:p>
        </w:tc>
        <w:tc>
          <w:tcPr>
            <w:tcW w:w="367"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234.96</w:t>
            </w:r>
          </w:p>
        </w:tc>
        <w:tc>
          <w:tcPr>
            <w:tcW w:w="369"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0.04</w:t>
            </w:r>
          </w:p>
        </w:tc>
        <w:tc>
          <w:tcPr>
            <w:tcW w:w="371"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235.00</w:t>
            </w:r>
          </w:p>
        </w:tc>
        <w:tc>
          <w:tcPr>
            <w:tcW w:w="369"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0.00</w:t>
            </w:r>
          </w:p>
        </w:tc>
        <w:tc>
          <w:tcPr>
            <w:tcW w:w="367"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234.99</w:t>
            </w:r>
          </w:p>
        </w:tc>
        <w:tc>
          <w:tcPr>
            <w:tcW w:w="371"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0.01</w:t>
            </w:r>
          </w:p>
        </w:tc>
        <w:tc>
          <w:tcPr>
            <w:tcW w:w="535" w:type="pct"/>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石溪口枢纽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397"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7.00</w:t>
            </w:r>
          </w:p>
        </w:tc>
        <w:tc>
          <w:tcPr>
            <w:tcW w:w="385"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234.85</w:t>
            </w:r>
          </w:p>
        </w:tc>
        <w:tc>
          <w:tcPr>
            <w:tcW w:w="367"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234.84</w:t>
            </w:r>
          </w:p>
        </w:tc>
        <w:tc>
          <w:tcPr>
            <w:tcW w:w="368"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0.01</w:t>
            </w:r>
          </w:p>
        </w:tc>
        <w:tc>
          <w:tcPr>
            <w:tcW w:w="367"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234.82</w:t>
            </w:r>
          </w:p>
        </w:tc>
        <w:tc>
          <w:tcPr>
            <w:tcW w:w="367"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0.03</w:t>
            </w:r>
          </w:p>
        </w:tc>
        <w:tc>
          <w:tcPr>
            <w:tcW w:w="367"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234.81</w:t>
            </w:r>
          </w:p>
        </w:tc>
        <w:tc>
          <w:tcPr>
            <w:tcW w:w="369"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0.04</w:t>
            </w:r>
          </w:p>
        </w:tc>
        <w:tc>
          <w:tcPr>
            <w:tcW w:w="371"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234.85</w:t>
            </w:r>
          </w:p>
        </w:tc>
        <w:tc>
          <w:tcPr>
            <w:tcW w:w="369"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0.00</w:t>
            </w:r>
          </w:p>
        </w:tc>
        <w:tc>
          <w:tcPr>
            <w:tcW w:w="367"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234.77</w:t>
            </w:r>
          </w:p>
        </w:tc>
        <w:tc>
          <w:tcPr>
            <w:tcW w:w="371"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0.09</w:t>
            </w:r>
          </w:p>
        </w:tc>
        <w:tc>
          <w:tcPr>
            <w:tcW w:w="535" w:type="pct"/>
            <w:noWrap/>
            <w:tcMar>
              <w:top w:w="15" w:type="dxa"/>
              <w:left w:w="15" w:type="dxa"/>
              <w:right w:w="15" w:type="dxa"/>
            </w:tcMar>
            <w:vAlign w:val="center"/>
          </w:tcPr>
          <w:p>
            <w:pPr>
              <w:pStyle w:val="3013"/>
              <w:widowControl/>
              <w:spacing w:line="240" w:lineRule="exact"/>
              <w:textAlignment w:val="bottom"/>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397"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8.23</w:t>
            </w:r>
          </w:p>
        </w:tc>
        <w:tc>
          <w:tcPr>
            <w:tcW w:w="385"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234.50</w:t>
            </w:r>
          </w:p>
        </w:tc>
        <w:tc>
          <w:tcPr>
            <w:tcW w:w="367"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234.49</w:t>
            </w:r>
          </w:p>
        </w:tc>
        <w:tc>
          <w:tcPr>
            <w:tcW w:w="368"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0.01</w:t>
            </w:r>
          </w:p>
        </w:tc>
        <w:tc>
          <w:tcPr>
            <w:tcW w:w="367"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234.46</w:t>
            </w:r>
          </w:p>
        </w:tc>
        <w:tc>
          <w:tcPr>
            <w:tcW w:w="367"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0.04</w:t>
            </w:r>
          </w:p>
        </w:tc>
        <w:tc>
          <w:tcPr>
            <w:tcW w:w="367"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234.45</w:t>
            </w:r>
          </w:p>
        </w:tc>
        <w:tc>
          <w:tcPr>
            <w:tcW w:w="369"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0.05</w:t>
            </w:r>
          </w:p>
        </w:tc>
        <w:tc>
          <w:tcPr>
            <w:tcW w:w="371"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234.50</w:t>
            </w:r>
          </w:p>
        </w:tc>
        <w:tc>
          <w:tcPr>
            <w:tcW w:w="369"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0.00</w:t>
            </w:r>
          </w:p>
        </w:tc>
        <w:tc>
          <w:tcPr>
            <w:tcW w:w="367"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234.40</w:t>
            </w:r>
          </w:p>
        </w:tc>
        <w:tc>
          <w:tcPr>
            <w:tcW w:w="371"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0.10</w:t>
            </w:r>
          </w:p>
        </w:tc>
        <w:tc>
          <w:tcPr>
            <w:tcW w:w="535" w:type="pct"/>
            <w:noWrap/>
            <w:tcMar>
              <w:top w:w="15" w:type="dxa"/>
              <w:left w:w="15" w:type="dxa"/>
              <w:right w:w="15" w:type="dxa"/>
            </w:tcMar>
            <w:vAlign w:val="center"/>
          </w:tcPr>
          <w:p>
            <w:pPr>
              <w:pStyle w:val="3013"/>
              <w:widowControl/>
              <w:spacing w:line="240" w:lineRule="exact"/>
              <w:textAlignment w:val="bottom"/>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397"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9.21</w:t>
            </w:r>
          </w:p>
        </w:tc>
        <w:tc>
          <w:tcPr>
            <w:tcW w:w="385"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234.10</w:t>
            </w:r>
          </w:p>
        </w:tc>
        <w:tc>
          <w:tcPr>
            <w:tcW w:w="367"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234.09</w:t>
            </w:r>
          </w:p>
        </w:tc>
        <w:tc>
          <w:tcPr>
            <w:tcW w:w="368"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0.01</w:t>
            </w:r>
          </w:p>
        </w:tc>
        <w:tc>
          <w:tcPr>
            <w:tcW w:w="367"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234.06</w:t>
            </w:r>
          </w:p>
        </w:tc>
        <w:tc>
          <w:tcPr>
            <w:tcW w:w="367"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0.04</w:t>
            </w:r>
          </w:p>
        </w:tc>
        <w:tc>
          <w:tcPr>
            <w:tcW w:w="367"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234.05</w:t>
            </w:r>
          </w:p>
        </w:tc>
        <w:tc>
          <w:tcPr>
            <w:tcW w:w="369"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0.05</w:t>
            </w:r>
          </w:p>
        </w:tc>
        <w:tc>
          <w:tcPr>
            <w:tcW w:w="371"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234.10</w:t>
            </w:r>
          </w:p>
        </w:tc>
        <w:tc>
          <w:tcPr>
            <w:tcW w:w="369"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0.00</w:t>
            </w:r>
          </w:p>
        </w:tc>
        <w:tc>
          <w:tcPr>
            <w:tcW w:w="367"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233.99</w:t>
            </w:r>
          </w:p>
        </w:tc>
        <w:tc>
          <w:tcPr>
            <w:tcW w:w="371"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0.11</w:t>
            </w:r>
          </w:p>
        </w:tc>
        <w:tc>
          <w:tcPr>
            <w:tcW w:w="535" w:type="pct"/>
            <w:noWrap/>
            <w:tcMar>
              <w:top w:w="15" w:type="dxa"/>
              <w:left w:w="15" w:type="dxa"/>
              <w:right w:w="15" w:type="dxa"/>
            </w:tcMar>
            <w:vAlign w:val="center"/>
          </w:tcPr>
          <w:p>
            <w:pPr>
              <w:pStyle w:val="3013"/>
              <w:spacing w:line="240" w:lineRule="exact"/>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397"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10.19</w:t>
            </w:r>
          </w:p>
        </w:tc>
        <w:tc>
          <w:tcPr>
            <w:tcW w:w="385"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233.62</w:t>
            </w:r>
          </w:p>
        </w:tc>
        <w:tc>
          <w:tcPr>
            <w:tcW w:w="367"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233.61</w:t>
            </w:r>
          </w:p>
        </w:tc>
        <w:tc>
          <w:tcPr>
            <w:tcW w:w="368"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0.01</w:t>
            </w:r>
          </w:p>
        </w:tc>
        <w:tc>
          <w:tcPr>
            <w:tcW w:w="367"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233.58</w:t>
            </w:r>
          </w:p>
        </w:tc>
        <w:tc>
          <w:tcPr>
            <w:tcW w:w="367"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0.05</w:t>
            </w:r>
          </w:p>
        </w:tc>
        <w:tc>
          <w:tcPr>
            <w:tcW w:w="367"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233.56</w:t>
            </w:r>
          </w:p>
        </w:tc>
        <w:tc>
          <w:tcPr>
            <w:tcW w:w="369"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0.06</w:t>
            </w:r>
          </w:p>
        </w:tc>
        <w:tc>
          <w:tcPr>
            <w:tcW w:w="371"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233.62</w:t>
            </w:r>
          </w:p>
        </w:tc>
        <w:tc>
          <w:tcPr>
            <w:tcW w:w="369"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0.00</w:t>
            </w:r>
          </w:p>
        </w:tc>
        <w:tc>
          <w:tcPr>
            <w:tcW w:w="367"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233.50</w:t>
            </w:r>
          </w:p>
        </w:tc>
        <w:tc>
          <w:tcPr>
            <w:tcW w:w="371"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0.12</w:t>
            </w:r>
          </w:p>
        </w:tc>
        <w:tc>
          <w:tcPr>
            <w:tcW w:w="535" w:type="pct"/>
            <w:noWrap/>
            <w:tcMar>
              <w:top w:w="15" w:type="dxa"/>
              <w:left w:w="15" w:type="dxa"/>
              <w:right w:w="15" w:type="dxa"/>
            </w:tcMar>
            <w:vAlign w:val="center"/>
          </w:tcPr>
          <w:p>
            <w:pPr>
              <w:pStyle w:val="3013"/>
              <w:spacing w:line="240" w:lineRule="exact"/>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397"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11.15</w:t>
            </w:r>
          </w:p>
        </w:tc>
        <w:tc>
          <w:tcPr>
            <w:tcW w:w="385"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233.07</w:t>
            </w:r>
          </w:p>
        </w:tc>
        <w:tc>
          <w:tcPr>
            <w:tcW w:w="367"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233.06</w:t>
            </w:r>
          </w:p>
        </w:tc>
        <w:tc>
          <w:tcPr>
            <w:tcW w:w="368"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0.01</w:t>
            </w:r>
          </w:p>
        </w:tc>
        <w:tc>
          <w:tcPr>
            <w:tcW w:w="367"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233.02</w:t>
            </w:r>
          </w:p>
        </w:tc>
        <w:tc>
          <w:tcPr>
            <w:tcW w:w="367"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0.05</w:t>
            </w:r>
          </w:p>
        </w:tc>
        <w:tc>
          <w:tcPr>
            <w:tcW w:w="367"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233.00</w:t>
            </w:r>
          </w:p>
        </w:tc>
        <w:tc>
          <w:tcPr>
            <w:tcW w:w="369"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0.07</w:t>
            </w:r>
          </w:p>
        </w:tc>
        <w:tc>
          <w:tcPr>
            <w:tcW w:w="371"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233.07</w:t>
            </w:r>
          </w:p>
        </w:tc>
        <w:tc>
          <w:tcPr>
            <w:tcW w:w="369"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0.00</w:t>
            </w:r>
          </w:p>
        </w:tc>
        <w:tc>
          <w:tcPr>
            <w:tcW w:w="367"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232.93</w:t>
            </w:r>
          </w:p>
        </w:tc>
        <w:tc>
          <w:tcPr>
            <w:tcW w:w="371"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0.14</w:t>
            </w:r>
          </w:p>
        </w:tc>
        <w:tc>
          <w:tcPr>
            <w:tcW w:w="535" w:type="pct"/>
            <w:noWrap/>
            <w:tcMar>
              <w:top w:w="15" w:type="dxa"/>
              <w:left w:w="15" w:type="dxa"/>
              <w:right w:w="15" w:type="dxa"/>
            </w:tcMar>
            <w:vAlign w:val="center"/>
          </w:tcPr>
          <w:p>
            <w:pPr>
              <w:pStyle w:val="3013"/>
              <w:spacing w:line="240" w:lineRule="exact"/>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397"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12.11</w:t>
            </w:r>
          </w:p>
        </w:tc>
        <w:tc>
          <w:tcPr>
            <w:tcW w:w="385"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232.50</w:t>
            </w:r>
          </w:p>
        </w:tc>
        <w:tc>
          <w:tcPr>
            <w:tcW w:w="367"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232.48</w:t>
            </w:r>
          </w:p>
        </w:tc>
        <w:tc>
          <w:tcPr>
            <w:tcW w:w="368"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0.01</w:t>
            </w:r>
          </w:p>
        </w:tc>
        <w:tc>
          <w:tcPr>
            <w:tcW w:w="367"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232.44</w:t>
            </w:r>
          </w:p>
        </w:tc>
        <w:tc>
          <w:tcPr>
            <w:tcW w:w="367"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0.06</w:t>
            </w:r>
          </w:p>
        </w:tc>
        <w:tc>
          <w:tcPr>
            <w:tcW w:w="367"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232.42</w:t>
            </w:r>
          </w:p>
        </w:tc>
        <w:tc>
          <w:tcPr>
            <w:tcW w:w="369"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0.08</w:t>
            </w:r>
          </w:p>
        </w:tc>
        <w:tc>
          <w:tcPr>
            <w:tcW w:w="371"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232.50</w:t>
            </w:r>
          </w:p>
        </w:tc>
        <w:tc>
          <w:tcPr>
            <w:tcW w:w="369"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0.00</w:t>
            </w:r>
          </w:p>
        </w:tc>
        <w:tc>
          <w:tcPr>
            <w:tcW w:w="367"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232.34</w:t>
            </w:r>
          </w:p>
        </w:tc>
        <w:tc>
          <w:tcPr>
            <w:tcW w:w="371" w:type="pct"/>
            <w:noWrap/>
            <w:tcMar>
              <w:top w:w="15" w:type="dxa"/>
              <w:left w:w="15" w:type="dxa"/>
              <w:right w:w="15" w:type="dxa"/>
            </w:tcMar>
            <w:vAlign w:val="center"/>
          </w:tcPr>
          <w:p>
            <w:pPr>
              <w:pStyle w:val="3013"/>
              <w:widowControl/>
              <w:spacing w:line="240" w:lineRule="exact"/>
              <w:textAlignment w:val="bottom"/>
              <w:rPr>
                <w:rFonts w:hint="eastAsia"/>
                <w:sz w:val="18"/>
                <w:szCs w:val="18"/>
                <w:lang w:bidi="ar"/>
              </w:rPr>
            </w:pPr>
            <w:r>
              <w:rPr>
                <w:rFonts w:hint="eastAsia"/>
                <w:sz w:val="18"/>
                <w:szCs w:val="18"/>
                <w:lang w:bidi="ar"/>
              </w:rPr>
              <w:t>0.16</w:t>
            </w:r>
          </w:p>
        </w:tc>
        <w:tc>
          <w:tcPr>
            <w:tcW w:w="535" w:type="pct"/>
            <w:noWrap/>
            <w:tcMar>
              <w:top w:w="15" w:type="dxa"/>
              <w:left w:w="15" w:type="dxa"/>
              <w:right w:w="15" w:type="dxa"/>
            </w:tcMar>
            <w:vAlign w:val="center"/>
          </w:tcPr>
          <w:p>
            <w:pPr>
              <w:pStyle w:val="3013"/>
              <w:spacing w:line="240" w:lineRule="exact"/>
              <w:rPr>
                <w:rFonts w:hint="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3" w:hRule="atLeast"/>
          <w:jc w:val="center"/>
        </w:trPr>
        <w:tc>
          <w:tcPr>
            <w:tcW w:w="39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13.03</w:t>
            </w:r>
          </w:p>
        </w:tc>
        <w:tc>
          <w:tcPr>
            <w:tcW w:w="38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231.88</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231.86</w:t>
            </w:r>
          </w:p>
        </w:tc>
        <w:tc>
          <w:tcPr>
            <w:tcW w:w="36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0.02</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231.80</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0.07</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231.78</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0.10</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231.88</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231.68</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0.20</w:t>
            </w:r>
          </w:p>
        </w:tc>
        <w:tc>
          <w:tcPr>
            <w:tcW w:w="53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3" w:hRule="atLeast"/>
          <w:jc w:val="center"/>
        </w:trPr>
        <w:tc>
          <w:tcPr>
            <w:tcW w:w="39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14.33</w:t>
            </w:r>
          </w:p>
        </w:tc>
        <w:tc>
          <w:tcPr>
            <w:tcW w:w="38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231.14</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231.11</w:t>
            </w:r>
          </w:p>
        </w:tc>
        <w:tc>
          <w:tcPr>
            <w:tcW w:w="36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0.02</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231.04</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0.09</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231.01</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0.13</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231.14</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230.89</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0.25</w:t>
            </w:r>
          </w:p>
        </w:tc>
        <w:tc>
          <w:tcPr>
            <w:tcW w:w="53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3" w:hRule="atLeast"/>
          <w:jc w:val="center"/>
        </w:trPr>
        <w:tc>
          <w:tcPr>
            <w:tcW w:w="39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15.21</w:t>
            </w:r>
          </w:p>
        </w:tc>
        <w:tc>
          <w:tcPr>
            <w:tcW w:w="38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230.71</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230.68</w:t>
            </w:r>
          </w:p>
        </w:tc>
        <w:tc>
          <w:tcPr>
            <w:tcW w:w="36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0.02</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230.60</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0.10</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230.57</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0.14</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230.71</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230.42</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0.28</w:t>
            </w:r>
          </w:p>
        </w:tc>
        <w:tc>
          <w:tcPr>
            <w:tcW w:w="53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3" w:hRule="atLeast"/>
          <w:jc w:val="center"/>
        </w:trPr>
        <w:tc>
          <w:tcPr>
            <w:tcW w:w="39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15.84</w:t>
            </w:r>
          </w:p>
        </w:tc>
        <w:tc>
          <w:tcPr>
            <w:tcW w:w="38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230.00</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229.98</w:t>
            </w:r>
          </w:p>
        </w:tc>
        <w:tc>
          <w:tcPr>
            <w:tcW w:w="36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0.03</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229.88</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0.12</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229.97</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0.04</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230.00</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229.80</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0.20</w:t>
            </w:r>
          </w:p>
        </w:tc>
        <w:tc>
          <w:tcPr>
            <w:tcW w:w="53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桥河枢纽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3" w:hRule="atLeast"/>
          <w:jc w:val="center"/>
        </w:trPr>
        <w:tc>
          <w:tcPr>
            <w:tcW w:w="39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16.04</w:t>
            </w:r>
          </w:p>
        </w:tc>
        <w:tc>
          <w:tcPr>
            <w:tcW w:w="38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229.97</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229.94</w:t>
            </w:r>
          </w:p>
        </w:tc>
        <w:tc>
          <w:tcPr>
            <w:tcW w:w="36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0.03</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229.83</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0.13</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229.97</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229.97</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229.80</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0.17</w:t>
            </w:r>
          </w:p>
        </w:tc>
        <w:tc>
          <w:tcPr>
            <w:tcW w:w="53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3" w:hRule="atLeast"/>
          <w:jc w:val="center"/>
        </w:trPr>
        <w:tc>
          <w:tcPr>
            <w:tcW w:w="39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17.05</w:t>
            </w:r>
          </w:p>
        </w:tc>
        <w:tc>
          <w:tcPr>
            <w:tcW w:w="38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229.56</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229.53</w:t>
            </w:r>
          </w:p>
        </w:tc>
        <w:tc>
          <w:tcPr>
            <w:tcW w:w="36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0.03</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229.41</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0.15</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229.56</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229.56</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229.37</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0.19</w:t>
            </w:r>
          </w:p>
        </w:tc>
        <w:tc>
          <w:tcPr>
            <w:tcW w:w="53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3" w:hRule="atLeast"/>
          <w:jc w:val="center"/>
        </w:trPr>
        <w:tc>
          <w:tcPr>
            <w:tcW w:w="39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18.16</w:t>
            </w:r>
          </w:p>
        </w:tc>
        <w:tc>
          <w:tcPr>
            <w:tcW w:w="38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228.77</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228.73</w:t>
            </w:r>
          </w:p>
        </w:tc>
        <w:tc>
          <w:tcPr>
            <w:tcW w:w="36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0.04</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228.59</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0.18</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228.77</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228.77</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228.55</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0.22</w:t>
            </w:r>
          </w:p>
        </w:tc>
        <w:tc>
          <w:tcPr>
            <w:tcW w:w="53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3" w:hRule="atLeast"/>
          <w:jc w:val="center"/>
        </w:trPr>
        <w:tc>
          <w:tcPr>
            <w:tcW w:w="39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19.01</w:t>
            </w:r>
          </w:p>
        </w:tc>
        <w:tc>
          <w:tcPr>
            <w:tcW w:w="38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228.38</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228.33</w:t>
            </w:r>
          </w:p>
        </w:tc>
        <w:tc>
          <w:tcPr>
            <w:tcW w:w="36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0.05</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228.18</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0.20</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228.38</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228.38</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228.13</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0.25</w:t>
            </w:r>
          </w:p>
        </w:tc>
        <w:tc>
          <w:tcPr>
            <w:tcW w:w="53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綦江火车站</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3" w:hRule="atLeast"/>
          <w:jc w:val="center"/>
        </w:trPr>
        <w:tc>
          <w:tcPr>
            <w:tcW w:w="39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19.70</w:t>
            </w:r>
          </w:p>
        </w:tc>
        <w:tc>
          <w:tcPr>
            <w:tcW w:w="38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227.63</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227.58</w:t>
            </w:r>
          </w:p>
        </w:tc>
        <w:tc>
          <w:tcPr>
            <w:tcW w:w="36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0.06</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227.39</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0.25</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227.63</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227.63</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227.33</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0.31</w:t>
            </w:r>
          </w:p>
        </w:tc>
        <w:tc>
          <w:tcPr>
            <w:tcW w:w="53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沱湾大桥</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3" w:hRule="atLeast"/>
          <w:jc w:val="center"/>
        </w:trPr>
        <w:tc>
          <w:tcPr>
            <w:tcW w:w="39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20.11</w:t>
            </w:r>
          </w:p>
        </w:tc>
        <w:tc>
          <w:tcPr>
            <w:tcW w:w="38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227.37</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227.31</w:t>
            </w:r>
          </w:p>
        </w:tc>
        <w:tc>
          <w:tcPr>
            <w:tcW w:w="36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0.06</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227.11</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0.26</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227.37</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227.37</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227.04</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0.33</w:t>
            </w:r>
          </w:p>
        </w:tc>
        <w:tc>
          <w:tcPr>
            <w:tcW w:w="53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3" w:hRule="atLeast"/>
          <w:jc w:val="center"/>
        </w:trPr>
        <w:tc>
          <w:tcPr>
            <w:tcW w:w="39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20.53</w:t>
            </w:r>
          </w:p>
        </w:tc>
        <w:tc>
          <w:tcPr>
            <w:tcW w:w="38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227.19</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227.12</w:t>
            </w:r>
          </w:p>
        </w:tc>
        <w:tc>
          <w:tcPr>
            <w:tcW w:w="36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0.06</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226.90</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0.28</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227.19</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227.19</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226.83</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0.35</w:t>
            </w:r>
          </w:p>
        </w:tc>
        <w:tc>
          <w:tcPr>
            <w:tcW w:w="53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彩虹桥</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3" w:hRule="atLeast"/>
          <w:jc w:val="center"/>
        </w:trPr>
        <w:tc>
          <w:tcPr>
            <w:tcW w:w="39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21.07</w:t>
            </w:r>
          </w:p>
        </w:tc>
        <w:tc>
          <w:tcPr>
            <w:tcW w:w="38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226.71</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226.64</w:t>
            </w:r>
          </w:p>
        </w:tc>
        <w:tc>
          <w:tcPr>
            <w:tcW w:w="36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0.07</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226.41</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0.30</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226.71</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226.71</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226.33</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0.38</w:t>
            </w:r>
          </w:p>
        </w:tc>
        <w:tc>
          <w:tcPr>
            <w:tcW w:w="53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綦江大桥</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3" w:hRule="atLeast"/>
          <w:jc w:val="center"/>
        </w:trPr>
        <w:tc>
          <w:tcPr>
            <w:tcW w:w="39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22.14</w:t>
            </w:r>
          </w:p>
        </w:tc>
        <w:tc>
          <w:tcPr>
            <w:tcW w:w="38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225.81</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225.72</w:t>
            </w:r>
          </w:p>
        </w:tc>
        <w:tc>
          <w:tcPr>
            <w:tcW w:w="36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0.09</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225.78</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0.03</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225.81</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225.81</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225.68</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0.12</w:t>
            </w:r>
          </w:p>
        </w:tc>
        <w:tc>
          <w:tcPr>
            <w:tcW w:w="53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大常枢纽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3" w:hRule="atLeast"/>
          <w:jc w:val="center"/>
        </w:trPr>
        <w:tc>
          <w:tcPr>
            <w:tcW w:w="39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22.97</w:t>
            </w:r>
          </w:p>
        </w:tc>
        <w:tc>
          <w:tcPr>
            <w:tcW w:w="38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225.39</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225.28</w:t>
            </w:r>
          </w:p>
        </w:tc>
        <w:tc>
          <w:tcPr>
            <w:tcW w:w="36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0.11</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225.39</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225.39</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225.39</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225.28</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0.11</w:t>
            </w:r>
          </w:p>
        </w:tc>
        <w:tc>
          <w:tcPr>
            <w:tcW w:w="53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古南中学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3" w:hRule="atLeast"/>
          <w:jc w:val="center"/>
        </w:trPr>
        <w:tc>
          <w:tcPr>
            <w:tcW w:w="39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24.19</w:t>
            </w:r>
          </w:p>
        </w:tc>
        <w:tc>
          <w:tcPr>
            <w:tcW w:w="38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224.31</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224.17</w:t>
            </w:r>
          </w:p>
        </w:tc>
        <w:tc>
          <w:tcPr>
            <w:tcW w:w="36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0.14</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224.31</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224.31</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224.31</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224.17</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0.14</w:t>
            </w:r>
          </w:p>
        </w:tc>
        <w:tc>
          <w:tcPr>
            <w:tcW w:w="53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3" w:hRule="atLeast"/>
          <w:jc w:val="center"/>
        </w:trPr>
        <w:tc>
          <w:tcPr>
            <w:tcW w:w="39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25.12</w:t>
            </w:r>
          </w:p>
        </w:tc>
        <w:tc>
          <w:tcPr>
            <w:tcW w:w="38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222.74</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222.54</w:t>
            </w:r>
          </w:p>
        </w:tc>
        <w:tc>
          <w:tcPr>
            <w:tcW w:w="36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0.20</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222.74</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222.74</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222.74</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222.54</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0.20</w:t>
            </w:r>
          </w:p>
        </w:tc>
        <w:tc>
          <w:tcPr>
            <w:tcW w:w="53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3" w:hRule="atLeast"/>
          <w:jc w:val="center"/>
        </w:trPr>
        <w:tc>
          <w:tcPr>
            <w:tcW w:w="39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26.20</w:t>
            </w:r>
          </w:p>
        </w:tc>
        <w:tc>
          <w:tcPr>
            <w:tcW w:w="38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221.85</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221.61</w:t>
            </w:r>
          </w:p>
        </w:tc>
        <w:tc>
          <w:tcPr>
            <w:tcW w:w="36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0.24</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221.85</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221.85</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221.85</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221.61</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0.24</w:t>
            </w:r>
          </w:p>
        </w:tc>
        <w:tc>
          <w:tcPr>
            <w:tcW w:w="53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北渡大桥</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3" w:hRule="atLeast"/>
          <w:jc w:val="center"/>
        </w:trPr>
        <w:tc>
          <w:tcPr>
            <w:tcW w:w="39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27.54</w:t>
            </w:r>
          </w:p>
        </w:tc>
        <w:tc>
          <w:tcPr>
            <w:tcW w:w="38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221.71</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221.44</w:t>
            </w:r>
          </w:p>
        </w:tc>
        <w:tc>
          <w:tcPr>
            <w:tcW w:w="36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0.28</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221.71</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221.71</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221.71</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221.44</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0.28</w:t>
            </w:r>
          </w:p>
        </w:tc>
        <w:tc>
          <w:tcPr>
            <w:tcW w:w="53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3" w:hRule="atLeast"/>
          <w:jc w:val="center"/>
        </w:trPr>
        <w:tc>
          <w:tcPr>
            <w:tcW w:w="39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28.05</w:t>
            </w:r>
          </w:p>
        </w:tc>
        <w:tc>
          <w:tcPr>
            <w:tcW w:w="38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221.51</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221.21</w:t>
            </w:r>
          </w:p>
        </w:tc>
        <w:tc>
          <w:tcPr>
            <w:tcW w:w="36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0.29</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221.51</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221.51</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221.51</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221.21</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0.29</w:t>
            </w:r>
          </w:p>
        </w:tc>
        <w:tc>
          <w:tcPr>
            <w:tcW w:w="53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3" w:hRule="atLeast"/>
          <w:jc w:val="center"/>
        </w:trPr>
        <w:tc>
          <w:tcPr>
            <w:tcW w:w="39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28.96</w:t>
            </w:r>
          </w:p>
        </w:tc>
        <w:tc>
          <w:tcPr>
            <w:tcW w:w="38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220.26</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219.85</w:t>
            </w:r>
          </w:p>
        </w:tc>
        <w:tc>
          <w:tcPr>
            <w:tcW w:w="36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0.41</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220.26</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220.26</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220.26</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219.85</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0.41</w:t>
            </w:r>
          </w:p>
        </w:tc>
        <w:tc>
          <w:tcPr>
            <w:tcW w:w="53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3" w:hRule="atLeast"/>
          <w:jc w:val="center"/>
        </w:trPr>
        <w:tc>
          <w:tcPr>
            <w:tcW w:w="39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30.29</w:t>
            </w:r>
          </w:p>
        </w:tc>
        <w:tc>
          <w:tcPr>
            <w:tcW w:w="38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219.34</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218.73</w:t>
            </w:r>
          </w:p>
        </w:tc>
        <w:tc>
          <w:tcPr>
            <w:tcW w:w="36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0.62</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219.34</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219.34</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219.34</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218.73</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0.62</w:t>
            </w:r>
          </w:p>
        </w:tc>
        <w:tc>
          <w:tcPr>
            <w:tcW w:w="53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3" w:hRule="atLeast"/>
          <w:jc w:val="center"/>
        </w:trPr>
        <w:tc>
          <w:tcPr>
            <w:tcW w:w="39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31.18</w:t>
            </w:r>
          </w:p>
        </w:tc>
        <w:tc>
          <w:tcPr>
            <w:tcW w:w="38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218.99</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218.28</w:t>
            </w:r>
          </w:p>
        </w:tc>
        <w:tc>
          <w:tcPr>
            <w:tcW w:w="36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0.72</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218.99</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218.99</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218.99</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218.28</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0.72</w:t>
            </w:r>
          </w:p>
        </w:tc>
        <w:tc>
          <w:tcPr>
            <w:tcW w:w="53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清溪河口</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3" w:hRule="atLeast"/>
          <w:jc w:val="center"/>
        </w:trPr>
        <w:tc>
          <w:tcPr>
            <w:tcW w:w="39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32.14</w:t>
            </w:r>
          </w:p>
        </w:tc>
        <w:tc>
          <w:tcPr>
            <w:tcW w:w="38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218.78</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218.02</w:t>
            </w:r>
          </w:p>
        </w:tc>
        <w:tc>
          <w:tcPr>
            <w:tcW w:w="36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0.76</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218.78</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218.78</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218.78</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218.02</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0.76</w:t>
            </w:r>
          </w:p>
        </w:tc>
        <w:tc>
          <w:tcPr>
            <w:tcW w:w="53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3" w:hRule="atLeast"/>
          <w:jc w:val="center"/>
        </w:trPr>
        <w:tc>
          <w:tcPr>
            <w:tcW w:w="39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32.62</w:t>
            </w:r>
          </w:p>
        </w:tc>
        <w:tc>
          <w:tcPr>
            <w:tcW w:w="38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218.60</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217.78</w:t>
            </w:r>
          </w:p>
        </w:tc>
        <w:tc>
          <w:tcPr>
            <w:tcW w:w="36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0.82</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218.60</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218.60</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218.60</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217.78</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0.82</w:t>
            </w:r>
          </w:p>
        </w:tc>
        <w:tc>
          <w:tcPr>
            <w:tcW w:w="53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spacing w:line="240" w:lineRule="exact"/>
              <w:rPr>
                <w:rFonts w:hint="eastAsia"/>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3" w:hRule="atLeast"/>
          <w:jc w:val="center"/>
        </w:trPr>
        <w:tc>
          <w:tcPr>
            <w:tcW w:w="39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33.30</w:t>
            </w:r>
          </w:p>
        </w:tc>
        <w:tc>
          <w:tcPr>
            <w:tcW w:w="38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218.03</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216.60</w:t>
            </w:r>
          </w:p>
        </w:tc>
        <w:tc>
          <w:tcPr>
            <w:tcW w:w="36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1.43</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218.03</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218.03</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218.03</w:t>
            </w:r>
          </w:p>
        </w:tc>
        <w:tc>
          <w:tcPr>
            <w:tcW w:w="3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0.00</w:t>
            </w:r>
          </w:p>
        </w:tc>
        <w:tc>
          <w:tcPr>
            <w:tcW w:w="3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216.60</w:t>
            </w:r>
          </w:p>
        </w:tc>
        <w:tc>
          <w:tcPr>
            <w:tcW w:w="3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1.43</w:t>
            </w:r>
          </w:p>
        </w:tc>
        <w:tc>
          <w:tcPr>
            <w:tcW w:w="53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3013"/>
              <w:widowControl/>
              <w:spacing w:line="240" w:lineRule="exact"/>
              <w:textAlignment w:val="bottom"/>
              <w:rPr>
                <w:rFonts w:hint="eastAsia"/>
                <w:sz w:val="18"/>
                <w:szCs w:val="18"/>
              </w:rPr>
            </w:pPr>
            <w:r>
              <w:rPr>
                <w:rFonts w:hint="eastAsia"/>
                <w:sz w:val="18"/>
                <w:szCs w:val="18"/>
                <w:lang w:bidi="ar"/>
              </w:rPr>
              <w:t>桥溪口枢纽</w:t>
            </w:r>
          </w:p>
        </w:tc>
      </w:tr>
    </w:tbl>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zh-CN" w:eastAsia="zh-CN"/>
        </w:rPr>
      </w:pPr>
      <w:r>
        <w:rPr>
          <w:rFonts w:hint="eastAsia" w:ascii="Times New Roman" w:hAnsi="Times New Roman" w:eastAsia="方正仿宋_GBK" w:cs="Times New Roman"/>
          <w:sz w:val="32"/>
          <w:szCs w:val="32"/>
          <w:lang w:val="en-US" w:eastAsia="zh-CN"/>
        </w:rPr>
        <w:t>1.2.1</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en-US" w:eastAsia="zh-CN"/>
        </w:rPr>
        <w:t>桥溪口枢纽改造</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zh-CN" w:eastAsia="zh-CN"/>
        </w:rPr>
      </w:pPr>
      <w:r>
        <w:rPr>
          <w:rFonts w:hint="eastAsia" w:ascii="Times New Roman" w:hAnsi="Times New Roman" w:eastAsia="方正仿宋_GBK" w:cs="Times New Roman"/>
          <w:sz w:val="32"/>
          <w:szCs w:val="32"/>
          <w:lang w:val="en-US" w:eastAsia="zh-CN"/>
        </w:rPr>
        <w:t>桥溪口枢纽改造后，20年一遇设计洪水条件下</w:t>
      </w:r>
      <w:r>
        <w:rPr>
          <w:rFonts w:hint="eastAsia" w:ascii="Times New Roman" w:hAnsi="Times New Roman" w:eastAsia="方正仿宋_GBK" w:cs="Times New Roman"/>
          <w:sz w:val="32"/>
          <w:szCs w:val="32"/>
          <w:lang w:val="zh-CN" w:eastAsia="zh-CN"/>
        </w:rPr>
        <w:t>綦江干流河道水位降幅超过0.10m的河段达10.86km，</w:t>
      </w:r>
      <w:r>
        <w:rPr>
          <w:rFonts w:hint="eastAsia" w:ascii="Times New Roman" w:hAnsi="Times New Roman" w:eastAsia="方正仿宋_GBK" w:cs="Times New Roman"/>
          <w:sz w:val="32"/>
          <w:szCs w:val="32"/>
          <w:lang w:val="en-US" w:eastAsia="zh-CN"/>
        </w:rPr>
        <w:t>但彩虹桥的水位降幅仅为0.06m，见图6.1</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3</w:t>
      </w:r>
      <w:r>
        <w:rPr>
          <w:rFonts w:hint="eastAsia" w:ascii="Times New Roman" w:hAnsi="Times New Roman" w:eastAsia="方正仿宋_GBK" w:cs="Times New Roman"/>
          <w:sz w:val="32"/>
          <w:szCs w:val="32"/>
          <w:lang w:val="zh-CN" w:eastAsia="zh-CN"/>
        </w:rPr>
        <w:t>。</w:t>
      </w:r>
    </w:p>
    <w:p>
      <w:pPr>
        <w:pStyle w:val="1355"/>
        <w:spacing w:line="240" w:lineRule="auto"/>
        <w:ind w:firstLine="0" w:firstLineChars="0"/>
        <w:jc w:val="center"/>
      </w:pPr>
      <w:r>
        <w:drawing>
          <wp:anchor distT="0" distB="0" distL="114300" distR="114300" simplePos="0" relativeHeight="251672576" behindDoc="0" locked="0" layoutInCell="1" allowOverlap="1">
            <wp:simplePos x="0" y="0"/>
            <wp:positionH relativeFrom="character">
              <wp:posOffset>0</wp:posOffset>
            </wp:positionH>
            <wp:positionV relativeFrom="line">
              <wp:posOffset>0</wp:posOffset>
            </wp:positionV>
            <wp:extent cx="5624195" cy="2867660"/>
            <wp:effectExtent l="0" t="0" r="14605" b="8890"/>
            <wp:wrapNone/>
            <wp:docPr id="14" name="图片 680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 name="图片 6808"/>
                    <pic:cNvPicPr>
                      <a:picLocks noChangeAspect="true"/>
                    </pic:cNvPicPr>
                  </pic:nvPicPr>
                  <pic:blipFill>
                    <a:blip r:embed="rId163"/>
                    <a:stretch>
                      <a:fillRect/>
                    </a:stretch>
                  </pic:blipFill>
                  <pic:spPr>
                    <a:xfrm>
                      <a:off x="0" y="0"/>
                      <a:ext cx="5624195" cy="2867660"/>
                    </a:xfrm>
                    <a:prstGeom prst="rect">
                      <a:avLst/>
                    </a:prstGeom>
                    <a:noFill/>
                    <a:ln>
                      <a:noFill/>
                    </a:ln>
                  </pic:spPr>
                </pic:pic>
              </a:graphicData>
            </a:graphic>
          </wp:anchor>
        </w:drawing>
      </w:r>
      <w:r>
        <mc:AlternateContent>
          <mc:Choice Requires="wps">
            <w:drawing>
              <wp:inline distT="0" distB="0" distL="114300" distR="114300">
                <wp:extent cx="5624195" cy="2867660"/>
                <wp:effectExtent l="0" t="0" r="0" b="0"/>
                <wp:docPr id="124" name="图片 94"/>
                <wp:cNvGraphicFramePr>
                  <a:graphicFrameLocks xmlns:a="http://schemas.openxmlformats.org/drawingml/2006/main" noChangeAspect="true"/>
                </wp:cNvGraphicFramePr>
                <a:graphic xmlns:a="http://schemas.openxmlformats.org/drawingml/2006/main">
                  <a:graphicData uri="http://schemas.microsoft.com/office/word/2010/wordprocessingShape">
                    <wps:wsp>
                      <wps:cNvSpPr>
                        <a:spLocks noChangeAspect="true"/>
                      </wps:cNvSpPr>
                      <wps:spPr>
                        <a:xfrm>
                          <a:off x="0" y="0"/>
                          <a:ext cx="5624195" cy="2867660"/>
                        </a:xfrm>
                        <a:prstGeom prst="rect">
                          <a:avLst/>
                        </a:prstGeom>
                        <a:noFill/>
                        <a:ln>
                          <a:noFill/>
                        </a:ln>
                      </wps:spPr>
                      <wps:bodyPr wrap="square" upright="true"/>
                    </wps:wsp>
                  </a:graphicData>
                </a:graphic>
              </wp:inline>
            </w:drawing>
          </mc:Choice>
          <mc:Fallback>
            <w:pict>
              <v:rect id="图片 94" o:spid="_x0000_s1026" o:spt="1" style="height:225.8pt;width:442.85pt;" filled="f" stroked="f" coordsize="21600,21600" o:gfxdata="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BYAAABkcnMvUEsBAhQA&#10;FAAAAAgAh07iQMLuw0/XAAAABQEAAA8AAAAAAAAAAQAgAAAAOAAAAGRycy9kb3ducmV2LnhtbFBL&#10;AQIUABQAAAAIAIdO4kCtzYssqAEAACwDAAAOAAAAAAAAAAEAIAAAADwBAABkcnMvZTJvRG9jLnht&#10;bFBLBQYAAAAABgAGAFkBAABWBQAAAAA=&#10;">
                <v:fill on="f" focussize="0,0"/>
                <v:stroke on="f"/>
                <v:imagedata o:title=""/>
                <o:lock v:ext="edit" aspectratio="t"/>
                <w10:wrap type="none"/>
                <w10:anchorlock/>
              </v:rect>
            </w:pict>
          </mc:Fallback>
        </mc:AlternateContent>
      </w:r>
    </w:p>
    <w:p>
      <w:pPr>
        <w:pStyle w:val="2886"/>
        <w:rPr>
          <w:rFonts w:hint="default" w:ascii="Times New Roman" w:hAnsi="Times New Roman" w:cs="Times New Roman"/>
        </w:rPr>
      </w:pPr>
      <w:r>
        <w:rPr>
          <w:rFonts w:hint="default" w:ascii="Times New Roman" w:hAnsi="Times New Roman" w:cs="Times New Roman"/>
        </w:rPr>
        <w:t>图6.1</w:t>
      </w:r>
      <w:r>
        <w:rPr>
          <w:rFonts w:hint="default" w:ascii="Times New Roman" w:hAnsi="Times New Roman" w:cs="Times New Roman"/>
          <w:lang w:eastAsia="zh-CN"/>
        </w:rPr>
        <w:t>—</w:t>
      </w:r>
      <w:r>
        <w:rPr>
          <w:rFonts w:hint="default" w:ascii="Times New Roman" w:hAnsi="Times New Roman" w:cs="Times New Roman"/>
        </w:rPr>
        <w:t>3    20年一遇洪水条件下桥溪口枢纽改造前后效果对比图</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default" w:ascii="Times New Roman" w:hAnsi="Times New Roman" w:eastAsia="方正仿宋_GBK" w:cs="Times New Roman"/>
          <w:sz w:val="32"/>
          <w:szCs w:val="32"/>
          <w:lang w:val="en-US" w:eastAsia="zh-CN"/>
        </w:rPr>
      </w:pPr>
      <w:r>
        <w:rPr>
          <w:rFonts w:hint="default" w:ascii="Times New Roman" w:hAnsi="Times New Roman" w:eastAsia="方正仿宋_GBK" w:cs="Times New Roman"/>
          <w:sz w:val="32"/>
          <w:szCs w:val="32"/>
          <w:lang w:val="en-US" w:eastAsia="zh-CN"/>
        </w:rPr>
        <w:t>1.2.2</w:t>
      </w:r>
      <w:r>
        <w:rPr>
          <w:rFonts w:hint="eastAsia" w:ascii="Times New Roman" w:hAnsi="Times New Roman" w:eastAsia="方正仿宋_GBK" w:cs="Times New Roman"/>
          <w:sz w:val="32"/>
          <w:szCs w:val="32"/>
          <w:lang w:val="en-US" w:eastAsia="zh-CN"/>
        </w:rPr>
        <w:t xml:space="preserve"> </w:t>
      </w:r>
      <w:r>
        <w:rPr>
          <w:rFonts w:hint="default" w:ascii="Times New Roman" w:hAnsi="Times New Roman" w:eastAsia="方正仿宋_GBK" w:cs="Times New Roman"/>
          <w:sz w:val="32"/>
          <w:szCs w:val="32"/>
          <w:lang w:val="en-US" w:eastAsia="zh-CN"/>
        </w:rPr>
        <w:t>大常枢纽拆除</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kern w:val="0"/>
          <w:lang w:val="zh-CN"/>
        </w:rPr>
      </w:pPr>
      <w:r>
        <w:rPr>
          <w:rFonts w:hint="eastAsia" w:ascii="Times New Roman" w:hAnsi="Times New Roman" w:eastAsia="方正仿宋_GBK" w:cs="Times New Roman"/>
          <w:sz w:val="32"/>
          <w:szCs w:val="32"/>
          <w:lang w:val="en-US" w:eastAsia="zh-CN"/>
        </w:rPr>
        <w:t>大常枢纽拆除后，20年一遇设计洪水条件下</w:t>
      </w:r>
      <w:r>
        <w:rPr>
          <w:rFonts w:hint="eastAsia" w:ascii="Times New Roman" w:hAnsi="Times New Roman" w:eastAsia="方正仿宋_GBK" w:cs="Times New Roman"/>
          <w:sz w:val="32"/>
          <w:szCs w:val="32"/>
          <w:lang w:val="zh-CN" w:eastAsia="zh-CN"/>
        </w:rPr>
        <w:t>綦江干流河道水位降幅超过0.10m的河段达7.17km，其中</w:t>
      </w:r>
      <w:r>
        <w:rPr>
          <w:rFonts w:hint="eastAsia" w:ascii="Times New Roman" w:hAnsi="Times New Roman" w:eastAsia="方正仿宋_GBK" w:cs="Times New Roman"/>
          <w:sz w:val="32"/>
          <w:szCs w:val="32"/>
          <w:lang w:val="en-US" w:eastAsia="zh-CN"/>
        </w:rPr>
        <w:t>彩虹桥的水位降幅达0.29m，见图6.1</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4</w:t>
      </w:r>
      <w:r>
        <w:rPr>
          <w:rFonts w:hint="eastAsia" w:ascii="Times New Roman" w:hAnsi="Times New Roman" w:eastAsia="方正仿宋_GBK" w:cs="Times New Roman"/>
          <w:sz w:val="32"/>
          <w:szCs w:val="32"/>
          <w:lang w:val="zh-CN" w:eastAsia="zh-CN"/>
        </w:rPr>
        <w:t>。</w:t>
      </w:r>
    </w:p>
    <w:p>
      <w:pPr>
        <w:pStyle w:val="1355"/>
        <w:spacing w:line="240" w:lineRule="auto"/>
        <w:ind w:firstLine="0" w:firstLineChars="0"/>
        <w:jc w:val="center"/>
      </w:pPr>
      <w:r>
        <w:drawing>
          <wp:anchor distT="0" distB="0" distL="114300" distR="114300" simplePos="0" relativeHeight="251671552" behindDoc="0" locked="0" layoutInCell="1" allowOverlap="1">
            <wp:simplePos x="0" y="0"/>
            <wp:positionH relativeFrom="character">
              <wp:posOffset>144780</wp:posOffset>
            </wp:positionH>
            <wp:positionV relativeFrom="line">
              <wp:posOffset>73660</wp:posOffset>
            </wp:positionV>
            <wp:extent cx="5436235" cy="2771775"/>
            <wp:effectExtent l="0" t="0" r="12065" b="9525"/>
            <wp:wrapNone/>
            <wp:docPr id="13" name="图片 680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 name="图片 6809"/>
                    <pic:cNvPicPr>
                      <a:picLocks noChangeAspect="true"/>
                    </pic:cNvPicPr>
                  </pic:nvPicPr>
                  <pic:blipFill>
                    <a:blip r:embed="rId164"/>
                    <a:stretch>
                      <a:fillRect/>
                    </a:stretch>
                  </pic:blipFill>
                  <pic:spPr>
                    <a:xfrm>
                      <a:off x="0" y="0"/>
                      <a:ext cx="5436235" cy="2771775"/>
                    </a:xfrm>
                    <a:prstGeom prst="rect">
                      <a:avLst/>
                    </a:prstGeom>
                    <a:noFill/>
                    <a:ln>
                      <a:noFill/>
                    </a:ln>
                  </pic:spPr>
                </pic:pic>
              </a:graphicData>
            </a:graphic>
          </wp:anchor>
        </w:drawing>
      </w:r>
      <w:r>
        <mc:AlternateContent>
          <mc:Choice Requires="wps">
            <w:drawing>
              <wp:inline distT="0" distB="0" distL="114300" distR="114300">
                <wp:extent cx="5638800" cy="2877820"/>
                <wp:effectExtent l="0" t="0" r="0" b="0"/>
                <wp:docPr id="125" name="图片 95"/>
                <wp:cNvGraphicFramePr>
                  <a:graphicFrameLocks xmlns:a="http://schemas.openxmlformats.org/drawingml/2006/main" noChangeAspect="true"/>
                </wp:cNvGraphicFramePr>
                <a:graphic xmlns:a="http://schemas.openxmlformats.org/drawingml/2006/main">
                  <a:graphicData uri="http://schemas.microsoft.com/office/word/2010/wordprocessingShape">
                    <wps:wsp>
                      <wps:cNvSpPr>
                        <a:spLocks noChangeAspect="true"/>
                      </wps:cNvSpPr>
                      <wps:spPr>
                        <a:xfrm>
                          <a:off x="0" y="0"/>
                          <a:ext cx="5638800" cy="2877820"/>
                        </a:xfrm>
                        <a:prstGeom prst="rect">
                          <a:avLst/>
                        </a:prstGeom>
                        <a:noFill/>
                        <a:ln>
                          <a:noFill/>
                        </a:ln>
                      </wps:spPr>
                      <wps:bodyPr wrap="square" upright="true"/>
                    </wps:wsp>
                  </a:graphicData>
                </a:graphic>
              </wp:inline>
            </w:drawing>
          </mc:Choice>
          <mc:Fallback>
            <w:pict>
              <v:rect id="图片 95" o:spid="_x0000_s1026" o:spt="1" style="height:226.6pt;width:444pt;" filled="f" stroked="f" coordsize="21600,21600" o:gfxdata="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WAAAAZHJzL1BLAQIUABQA&#10;AAAIAIdO4kCoGNny1gAAAAUBAAAPAAAAAAAAAAEAIAAAADgAAABkcnMvZG93bnJldi54bWxQSwEC&#10;FAAUAAAACACHTuJAnsZFZKcBAAAsAwAADgAAAAAAAAABACAAAAA7AQAAZHJzL2Uyb0RvYy54bWxQ&#10;SwUGAAAAAAYABgBZAQAAVAUAAAAA&#10;">
                <v:fill on="f" focussize="0,0"/>
                <v:stroke on="f"/>
                <v:imagedata o:title=""/>
                <o:lock v:ext="edit" aspectratio="t"/>
                <w10:wrap type="none"/>
                <w10:anchorlock/>
              </v:rect>
            </w:pict>
          </mc:Fallback>
        </mc:AlternateContent>
      </w:r>
    </w:p>
    <w:p>
      <w:pPr>
        <w:pStyle w:val="2886"/>
        <w:rPr>
          <w:rFonts w:hint="default" w:ascii="Times New Roman" w:hAnsi="Times New Roman" w:cs="Times New Roman"/>
        </w:rPr>
      </w:pPr>
      <w:r>
        <w:rPr>
          <w:rFonts w:hint="default" w:ascii="Times New Roman" w:hAnsi="Times New Roman" w:cs="Times New Roman"/>
        </w:rPr>
        <w:t>图6.1</w:t>
      </w:r>
      <w:r>
        <w:rPr>
          <w:rFonts w:hint="default" w:ascii="Times New Roman" w:hAnsi="Times New Roman" w:cs="Times New Roman"/>
          <w:lang w:eastAsia="zh-CN"/>
        </w:rPr>
        <w:t>—</w:t>
      </w:r>
      <w:r>
        <w:rPr>
          <w:rFonts w:hint="default" w:ascii="Times New Roman" w:hAnsi="Times New Roman" w:cs="Times New Roman"/>
        </w:rPr>
        <w:t>4    20年一遇洪水条件下大常枢纽拆除前后效果对比图</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1.2.3</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en-US" w:eastAsia="zh-CN"/>
        </w:rPr>
        <w:t>桥河枢纽改造</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zh-CN" w:eastAsia="zh-CN"/>
        </w:rPr>
      </w:pPr>
      <w:r>
        <w:rPr>
          <w:rFonts w:hint="eastAsia" w:ascii="Times New Roman" w:hAnsi="Times New Roman" w:eastAsia="方正仿宋_GBK" w:cs="Times New Roman"/>
          <w:sz w:val="32"/>
          <w:szCs w:val="32"/>
          <w:lang w:val="en-US" w:eastAsia="zh-CN"/>
        </w:rPr>
        <w:t>桥河枢纽改造后，20年一遇设计洪水条件下</w:t>
      </w:r>
      <w:r>
        <w:rPr>
          <w:rFonts w:hint="eastAsia" w:ascii="Times New Roman" w:hAnsi="Times New Roman" w:eastAsia="方正仿宋_GBK" w:cs="Times New Roman"/>
          <w:sz w:val="32"/>
          <w:szCs w:val="32"/>
          <w:lang w:val="zh-CN" w:eastAsia="zh-CN"/>
        </w:rPr>
        <w:t>綦江干流河道水位降幅超过0.10m的河段</w:t>
      </w:r>
      <w:r>
        <w:rPr>
          <w:rFonts w:hint="eastAsia" w:ascii="Times New Roman" w:hAnsi="Times New Roman" w:eastAsia="方正仿宋_GBK" w:cs="Times New Roman"/>
          <w:sz w:val="32"/>
          <w:szCs w:val="32"/>
          <w:lang w:val="en-US" w:eastAsia="zh-CN"/>
        </w:rPr>
        <w:t>为2.61</w:t>
      </w:r>
      <w:r>
        <w:rPr>
          <w:rFonts w:hint="eastAsia" w:ascii="Times New Roman" w:hAnsi="Times New Roman" w:eastAsia="方正仿宋_GBK" w:cs="Times New Roman"/>
          <w:sz w:val="32"/>
          <w:szCs w:val="32"/>
          <w:lang w:val="zh-CN" w:eastAsia="zh-CN"/>
        </w:rPr>
        <w:t>km，其中三江街道蒲河口</w:t>
      </w:r>
      <w:r>
        <w:rPr>
          <w:rFonts w:hint="eastAsia" w:ascii="Times New Roman" w:hAnsi="Times New Roman" w:eastAsia="方正仿宋_GBK" w:cs="Times New Roman"/>
          <w:sz w:val="32"/>
          <w:szCs w:val="32"/>
          <w:lang w:val="en-US" w:eastAsia="zh-CN"/>
        </w:rPr>
        <w:t>的水位降幅仅为0.01m，见图6.1</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5</w:t>
      </w:r>
      <w:r>
        <w:rPr>
          <w:rFonts w:hint="eastAsia" w:ascii="Times New Roman" w:hAnsi="Times New Roman" w:eastAsia="方正仿宋_GBK" w:cs="Times New Roman"/>
          <w:sz w:val="32"/>
          <w:szCs w:val="32"/>
          <w:lang w:val="zh-CN" w:eastAsia="zh-CN"/>
        </w:rPr>
        <w:t>。</w:t>
      </w:r>
    </w:p>
    <w:p>
      <w:pPr>
        <w:pStyle w:val="1355"/>
        <w:spacing w:line="240" w:lineRule="auto"/>
        <w:ind w:firstLine="0" w:firstLineChars="0"/>
        <w:jc w:val="center"/>
      </w:pPr>
      <w:r>
        <w:drawing>
          <wp:inline distT="0" distB="0" distL="114300" distR="114300">
            <wp:extent cx="5654040" cy="3154680"/>
            <wp:effectExtent l="0" t="0" r="3810" b="7620"/>
            <wp:docPr id="126" name="图表 6"/>
            <wp:cNvGraphicFramePr>
              <a:graphicFrameLocks xmlns:a="http://schemas.openxmlformats.org/drawingml/2006/main" noChangeAspect="true"/>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pPr>
        <w:pStyle w:val="2886"/>
        <w:rPr>
          <w:rFonts w:hint="eastAsia"/>
        </w:rPr>
      </w:pPr>
      <w:r>
        <w:rPr>
          <w:rFonts w:hint="default" w:ascii="Times New Roman" w:hAnsi="Times New Roman" w:cs="Times New Roman"/>
        </w:rPr>
        <w:t>图6.1</w:t>
      </w:r>
      <w:r>
        <w:rPr>
          <w:rFonts w:hint="default" w:ascii="Times New Roman" w:hAnsi="Times New Roman" w:cs="Times New Roman"/>
          <w:lang w:eastAsia="zh-CN"/>
        </w:rPr>
        <w:t>—</w:t>
      </w:r>
      <w:r>
        <w:rPr>
          <w:rFonts w:hint="default" w:ascii="Times New Roman" w:hAnsi="Times New Roman" w:cs="Times New Roman"/>
        </w:rPr>
        <w:t>5    20年一遇</w:t>
      </w:r>
      <w:r>
        <w:rPr>
          <w:rFonts w:hint="eastAsia"/>
        </w:rPr>
        <w:t>洪水条件下桥河枢纽改造前后效果对比图</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zh-CN" w:eastAsia="zh-CN"/>
        </w:rPr>
      </w:pPr>
      <w:r>
        <w:rPr>
          <w:rFonts w:hint="eastAsia" w:ascii="Times New Roman" w:hAnsi="Times New Roman" w:eastAsia="方正仿宋_GBK" w:cs="Times New Roman"/>
          <w:sz w:val="32"/>
          <w:szCs w:val="32"/>
          <w:lang w:val="en-US" w:eastAsia="zh-CN"/>
        </w:rPr>
        <w:t>1.2.4</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zh-CN" w:eastAsia="zh-CN"/>
        </w:rPr>
        <w:t>石溪口枢纽拆除</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zh-CN" w:eastAsia="zh-CN"/>
        </w:rPr>
      </w:pPr>
      <w:r>
        <w:rPr>
          <w:rFonts w:hint="eastAsia" w:ascii="Times New Roman" w:hAnsi="Times New Roman" w:eastAsia="方正仿宋_GBK" w:cs="Times New Roman"/>
          <w:sz w:val="32"/>
          <w:szCs w:val="32"/>
          <w:lang w:val="zh-CN" w:eastAsia="zh-CN"/>
        </w:rPr>
        <w:t>石溪口枢纽拆除</w:t>
      </w:r>
      <w:r>
        <w:rPr>
          <w:rFonts w:hint="eastAsia" w:ascii="Times New Roman" w:hAnsi="Times New Roman" w:eastAsia="方正仿宋_GBK" w:cs="Times New Roman"/>
          <w:sz w:val="32"/>
          <w:szCs w:val="32"/>
          <w:lang w:val="en-US" w:eastAsia="zh-CN"/>
        </w:rPr>
        <w:t>后，20年一遇设计洪水条件下</w:t>
      </w:r>
      <w:r>
        <w:rPr>
          <w:rFonts w:hint="eastAsia" w:ascii="Times New Roman" w:hAnsi="Times New Roman" w:eastAsia="方正仿宋_GBK" w:cs="Times New Roman"/>
          <w:sz w:val="32"/>
          <w:szCs w:val="32"/>
          <w:lang w:val="zh-CN" w:eastAsia="zh-CN"/>
        </w:rPr>
        <w:t>綦江干流河道水位降幅超过0.10m的河段达3.86km，其中三江街道蒲河口</w:t>
      </w:r>
      <w:r>
        <w:rPr>
          <w:rFonts w:hint="eastAsia" w:ascii="Times New Roman" w:hAnsi="Times New Roman" w:eastAsia="方正仿宋_GBK" w:cs="Times New Roman"/>
          <w:sz w:val="32"/>
          <w:szCs w:val="32"/>
          <w:lang w:val="en-US" w:eastAsia="zh-CN"/>
        </w:rPr>
        <w:t>的水位降幅为0.11m，见图6.1</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6</w:t>
      </w:r>
      <w:r>
        <w:rPr>
          <w:rFonts w:hint="eastAsia" w:ascii="Times New Roman" w:hAnsi="Times New Roman" w:eastAsia="方正仿宋_GBK" w:cs="Times New Roman"/>
          <w:sz w:val="32"/>
          <w:szCs w:val="32"/>
          <w:lang w:val="zh-CN" w:eastAsia="zh-CN"/>
        </w:rPr>
        <w:t>。</w:t>
      </w:r>
    </w:p>
    <w:p>
      <w:pPr>
        <w:pStyle w:val="1355"/>
        <w:spacing w:line="240" w:lineRule="auto"/>
        <w:ind w:firstLine="0" w:firstLineChars="0"/>
        <w:jc w:val="center"/>
      </w:pPr>
      <w:r>
        <w:drawing>
          <wp:anchor distT="0" distB="0" distL="114300" distR="114300" simplePos="0" relativeHeight="251670528" behindDoc="0" locked="0" layoutInCell="1" allowOverlap="1">
            <wp:simplePos x="0" y="0"/>
            <wp:positionH relativeFrom="character">
              <wp:posOffset>153670</wp:posOffset>
            </wp:positionH>
            <wp:positionV relativeFrom="line">
              <wp:posOffset>78105</wp:posOffset>
            </wp:positionV>
            <wp:extent cx="5337175" cy="2721610"/>
            <wp:effectExtent l="0" t="0" r="15875" b="2540"/>
            <wp:wrapNone/>
            <wp:docPr id="12" name="图片 68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 name="图片 6810"/>
                    <pic:cNvPicPr>
                      <a:picLocks noChangeAspect="true"/>
                    </pic:cNvPicPr>
                  </pic:nvPicPr>
                  <pic:blipFill>
                    <a:blip r:embed="rId166"/>
                    <a:stretch>
                      <a:fillRect/>
                    </a:stretch>
                  </pic:blipFill>
                  <pic:spPr>
                    <a:xfrm>
                      <a:off x="0" y="0"/>
                      <a:ext cx="5337175" cy="2721610"/>
                    </a:xfrm>
                    <a:prstGeom prst="rect">
                      <a:avLst/>
                    </a:prstGeom>
                    <a:noFill/>
                    <a:ln>
                      <a:noFill/>
                    </a:ln>
                  </pic:spPr>
                </pic:pic>
              </a:graphicData>
            </a:graphic>
          </wp:anchor>
        </w:drawing>
      </w:r>
      <w:r>
        <mc:AlternateContent>
          <mc:Choice Requires="wps">
            <w:drawing>
              <wp:inline distT="0" distB="0" distL="114300" distR="114300">
                <wp:extent cx="5569585" cy="2839720"/>
                <wp:effectExtent l="0" t="0" r="0" b="0"/>
                <wp:docPr id="127" name="图片 96"/>
                <wp:cNvGraphicFramePr>
                  <a:graphicFrameLocks xmlns:a="http://schemas.openxmlformats.org/drawingml/2006/main" noChangeAspect="true"/>
                </wp:cNvGraphicFramePr>
                <a:graphic xmlns:a="http://schemas.openxmlformats.org/drawingml/2006/main">
                  <a:graphicData uri="http://schemas.microsoft.com/office/word/2010/wordprocessingShape">
                    <wps:wsp>
                      <wps:cNvSpPr>
                        <a:spLocks noChangeAspect="true"/>
                      </wps:cNvSpPr>
                      <wps:spPr>
                        <a:xfrm>
                          <a:off x="0" y="0"/>
                          <a:ext cx="5569585" cy="2839720"/>
                        </a:xfrm>
                        <a:prstGeom prst="rect">
                          <a:avLst/>
                        </a:prstGeom>
                        <a:noFill/>
                        <a:ln>
                          <a:noFill/>
                        </a:ln>
                      </wps:spPr>
                      <wps:bodyPr wrap="square" upright="true"/>
                    </wps:wsp>
                  </a:graphicData>
                </a:graphic>
              </wp:inline>
            </w:drawing>
          </mc:Choice>
          <mc:Fallback>
            <w:pict>
              <v:rect id="图片 96" o:spid="_x0000_s1026" o:spt="1" style="height:223.6pt;width:438.55pt;" filled="f" stroked="f" coordsize="21600,21600" o:gfxdata="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BYAAABkcnMvUEsBAhQA&#10;FAAAAAgAh07iQFT2tfPXAAAABQEAAA8AAAAAAAAAAQAgAAAAOAAAAGRycy9kb3ducmV2LnhtbFBL&#10;AQIUABQAAAAIAIdO4kAUN3GaqAEAACwDAAAOAAAAAAAAAAEAIAAAADwBAABkcnMvZTJvRG9jLnht&#10;bFBLBQYAAAAABgAGAFkBAABWBQAAAAA=&#10;">
                <v:fill on="f" focussize="0,0"/>
                <v:stroke on="f"/>
                <v:imagedata o:title=""/>
                <o:lock v:ext="edit" aspectratio="t"/>
                <w10:wrap type="none"/>
                <w10:anchorlock/>
              </v:rect>
            </w:pict>
          </mc:Fallback>
        </mc:AlternateContent>
      </w:r>
    </w:p>
    <w:p>
      <w:pPr>
        <w:pStyle w:val="2886"/>
        <w:rPr>
          <w:rFonts w:hint="default" w:ascii="Times New Roman" w:hAnsi="Times New Roman" w:cs="Times New Roman"/>
        </w:rPr>
      </w:pPr>
      <w:r>
        <w:rPr>
          <w:rFonts w:hint="default" w:ascii="Times New Roman" w:hAnsi="Times New Roman" w:cs="Times New Roman"/>
        </w:rPr>
        <w:t>图6.1</w:t>
      </w:r>
      <w:r>
        <w:rPr>
          <w:rFonts w:hint="default" w:ascii="Times New Roman" w:hAnsi="Times New Roman" w:cs="Times New Roman"/>
          <w:lang w:eastAsia="zh-CN"/>
        </w:rPr>
        <w:t>—</w:t>
      </w:r>
      <w:r>
        <w:rPr>
          <w:rFonts w:hint="default" w:ascii="Times New Roman" w:hAnsi="Times New Roman" w:cs="Times New Roman"/>
        </w:rPr>
        <w:t>6    20年一遇洪水条件下石溪口枢纽拆除前后效果对比图</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1.3</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en-US" w:eastAsia="zh-CN"/>
        </w:rPr>
        <w:t>成果合理性分析</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以桥溪口枢纽、大常枢纽为例，分析闸坝改建方案防洪计算成果的合理性。两座枢纽的设计图纸见图6.1</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7。可以看出：</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1.3.1</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en-US" w:eastAsia="zh-CN"/>
        </w:rPr>
        <w:t>大常枢纽</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kern w:val="0"/>
          <w:sz w:val="21"/>
          <w:szCs w:val="21"/>
        </w:rPr>
      </w:pPr>
      <w:r>
        <w:rPr>
          <w:rFonts w:hint="eastAsia" w:ascii="Times New Roman" w:hAnsi="Times New Roman" w:eastAsia="方正仿宋_GBK" w:cs="Times New Roman"/>
          <w:sz w:val="32"/>
          <w:szCs w:val="32"/>
          <w:lang w:val="en-US" w:eastAsia="zh-CN"/>
        </w:rPr>
        <w:t>大常枢纽1998年洪水（约20年一遇）洪痕高程为225.99m（85高程），天然过水断面面积为1777m</w:t>
      </w:r>
      <w:r>
        <w:rPr>
          <w:rFonts w:hint="eastAsia" w:ascii="Times New Roman" w:hAnsi="Times New Roman" w:eastAsia="方正仿宋_GBK" w:cs="Times New Roman"/>
          <w:sz w:val="32"/>
          <w:szCs w:val="32"/>
          <w:vertAlign w:val="superscript"/>
          <w:lang w:val="en-US" w:eastAsia="zh-CN"/>
        </w:rPr>
        <w:t>2</w:t>
      </w:r>
      <w:r>
        <w:rPr>
          <w:rFonts w:hint="eastAsia" w:ascii="Times New Roman" w:hAnsi="Times New Roman" w:eastAsia="方正仿宋_GBK" w:cs="Times New Roman"/>
          <w:sz w:val="32"/>
          <w:szCs w:val="32"/>
          <w:lang w:val="en-US" w:eastAsia="zh-CN"/>
        </w:rPr>
        <w:t>，实际过水断面面积为1330m</w:t>
      </w:r>
      <w:r>
        <w:rPr>
          <w:rFonts w:hint="eastAsia" w:ascii="Times New Roman" w:hAnsi="Times New Roman" w:eastAsia="方正仿宋_GBK" w:cs="Times New Roman"/>
          <w:sz w:val="32"/>
          <w:szCs w:val="32"/>
          <w:vertAlign w:val="superscript"/>
          <w:lang w:val="en-US" w:eastAsia="zh-CN"/>
        </w:rPr>
        <w:t>2</w:t>
      </w:r>
      <w:r>
        <w:rPr>
          <w:rFonts w:hint="eastAsia" w:ascii="Times New Roman" w:hAnsi="Times New Roman" w:eastAsia="方正仿宋_GBK" w:cs="Times New Roman"/>
          <w:sz w:val="32"/>
          <w:szCs w:val="32"/>
          <w:lang w:val="en-US" w:eastAsia="zh-CN"/>
        </w:rPr>
        <w:t>，见图6.1</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8，相当于阻水面积约为447m</w:t>
      </w:r>
      <w:r>
        <w:rPr>
          <w:rFonts w:hint="eastAsia" w:ascii="Times New Roman" w:hAnsi="Times New Roman" w:eastAsia="方正仿宋_GBK" w:cs="Times New Roman"/>
          <w:sz w:val="32"/>
          <w:szCs w:val="32"/>
          <w:vertAlign w:val="superscript"/>
          <w:lang w:val="en-US" w:eastAsia="zh-CN"/>
        </w:rPr>
        <w:t>2</w:t>
      </w:r>
      <w:r>
        <w:rPr>
          <w:rFonts w:hint="eastAsia" w:ascii="Times New Roman" w:hAnsi="Times New Roman" w:eastAsia="方正仿宋_GBK" w:cs="Times New Roman"/>
          <w:sz w:val="32"/>
          <w:szCs w:val="32"/>
          <w:lang w:val="en-US" w:eastAsia="zh-CN"/>
        </w:rPr>
        <w:t>，阻水率为25%。大常枢纽拆除前，大常枢纽闸上、闸址、闸下最大流速分别为2.70m/s、3.85m/s、2.73m/s；大常枢纽拆除后，大常枢纽闸上、闸址、闸下最大流速分别为3.18m/s、4.15m/s、3.22m/s。大常枢纽拆除后，綦江城区20年一遇洪水位最大降低0.35m，根据阻水面积和</w:t>
      </w:r>
      <w:r>
        <w:drawing>
          <wp:anchor distT="0" distB="0" distL="114300" distR="114300" simplePos="0" relativeHeight="251669504" behindDoc="0" locked="0" layoutInCell="1" allowOverlap="1">
            <wp:simplePos x="0" y="0"/>
            <wp:positionH relativeFrom="character">
              <wp:posOffset>115570</wp:posOffset>
            </wp:positionH>
            <wp:positionV relativeFrom="line">
              <wp:posOffset>347345</wp:posOffset>
            </wp:positionV>
            <wp:extent cx="5234940" cy="2899410"/>
            <wp:effectExtent l="0" t="0" r="3810" b="15240"/>
            <wp:wrapNone/>
            <wp:docPr id="11" name="图片 682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 name="图片 6828"/>
                    <pic:cNvPicPr>
                      <a:picLocks noChangeAspect="true"/>
                    </pic:cNvPicPr>
                  </pic:nvPicPr>
                  <pic:blipFill>
                    <a:blip r:embed="rId167"/>
                    <a:stretch>
                      <a:fillRect/>
                    </a:stretch>
                  </pic:blipFill>
                  <pic:spPr>
                    <a:xfrm>
                      <a:off x="0" y="0"/>
                      <a:ext cx="5234940" cy="2899410"/>
                    </a:xfrm>
                    <a:prstGeom prst="rect">
                      <a:avLst/>
                    </a:prstGeom>
                    <a:noFill/>
                    <a:ln>
                      <a:noFill/>
                    </a:ln>
                  </pic:spPr>
                </pic:pic>
              </a:graphicData>
            </a:graphic>
          </wp:anchor>
        </w:drawing>
      </w:r>
      <w:r>
        <w:rPr>
          <w:rFonts w:hint="eastAsia" w:ascii="Times New Roman" w:hAnsi="Times New Roman" w:eastAsia="方正仿宋_GBK" w:cs="Times New Roman"/>
          <w:sz w:val="32"/>
          <w:szCs w:val="32"/>
          <w:lang w:val="en-US" w:eastAsia="zh-CN"/>
        </w:rPr>
        <w:t>流速判断，本次成果合理。</w:t>
      </w:r>
    </w:p>
    <w:p>
      <w:pPr>
        <w:pStyle w:val="1355"/>
        <w:spacing w:line="360" w:lineRule="auto"/>
        <w:ind w:firstLine="0" w:firstLineChars="0"/>
        <w:jc w:val="center"/>
        <w:rPr>
          <w:rFonts w:hint="eastAsia"/>
        </w:rPr>
      </w:pPr>
      <w:r>
        <mc:AlternateContent>
          <mc:Choice Requires="wps">
            <w:drawing>
              <wp:inline distT="0" distB="0" distL="114300" distR="114300">
                <wp:extent cx="5207635" cy="2884170"/>
                <wp:effectExtent l="0" t="0" r="0" b="0"/>
                <wp:docPr id="128" name="图片 97"/>
                <wp:cNvGraphicFramePr>
                  <a:graphicFrameLocks xmlns:a="http://schemas.openxmlformats.org/drawingml/2006/main" noChangeAspect="true"/>
                </wp:cNvGraphicFramePr>
                <a:graphic xmlns:a="http://schemas.openxmlformats.org/drawingml/2006/main">
                  <a:graphicData uri="http://schemas.microsoft.com/office/word/2010/wordprocessingShape">
                    <wps:wsp>
                      <wps:cNvSpPr>
                        <a:spLocks noChangeAspect="true"/>
                      </wps:cNvSpPr>
                      <wps:spPr>
                        <a:xfrm>
                          <a:off x="0" y="0"/>
                          <a:ext cx="5207635" cy="2884170"/>
                        </a:xfrm>
                        <a:prstGeom prst="rect">
                          <a:avLst/>
                        </a:prstGeom>
                        <a:noFill/>
                        <a:ln>
                          <a:noFill/>
                        </a:ln>
                      </wps:spPr>
                      <wps:bodyPr wrap="square" upright="true"/>
                    </wps:wsp>
                  </a:graphicData>
                </a:graphic>
              </wp:inline>
            </w:drawing>
          </mc:Choice>
          <mc:Fallback>
            <w:pict>
              <v:rect id="图片 97" o:spid="_x0000_s1026" o:spt="1" style="height:227.1pt;width:410.05pt;" filled="f" stroked="f" coordsize="21600,21600" o:gfxdata="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FgAAAGRycy9QSwECFAAU&#10;AAAACACHTuJAlV5D/NcAAAAFAQAADwAAAAAAAAABACAAAAA4AAAAZHJzL2Rvd25yZXYueG1sUEsB&#10;AhQAFAAAAAgAh07iQByj+henAQAALAMAAA4AAAAAAAAAAQAgAAAAPAEAAGRycy9lMm9Eb2MueG1s&#10;UEsFBgAAAAAGAAYAWQEAAFUFAAAAAA==&#10;">
                <v:fill on="f" focussize="0,0"/>
                <v:stroke on="f"/>
                <v:imagedata o:title=""/>
                <o:lock v:ext="edit" aspectratio="t"/>
                <w10:wrap type="none"/>
                <w10:anchorlock/>
              </v:rect>
            </w:pict>
          </mc:Fallback>
        </mc:AlternateContent>
      </w:r>
    </w:p>
    <w:p>
      <w:pPr>
        <w:pStyle w:val="2886"/>
        <w:rPr>
          <w:rFonts w:hint="eastAsia"/>
        </w:rPr>
      </w:pPr>
      <w:r>
        <w:rPr>
          <w:rFonts w:hint="default" w:ascii="Times New Roman" w:hAnsi="Times New Roman" w:cs="Times New Roman"/>
        </w:rPr>
        <w:t>图6.1</w:t>
      </w:r>
      <w:r>
        <w:rPr>
          <w:rFonts w:hint="default" w:ascii="Times New Roman" w:hAnsi="Times New Roman" w:cs="Times New Roman"/>
          <w:lang w:eastAsia="zh-CN"/>
        </w:rPr>
        <w:t>—</w:t>
      </w:r>
      <w:r>
        <w:rPr>
          <w:rFonts w:hint="default" w:ascii="Times New Roman" w:hAnsi="Times New Roman" w:cs="Times New Roman"/>
        </w:rPr>
        <w:t xml:space="preserve">8 </w:t>
      </w:r>
      <w:r>
        <w:rPr>
          <w:rFonts w:hint="eastAsia"/>
        </w:rPr>
        <w:t xml:space="preserve">   大常枢纽改造前后断面对比图</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河防洪护岸综合治理工程可行性研究报告》（2017年）分析认为大常枢纽拆除后最大可降低0.25m，《重庆市綦江城区防洪护岸综合整治工程初步设计报告》（2008年）分析认为大常枢纽拆除后最大可降低0.29m，本次分析成果与上述结论基本一致。</w:t>
      </w:r>
    </w:p>
    <w:p>
      <w:pPr>
        <w:pStyle w:val="1355"/>
        <w:ind w:left="0" w:leftChars="0" w:firstLine="0" w:firstLineChars="0"/>
        <w:rPr>
          <w:kern w:val="0"/>
        </w:rPr>
        <w:sectPr>
          <w:headerReference r:id="rId26" w:type="default"/>
          <w:headerReference r:id="rId27" w:type="even"/>
          <w:pgSz w:w="11907" w:h="16840"/>
          <w:pgMar w:top="1616" w:right="1418" w:bottom="1616" w:left="1418" w:header="851" w:footer="1304" w:gutter="0"/>
          <w:pgBorders>
            <w:top w:val="none" w:sz="0" w:space="0"/>
            <w:left w:val="none" w:sz="0" w:space="0"/>
            <w:bottom w:val="none" w:sz="0" w:space="0"/>
            <w:right w:val="none" w:sz="0" w:space="0"/>
          </w:pgBorders>
          <w:pgNumType w:fmt="decimal"/>
          <w:cols w:space="720" w:num="1"/>
          <w:docGrid w:type="lines" w:linePitch="381" w:charSpace="0"/>
        </w:sectPr>
      </w:pPr>
    </w:p>
    <w:p>
      <w:pPr>
        <w:spacing w:line="360" w:lineRule="auto"/>
        <w:ind w:firstLine="0" w:firstLineChars="0"/>
        <w:jc w:val="center"/>
      </w:pPr>
    </w:p>
    <w:p>
      <w:pPr>
        <w:spacing w:line="360" w:lineRule="auto"/>
        <w:ind w:firstLine="0" w:firstLineChars="0"/>
        <w:jc w:val="center"/>
      </w:pPr>
      <w:r>
        <w:drawing>
          <wp:inline distT="0" distB="0" distL="114300" distR="114300">
            <wp:extent cx="8640445" cy="2185035"/>
            <wp:effectExtent l="0" t="0" r="8255" b="5715"/>
            <wp:docPr id="129"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9" name="图片 1"/>
                    <pic:cNvPicPr>
                      <a:picLocks noChangeAspect="true"/>
                    </pic:cNvPicPr>
                  </pic:nvPicPr>
                  <pic:blipFill>
                    <a:blip r:embed="rId168"/>
                    <a:stretch>
                      <a:fillRect/>
                    </a:stretch>
                  </pic:blipFill>
                  <pic:spPr>
                    <a:xfrm>
                      <a:off x="0" y="0"/>
                      <a:ext cx="8640445" cy="2185035"/>
                    </a:xfrm>
                    <a:prstGeom prst="rect">
                      <a:avLst/>
                    </a:prstGeom>
                    <a:noFill/>
                    <a:ln>
                      <a:noFill/>
                    </a:ln>
                  </pic:spPr>
                </pic:pic>
              </a:graphicData>
            </a:graphic>
          </wp:inline>
        </w:drawing>
      </w:r>
    </w:p>
    <w:p>
      <w:pPr>
        <w:pStyle w:val="1355"/>
        <w:spacing w:line="240" w:lineRule="exact"/>
        <w:ind w:firstLine="0" w:firstLineChars="0"/>
        <w:jc w:val="center"/>
        <w:rPr>
          <w:sz w:val="21"/>
          <w:szCs w:val="16"/>
        </w:rPr>
      </w:pPr>
      <w:r>
        <w:rPr>
          <w:rFonts w:hint="eastAsia"/>
          <w:sz w:val="21"/>
          <w:szCs w:val="16"/>
        </w:rPr>
        <w:t>大常枢纽</w:t>
      </w:r>
    </w:p>
    <w:p>
      <w:pPr>
        <w:spacing w:line="360" w:lineRule="auto"/>
        <w:ind w:firstLine="0" w:firstLineChars="0"/>
        <w:jc w:val="center"/>
      </w:pPr>
      <w:r>
        <w:drawing>
          <wp:inline distT="0" distB="0" distL="114300" distR="114300">
            <wp:extent cx="8648065" cy="1678940"/>
            <wp:effectExtent l="0" t="0" r="635" b="16510"/>
            <wp:docPr id="130" name="图片 1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0" name="图片 16"/>
                    <pic:cNvPicPr>
                      <a:picLocks noChangeAspect="true"/>
                    </pic:cNvPicPr>
                  </pic:nvPicPr>
                  <pic:blipFill>
                    <a:blip r:embed="rId169"/>
                    <a:srcRect t="22430"/>
                    <a:stretch>
                      <a:fillRect/>
                    </a:stretch>
                  </pic:blipFill>
                  <pic:spPr>
                    <a:xfrm>
                      <a:off x="0" y="0"/>
                      <a:ext cx="8648065" cy="1678940"/>
                    </a:xfrm>
                    <a:prstGeom prst="rect">
                      <a:avLst/>
                    </a:prstGeom>
                    <a:noFill/>
                    <a:ln>
                      <a:noFill/>
                    </a:ln>
                  </pic:spPr>
                </pic:pic>
              </a:graphicData>
            </a:graphic>
          </wp:inline>
        </w:drawing>
      </w:r>
    </w:p>
    <w:p>
      <w:pPr>
        <w:pStyle w:val="1355"/>
        <w:spacing w:line="240" w:lineRule="exact"/>
        <w:ind w:firstLine="0" w:firstLineChars="0"/>
        <w:jc w:val="center"/>
        <w:rPr>
          <w:sz w:val="21"/>
          <w:szCs w:val="16"/>
        </w:rPr>
      </w:pPr>
      <w:r>
        <w:rPr>
          <w:rFonts w:hint="eastAsia"/>
          <w:sz w:val="21"/>
          <w:szCs w:val="16"/>
        </w:rPr>
        <w:t>桥溪口枢纽</w:t>
      </w:r>
    </w:p>
    <w:p>
      <w:pPr>
        <w:pStyle w:val="2886"/>
        <w:rPr>
          <w:rFonts w:hint="default" w:ascii="Times New Roman" w:hAnsi="Times New Roman" w:cs="Times New Roman"/>
        </w:rPr>
      </w:pPr>
      <w:r>
        <w:rPr>
          <w:rFonts w:hint="default" w:ascii="Times New Roman" w:hAnsi="Times New Roman" w:cs="Times New Roman"/>
        </w:rPr>
        <w:t>图6.1</w:t>
      </w:r>
      <w:r>
        <w:rPr>
          <w:rFonts w:hint="default" w:ascii="Times New Roman" w:hAnsi="Times New Roman" w:cs="Times New Roman"/>
          <w:lang w:eastAsia="zh-CN"/>
        </w:rPr>
        <w:t>—</w:t>
      </w:r>
      <w:r>
        <w:rPr>
          <w:rFonts w:hint="default" w:ascii="Times New Roman" w:hAnsi="Times New Roman" w:cs="Times New Roman"/>
        </w:rPr>
        <w:t>7    綦江干流航电枢纽设计图纸</w:t>
      </w:r>
    </w:p>
    <w:p>
      <w:pPr>
        <w:spacing w:line="360" w:lineRule="auto"/>
        <w:ind w:firstLine="560"/>
        <w:jc w:val="center"/>
        <w:rPr>
          <w:rFonts w:hint="default" w:ascii="Times New Roman" w:hAnsi="Times New Roman" w:cs="Times New Roman"/>
        </w:rPr>
        <w:sectPr>
          <w:headerReference r:id="rId28" w:type="default"/>
          <w:headerReference r:id="rId29" w:type="even"/>
          <w:pgSz w:w="16840" w:h="11907" w:orient="landscape"/>
          <w:pgMar w:top="1418" w:right="1616" w:bottom="1418" w:left="1616" w:header="851" w:footer="1304" w:gutter="0"/>
          <w:pgBorders>
            <w:top w:val="none" w:sz="0" w:space="0"/>
            <w:left w:val="none" w:sz="0" w:space="0"/>
            <w:bottom w:val="none" w:sz="0" w:space="0"/>
            <w:right w:val="none" w:sz="0" w:space="0"/>
          </w:pgBorders>
          <w:pgNumType w:fmt="decimal"/>
          <w:cols w:space="720" w:num="1"/>
          <w:docGrid w:type="lines" w:linePitch="381" w:charSpace="0"/>
        </w:sectPr>
      </w:pP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1.3.2</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en-US" w:eastAsia="zh-CN"/>
        </w:rPr>
        <w:t>桥溪口枢纽</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pPr>
      <w:r>
        <w:rPr>
          <w:rFonts w:hint="eastAsia" w:ascii="Times New Roman" w:hAnsi="Times New Roman" w:eastAsia="方正仿宋_GBK" w:cs="Times New Roman"/>
          <w:sz w:val="32"/>
          <w:szCs w:val="32"/>
          <w:lang w:val="en-US" w:eastAsia="zh-CN"/>
        </w:rPr>
        <w:t>桥溪口枢纽1998年（约20年一遇）洪痕高程为218.38m（85高程），天然过水断面面积为1509m</w:t>
      </w:r>
      <w:r>
        <w:rPr>
          <w:rFonts w:hint="eastAsia" w:ascii="Times New Roman" w:hAnsi="Times New Roman" w:eastAsia="方正仿宋_GBK" w:cs="Times New Roman"/>
          <w:sz w:val="32"/>
          <w:szCs w:val="32"/>
          <w:vertAlign w:val="superscript"/>
          <w:lang w:val="en-US" w:eastAsia="zh-CN"/>
        </w:rPr>
        <w:t>2</w:t>
      </w:r>
      <w:r>
        <w:rPr>
          <w:rFonts w:hint="eastAsia" w:ascii="Times New Roman" w:hAnsi="Times New Roman" w:eastAsia="方正仿宋_GBK" w:cs="Times New Roman"/>
          <w:sz w:val="32"/>
          <w:szCs w:val="32"/>
          <w:lang w:val="en-US" w:eastAsia="zh-CN"/>
        </w:rPr>
        <w:t>，实际过水断面面积为796m</w:t>
      </w:r>
      <w:r>
        <w:rPr>
          <w:rFonts w:hint="eastAsia" w:ascii="Times New Roman" w:hAnsi="Times New Roman" w:eastAsia="方正仿宋_GBK" w:cs="Times New Roman"/>
          <w:sz w:val="32"/>
          <w:szCs w:val="32"/>
          <w:vertAlign w:val="superscript"/>
          <w:lang w:val="en-US" w:eastAsia="zh-CN"/>
        </w:rPr>
        <w:t>2</w:t>
      </w:r>
      <w:r>
        <w:rPr>
          <w:rFonts w:hint="eastAsia" w:ascii="Times New Roman" w:hAnsi="Times New Roman" w:eastAsia="方正仿宋_GBK" w:cs="Times New Roman"/>
          <w:sz w:val="32"/>
          <w:szCs w:val="32"/>
          <w:lang w:val="en-US" w:eastAsia="zh-CN"/>
        </w:rPr>
        <w:t>，相当于阻水面积约为713m</w:t>
      </w:r>
      <w:r>
        <w:rPr>
          <w:rFonts w:hint="eastAsia" w:ascii="Times New Roman" w:hAnsi="Times New Roman" w:eastAsia="方正仿宋_GBK" w:cs="Times New Roman"/>
          <w:sz w:val="32"/>
          <w:szCs w:val="32"/>
          <w:vertAlign w:val="superscript"/>
          <w:lang w:val="en-US" w:eastAsia="zh-CN"/>
        </w:rPr>
        <w:t>2</w:t>
      </w:r>
      <w:r>
        <w:rPr>
          <w:rFonts w:hint="eastAsia" w:ascii="Times New Roman" w:hAnsi="Times New Roman" w:eastAsia="方正仿宋_GBK" w:cs="Times New Roman"/>
          <w:sz w:val="32"/>
          <w:szCs w:val="32"/>
          <w:lang w:val="en-US" w:eastAsia="zh-CN"/>
        </w:rPr>
        <w:t>，阻水率为47%，见图6.1</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9。根据《綦江航运综合开发规划（2016年）》，拟采用全闸方案改造桥溪口枢纽，改造后过水断面面积为1042m</w:t>
      </w:r>
      <w:r>
        <w:rPr>
          <w:rFonts w:hint="eastAsia" w:ascii="Times New Roman" w:hAnsi="Times New Roman" w:eastAsia="方正仿宋_GBK" w:cs="Times New Roman"/>
          <w:sz w:val="32"/>
          <w:szCs w:val="32"/>
          <w:vertAlign w:val="superscript"/>
          <w:lang w:val="en-US" w:eastAsia="zh-CN"/>
        </w:rPr>
        <w:t>2</w:t>
      </w:r>
      <w:r>
        <w:rPr>
          <w:rFonts w:hint="eastAsia" w:ascii="Times New Roman" w:hAnsi="Times New Roman" w:eastAsia="方正仿宋_GBK" w:cs="Times New Roman"/>
          <w:sz w:val="32"/>
          <w:szCs w:val="32"/>
          <w:lang w:val="en-US" w:eastAsia="zh-CN"/>
        </w:rPr>
        <w:t>，阻水面积约为467m</w:t>
      </w:r>
      <w:r>
        <w:rPr>
          <w:rFonts w:hint="eastAsia" w:ascii="Times New Roman" w:hAnsi="Times New Roman" w:eastAsia="方正仿宋_GBK" w:cs="Times New Roman"/>
          <w:sz w:val="32"/>
          <w:szCs w:val="32"/>
          <w:vertAlign w:val="superscript"/>
          <w:lang w:val="en-US" w:eastAsia="zh-CN"/>
        </w:rPr>
        <w:t>2</w:t>
      </w:r>
      <w:r>
        <w:rPr>
          <w:rFonts w:hint="eastAsia" w:ascii="Times New Roman" w:hAnsi="Times New Roman" w:eastAsia="方正仿宋_GBK" w:cs="Times New Roman"/>
          <w:sz w:val="32"/>
          <w:szCs w:val="32"/>
          <w:lang w:val="en-US" w:eastAsia="zh-CN"/>
        </w:rPr>
        <w:t>，阻水率为31%。20年一遇洪水条件下，桥溪口枢纽改造后城北大桥、桥溪口闸上、闸址、闸下最大流速分别为3.07m/s、3.41m/s、6.85m/s、3.93m/s，闸上与綦江城区城北大桥水位最大降低分别为1.43m和0.12m。根据阻水面积和流速，依据经验公式判断，本次成果是合理的。</w:t>
      </w:r>
    </w:p>
    <w:p>
      <w:pPr>
        <w:pStyle w:val="1355"/>
        <w:spacing w:line="240" w:lineRule="auto"/>
        <w:ind w:firstLine="0" w:firstLineChars="0"/>
        <w:jc w:val="center"/>
      </w:pPr>
      <w:r>
        <w:drawing>
          <wp:inline distT="0" distB="0" distL="114300" distR="114300">
            <wp:extent cx="4045585" cy="2347595"/>
            <wp:effectExtent l="0" t="0" r="12065" b="14605"/>
            <wp:docPr id="131" name="图片 683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1" name="图片 6839"/>
                    <pic:cNvPicPr>
                      <a:picLocks noChangeAspect="true"/>
                    </pic:cNvPicPr>
                  </pic:nvPicPr>
                  <pic:blipFill>
                    <a:blip r:embed="rId170"/>
                    <a:stretch>
                      <a:fillRect/>
                    </a:stretch>
                  </pic:blipFill>
                  <pic:spPr>
                    <a:xfrm>
                      <a:off x="0" y="0"/>
                      <a:ext cx="4045585" cy="2347595"/>
                    </a:xfrm>
                    <a:prstGeom prst="rect">
                      <a:avLst/>
                    </a:prstGeom>
                    <a:noFill/>
                    <a:ln>
                      <a:noFill/>
                    </a:ln>
                  </pic:spPr>
                </pic:pic>
              </a:graphicData>
            </a:graphic>
          </wp:inline>
        </w:drawing>
      </w:r>
    </w:p>
    <w:p>
      <w:pPr>
        <w:pStyle w:val="2886"/>
        <w:rPr>
          <w:rFonts w:hint="eastAsia"/>
        </w:rPr>
      </w:pPr>
      <w:r>
        <w:rPr>
          <w:rFonts w:hint="default" w:ascii="Times New Roman" w:hAnsi="Times New Roman" w:cs="Times New Roman"/>
        </w:rPr>
        <w:t>图6.1</w:t>
      </w:r>
      <w:r>
        <w:rPr>
          <w:rFonts w:hint="default" w:ascii="Times New Roman" w:hAnsi="Times New Roman" w:cs="Times New Roman"/>
          <w:lang w:eastAsia="zh-CN"/>
        </w:rPr>
        <w:t>—</w:t>
      </w:r>
      <w:r>
        <w:rPr>
          <w:rFonts w:hint="default" w:ascii="Times New Roman" w:hAnsi="Times New Roman" w:cs="Times New Roman"/>
        </w:rPr>
        <w:t>9    桥溪口枢纽</w:t>
      </w:r>
      <w:r>
        <w:rPr>
          <w:rFonts w:hint="eastAsia"/>
        </w:rPr>
        <w:t>改造前后断面对比图</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1.4 推荐方案</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 xml:space="preserve">综上分析，大常、石溪口枢纽拆除虽然较桥溪口、桥河枢纽改造对綦江城区的防洪作用更大，但拆除后会影响枯季城市水面景观，仍需通过改造后的桥溪口、桥河枢纽蓄水抬高綦江城区的枯水位。因此，结合《綦江航运综合开发规划（2016年）》，需采取拆除大常、石溪口枢纽+改造桥溪口、桥河枢纽的组合方案。 </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考虑枯水期更好地维持城市水面需求以及航电梯级的文化价值（大常、石溪口枢纽分别建于1944年和1942年），大常、石溪口枢纽不实施拆除，可考虑采用闸门替代方案对大常、石溪口枢纽溢流坝实施改造，洪水期闸门开启泄洪，以增加枢纽泄洪能力。同时，桥溪口、桥河枢纽改造后，虽然对綦江城区洪水位下降作用较小，但考虑到两者均为条石重力坝，溢流坝坝高分别为7m和9.23m，使得綦江干流河道呈现倒比降渠化状态，造成河道沿程流速减缓、泥沙淤积、过洪断面面积减小，如果不实施改造，河道清淤疏浚后还将继续回淤，增加了綦江城区的防洪压力，因此规划将其溢流坝改造为闸门。考虑到发电、航运及景观水位维持需要，可对桥溪口枢纽、大常枢纽、桥河枢纽、石溪口枢纽多设闸门，根据上游不同来水、河道不同淤积部位及淤积量，采用不同的闸孔启闭和闸门开度组合。</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因此，本次规划推荐采用大常、石溪口、桥溪口、桥河枢纽全闸改造方案，保障綦江防洪、航运、城市景观和发电等需求。</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zh-CN" w:eastAsia="zh-CN"/>
        </w:rPr>
      </w:pPr>
      <w:r>
        <w:rPr>
          <w:rFonts w:hint="eastAsia" w:ascii="Times New Roman" w:hAnsi="Times New Roman" w:eastAsia="方正仿宋_GBK" w:cs="Times New Roman"/>
          <w:sz w:val="32"/>
          <w:szCs w:val="32"/>
          <w:lang w:val="en-US" w:eastAsia="zh-CN"/>
        </w:rPr>
        <w:t>大常、石溪口、桥溪口、桥河枢纽优化改造后，20年一遇设计洪水条件下</w:t>
      </w:r>
      <w:r>
        <w:rPr>
          <w:rFonts w:hint="eastAsia" w:ascii="Times New Roman" w:hAnsi="Times New Roman" w:eastAsia="方正仿宋_GBK" w:cs="Times New Roman"/>
          <w:sz w:val="32"/>
          <w:szCs w:val="32"/>
          <w:lang w:val="zh-CN" w:eastAsia="zh-CN"/>
        </w:rPr>
        <w:t>綦江干流河道水位降幅超过0.10m的河段达</w:t>
      </w:r>
      <w:r>
        <w:rPr>
          <w:rFonts w:hint="eastAsia" w:ascii="Times New Roman" w:hAnsi="Times New Roman" w:eastAsia="方正仿宋_GBK" w:cs="Times New Roman"/>
          <w:sz w:val="32"/>
          <w:szCs w:val="32"/>
          <w:lang w:val="en-US" w:eastAsia="zh-CN"/>
        </w:rPr>
        <w:t>31.41</w:t>
      </w:r>
      <w:r>
        <w:rPr>
          <w:rFonts w:hint="eastAsia" w:ascii="Times New Roman" w:hAnsi="Times New Roman" w:eastAsia="方正仿宋_GBK" w:cs="Times New Roman"/>
          <w:sz w:val="32"/>
          <w:szCs w:val="32"/>
          <w:lang w:val="zh-CN" w:eastAsia="zh-CN"/>
        </w:rPr>
        <w:t>km，其中</w:t>
      </w:r>
      <w:r>
        <w:rPr>
          <w:rFonts w:hint="eastAsia" w:ascii="Times New Roman" w:hAnsi="Times New Roman" w:eastAsia="方正仿宋_GBK" w:cs="Times New Roman"/>
          <w:sz w:val="32"/>
          <w:szCs w:val="32"/>
          <w:lang w:val="en-US" w:eastAsia="zh-CN"/>
        </w:rPr>
        <w:t>主城区彩虹桥的水位降幅达0.35m，</w:t>
      </w:r>
      <w:r>
        <w:rPr>
          <w:rFonts w:hint="eastAsia" w:ascii="Times New Roman" w:hAnsi="Times New Roman" w:eastAsia="方正仿宋_GBK" w:cs="Times New Roman"/>
          <w:sz w:val="32"/>
          <w:szCs w:val="32"/>
          <w:lang w:val="zh-CN" w:eastAsia="zh-CN"/>
        </w:rPr>
        <w:t>三江街道蒲河口</w:t>
      </w:r>
      <w:r>
        <w:rPr>
          <w:rFonts w:hint="eastAsia" w:ascii="Times New Roman" w:hAnsi="Times New Roman" w:eastAsia="方正仿宋_GBK" w:cs="Times New Roman"/>
          <w:sz w:val="32"/>
          <w:szCs w:val="32"/>
          <w:lang w:val="en-US" w:eastAsia="zh-CN"/>
        </w:rPr>
        <w:t>的水位降幅为0.20m，见图6.1</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10</w:t>
      </w:r>
      <w:r>
        <w:rPr>
          <w:rFonts w:hint="eastAsia" w:ascii="Times New Roman" w:hAnsi="Times New Roman" w:eastAsia="方正仿宋_GBK" w:cs="Times New Roman"/>
          <w:sz w:val="32"/>
          <w:szCs w:val="32"/>
          <w:lang w:val="zh-CN" w:eastAsia="zh-CN"/>
        </w:rPr>
        <w:t>。</w:t>
      </w:r>
    </w:p>
    <w:p>
      <w:pPr>
        <w:pStyle w:val="1355"/>
        <w:spacing w:line="240" w:lineRule="auto"/>
        <w:ind w:firstLine="0" w:firstLineChars="0"/>
        <w:jc w:val="center"/>
      </w:pPr>
      <w:r>
        <w:rPr>
          <w:lang w:val="zh-CN"/>
        </w:rPr>
        <w:drawing>
          <wp:inline distT="0" distB="0" distL="114300" distR="114300">
            <wp:extent cx="4778375" cy="2754630"/>
            <wp:effectExtent l="0" t="0" r="3175" b="7620"/>
            <wp:docPr id="1" name="图片 4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 name="图片 42"/>
                    <pic:cNvPicPr>
                      <a:picLocks noChangeAspect="true"/>
                    </pic:cNvPicPr>
                  </pic:nvPicPr>
                  <pic:blipFill>
                    <a:blip r:embed="rId171"/>
                    <a:stretch>
                      <a:fillRect/>
                    </a:stretch>
                  </pic:blipFill>
                  <pic:spPr>
                    <a:xfrm>
                      <a:off x="0" y="0"/>
                      <a:ext cx="4778375" cy="2754630"/>
                    </a:xfrm>
                    <a:prstGeom prst="rect">
                      <a:avLst/>
                    </a:prstGeom>
                    <a:noFill/>
                    <a:ln>
                      <a:noFill/>
                    </a:ln>
                  </pic:spPr>
                </pic:pic>
              </a:graphicData>
            </a:graphic>
          </wp:inline>
        </w:drawing>
      </w:r>
    </w:p>
    <w:p>
      <w:pPr>
        <w:pStyle w:val="2886"/>
        <w:rPr>
          <w:rFonts w:hint="default" w:ascii="Times New Roman" w:hAnsi="Times New Roman" w:cs="Times New Roman"/>
        </w:rPr>
      </w:pPr>
      <w:r>
        <w:rPr>
          <w:rFonts w:hint="default" w:ascii="Times New Roman" w:hAnsi="Times New Roman" w:cs="Times New Roman"/>
        </w:rPr>
        <w:t>图6.1</w:t>
      </w:r>
      <w:r>
        <w:rPr>
          <w:rFonts w:hint="default" w:ascii="Times New Roman" w:hAnsi="Times New Roman" w:cs="Times New Roman"/>
          <w:lang w:eastAsia="zh-CN"/>
        </w:rPr>
        <w:t>—</w:t>
      </w:r>
      <w:r>
        <w:rPr>
          <w:rFonts w:hint="default" w:ascii="Times New Roman" w:hAnsi="Times New Roman" w:cs="Times New Roman"/>
        </w:rPr>
        <w:t>10  20年一遇洪水下大常、石溪口、桥溪口、桥河枢纽改造前后效果对比图</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2</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河道整治</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2.1</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en-US" w:eastAsia="zh-CN"/>
        </w:rPr>
        <w:t>工程方案</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2.1.1</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en-US" w:eastAsia="zh-CN"/>
        </w:rPr>
        <w:t>扩卡</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《綦江县县城防洪规划方案报告》（2007年）规划对綦江主城区河段4处狭窄断面（古南中学、下关王、沙码头、交警队）拓宽，目前该工程已实施。因此，本次规划重点解决城区下游卡口问题。</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w:t>
      </w:r>
      <w:r>
        <w:rPr>
          <w:rFonts w:hint="eastAsia" w:ascii="Times New Roman" w:hAnsi="Times New Roman" w:eastAsia="方正仿宋_GBK" w:cs="Times New Roman"/>
          <w:spacing w:val="-6"/>
          <w:sz w:val="32"/>
          <w:szCs w:val="32"/>
          <w:lang w:val="en-US" w:eastAsia="zh-CN"/>
        </w:rPr>
        <w:t>城区下游的卡口河段主要为园林场至清溪河口4.6km，河道地形见图6.1</w:t>
      </w:r>
      <w:r>
        <w:rPr>
          <w:rFonts w:hint="eastAsia" w:ascii="Times New Roman" w:eastAsia="方正仿宋_GBK" w:cs="Times New Roman"/>
          <w:spacing w:val="-6"/>
          <w:sz w:val="32"/>
          <w:szCs w:val="32"/>
          <w:lang w:val="en-US" w:eastAsia="zh-CN"/>
        </w:rPr>
        <w:t>—</w:t>
      </w:r>
      <w:r>
        <w:rPr>
          <w:rFonts w:hint="eastAsia" w:ascii="Times New Roman" w:hAnsi="Times New Roman" w:eastAsia="方正仿宋_GBK" w:cs="Times New Roman"/>
          <w:spacing w:val="-6"/>
          <w:sz w:val="32"/>
          <w:szCs w:val="32"/>
          <w:lang w:val="en-US" w:eastAsia="zh-CN"/>
        </w:rPr>
        <w:t>11，典型断面见图6.1</w:t>
      </w:r>
      <w:r>
        <w:rPr>
          <w:rFonts w:hint="eastAsia" w:ascii="Times New Roman" w:eastAsia="方正仿宋_GBK" w:cs="Times New Roman"/>
          <w:spacing w:val="-6"/>
          <w:sz w:val="32"/>
          <w:szCs w:val="32"/>
          <w:lang w:val="en-US" w:eastAsia="zh-CN"/>
        </w:rPr>
        <w:t>—</w:t>
      </w:r>
      <w:r>
        <w:rPr>
          <w:rFonts w:hint="eastAsia" w:ascii="Times New Roman" w:hAnsi="Times New Roman" w:eastAsia="方正仿宋_GBK" w:cs="Times New Roman"/>
          <w:spacing w:val="-6"/>
          <w:sz w:val="32"/>
          <w:szCs w:val="32"/>
          <w:lang w:val="en-US" w:eastAsia="zh-CN"/>
        </w:rPr>
        <w:t>12，现场情况见图6.1</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13。卡口河段右岸沿线为渝黔铁路，左岸沿线为G210国道和居民点。</w:t>
      </w:r>
    </w:p>
    <w:p>
      <w:pPr>
        <w:pStyle w:val="1355"/>
        <w:spacing w:line="240" w:lineRule="auto"/>
        <w:ind w:firstLine="0" w:firstLineChars="0"/>
        <w:jc w:val="center"/>
      </w:pPr>
      <w:r>
        <w:drawing>
          <wp:inline distT="0" distB="0" distL="114300" distR="114300">
            <wp:extent cx="5600065" cy="3448050"/>
            <wp:effectExtent l="0" t="0" r="635" b="0"/>
            <wp:docPr id="132" name="图片 33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2" name="图片 336"/>
                    <pic:cNvPicPr>
                      <a:picLocks noChangeAspect="true"/>
                    </pic:cNvPicPr>
                  </pic:nvPicPr>
                  <pic:blipFill>
                    <a:blip r:embed="rId172"/>
                    <a:srcRect l="4221" t="17189"/>
                    <a:stretch>
                      <a:fillRect/>
                    </a:stretch>
                  </pic:blipFill>
                  <pic:spPr>
                    <a:xfrm>
                      <a:off x="0" y="0"/>
                      <a:ext cx="5600065" cy="3448050"/>
                    </a:xfrm>
                    <a:prstGeom prst="rect">
                      <a:avLst/>
                    </a:prstGeom>
                    <a:noFill/>
                    <a:ln>
                      <a:noFill/>
                    </a:ln>
                  </pic:spPr>
                </pic:pic>
              </a:graphicData>
            </a:graphic>
          </wp:inline>
        </w:drawing>
      </w:r>
    </w:p>
    <w:p>
      <w:pPr>
        <w:pStyle w:val="2886"/>
        <w:ind w:firstLine="560"/>
        <w:rPr>
          <w:rFonts w:hint="default" w:ascii="Times New Roman" w:hAnsi="Times New Roman" w:cs="Times New Roman"/>
        </w:rPr>
      </w:pPr>
      <w:r>
        <w:rPr>
          <w:rFonts w:hint="default" w:ascii="Times New Roman" w:hAnsi="Times New Roman" w:cs="Times New Roman"/>
        </w:rPr>
        <w:t>图6.1</w:t>
      </w:r>
      <w:r>
        <w:rPr>
          <w:rFonts w:hint="default" w:ascii="Times New Roman" w:hAnsi="Times New Roman" w:cs="Times New Roman"/>
          <w:lang w:eastAsia="zh-CN"/>
        </w:rPr>
        <w:t>—</w:t>
      </w:r>
      <w:r>
        <w:rPr>
          <w:rFonts w:hint="default" w:ascii="Times New Roman" w:hAnsi="Times New Roman" w:cs="Times New Roman"/>
        </w:rPr>
        <w:t>11    綦江城区下游卡口河段河道地形图</w:t>
      </w:r>
    </w:p>
    <w:p>
      <w:pPr>
        <w:pStyle w:val="2886"/>
        <w:ind w:firstLine="560"/>
        <w:rPr>
          <w:rFonts w:hint="default" w:ascii="Times New Roman" w:hAnsi="Times New Roman" w:cs="Times New Roman"/>
        </w:rPr>
      </w:pPr>
    </w:p>
    <w:p>
      <w:pPr>
        <w:pStyle w:val="2886"/>
        <w:ind w:firstLine="560"/>
        <w:rPr>
          <w:rFonts w:hint="default" w:ascii="Times New Roman" w:hAnsi="Times New Roman" w:cs="Times New Roman"/>
        </w:rPr>
      </w:pPr>
    </w:p>
    <w:p>
      <w:pPr>
        <w:spacing w:line="240" w:lineRule="auto"/>
        <w:ind w:firstLine="0" w:firstLineChars="0"/>
        <w:jc w:val="center"/>
      </w:pPr>
      <w:r>
        <w:drawing>
          <wp:inline distT="0" distB="0" distL="114300" distR="114300">
            <wp:extent cx="4143375" cy="2617470"/>
            <wp:effectExtent l="0" t="0" r="9525" b="11430"/>
            <wp:docPr id="133" name="图片 25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3" name="图片 252"/>
                    <pic:cNvPicPr>
                      <a:picLocks noChangeAspect="true"/>
                    </pic:cNvPicPr>
                  </pic:nvPicPr>
                  <pic:blipFill>
                    <a:blip r:embed="rId173"/>
                    <a:stretch>
                      <a:fillRect/>
                    </a:stretch>
                  </pic:blipFill>
                  <pic:spPr>
                    <a:xfrm>
                      <a:off x="0" y="0"/>
                      <a:ext cx="4143375" cy="2617470"/>
                    </a:xfrm>
                    <a:prstGeom prst="rect">
                      <a:avLst/>
                    </a:prstGeom>
                    <a:noFill/>
                    <a:ln>
                      <a:noFill/>
                    </a:ln>
                  </pic:spPr>
                </pic:pic>
              </a:graphicData>
            </a:graphic>
          </wp:inline>
        </w:drawing>
      </w:r>
    </w:p>
    <w:p>
      <w:pPr>
        <w:spacing w:line="240" w:lineRule="auto"/>
        <w:ind w:firstLine="0" w:firstLineChars="0"/>
        <w:jc w:val="center"/>
        <w:rPr>
          <w:sz w:val="18"/>
          <w:szCs w:val="18"/>
        </w:rPr>
      </w:pPr>
      <w:r>
        <w:rPr>
          <w:rFonts w:hint="eastAsia"/>
          <w:sz w:val="18"/>
          <w:szCs w:val="18"/>
        </w:rPr>
        <w:t>(1) 大岩门（桩号55477m）</w:t>
      </w:r>
    </w:p>
    <w:p>
      <w:pPr>
        <w:spacing w:line="240" w:lineRule="auto"/>
        <w:ind w:firstLine="0" w:firstLineChars="0"/>
        <w:jc w:val="center"/>
        <w:rPr>
          <w:rFonts w:cs="宋体"/>
          <w:szCs w:val="20"/>
        </w:rPr>
      </w:pPr>
      <w:r>
        <w:drawing>
          <wp:inline distT="0" distB="0" distL="114300" distR="114300">
            <wp:extent cx="4143375" cy="2469515"/>
            <wp:effectExtent l="0" t="0" r="9525" b="6985"/>
            <wp:docPr id="134" name="图片 25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4" name="图片 253"/>
                    <pic:cNvPicPr>
                      <a:picLocks noChangeAspect="true"/>
                    </pic:cNvPicPr>
                  </pic:nvPicPr>
                  <pic:blipFill>
                    <a:blip r:embed="rId174"/>
                    <a:stretch>
                      <a:fillRect/>
                    </a:stretch>
                  </pic:blipFill>
                  <pic:spPr>
                    <a:xfrm>
                      <a:off x="0" y="0"/>
                      <a:ext cx="4143375" cy="2469515"/>
                    </a:xfrm>
                    <a:prstGeom prst="rect">
                      <a:avLst/>
                    </a:prstGeom>
                    <a:noFill/>
                    <a:ln>
                      <a:noFill/>
                    </a:ln>
                  </pic:spPr>
                </pic:pic>
              </a:graphicData>
            </a:graphic>
          </wp:inline>
        </w:drawing>
      </w:r>
    </w:p>
    <w:p>
      <w:pPr>
        <w:numPr>
          <w:ilvl w:val="0"/>
          <w:numId w:val="23"/>
        </w:numPr>
        <w:spacing w:line="240" w:lineRule="exact"/>
        <w:ind w:firstLine="0" w:firstLineChars="0"/>
        <w:jc w:val="center"/>
        <w:rPr>
          <w:sz w:val="18"/>
          <w:szCs w:val="18"/>
        </w:rPr>
      </w:pPr>
      <w:r>
        <w:rPr>
          <w:rFonts w:hint="eastAsia"/>
          <w:sz w:val="18"/>
          <w:szCs w:val="18"/>
        </w:rPr>
        <w:t>桩号55970m</w:t>
      </w:r>
    </w:p>
    <w:p>
      <w:pPr>
        <w:spacing w:line="240" w:lineRule="auto"/>
        <w:ind w:firstLine="0" w:firstLineChars="0"/>
        <w:jc w:val="center"/>
        <w:rPr>
          <w:rFonts w:cs="宋体"/>
          <w:szCs w:val="20"/>
        </w:rPr>
      </w:pPr>
      <w:r>
        <w:drawing>
          <wp:inline distT="0" distB="0" distL="114300" distR="114300">
            <wp:extent cx="4143375" cy="2407285"/>
            <wp:effectExtent l="0" t="0" r="9525" b="12065"/>
            <wp:docPr id="135" name="图片 25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5" name="图片 254"/>
                    <pic:cNvPicPr>
                      <a:picLocks noChangeAspect="true"/>
                    </pic:cNvPicPr>
                  </pic:nvPicPr>
                  <pic:blipFill>
                    <a:blip r:embed="rId175"/>
                    <a:stretch>
                      <a:fillRect/>
                    </a:stretch>
                  </pic:blipFill>
                  <pic:spPr>
                    <a:xfrm>
                      <a:off x="0" y="0"/>
                      <a:ext cx="4143375" cy="2407285"/>
                    </a:xfrm>
                    <a:prstGeom prst="rect">
                      <a:avLst/>
                    </a:prstGeom>
                    <a:noFill/>
                    <a:ln>
                      <a:noFill/>
                    </a:ln>
                  </pic:spPr>
                </pic:pic>
              </a:graphicData>
            </a:graphic>
          </wp:inline>
        </w:drawing>
      </w:r>
    </w:p>
    <w:p>
      <w:pPr>
        <w:spacing w:line="240" w:lineRule="exact"/>
        <w:ind w:firstLine="0" w:firstLineChars="0"/>
        <w:jc w:val="center"/>
        <w:rPr>
          <w:rFonts w:cs="宋体"/>
          <w:szCs w:val="20"/>
        </w:rPr>
      </w:pPr>
      <w:r>
        <w:rPr>
          <w:rFonts w:hint="eastAsia"/>
          <w:sz w:val="18"/>
          <w:szCs w:val="18"/>
        </w:rPr>
        <w:t>(3) 桩号58388m</w:t>
      </w:r>
    </w:p>
    <w:p>
      <w:pPr>
        <w:spacing w:line="240" w:lineRule="auto"/>
        <w:ind w:firstLine="0" w:firstLineChars="0"/>
        <w:jc w:val="center"/>
      </w:pPr>
      <w:r>
        <w:drawing>
          <wp:inline distT="0" distB="0" distL="114300" distR="114300">
            <wp:extent cx="4143375" cy="2438400"/>
            <wp:effectExtent l="0" t="0" r="9525" b="0"/>
            <wp:docPr id="136" name="图片 25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6" name="图片 255"/>
                    <pic:cNvPicPr>
                      <a:picLocks noChangeAspect="true"/>
                    </pic:cNvPicPr>
                  </pic:nvPicPr>
                  <pic:blipFill>
                    <a:blip r:embed="rId176"/>
                    <a:stretch>
                      <a:fillRect/>
                    </a:stretch>
                  </pic:blipFill>
                  <pic:spPr>
                    <a:xfrm>
                      <a:off x="0" y="0"/>
                      <a:ext cx="4143375" cy="2438400"/>
                    </a:xfrm>
                    <a:prstGeom prst="rect">
                      <a:avLst/>
                    </a:prstGeom>
                    <a:noFill/>
                    <a:ln>
                      <a:noFill/>
                    </a:ln>
                  </pic:spPr>
                </pic:pic>
              </a:graphicData>
            </a:graphic>
          </wp:inline>
        </w:drawing>
      </w:r>
    </w:p>
    <w:p>
      <w:pPr>
        <w:spacing w:line="240" w:lineRule="exact"/>
        <w:ind w:firstLine="0" w:firstLineChars="0"/>
        <w:jc w:val="center"/>
      </w:pPr>
      <w:r>
        <w:rPr>
          <w:rFonts w:hint="eastAsia"/>
          <w:sz w:val="18"/>
          <w:szCs w:val="18"/>
        </w:rPr>
        <w:t>(4) 桩号5901m</w:t>
      </w:r>
    </w:p>
    <w:p>
      <w:pPr>
        <w:pStyle w:val="2886"/>
        <w:rPr>
          <w:rFonts w:hint="default" w:ascii="Times New Roman" w:hAnsi="Times New Roman" w:cs="Times New Roman"/>
        </w:rPr>
      </w:pPr>
      <w:r>
        <w:rPr>
          <w:rFonts w:hint="default" w:ascii="Times New Roman" w:hAnsi="Times New Roman" w:cs="Times New Roman"/>
        </w:rPr>
        <w:t>图6.1</w:t>
      </w:r>
      <w:r>
        <w:rPr>
          <w:rFonts w:hint="default" w:ascii="Times New Roman" w:hAnsi="Times New Roman" w:cs="Times New Roman"/>
          <w:lang w:eastAsia="zh-CN"/>
        </w:rPr>
        <w:t>—</w:t>
      </w:r>
      <w:r>
        <w:rPr>
          <w:rFonts w:hint="default" w:ascii="Times New Roman" w:hAnsi="Times New Roman" w:cs="Times New Roman"/>
        </w:rPr>
        <w:t>12    綦江城区下游卡口河段典型断面</w:t>
      </w:r>
    </w:p>
    <w:p>
      <w:pPr>
        <w:pStyle w:val="1355"/>
        <w:spacing w:line="240" w:lineRule="auto"/>
        <w:ind w:firstLine="0" w:firstLineChars="0"/>
        <w:jc w:val="center"/>
      </w:pPr>
      <w:r>
        <mc:AlternateContent>
          <mc:Choice Requires="wps">
            <w:drawing>
              <wp:anchor distT="0" distB="0" distL="114300" distR="114300" simplePos="0" relativeHeight="251680768" behindDoc="0" locked="0" layoutInCell="1" allowOverlap="1">
                <wp:simplePos x="0" y="0"/>
                <wp:positionH relativeFrom="column">
                  <wp:posOffset>2488565</wp:posOffset>
                </wp:positionH>
                <wp:positionV relativeFrom="paragraph">
                  <wp:posOffset>167005</wp:posOffset>
                </wp:positionV>
                <wp:extent cx="667385" cy="330835"/>
                <wp:effectExtent l="5080" t="5080" r="680085" b="45085"/>
                <wp:wrapNone/>
                <wp:docPr id="22" name="自选图形 6735"/>
                <wp:cNvGraphicFramePr/>
                <a:graphic xmlns:a="http://schemas.openxmlformats.org/drawingml/2006/main">
                  <a:graphicData uri="http://schemas.microsoft.com/office/word/2010/wordprocessingShape">
                    <wps:wsp>
                      <wps:cNvSpPr/>
                      <wps:spPr>
                        <a:xfrm>
                          <a:off x="0" y="0"/>
                          <a:ext cx="667385" cy="330835"/>
                        </a:xfrm>
                        <a:prstGeom prst="wedgeRectCallout">
                          <a:avLst>
                            <a:gd name="adj1" fmla="val 144907"/>
                            <a:gd name="adj2" fmla="val 59282"/>
                          </a:avLst>
                        </a:prstGeom>
                        <a:solidFill>
                          <a:srgbClr val="FFFFFF"/>
                        </a:solidFill>
                        <a:ln w="9525" cap="flat" cmpd="sng">
                          <a:solidFill>
                            <a:srgbClr val="0000FF"/>
                          </a:solidFill>
                          <a:prstDash val="solid"/>
                          <a:miter/>
                          <a:headEnd type="none" w="med" len="med"/>
                          <a:tailEnd type="none" w="med" len="med"/>
                        </a:ln>
                      </wps:spPr>
                      <wps:txbx>
                        <w:txbxContent>
                          <w:p>
                            <w:pPr>
                              <w:spacing w:line="240" w:lineRule="auto"/>
                              <w:ind w:firstLine="0" w:firstLineChars="0"/>
                              <w:jc w:val="center"/>
                              <w:rPr>
                                <w:sz w:val="18"/>
                                <w:szCs w:val="22"/>
                              </w:rPr>
                            </w:pPr>
                            <w:r>
                              <w:rPr>
                                <w:rFonts w:hint="eastAsia"/>
                                <w:sz w:val="18"/>
                                <w:szCs w:val="22"/>
                              </w:rPr>
                              <w:t>左岸国道</w:t>
                            </w:r>
                          </w:p>
                        </w:txbxContent>
                      </wps:txbx>
                      <wps:bodyPr wrap="square" upright="true"/>
                    </wps:wsp>
                  </a:graphicData>
                </a:graphic>
              </wp:anchor>
            </w:drawing>
          </mc:Choice>
          <mc:Fallback>
            <w:pict>
              <v:shape id="自选图形 6735" o:spid="_x0000_s1026" o:spt="61" type="#_x0000_t61" style="position:absolute;left:0pt;margin-left:195.95pt;margin-top:13.15pt;height:26.05pt;width:52.55pt;z-index:251680768;mso-width-relative:page;mso-height-relative:page;" fillcolor="#FFFFFF" filled="t" stroked="t" coordsize="21600,21600" o:gfxdata="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WAAAAZHJzL1BLAQIUABQAAAAIAIdO4kC2D2jm2QAAAAkBAAAPAAAAAAAAAAEAIAAA&#10;ADgAAABkcnMvZG93bnJldi54bWxQSwECFAAUAAAACACHTuJA04zDiS4CAABTBAAADgAAAAAAAAAB&#10;ACAAAAA+AQAAZHJzL2Uyb0RvYy54bWxQSwUGAAAAAAYABgBZAQAA3gUAAAAA&#10;" adj="42100,23605">
                <v:fill on="t" focussize="0,0"/>
                <v:stroke color="#0000FF" joinstyle="miter"/>
                <v:imagedata o:title=""/>
                <o:lock v:ext="edit" aspectratio="f"/>
                <v:textbox>
                  <w:txbxContent>
                    <w:p>
                      <w:pPr>
                        <w:spacing w:line="240" w:lineRule="auto"/>
                        <w:ind w:firstLine="0" w:firstLineChars="0"/>
                        <w:jc w:val="center"/>
                        <w:rPr>
                          <w:sz w:val="18"/>
                          <w:szCs w:val="22"/>
                        </w:rPr>
                      </w:pPr>
                      <w:r>
                        <w:rPr>
                          <w:rFonts w:hint="eastAsia"/>
                          <w:sz w:val="18"/>
                          <w:szCs w:val="22"/>
                        </w:rPr>
                        <w:t>左岸国道</w:t>
                      </w:r>
                    </w:p>
                  </w:txbxContent>
                </v:textbox>
              </v:shape>
            </w:pict>
          </mc:Fallback>
        </mc:AlternateContent>
      </w:r>
      <w:r>
        <mc:AlternateContent>
          <mc:Choice Requires="wps">
            <w:drawing>
              <wp:anchor distT="0" distB="0" distL="114300" distR="114300" simplePos="0" relativeHeight="251683840" behindDoc="0" locked="0" layoutInCell="1" allowOverlap="1">
                <wp:simplePos x="0" y="0"/>
                <wp:positionH relativeFrom="column">
                  <wp:posOffset>2647950</wp:posOffset>
                </wp:positionH>
                <wp:positionV relativeFrom="paragraph">
                  <wp:posOffset>1413510</wp:posOffset>
                </wp:positionV>
                <wp:extent cx="1620520" cy="24765"/>
                <wp:effectExtent l="0" t="55245" r="17780" b="72390"/>
                <wp:wrapNone/>
                <wp:docPr id="25" name="自选图形 6739"/>
                <wp:cNvGraphicFramePr/>
                <a:graphic xmlns:a="http://schemas.openxmlformats.org/drawingml/2006/main">
                  <a:graphicData uri="http://schemas.microsoft.com/office/word/2010/wordprocessingShape">
                    <wps:wsp>
                      <wps:cNvCnPr/>
                      <wps:spPr>
                        <a:xfrm flipH="true" flipV="true">
                          <a:off x="0" y="0"/>
                          <a:ext cx="1620520" cy="24765"/>
                        </a:xfrm>
                        <a:prstGeom prst="straightConnector1">
                          <a:avLst/>
                        </a:prstGeom>
                        <a:ln w="38100" cap="flat" cmpd="sng">
                          <a:solidFill>
                            <a:srgbClr val="FF0000"/>
                          </a:solidFill>
                          <a:prstDash val="solid"/>
                          <a:headEnd type="triangle" w="med" len="med"/>
                          <a:tailEnd type="triangle" w="med" len="med"/>
                        </a:ln>
                      </wps:spPr>
                      <wps:bodyPr/>
                    </wps:wsp>
                  </a:graphicData>
                </a:graphic>
              </wp:anchor>
            </w:drawing>
          </mc:Choice>
          <mc:Fallback>
            <w:pict>
              <v:shape id="自选图形 6739" o:spid="_x0000_s1026" o:spt="32" type="#_x0000_t32" style="position:absolute;left:0pt;flip:x y;margin-left:208.5pt;margin-top:111.3pt;height:1.95pt;width:127.6pt;z-index:251683840;mso-width-relative:page;mso-height-relative:page;" filled="f" stroked="t" coordsize="21600,21600" o:gfxdata="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BYAAABkcnMvUEsBAhQAFAAAAAgAh07iQIGBTBLVAAAACwEAAA8AAAAAAAAAAQAgAAAAOAAA&#10;AGRycy9kb3ducmV2LnhtbFBLAQIUABQAAAAIAIdO4kA2Ma8s9QEAAMADAAAOAAAAAAAAAAEAIAAA&#10;ADoBAABkcnMvZTJvRG9jLnhtbFBLBQYAAAAABgAGAFkBAAChBQAAAAA=&#10;">
                <v:fill on="f" focussize="0,0"/>
                <v:stroke weight="3pt" color="#FF0000" joinstyle="round" startarrow="block" endarrow="block"/>
                <v:imagedata o:title=""/>
                <o:lock v:ext="edit" aspectratio="f"/>
              </v:shape>
            </w:pict>
          </mc:Fallback>
        </mc:AlternateContent>
      </w:r>
      <w:r>
        <mc:AlternateContent>
          <mc:Choice Requires="wps">
            <w:drawing>
              <wp:anchor distT="0" distB="0" distL="114300" distR="114300" simplePos="0" relativeHeight="251682816" behindDoc="0" locked="0" layoutInCell="1" allowOverlap="1">
                <wp:simplePos x="0" y="0"/>
                <wp:positionH relativeFrom="column">
                  <wp:posOffset>4070350</wp:posOffset>
                </wp:positionH>
                <wp:positionV relativeFrom="paragraph">
                  <wp:posOffset>526415</wp:posOffset>
                </wp:positionV>
                <wp:extent cx="459105" cy="1783080"/>
                <wp:effectExtent l="18415" t="4445" r="36830" b="22225"/>
                <wp:wrapNone/>
                <wp:docPr id="24" name="自选图形 6738"/>
                <wp:cNvGraphicFramePr/>
                <a:graphic xmlns:a="http://schemas.openxmlformats.org/drawingml/2006/main">
                  <a:graphicData uri="http://schemas.microsoft.com/office/word/2010/wordprocessingShape">
                    <wps:wsp>
                      <wps:cNvCnPr/>
                      <wps:spPr>
                        <a:xfrm flipH="true">
                          <a:off x="0" y="0"/>
                          <a:ext cx="459105" cy="1783080"/>
                        </a:xfrm>
                        <a:prstGeom prst="straightConnector1">
                          <a:avLst/>
                        </a:prstGeom>
                        <a:ln w="38100" cap="flat" cmpd="sng">
                          <a:solidFill>
                            <a:srgbClr val="FF0000"/>
                          </a:solidFill>
                          <a:prstDash val="solid"/>
                          <a:headEnd type="none" w="med" len="med"/>
                          <a:tailEnd type="none" w="med" len="med"/>
                        </a:ln>
                      </wps:spPr>
                      <wps:bodyPr/>
                    </wps:wsp>
                  </a:graphicData>
                </a:graphic>
              </wp:anchor>
            </w:drawing>
          </mc:Choice>
          <mc:Fallback>
            <w:pict>
              <v:shape id="自选图形 6738" o:spid="_x0000_s1026" o:spt="32" type="#_x0000_t32" style="position:absolute;left:0pt;flip:x;margin-left:320.5pt;margin-top:41.45pt;height:140.4pt;width:36.15pt;z-index:251682816;mso-width-relative:page;mso-height-relative:page;" filled="f" stroked="t" coordsize="21600,21600" o:gfxdata="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BYAAABkcnMvUEsBAhQAFAAAAAgAh07iQB4XFJnaAAAACgEAAA8AAAAAAAAAAQAgAAAA&#10;OAAAAGRycy9kb3ducmV2LnhtbFBLAQIUABQAAAAIAIdO4kBqDQY08wEAAKwDAAAOAAAAAAAAAAEA&#10;IAAAAD8BAABkcnMvZTJvRG9jLnhtbFBLBQYAAAAABgAGAFkBAACkBQAAAAA=&#10;">
                <v:fill on="f" focussize="0,0"/>
                <v:stroke weight="3pt" color="#FF0000" joinstyle="round"/>
                <v:imagedata o:title=""/>
                <o:lock v:ext="edit" aspectratio="f"/>
              </v:shape>
            </w:pict>
          </mc:Fallback>
        </mc:AlternateContent>
      </w:r>
      <w:r>
        <mc:AlternateContent>
          <mc:Choice Requires="wps">
            <w:drawing>
              <wp:anchor distT="0" distB="0" distL="114300" distR="114300" simplePos="0" relativeHeight="251681792" behindDoc="0" locked="0" layoutInCell="1" allowOverlap="1">
                <wp:simplePos x="0" y="0"/>
                <wp:positionH relativeFrom="column">
                  <wp:posOffset>1918335</wp:posOffset>
                </wp:positionH>
                <wp:positionV relativeFrom="paragraph">
                  <wp:posOffset>582930</wp:posOffset>
                </wp:positionV>
                <wp:extent cx="1357630" cy="1632585"/>
                <wp:effectExtent l="14605" t="12065" r="18415" b="12700"/>
                <wp:wrapNone/>
                <wp:docPr id="23" name="自选图形 6737"/>
                <wp:cNvGraphicFramePr/>
                <a:graphic xmlns:a="http://schemas.openxmlformats.org/drawingml/2006/main">
                  <a:graphicData uri="http://schemas.microsoft.com/office/word/2010/wordprocessingShape">
                    <wps:wsp>
                      <wps:cNvCnPr/>
                      <wps:spPr>
                        <a:xfrm flipH="true">
                          <a:off x="0" y="0"/>
                          <a:ext cx="1357630" cy="1632585"/>
                        </a:xfrm>
                        <a:prstGeom prst="straightConnector1">
                          <a:avLst/>
                        </a:prstGeom>
                        <a:ln w="38100" cap="flat" cmpd="sng">
                          <a:solidFill>
                            <a:srgbClr val="FF0000"/>
                          </a:solidFill>
                          <a:prstDash val="solid"/>
                          <a:headEnd type="none" w="med" len="med"/>
                          <a:tailEnd type="none" w="med" len="med"/>
                        </a:ln>
                      </wps:spPr>
                      <wps:bodyPr/>
                    </wps:wsp>
                  </a:graphicData>
                </a:graphic>
              </wp:anchor>
            </w:drawing>
          </mc:Choice>
          <mc:Fallback>
            <w:pict>
              <v:shape id="自选图形 6737" o:spid="_x0000_s1026" o:spt="32" type="#_x0000_t32" style="position:absolute;left:0pt;flip:x;margin-left:151.05pt;margin-top:45.9pt;height:128.55pt;width:106.9pt;z-index:251681792;mso-width-relative:page;mso-height-relative:page;" filled="f" stroked="t" coordsize="21600,21600" o:gfxdata="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FgAAAGRycy9QSwECFAAUAAAACACHTuJANWQLTNkAAAAKAQAADwAAAAAAAAABACAAAAA4AAAA&#10;ZHJzL2Rvd25yZXYueG1sUEsBAhQAFAAAAAgAh07iQC9AmADwAQAArQMAAA4AAAAAAAAAAQAgAAAA&#10;PgEAAGRycy9lMm9Eb2MueG1sUEsFBgAAAAAGAAYAWQEAAKAFAAAAAA==&#10;">
                <v:fill on="f" focussize="0,0"/>
                <v:stroke weight="3pt" color="#FF0000" joinstyle="round"/>
                <v:imagedata o:title=""/>
                <o:lock v:ext="edit" aspectratio="f"/>
              </v:shape>
            </w:pict>
          </mc:Fallback>
        </mc:AlternateContent>
      </w:r>
      <w:r>
        <mc:AlternateContent>
          <mc:Choice Requires="wps">
            <w:drawing>
              <wp:anchor distT="0" distB="0" distL="114300" distR="114300" simplePos="0" relativeHeight="251674624" behindDoc="0" locked="0" layoutInCell="1" allowOverlap="1">
                <wp:simplePos x="0" y="0"/>
                <wp:positionH relativeFrom="column">
                  <wp:posOffset>3225165</wp:posOffset>
                </wp:positionH>
                <wp:positionV relativeFrom="paragraph">
                  <wp:posOffset>1110615</wp:posOffset>
                </wp:positionV>
                <wp:extent cx="760730" cy="335280"/>
                <wp:effectExtent l="0" t="0" r="0" b="0"/>
                <wp:wrapNone/>
                <wp:docPr id="16" name="自选图形 6740"/>
                <wp:cNvGraphicFramePr/>
                <a:graphic xmlns:a="http://schemas.openxmlformats.org/drawingml/2006/main">
                  <a:graphicData uri="http://schemas.microsoft.com/office/word/2010/wordprocessingShape">
                    <wps:wsp>
                      <wps:cNvSpPr/>
                      <wps:spPr>
                        <a:xfrm>
                          <a:off x="0" y="0"/>
                          <a:ext cx="760730" cy="335280"/>
                        </a:xfrm>
                        <a:prstGeom prst="wedgeRectCallout">
                          <a:avLst>
                            <a:gd name="adj1" fmla="val 40148"/>
                            <a:gd name="adj2" fmla="val -190"/>
                          </a:avLst>
                        </a:prstGeom>
                        <a:noFill/>
                        <a:ln>
                          <a:noFill/>
                        </a:ln>
                      </wps:spPr>
                      <wps:txbx>
                        <w:txbxContent>
                          <w:p>
                            <w:pPr>
                              <w:spacing w:line="240" w:lineRule="auto"/>
                              <w:ind w:firstLine="0" w:firstLineChars="0"/>
                              <w:jc w:val="center"/>
                              <w:rPr>
                                <w:b/>
                                <w:bCs/>
                                <w:color w:val="FF0000"/>
                                <w:sz w:val="22"/>
                                <w:szCs w:val="22"/>
                              </w:rPr>
                            </w:pPr>
                            <w:r>
                              <w:rPr>
                                <w:rFonts w:hint="eastAsia"/>
                                <w:b/>
                                <w:bCs/>
                                <w:color w:val="FF0000"/>
                                <w:sz w:val="22"/>
                                <w:szCs w:val="22"/>
                              </w:rPr>
                              <w:t>淤积区域</w:t>
                            </w:r>
                          </w:p>
                        </w:txbxContent>
                      </wps:txbx>
                      <wps:bodyPr wrap="square" upright="true"/>
                    </wps:wsp>
                  </a:graphicData>
                </a:graphic>
              </wp:anchor>
            </w:drawing>
          </mc:Choice>
          <mc:Fallback>
            <w:pict>
              <v:shape id="自选图形 6740" o:spid="_x0000_s1026" o:spt="61" type="#_x0000_t61" style="position:absolute;left:0pt;margin-left:253.95pt;margin-top:87.45pt;height:26.4pt;width:59.9pt;z-index:251674624;mso-width-relative:page;mso-height-relative:page;" filled="f" stroked="f" coordsize="21600,21600" o:gfxdata="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BYAAABkcnMvUEsBAhQAFAAAAAgAh07iQP/jb0LZAAAACwEA&#10;AA8AAAAAAAAAAQAgAAAAOAAAAGRycy9kb3ducmV2LnhtbFBLAQIUABQAAAAIAIdO4kAlwPDVygEA&#10;AGkDAAAOAAAAAAAAAAEAIAAAAD4BAABkcnMvZTJvRG9jLnhtbFBLBQYAAAAABgAGAFkBAAB6BQAA&#10;AAA=&#10;" adj="19472,10759">
                <v:fill on="f" focussize="0,0"/>
                <v:stroke on="f"/>
                <v:imagedata o:title=""/>
                <o:lock v:ext="edit" aspectratio="f"/>
                <v:textbox>
                  <w:txbxContent>
                    <w:p>
                      <w:pPr>
                        <w:spacing w:line="240" w:lineRule="auto"/>
                        <w:ind w:firstLine="0" w:firstLineChars="0"/>
                        <w:jc w:val="center"/>
                        <w:rPr>
                          <w:b/>
                          <w:bCs/>
                          <w:color w:val="FF0000"/>
                          <w:sz w:val="22"/>
                          <w:szCs w:val="22"/>
                        </w:rPr>
                      </w:pPr>
                      <w:r>
                        <w:rPr>
                          <w:rFonts w:hint="eastAsia"/>
                          <w:b/>
                          <w:bCs/>
                          <w:color w:val="FF0000"/>
                          <w:sz w:val="22"/>
                          <w:szCs w:val="22"/>
                        </w:rPr>
                        <w:t>淤积区域</w:t>
                      </w:r>
                    </w:p>
                  </w:txbxContent>
                </v:textbox>
              </v:shape>
            </w:pict>
          </mc:Fallback>
        </mc:AlternateContent>
      </w:r>
      <w:r>
        <w:drawing>
          <wp:inline distT="0" distB="0" distL="114300" distR="114300">
            <wp:extent cx="3871595" cy="2195195"/>
            <wp:effectExtent l="0" t="0" r="14605" b="14605"/>
            <wp:docPr id="137" name="图片 138" descr="微信图片_2021020221154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7" name="图片 138" descr="微信图片_20210202211541"/>
                    <pic:cNvPicPr>
                      <a:picLocks noChangeAspect="true"/>
                    </pic:cNvPicPr>
                  </pic:nvPicPr>
                  <pic:blipFill>
                    <a:blip r:embed="rId177"/>
                    <a:srcRect t="4729" b="19110"/>
                    <a:stretch>
                      <a:fillRect/>
                    </a:stretch>
                  </pic:blipFill>
                  <pic:spPr>
                    <a:xfrm>
                      <a:off x="0" y="0"/>
                      <a:ext cx="3871595" cy="2195195"/>
                    </a:xfrm>
                    <a:prstGeom prst="rect">
                      <a:avLst/>
                    </a:prstGeom>
                    <a:noFill/>
                    <a:ln>
                      <a:noFill/>
                    </a:ln>
                  </pic:spPr>
                </pic:pic>
              </a:graphicData>
            </a:graphic>
          </wp:inline>
        </w:drawing>
      </w:r>
    </w:p>
    <w:p>
      <w:pPr>
        <w:pStyle w:val="1355"/>
        <w:spacing w:line="240" w:lineRule="exact"/>
        <w:ind w:firstLine="0" w:firstLineChars="0"/>
        <w:jc w:val="center"/>
        <w:rPr>
          <w:rFonts w:hint="eastAsia"/>
          <w:sz w:val="21"/>
          <w:szCs w:val="16"/>
        </w:rPr>
      </w:pPr>
      <w:r>
        <w:rPr>
          <w:rFonts w:hint="eastAsia"/>
          <w:sz w:val="21"/>
          <w:szCs w:val="16"/>
        </w:rPr>
        <w:t>（</w:t>
      </w:r>
      <w:r>
        <w:rPr>
          <w:sz w:val="21"/>
          <w:szCs w:val="16"/>
        </w:rPr>
        <w:t xml:space="preserve">a） </w:t>
      </w:r>
      <w:r>
        <w:rPr>
          <w:rFonts w:hint="eastAsia"/>
          <w:sz w:val="21"/>
          <w:szCs w:val="16"/>
        </w:rPr>
        <w:t>左岸拓宽区域</w:t>
      </w:r>
    </w:p>
    <w:p>
      <w:pPr>
        <w:pStyle w:val="1355"/>
        <w:spacing w:line="240" w:lineRule="auto"/>
        <w:ind w:firstLine="0" w:firstLineChars="0"/>
        <w:jc w:val="center"/>
      </w:pPr>
      <w:r>
        <mc:AlternateContent>
          <mc:Choice Requires="wps">
            <w:drawing>
              <wp:anchor distT="0" distB="0" distL="114300" distR="114300" simplePos="0" relativeHeight="251675648" behindDoc="0" locked="0" layoutInCell="1" allowOverlap="1">
                <wp:simplePos x="0" y="0"/>
                <wp:positionH relativeFrom="column">
                  <wp:posOffset>3524250</wp:posOffset>
                </wp:positionH>
                <wp:positionV relativeFrom="paragraph">
                  <wp:posOffset>243205</wp:posOffset>
                </wp:positionV>
                <wp:extent cx="678180" cy="361315"/>
                <wp:effectExtent l="128905" t="4445" r="12065" b="415290"/>
                <wp:wrapNone/>
                <wp:docPr id="17" name="自选图形 6736"/>
                <wp:cNvGraphicFramePr/>
                <a:graphic xmlns:a="http://schemas.openxmlformats.org/drawingml/2006/main">
                  <a:graphicData uri="http://schemas.microsoft.com/office/word/2010/wordprocessingShape">
                    <wps:wsp>
                      <wps:cNvSpPr/>
                      <wps:spPr>
                        <a:xfrm>
                          <a:off x="0" y="0"/>
                          <a:ext cx="678180" cy="361315"/>
                        </a:xfrm>
                        <a:prstGeom prst="wedgeRectCallout">
                          <a:avLst>
                            <a:gd name="adj1" fmla="val -65824"/>
                            <a:gd name="adj2" fmla="val 155977"/>
                          </a:avLst>
                        </a:prstGeom>
                        <a:solidFill>
                          <a:srgbClr val="FFFFFF"/>
                        </a:solidFill>
                        <a:ln w="9525" cap="flat" cmpd="sng">
                          <a:solidFill>
                            <a:srgbClr val="0000FF"/>
                          </a:solidFill>
                          <a:prstDash val="solid"/>
                          <a:miter/>
                          <a:headEnd type="none" w="med" len="med"/>
                          <a:tailEnd type="none" w="med" len="med"/>
                        </a:ln>
                      </wps:spPr>
                      <wps:txbx>
                        <w:txbxContent>
                          <w:p>
                            <w:pPr>
                              <w:spacing w:line="240" w:lineRule="auto"/>
                              <w:ind w:firstLine="0" w:firstLineChars="0"/>
                              <w:jc w:val="center"/>
                              <w:rPr>
                                <w:sz w:val="18"/>
                                <w:szCs w:val="22"/>
                              </w:rPr>
                            </w:pPr>
                            <w:r>
                              <w:rPr>
                                <w:rFonts w:hint="eastAsia"/>
                                <w:sz w:val="18"/>
                                <w:szCs w:val="22"/>
                              </w:rPr>
                              <w:t>右岸铁路</w:t>
                            </w:r>
                          </w:p>
                        </w:txbxContent>
                      </wps:txbx>
                      <wps:bodyPr wrap="square" upright="true"/>
                    </wps:wsp>
                  </a:graphicData>
                </a:graphic>
              </wp:anchor>
            </w:drawing>
          </mc:Choice>
          <mc:Fallback>
            <w:pict>
              <v:shape id="自选图形 6736" o:spid="_x0000_s1026" o:spt="61" type="#_x0000_t61" style="position:absolute;left:0pt;margin-left:277.5pt;margin-top:19.15pt;height:28.45pt;width:53.4pt;z-index:251675648;mso-width-relative:page;mso-height-relative:page;" fillcolor="#FFFFFF" filled="t" stroked="t" coordsize="21600,21600" o:gfxdata="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WAAAAZHJzL1BLAQIUABQAAAAIAIdO4kBsWNAV2QAAAAkBAAAPAAAAAAAAAAEA&#10;IAAAADgAAABkcnMvZG93bnJldi54bWxQSwECFAAUAAAACACHTuJArD2+5jECAABUBAAADgAAAAAA&#10;AAABACAAAAA+AQAAZHJzL2Uyb0RvYy54bWxQSwUGAAAAAAYABgBZAQAA4QUAAAAA&#10;" adj="0,44491">
                <v:fill on="t" focussize="0,0"/>
                <v:stroke color="#0000FF" joinstyle="miter"/>
                <v:imagedata o:title=""/>
                <o:lock v:ext="edit" aspectratio="f"/>
                <v:textbox>
                  <w:txbxContent>
                    <w:p>
                      <w:pPr>
                        <w:spacing w:line="240" w:lineRule="auto"/>
                        <w:ind w:firstLine="0" w:firstLineChars="0"/>
                        <w:jc w:val="center"/>
                        <w:rPr>
                          <w:sz w:val="18"/>
                          <w:szCs w:val="22"/>
                        </w:rPr>
                      </w:pPr>
                      <w:r>
                        <w:rPr>
                          <w:rFonts w:hint="eastAsia"/>
                          <w:sz w:val="18"/>
                          <w:szCs w:val="22"/>
                        </w:rPr>
                        <w:t>右岸铁路</w:t>
                      </w:r>
                    </w:p>
                  </w:txbxContent>
                </v:textbox>
              </v:shape>
            </w:pict>
          </mc:Fallback>
        </mc:AlternateContent>
      </w:r>
      <w:r>
        <mc:AlternateContent>
          <mc:Choice Requires="wps">
            <w:drawing>
              <wp:anchor distT="0" distB="0" distL="114300" distR="114300" simplePos="0" relativeHeight="251679744" behindDoc="0" locked="0" layoutInCell="1" allowOverlap="1">
                <wp:simplePos x="0" y="0"/>
                <wp:positionH relativeFrom="column">
                  <wp:posOffset>3148965</wp:posOffset>
                </wp:positionH>
                <wp:positionV relativeFrom="paragraph">
                  <wp:posOffset>1160780</wp:posOffset>
                </wp:positionV>
                <wp:extent cx="678180" cy="279400"/>
                <wp:effectExtent l="0" t="0" r="0" b="0"/>
                <wp:wrapNone/>
                <wp:docPr id="21" name="自选图形 6744"/>
                <wp:cNvGraphicFramePr/>
                <a:graphic xmlns:a="http://schemas.openxmlformats.org/drawingml/2006/main">
                  <a:graphicData uri="http://schemas.microsoft.com/office/word/2010/wordprocessingShape">
                    <wps:wsp>
                      <wps:cNvSpPr/>
                      <wps:spPr>
                        <a:xfrm>
                          <a:off x="0" y="0"/>
                          <a:ext cx="678180" cy="279400"/>
                        </a:xfrm>
                        <a:prstGeom prst="wedgeRectCallout">
                          <a:avLst>
                            <a:gd name="adj1" fmla="val -3921"/>
                            <a:gd name="adj2" fmla="val -16287"/>
                          </a:avLst>
                        </a:prstGeom>
                        <a:noFill/>
                        <a:ln>
                          <a:noFill/>
                        </a:ln>
                      </wps:spPr>
                      <wps:txbx>
                        <w:txbxContent>
                          <w:p>
                            <w:pPr>
                              <w:spacing w:line="240" w:lineRule="auto"/>
                              <w:ind w:firstLine="0" w:firstLineChars="0"/>
                              <w:jc w:val="center"/>
                              <w:rPr>
                                <w:b/>
                                <w:bCs/>
                                <w:color w:val="FF0000"/>
                                <w:sz w:val="22"/>
                                <w:szCs w:val="22"/>
                              </w:rPr>
                            </w:pPr>
                            <w:r>
                              <w:rPr>
                                <w:rFonts w:hint="eastAsia"/>
                                <w:b/>
                                <w:bCs/>
                                <w:color w:val="FF0000"/>
                                <w:sz w:val="22"/>
                                <w:szCs w:val="22"/>
                              </w:rPr>
                              <w:t>淤积区域</w:t>
                            </w:r>
                          </w:p>
                        </w:txbxContent>
                      </wps:txbx>
                      <wps:bodyPr wrap="square" upright="true"/>
                    </wps:wsp>
                  </a:graphicData>
                </a:graphic>
              </wp:anchor>
            </w:drawing>
          </mc:Choice>
          <mc:Fallback>
            <w:pict>
              <v:shape id="自选图形 6744" o:spid="_x0000_s1026" o:spt="61" type="#_x0000_t61" style="position:absolute;left:0pt;margin-left:247.95pt;margin-top:91.4pt;height:22pt;width:53.4pt;z-index:251679744;mso-width-relative:page;mso-height-relative:page;" filled="f" stroked="f" coordsize="21600,21600" o:gfxdata="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BYAAABkcnMvUEsBAhQAFAAAAAgAh07iQCaxGTza&#10;AAAACwEAAA8AAAAAAAAAAQAgAAAAOAAAAGRycy9kb3ducmV2LnhtbFBLAQIUABQAAAAIAIdO4kBa&#10;HiHizwEAAGsDAAAOAAAAAAAAAAEAIAAAAD8BAABkcnMvZTJvRG9jLnhtbFBLBQYAAAAABgAGAFkB&#10;AACABQAAAAA=&#10;" adj="9953,7282">
                <v:fill on="f" focussize="0,0"/>
                <v:stroke on="f"/>
                <v:imagedata o:title=""/>
                <o:lock v:ext="edit" aspectratio="f"/>
                <v:textbox>
                  <w:txbxContent>
                    <w:p>
                      <w:pPr>
                        <w:spacing w:line="240" w:lineRule="auto"/>
                        <w:ind w:firstLine="0" w:firstLineChars="0"/>
                        <w:jc w:val="center"/>
                        <w:rPr>
                          <w:b/>
                          <w:bCs/>
                          <w:color w:val="FF0000"/>
                          <w:sz w:val="22"/>
                          <w:szCs w:val="22"/>
                        </w:rPr>
                      </w:pPr>
                      <w:r>
                        <w:rPr>
                          <w:rFonts w:hint="eastAsia"/>
                          <w:b/>
                          <w:bCs/>
                          <w:color w:val="FF0000"/>
                          <w:sz w:val="22"/>
                          <w:szCs w:val="22"/>
                        </w:rPr>
                        <w:t>淤积区域</w:t>
                      </w:r>
                    </w:p>
                  </w:txbxContent>
                </v:textbox>
              </v:shape>
            </w:pict>
          </mc:Fallback>
        </mc:AlternateContent>
      </w:r>
      <w:r>
        <mc:AlternateContent>
          <mc:Choice Requires="wps">
            <w:drawing>
              <wp:anchor distT="0" distB="0" distL="114300" distR="114300" simplePos="0" relativeHeight="251678720" behindDoc="0" locked="0" layoutInCell="1" allowOverlap="1">
                <wp:simplePos x="0" y="0"/>
                <wp:positionH relativeFrom="column">
                  <wp:posOffset>2997200</wp:posOffset>
                </wp:positionH>
                <wp:positionV relativeFrom="paragraph">
                  <wp:posOffset>1019175</wp:posOffset>
                </wp:positionV>
                <wp:extent cx="26670" cy="519430"/>
                <wp:effectExtent l="51435" t="0" r="55245" b="13970"/>
                <wp:wrapNone/>
                <wp:docPr id="20" name="自选图形 6743"/>
                <wp:cNvGraphicFramePr/>
                <a:graphic xmlns:a="http://schemas.openxmlformats.org/drawingml/2006/main">
                  <a:graphicData uri="http://schemas.microsoft.com/office/word/2010/wordprocessingShape">
                    <wps:wsp>
                      <wps:cNvCnPr/>
                      <wps:spPr>
                        <a:xfrm flipH="true" flipV="true">
                          <a:off x="0" y="0"/>
                          <a:ext cx="26670" cy="519430"/>
                        </a:xfrm>
                        <a:prstGeom prst="straightConnector1">
                          <a:avLst/>
                        </a:prstGeom>
                        <a:ln w="38100" cap="flat" cmpd="sng">
                          <a:solidFill>
                            <a:srgbClr val="FF0000"/>
                          </a:solidFill>
                          <a:prstDash val="solid"/>
                          <a:headEnd type="triangle" w="med" len="med"/>
                          <a:tailEnd type="triangle" w="med" len="med"/>
                        </a:ln>
                      </wps:spPr>
                      <wps:bodyPr/>
                    </wps:wsp>
                  </a:graphicData>
                </a:graphic>
              </wp:anchor>
            </w:drawing>
          </mc:Choice>
          <mc:Fallback>
            <w:pict>
              <v:shape id="自选图形 6743" o:spid="_x0000_s1026" o:spt="32" type="#_x0000_t32" style="position:absolute;left:0pt;flip:x y;margin-left:236pt;margin-top:80.25pt;height:40.9pt;width:2.1pt;z-index:251678720;mso-width-relative:page;mso-height-relative:page;" filled="f" stroked="t" coordsize="21600,21600" o:gfxdata="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FgAAAGRycy9QSwECFAAUAAAACACHTuJAjsdBttUAAAALAQAADwAAAAAAAAABACAAAAA4&#10;AAAAZHJzL2Rvd25yZXYueG1sUEsBAhQAFAAAAAgAh07iQG7ODy/3AQAAvwMAAA4AAAAAAAAAAQAg&#10;AAAAOgEAAGRycy9lMm9Eb2MueG1sUEsFBgAAAAAGAAYAWQEAAKMFAAAAAA==&#10;">
                <v:fill on="f" focussize="0,0"/>
                <v:stroke weight="3pt" color="#FF0000" joinstyle="round" startarrow="block" endarrow="block"/>
                <v:imagedata o:title=""/>
                <o:lock v:ext="edit" aspectratio="f"/>
              </v:shape>
            </w:pict>
          </mc:Fallback>
        </mc:AlternateContent>
      </w:r>
      <w:r>
        <mc:AlternateContent>
          <mc:Choice Requires="wps">
            <w:drawing>
              <wp:anchor distT="0" distB="0" distL="114300" distR="114300" simplePos="0" relativeHeight="251677696" behindDoc="0" locked="0" layoutInCell="1" allowOverlap="1">
                <wp:simplePos x="0" y="0"/>
                <wp:positionH relativeFrom="column">
                  <wp:posOffset>947420</wp:posOffset>
                </wp:positionH>
                <wp:positionV relativeFrom="paragraph">
                  <wp:posOffset>1463040</wp:posOffset>
                </wp:positionV>
                <wp:extent cx="3778250" cy="219075"/>
                <wp:effectExtent l="1270" t="19050" r="11430" b="28575"/>
                <wp:wrapNone/>
                <wp:docPr id="19" name="自选图形 6742"/>
                <wp:cNvGraphicFramePr/>
                <a:graphic xmlns:a="http://schemas.openxmlformats.org/drawingml/2006/main">
                  <a:graphicData uri="http://schemas.microsoft.com/office/word/2010/wordprocessingShape">
                    <wps:wsp>
                      <wps:cNvCnPr/>
                      <wps:spPr>
                        <a:xfrm flipH="true">
                          <a:off x="0" y="0"/>
                          <a:ext cx="3778250" cy="219075"/>
                        </a:xfrm>
                        <a:prstGeom prst="straightConnector1">
                          <a:avLst/>
                        </a:prstGeom>
                        <a:ln w="38100" cap="flat" cmpd="sng">
                          <a:solidFill>
                            <a:srgbClr val="FF0000"/>
                          </a:solidFill>
                          <a:prstDash val="solid"/>
                          <a:headEnd type="none" w="med" len="med"/>
                          <a:tailEnd type="none" w="med" len="med"/>
                        </a:ln>
                      </wps:spPr>
                      <wps:bodyPr/>
                    </wps:wsp>
                  </a:graphicData>
                </a:graphic>
              </wp:anchor>
            </w:drawing>
          </mc:Choice>
          <mc:Fallback>
            <w:pict>
              <v:shape id="自选图形 6742" o:spid="_x0000_s1026" o:spt="32" type="#_x0000_t32" style="position:absolute;left:0pt;flip:x;margin-left:74.6pt;margin-top:115.2pt;height:17.25pt;width:297.5pt;z-index:251677696;mso-width-relative:page;mso-height-relative:page;" filled="f" stroked="t" coordsize="21600,21600" o:gfxdata="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WAAAAZHJzL1BLAQIUABQAAAAIAIdO4kACa8tW2QAAAAsBAAAPAAAAAAAAAAEAIAAAADgAAABk&#10;cnMvZG93bnJldi54bWxQSwECFAAUAAAACACHTuJAXNiSse8BAACsAwAADgAAAAAAAAABACAAAAA+&#10;AQAAZHJzL2Uyb0RvYy54bWxQSwUGAAAAAAYABgBZAQAAnwUAAAAA&#10;">
                <v:fill on="f" focussize="0,0"/>
                <v:stroke weight="3pt" color="#FF0000" joinstyle="round"/>
                <v:imagedata o:title=""/>
                <o:lock v:ext="edit" aspectratio="f"/>
              </v:shape>
            </w:pict>
          </mc:Fallback>
        </mc:AlternateContent>
      </w:r>
      <w:r>
        <mc:AlternateContent>
          <mc:Choice Requires="wps">
            <w:drawing>
              <wp:anchor distT="0" distB="0" distL="114300" distR="114300" simplePos="0" relativeHeight="251676672" behindDoc="0" locked="0" layoutInCell="1" allowOverlap="1">
                <wp:simplePos x="0" y="0"/>
                <wp:positionH relativeFrom="column">
                  <wp:posOffset>1118235</wp:posOffset>
                </wp:positionH>
                <wp:positionV relativeFrom="paragraph">
                  <wp:posOffset>1019175</wp:posOffset>
                </wp:positionV>
                <wp:extent cx="3583940" cy="14605"/>
                <wp:effectExtent l="0" t="19050" r="16510" b="23495"/>
                <wp:wrapNone/>
                <wp:docPr id="18" name="自选图形 6741"/>
                <wp:cNvGraphicFramePr/>
                <a:graphic xmlns:a="http://schemas.openxmlformats.org/drawingml/2006/main">
                  <a:graphicData uri="http://schemas.microsoft.com/office/word/2010/wordprocessingShape">
                    <wps:wsp>
                      <wps:cNvCnPr/>
                      <wps:spPr>
                        <a:xfrm flipH="true">
                          <a:off x="0" y="0"/>
                          <a:ext cx="3583940" cy="14605"/>
                        </a:xfrm>
                        <a:prstGeom prst="straightConnector1">
                          <a:avLst/>
                        </a:prstGeom>
                        <a:ln w="38100" cap="flat" cmpd="sng">
                          <a:solidFill>
                            <a:srgbClr val="FF0000"/>
                          </a:solidFill>
                          <a:prstDash val="solid"/>
                          <a:headEnd type="none" w="med" len="med"/>
                          <a:tailEnd type="none" w="med" len="med"/>
                        </a:ln>
                      </wps:spPr>
                      <wps:bodyPr/>
                    </wps:wsp>
                  </a:graphicData>
                </a:graphic>
              </wp:anchor>
            </w:drawing>
          </mc:Choice>
          <mc:Fallback>
            <w:pict>
              <v:shape id="自选图形 6741" o:spid="_x0000_s1026" o:spt="32" type="#_x0000_t32" style="position:absolute;left:0pt;flip:x;margin-left:88.05pt;margin-top:80.25pt;height:1.15pt;width:282.2pt;z-index:251676672;mso-width-relative:page;mso-height-relative:page;" filled="f" stroked="t" coordsize="21600,21600" o:gfxdata="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W&#10;AAAAZHJzL1BLAQIUABQAAAAIAIdO4kCXNjmU2AAAAAsBAAAPAAAAAAAAAAEAIAAAADgAAABkcnMv&#10;ZG93bnJldi54bWxQSwECFAAUAAAACACHTuJAwCBdmO0BAACrAwAADgAAAAAAAAABACAAAAA9AQAA&#10;ZHJzL2Uyb0RvYy54bWxQSwUGAAAAAAYABgBZAQAAnAUAAAAA&#10;">
                <v:fill on="f" focussize="0,0"/>
                <v:stroke weight="3pt" color="#FF0000" joinstyle="round"/>
                <v:imagedata o:title=""/>
                <o:lock v:ext="edit" aspectratio="f"/>
              </v:shape>
            </w:pict>
          </mc:Fallback>
        </mc:AlternateContent>
      </w:r>
      <w:r>
        <w:drawing>
          <wp:inline distT="0" distB="0" distL="114300" distR="114300">
            <wp:extent cx="3871595" cy="2361565"/>
            <wp:effectExtent l="0" t="0" r="14605" b="635"/>
            <wp:docPr id="138" name="图片 139" descr="微信图片_2021020221153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8" name="图片 139" descr="微信图片_20210202211532"/>
                    <pic:cNvPicPr>
                      <a:picLocks noChangeAspect="true"/>
                    </pic:cNvPicPr>
                  </pic:nvPicPr>
                  <pic:blipFill>
                    <a:blip r:embed="rId178"/>
                    <a:srcRect t="7146" b="7765"/>
                    <a:stretch>
                      <a:fillRect/>
                    </a:stretch>
                  </pic:blipFill>
                  <pic:spPr>
                    <a:xfrm>
                      <a:off x="0" y="0"/>
                      <a:ext cx="3871595" cy="2361565"/>
                    </a:xfrm>
                    <a:prstGeom prst="rect">
                      <a:avLst/>
                    </a:prstGeom>
                    <a:noFill/>
                    <a:ln>
                      <a:noFill/>
                    </a:ln>
                  </pic:spPr>
                </pic:pic>
              </a:graphicData>
            </a:graphic>
          </wp:inline>
        </w:drawing>
      </w:r>
    </w:p>
    <w:p>
      <w:pPr>
        <w:pStyle w:val="1355"/>
        <w:spacing w:line="240" w:lineRule="exact"/>
        <w:ind w:firstLine="0" w:firstLineChars="0"/>
        <w:jc w:val="center"/>
        <w:rPr>
          <w:rFonts w:hint="eastAsia"/>
          <w:sz w:val="21"/>
          <w:szCs w:val="16"/>
        </w:rPr>
      </w:pPr>
      <w:r>
        <w:rPr>
          <w:rFonts w:hint="eastAsia"/>
          <w:sz w:val="21"/>
          <w:szCs w:val="16"/>
        </w:rPr>
        <w:t>（</w:t>
      </w:r>
      <w:r>
        <w:rPr>
          <w:sz w:val="21"/>
          <w:szCs w:val="16"/>
        </w:rPr>
        <w:t xml:space="preserve">b） </w:t>
      </w:r>
      <w:r>
        <w:rPr>
          <w:rFonts w:hint="eastAsia"/>
          <w:sz w:val="21"/>
          <w:szCs w:val="16"/>
        </w:rPr>
        <w:t>右岸拓宽区域</w:t>
      </w:r>
    </w:p>
    <w:p>
      <w:pPr>
        <w:pStyle w:val="2886"/>
        <w:rPr>
          <w:rFonts w:hint="default" w:ascii="Times New Roman" w:hAnsi="Times New Roman" w:cs="Times New Roman"/>
        </w:rPr>
      </w:pPr>
      <w:r>
        <w:rPr>
          <w:rFonts w:hint="default" w:ascii="Times New Roman" w:hAnsi="Times New Roman" w:cs="Times New Roman"/>
        </w:rPr>
        <w:t>图6.1</w:t>
      </w:r>
      <w:r>
        <w:rPr>
          <w:rFonts w:hint="default" w:ascii="Times New Roman" w:hAnsi="Times New Roman" w:cs="Times New Roman"/>
          <w:lang w:eastAsia="zh-CN"/>
        </w:rPr>
        <w:t>—</w:t>
      </w:r>
      <w:r>
        <w:rPr>
          <w:rFonts w:hint="default" w:ascii="Times New Roman" w:hAnsi="Times New Roman" w:cs="Times New Roman"/>
        </w:rPr>
        <w:t>13    綦江城区下游卡口河段图片</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铁路安全管理条例》（中华人民共和国国务院令第639号）第二十七条规定：铁路线路两侧应当设立铁路线路安全保护区。铁路线路安全保护区的范围，从铁路线路路堤坡脚、路堑坡顶或者铁路桥梁（含铁路、道路两用桥，下同）外侧起向外的距离分别为：（一）城市市区高速铁路为10m，其他铁路为8m；（二）城市郊区居民居住区高速铁路为12m，其他铁路为10m；（三）村镇居民居住区高速铁路为15m，其他铁路为12m；（四）其他地区高速铁路为20m，其他铁路为15m。第三十条规定：在铁路线路安全保护区内建造建筑物、构筑物等设施，取土、挖砂、挖沟、采空作业或者堆放、悬挂物品，应当征得铁路运输企业同意并签订安全协议，遵守保证铁路安全的国家标准、行业标准和施工安全规范，采取措施防止影响铁路运输安全。铁路运输企业应当派员对施工现场实行安全监督。根据河道地形，綦江主城区下游卡口河段渝黔铁路距离5年一遇常遇洪水水面线普遍在15m以内，即河道拓宽区域基本处于渝黔铁路安全保护区范围内，因此不能向綦江右岸拓宽。</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公路安全保护条例》（中华人民共和国国务院令第593号）第十七条规定：禁止在下列范围内从事采矿、采石、取土、爆破作业等危及公路、公路桥梁、公路隧道、公路渡口安全的活动：国道、省道、县道的公路用地外缘起向外100m，乡道的公路用地外缘起向外50m。在前款规定的范围内，因抢险、防汛需要修筑堤坝、压缩或者拓宽河床的，应当经省、自治区、直辖市人民政府交通运输主管部门会同水行政主管部门或者流域管理机构批准，并采取安全防护措施方可进行。根据河道地形，綦江主城区下游卡口河段G210国道距离5年一遇常遇洪水水面线普遍在50m以内，即河道拓宽区域基本处于G210国道安全保护区范围内，因此不宜向綦江左岸拓宽。</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此外，根据《堤防工程设计规范》（GB 50286</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2013），1级、2级土堤的堤坡不宜陡于1∶3。根据河道地形，卡口段现状坡比多为1∶1.89</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1∶2.28，边坡较陡，因此为保持岸坡稳定，不宜开展河道拓宽。</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综上分析，本次不推荐河道扩卡方案。</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2.1.2</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en-US" w:eastAsia="zh-CN"/>
        </w:rPr>
        <w:t>河道疏浚</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干流桥河闸坝至桥溪口闸坝河段长17.2km，彩虹桥至城北大桥城区河段以及北渡场至清溪河口段等局部河段河底高程偏高，雍高了城区河道水位，造成洪水宣泄不畅，可考虑对其疏浚整治。规划疏浚长度11.55km，其中綦江主城区河段6.76km，疏挖深度为0.20</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4.33m，疏浚土方量约102万</w:t>
      </w:r>
      <w:r>
        <w:rPr>
          <w:rFonts w:hint="eastAsia" w:ascii="Times New Roman" w:hAnsi="Times New Roman" w:eastAsia="方正仿宋_GBK" w:cs="Times New Roman"/>
          <w:sz w:val="32"/>
          <w:szCs w:val="32"/>
        </w:rPr>
        <w:t>m</w:t>
      </w:r>
      <w:r>
        <w:rPr>
          <w:rFonts w:hint="eastAsia" w:ascii="Times New Roman" w:hAnsi="Times New Roman" w:eastAsia="方正仿宋_GBK" w:cs="Times New Roman"/>
          <w:sz w:val="32"/>
          <w:szCs w:val="32"/>
          <w:vertAlign w:val="superscript"/>
        </w:rPr>
        <w:t>3</w:t>
      </w:r>
      <w:r>
        <w:rPr>
          <w:rFonts w:hint="eastAsia" w:ascii="Times New Roman" w:hAnsi="Times New Roman" w:eastAsia="方正仿宋_GBK" w:cs="Times New Roman"/>
          <w:sz w:val="32"/>
          <w:szCs w:val="32"/>
          <w:lang w:val="en-US" w:eastAsia="zh-CN"/>
        </w:rPr>
        <w:t>，疏浚前后河道深弘高程见图6.1</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14。典型断面疏浚情况见图6.1</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15。</w:t>
      </w:r>
    </w:p>
    <w:p>
      <w:pPr>
        <w:pStyle w:val="2886"/>
        <w:outlineLvl w:val="9"/>
        <w:rPr>
          <w:rFonts w:hint="eastAsia" w:ascii="仿宋_GB2312" w:eastAsia="仿宋_GB2312"/>
        </w:rPr>
      </w:pPr>
      <w:r>
        <w:drawing>
          <wp:inline distT="0" distB="0" distL="114300" distR="114300">
            <wp:extent cx="5614035" cy="3343910"/>
            <wp:effectExtent l="4445" t="4445" r="20320" b="23495"/>
            <wp:docPr id="139" name="图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p>
      <w:pPr>
        <w:pStyle w:val="2886"/>
        <w:rPr>
          <w:rFonts w:hint="default" w:ascii="Times New Roman" w:hAnsi="Times New Roman" w:cs="Times New Roman"/>
        </w:rPr>
      </w:pPr>
      <w:r>
        <w:rPr>
          <w:rFonts w:hint="default" w:ascii="Times New Roman" w:hAnsi="Times New Roman" w:cs="Times New Roman"/>
        </w:rPr>
        <w:t>图6.1</w:t>
      </w:r>
      <w:r>
        <w:rPr>
          <w:rFonts w:hint="default" w:ascii="Times New Roman" w:hAnsi="Times New Roman" w:cs="Times New Roman"/>
          <w:lang w:eastAsia="zh-CN"/>
        </w:rPr>
        <w:t>—</w:t>
      </w:r>
      <w:r>
        <w:rPr>
          <w:rFonts w:hint="default" w:ascii="Times New Roman" w:hAnsi="Times New Roman" w:cs="Times New Roman"/>
        </w:rPr>
        <w:t>14    綦江干流主城区及下游河道疏浚前后的深弘高程</w:t>
      </w:r>
    </w:p>
    <w:p>
      <w:pPr>
        <w:spacing w:line="240" w:lineRule="auto"/>
        <w:ind w:firstLine="0" w:firstLineChars="0"/>
        <w:jc w:val="center"/>
      </w:pPr>
    </w:p>
    <w:p>
      <w:pPr>
        <w:spacing w:line="240" w:lineRule="auto"/>
        <w:ind w:firstLine="0" w:firstLineChars="0"/>
        <w:jc w:val="center"/>
      </w:pPr>
    </w:p>
    <w:p>
      <w:pPr>
        <w:spacing w:line="240" w:lineRule="auto"/>
        <w:ind w:firstLine="0" w:firstLineChars="0"/>
        <w:jc w:val="center"/>
      </w:pPr>
    </w:p>
    <w:p>
      <w:pPr>
        <w:spacing w:line="240" w:lineRule="auto"/>
        <w:ind w:firstLine="0" w:firstLineChars="0"/>
        <w:jc w:val="center"/>
      </w:pPr>
    </w:p>
    <w:p>
      <w:pPr>
        <w:spacing w:line="240" w:lineRule="auto"/>
        <w:ind w:firstLine="0" w:firstLineChars="0"/>
        <w:jc w:val="center"/>
        <w:rPr>
          <w:rFonts w:hint="eastAsia" w:ascii="楷体_GB2312" w:hAnsi="黑体" w:eastAsia="楷体_GB2312" w:cs="宋体"/>
          <w:sz w:val="24"/>
          <w:szCs w:val="20"/>
        </w:rPr>
      </w:pPr>
      <w:r>
        <w:drawing>
          <wp:inline distT="0" distB="0" distL="114300" distR="114300">
            <wp:extent cx="3239770" cy="1900555"/>
            <wp:effectExtent l="0" t="0" r="17780" b="4445"/>
            <wp:docPr id="140" name="图片 683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0" name="图片 6832"/>
                    <pic:cNvPicPr>
                      <a:picLocks noChangeAspect="true"/>
                    </pic:cNvPicPr>
                  </pic:nvPicPr>
                  <pic:blipFill>
                    <a:blip r:embed="rId180"/>
                    <a:stretch>
                      <a:fillRect/>
                    </a:stretch>
                  </pic:blipFill>
                  <pic:spPr>
                    <a:xfrm>
                      <a:off x="0" y="0"/>
                      <a:ext cx="3239770" cy="1900555"/>
                    </a:xfrm>
                    <a:prstGeom prst="rect">
                      <a:avLst/>
                    </a:prstGeom>
                    <a:noFill/>
                    <a:ln>
                      <a:noFill/>
                    </a:ln>
                  </pic:spPr>
                </pic:pic>
              </a:graphicData>
            </a:graphic>
          </wp:inline>
        </w:drawing>
      </w:r>
    </w:p>
    <w:p>
      <w:pPr>
        <w:pStyle w:val="1355"/>
        <w:spacing w:line="240" w:lineRule="exact"/>
        <w:ind w:firstLine="0" w:firstLineChars="0"/>
        <w:jc w:val="center"/>
        <w:rPr>
          <w:rFonts w:hint="eastAsia" w:ascii="楷体_GB2312" w:eastAsia="楷体_GB2312"/>
          <w:sz w:val="21"/>
          <w:szCs w:val="16"/>
        </w:rPr>
      </w:pPr>
      <w:r>
        <w:rPr>
          <w:rFonts w:hint="eastAsia" w:ascii="楷体_GB2312" w:eastAsia="楷体_GB2312"/>
          <w:sz w:val="21"/>
          <w:szCs w:val="16"/>
        </w:rPr>
        <w:t>綦江大桥上游</w:t>
      </w:r>
    </w:p>
    <w:p>
      <w:pPr>
        <w:spacing w:line="240" w:lineRule="auto"/>
        <w:ind w:firstLine="0" w:firstLineChars="0"/>
        <w:jc w:val="center"/>
        <w:rPr>
          <w:rFonts w:hint="eastAsia" w:ascii="楷体_GB2312" w:hAnsi="黑体" w:eastAsia="楷体_GB2312" w:cs="宋体"/>
          <w:sz w:val="21"/>
          <w:szCs w:val="20"/>
        </w:rPr>
      </w:pPr>
      <w:r>
        <w:drawing>
          <wp:inline distT="0" distB="0" distL="114300" distR="114300">
            <wp:extent cx="3239770" cy="1958975"/>
            <wp:effectExtent l="0" t="0" r="17780" b="3175"/>
            <wp:docPr id="141" name="图片 683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1" name="图片 6836"/>
                    <pic:cNvPicPr>
                      <a:picLocks noChangeAspect="true"/>
                    </pic:cNvPicPr>
                  </pic:nvPicPr>
                  <pic:blipFill>
                    <a:blip r:embed="rId181"/>
                    <a:stretch>
                      <a:fillRect/>
                    </a:stretch>
                  </pic:blipFill>
                  <pic:spPr>
                    <a:xfrm>
                      <a:off x="0" y="0"/>
                      <a:ext cx="3239770" cy="1958975"/>
                    </a:xfrm>
                    <a:prstGeom prst="rect">
                      <a:avLst/>
                    </a:prstGeom>
                    <a:noFill/>
                    <a:ln>
                      <a:noFill/>
                    </a:ln>
                  </pic:spPr>
                </pic:pic>
              </a:graphicData>
            </a:graphic>
          </wp:inline>
        </w:drawing>
      </w:r>
    </w:p>
    <w:p>
      <w:pPr>
        <w:pStyle w:val="1355"/>
        <w:spacing w:line="240" w:lineRule="exact"/>
        <w:ind w:firstLine="0" w:firstLineChars="0"/>
        <w:jc w:val="center"/>
        <w:rPr>
          <w:rFonts w:hint="eastAsia" w:ascii="楷体_GB2312" w:eastAsia="楷体_GB2312"/>
          <w:sz w:val="21"/>
          <w:szCs w:val="16"/>
        </w:rPr>
      </w:pPr>
      <w:r>
        <w:rPr>
          <w:rFonts w:hint="eastAsia" w:ascii="楷体_GB2312" w:eastAsia="楷体_GB2312"/>
          <w:sz w:val="21"/>
          <w:szCs w:val="16"/>
        </w:rPr>
        <w:t>新盛河河口</w:t>
      </w:r>
    </w:p>
    <w:p>
      <w:pPr>
        <w:spacing w:line="240" w:lineRule="auto"/>
        <w:ind w:firstLine="0" w:firstLineChars="0"/>
        <w:jc w:val="center"/>
        <w:rPr>
          <w:rFonts w:hint="eastAsia" w:ascii="楷体_GB2312" w:hAnsi="黑体" w:eastAsia="楷体_GB2312" w:cs="宋体"/>
          <w:sz w:val="21"/>
          <w:szCs w:val="20"/>
        </w:rPr>
      </w:pPr>
      <w:r>
        <w:drawing>
          <wp:inline distT="0" distB="0" distL="114300" distR="114300">
            <wp:extent cx="3239770" cy="1779270"/>
            <wp:effectExtent l="0" t="0" r="17780" b="11430"/>
            <wp:docPr id="142" name="图片 683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2" name="图片 6835"/>
                    <pic:cNvPicPr>
                      <a:picLocks noChangeAspect="true"/>
                    </pic:cNvPicPr>
                  </pic:nvPicPr>
                  <pic:blipFill>
                    <a:blip r:embed="rId182"/>
                    <a:stretch>
                      <a:fillRect/>
                    </a:stretch>
                  </pic:blipFill>
                  <pic:spPr>
                    <a:xfrm>
                      <a:off x="0" y="0"/>
                      <a:ext cx="3239770" cy="1779270"/>
                    </a:xfrm>
                    <a:prstGeom prst="rect">
                      <a:avLst/>
                    </a:prstGeom>
                    <a:noFill/>
                    <a:ln>
                      <a:noFill/>
                    </a:ln>
                  </pic:spPr>
                </pic:pic>
              </a:graphicData>
            </a:graphic>
          </wp:inline>
        </w:drawing>
      </w:r>
    </w:p>
    <w:p>
      <w:pPr>
        <w:pStyle w:val="1355"/>
        <w:spacing w:line="240" w:lineRule="auto"/>
        <w:ind w:firstLine="0" w:firstLineChars="0"/>
        <w:jc w:val="center"/>
        <w:rPr>
          <w:rFonts w:hint="eastAsia" w:ascii="楷体_GB2312" w:eastAsia="楷体_GB2312"/>
          <w:sz w:val="21"/>
          <w:szCs w:val="16"/>
        </w:rPr>
      </w:pPr>
      <w:r>
        <w:rPr>
          <w:rFonts w:hint="eastAsia" w:ascii="楷体_GB2312" w:eastAsia="楷体_GB2312"/>
          <w:sz w:val="21"/>
          <w:szCs w:val="16"/>
        </w:rPr>
        <w:t>园林场</w:t>
      </w:r>
    </w:p>
    <w:p>
      <w:pPr>
        <w:pStyle w:val="2886"/>
        <w:rPr>
          <w:rFonts w:hint="default" w:ascii="Times New Roman" w:hAnsi="Times New Roman" w:cs="Times New Roman"/>
        </w:rPr>
      </w:pPr>
      <w:r>
        <w:rPr>
          <w:rFonts w:hint="default" w:ascii="Times New Roman" w:hAnsi="Times New Roman" w:cs="Times New Roman"/>
        </w:rPr>
        <w:t>图6.1</w:t>
      </w:r>
      <w:r>
        <w:rPr>
          <w:rFonts w:hint="default" w:ascii="Times New Roman" w:hAnsi="Times New Roman" w:cs="Times New Roman"/>
          <w:lang w:eastAsia="zh-CN"/>
        </w:rPr>
        <w:t>—</w:t>
      </w:r>
      <w:r>
        <w:rPr>
          <w:rFonts w:hint="default" w:ascii="Times New Roman" w:hAnsi="Times New Roman" w:cs="Times New Roman"/>
        </w:rPr>
        <w:t>15    綦江干流主城区及下游河道疏浚前后河道断面图</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2.2</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en-US" w:eastAsia="zh-CN"/>
        </w:rPr>
        <w:t>防洪作用</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zh-CN" w:eastAsia="zh-CN"/>
        </w:rPr>
      </w:pPr>
      <w:r>
        <w:rPr>
          <w:rFonts w:hint="eastAsia" w:ascii="Times New Roman" w:hAnsi="Times New Roman" w:eastAsia="方正仿宋_GBK" w:cs="Times New Roman"/>
          <w:sz w:val="32"/>
          <w:szCs w:val="32"/>
          <w:lang w:val="en-US" w:eastAsia="zh-CN"/>
        </w:rPr>
        <w:t>通过数学模型计算，河道整治方案的实施效果见表6.1</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4和图6.1</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16。可以看出：在20年一遇洪水条件下，河道疏浚后</w:t>
      </w:r>
      <w:r>
        <w:rPr>
          <w:rFonts w:hint="eastAsia" w:ascii="Times New Roman" w:hAnsi="Times New Roman" w:eastAsia="方正仿宋_GBK" w:cs="Times New Roman"/>
          <w:sz w:val="32"/>
          <w:szCs w:val="32"/>
          <w:lang w:val="zh-CN" w:eastAsia="zh-CN"/>
        </w:rPr>
        <w:t>綦江干流河道水位降幅超过0.10m的河段达20.2km，其中</w:t>
      </w:r>
      <w:r>
        <w:rPr>
          <w:rFonts w:hint="eastAsia" w:ascii="Times New Roman" w:hAnsi="Times New Roman" w:eastAsia="方正仿宋_GBK" w:cs="Times New Roman"/>
          <w:sz w:val="32"/>
          <w:szCs w:val="32"/>
          <w:lang w:val="en-US" w:eastAsia="zh-CN"/>
        </w:rPr>
        <w:t>彩虹桥的水位将降低</w:t>
      </w:r>
      <w:r>
        <w:rPr>
          <w:rFonts w:hint="eastAsia" w:ascii="Times New Roman" w:hAnsi="Times New Roman" w:eastAsia="方正仿宋_GBK" w:cs="Times New Roman"/>
          <w:sz w:val="32"/>
          <w:szCs w:val="32"/>
          <w:lang w:val="zh-CN" w:eastAsia="zh-CN"/>
        </w:rPr>
        <w:t>0.49m。</w:t>
      </w:r>
    </w:p>
    <w:p>
      <w:pPr>
        <w:pStyle w:val="2886"/>
        <w:outlineLvl w:val="9"/>
      </w:pPr>
      <w:r>
        <w:drawing>
          <wp:anchor distT="0" distB="0" distL="114300" distR="114300" simplePos="0" relativeHeight="251668480" behindDoc="0" locked="0" layoutInCell="1" allowOverlap="1">
            <wp:simplePos x="0" y="0"/>
            <wp:positionH relativeFrom="character">
              <wp:posOffset>-2952750</wp:posOffset>
            </wp:positionH>
            <wp:positionV relativeFrom="line">
              <wp:posOffset>57150</wp:posOffset>
            </wp:positionV>
            <wp:extent cx="5767070" cy="2704465"/>
            <wp:effectExtent l="0" t="0" r="5080" b="635"/>
            <wp:wrapSquare wrapText="bothSides"/>
            <wp:docPr id="10" name="图片 685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 name="图片 6852"/>
                    <pic:cNvPicPr>
                      <a:picLocks noChangeAspect="true"/>
                    </pic:cNvPicPr>
                  </pic:nvPicPr>
                  <pic:blipFill>
                    <a:blip r:embed="rId183"/>
                    <a:stretch>
                      <a:fillRect/>
                    </a:stretch>
                  </pic:blipFill>
                  <pic:spPr>
                    <a:xfrm>
                      <a:off x="0" y="0"/>
                      <a:ext cx="5767070" cy="2704465"/>
                    </a:xfrm>
                    <a:prstGeom prst="rect">
                      <a:avLst/>
                    </a:prstGeom>
                    <a:noFill/>
                    <a:ln>
                      <a:noFill/>
                    </a:ln>
                  </pic:spPr>
                </pic:pic>
              </a:graphicData>
            </a:graphic>
          </wp:anchor>
        </w:drawing>
      </w:r>
    </w:p>
    <w:p>
      <w:pPr>
        <w:pStyle w:val="2886"/>
        <w:rPr>
          <w:rFonts w:hint="default" w:ascii="Times New Roman" w:hAnsi="Times New Roman" w:cs="Times New Roman"/>
        </w:rPr>
      </w:pPr>
      <w:r>
        <w:rPr>
          <w:rFonts w:hint="default" w:ascii="Times New Roman" w:hAnsi="Times New Roman" w:cs="Times New Roman"/>
        </w:rPr>
        <w:t>图6.1</w:t>
      </w:r>
      <w:r>
        <w:rPr>
          <w:rFonts w:hint="default" w:ascii="Times New Roman" w:hAnsi="Times New Roman" w:cs="Times New Roman"/>
          <w:lang w:eastAsia="zh-CN"/>
        </w:rPr>
        <w:t>—</w:t>
      </w:r>
      <w:r>
        <w:rPr>
          <w:rFonts w:hint="default" w:ascii="Times New Roman" w:hAnsi="Times New Roman" w:cs="Times New Roman"/>
        </w:rPr>
        <w:t>16    河道疏浚前后不同频率洪水水面线</w:t>
      </w:r>
    </w:p>
    <w:p>
      <w:pPr>
        <w:pStyle w:val="2312"/>
        <w:ind w:firstLine="240"/>
        <w:rPr>
          <w:rFonts w:hint="default" w:ascii="Times New Roman" w:hAnsi="Times New Roman" w:cs="Times New Roman"/>
        </w:rPr>
      </w:pPr>
      <w:r>
        <w:rPr>
          <w:rFonts w:hint="default" w:ascii="Times New Roman" w:hAnsi="Times New Roman" w:cs="Times New Roman"/>
        </w:rPr>
        <w:t>表6.1</w:t>
      </w:r>
      <w:r>
        <w:rPr>
          <w:rFonts w:hint="default" w:ascii="Times New Roman" w:hAnsi="Times New Roman" w:cs="Times New Roman"/>
          <w:lang w:eastAsia="zh-CN"/>
        </w:rPr>
        <w:t>—</w:t>
      </w:r>
      <w:r>
        <w:rPr>
          <w:rFonts w:hint="default" w:ascii="Times New Roman" w:hAnsi="Times New Roman" w:cs="Times New Roman"/>
        </w:rPr>
        <w:t>4          河道疏浚前后綦江城区河段水面线变化表</w:t>
      </w:r>
    </w:p>
    <w:tbl>
      <w:tblPr>
        <w:tblStyle w:val="88"/>
        <w:tblW w:w="5000"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108" w:type="dxa"/>
          <w:bottom w:w="0" w:type="dxa"/>
          <w:right w:w="108" w:type="dxa"/>
        </w:tblCellMar>
      </w:tblPr>
      <w:tblGrid>
        <w:gridCol w:w="1194"/>
        <w:gridCol w:w="2873"/>
        <w:gridCol w:w="1808"/>
        <w:gridCol w:w="1808"/>
        <w:gridCol w:w="1604"/>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634" w:type="pct"/>
            <w:noWrap/>
            <w:vAlign w:val="center"/>
          </w:tcPr>
          <w:p>
            <w:pPr>
              <w:pStyle w:val="3013"/>
              <w:spacing w:line="240" w:lineRule="exact"/>
              <w:rPr>
                <w:rFonts w:hint="eastAsia"/>
              </w:rPr>
            </w:pPr>
            <w:r>
              <w:rPr>
                <w:rFonts w:hint="eastAsia"/>
              </w:rPr>
              <w:t>桩号（m）</w:t>
            </w:r>
          </w:p>
        </w:tc>
        <w:tc>
          <w:tcPr>
            <w:tcW w:w="1586" w:type="pct"/>
            <w:noWrap/>
            <w:vAlign w:val="center"/>
          </w:tcPr>
          <w:p>
            <w:pPr>
              <w:pStyle w:val="3013"/>
              <w:spacing w:line="240" w:lineRule="exact"/>
              <w:rPr>
                <w:rFonts w:hint="eastAsia"/>
              </w:rPr>
            </w:pPr>
            <w:r>
              <w:rPr>
                <w:rFonts w:hint="eastAsia"/>
              </w:rPr>
              <w:t>河段名称</w:t>
            </w:r>
          </w:p>
        </w:tc>
        <w:tc>
          <w:tcPr>
            <w:tcW w:w="964" w:type="pct"/>
            <w:noWrap/>
            <w:vAlign w:val="center"/>
          </w:tcPr>
          <w:p>
            <w:pPr>
              <w:pStyle w:val="3013"/>
              <w:spacing w:line="240" w:lineRule="exact"/>
              <w:rPr>
                <w:rFonts w:hint="eastAsia"/>
              </w:rPr>
            </w:pPr>
            <w:r>
              <w:rPr>
                <w:rFonts w:hint="eastAsia"/>
              </w:rPr>
              <w:t>工程前水位（m）</w:t>
            </w:r>
          </w:p>
        </w:tc>
        <w:tc>
          <w:tcPr>
            <w:tcW w:w="964" w:type="pct"/>
            <w:noWrap/>
            <w:vAlign w:val="center"/>
          </w:tcPr>
          <w:p>
            <w:pPr>
              <w:pStyle w:val="3013"/>
              <w:spacing w:line="240" w:lineRule="exact"/>
              <w:rPr>
                <w:rFonts w:hint="eastAsia"/>
              </w:rPr>
            </w:pPr>
            <w:r>
              <w:rPr>
                <w:rFonts w:hint="eastAsia"/>
              </w:rPr>
              <w:t>工程后水位（m）</w:t>
            </w:r>
          </w:p>
        </w:tc>
        <w:tc>
          <w:tcPr>
            <w:tcW w:w="851" w:type="pct"/>
            <w:noWrap/>
            <w:vAlign w:val="center"/>
          </w:tcPr>
          <w:p>
            <w:pPr>
              <w:pStyle w:val="3013"/>
              <w:spacing w:line="240" w:lineRule="exact"/>
              <w:rPr>
                <w:rFonts w:hint="eastAsia"/>
              </w:rPr>
            </w:pPr>
            <w:r>
              <w:rPr>
                <w:rFonts w:hint="eastAsia"/>
              </w:rPr>
              <w:t>水位降幅（m）</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634" w:type="pct"/>
            <w:noWrap/>
            <w:vAlign w:val="center"/>
          </w:tcPr>
          <w:p>
            <w:pPr>
              <w:pStyle w:val="3013"/>
              <w:spacing w:line="240" w:lineRule="exact"/>
              <w:rPr>
                <w:rFonts w:hint="eastAsia"/>
              </w:rPr>
            </w:pPr>
            <w:r>
              <w:rPr>
                <w:rFonts w:hint="eastAsia"/>
              </w:rPr>
              <w:t>0</w:t>
            </w:r>
          </w:p>
        </w:tc>
        <w:tc>
          <w:tcPr>
            <w:tcW w:w="1586" w:type="pct"/>
            <w:noWrap/>
            <w:vAlign w:val="center"/>
          </w:tcPr>
          <w:p>
            <w:pPr>
              <w:pStyle w:val="3013"/>
              <w:spacing w:line="240" w:lineRule="exact"/>
              <w:rPr>
                <w:rFonts w:hint="eastAsia"/>
              </w:rPr>
            </w:pPr>
            <w:r>
              <w:rPr>
                <w:rFonts w:hint="eastAsia"/>
              </w:rPr>
              <w:t>中国石化</w:t>
            </w:r>
          </w:p>
        </w:tc>
        <w:tc>
          <w:tcPr>
            <w:tcW w:w="964" w:type="pct"/>
            <w:noWrap/>
            <w:vAlign w:val="center"/>
          </w:tcPr>
          <w:p>
            <w:pPr>
              <w:pStyle w:val="3013"/>
              <w:spacing w:line="240" w:lineRule="exact"/>
              <w:rPr>
                <w:rFonts w:hint="eastAsia"/>
              </w:rPr>
            </w:pPr>
            <w:r>
              <w:rPr>
                <w:rFonts w:hint="eastAsia"/>
              </w:rPr>
              <w:t>228.66</w:t>
            </w:r>
          </w:p>
        </w:tc>
        <w:tc>
          <w:tcPr>
            <w:tcW w:w="964" w:type="pct"/>
            <w:noWrap/>
            <w:vAlign w:val="center"/>
          </w:tcPr>
          <w:p>
            <w:pPr>
              <w:pStyle w:val="3013"/>
              <w:spacing w:line="240" w:lineRule="exact"/>
              <w:rPr>
                <w:rFonts w:hint="eastAsia"/>
              </w:rPr>
            </w:pPr>
            <w:r>
              <w:rPr>
                <w:rFonts w:hint="eastAsia"/>
              </w:rPr>
              <w:t>228.17</w:t>
            </w:r>
          </w:p>
        </w:tc>
        <w:tc>
          <w:tcPr>
            <w:tcW w:w="851" w:type="pct"/>
            <w:noWrap/>
            <w:vAlign w:val="center"/>
          </w:tcPr>
          <w:p>
            <w:pPr>
              <w:pStyle w:val="3013"/>
              <w:spacing w:line="240" w:lineRule="exact"/>
              <w:rPr>
                <w:rFonts w:hint="eastAsia"/>
              </w:rPr>
            </w:pPr>
            <w:r>
              <w:rPr>
                <w:rFonts w:hint="eastAsia"/>
              </w:rPr>
              <w:t>0.50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634" w:type="pct"/>
            <w:noWrap/>
            <w:vAlign w:val="center"/>
          </w:tcPr>
          <w:p>
            <w:pPr>
              <w:pStyle w:val="3013"/>
              <w:spacing w:line="240" w:lineRule="exact"/>
              <w:rPr>
                <w:rFonts w:hint="eastAsia"/>
              </w:rPr>
            </w:pPr>
            <w:r>
              <w:rPr>
                <w:rFonts w:hint="eastAsia"/>
              </w:rPr>
              <w:t>206</w:t>
            </w:r>
          </w:p>
        </w:tc>
        <w:tc>
          <w:tcPr>
            <w:tcW w:w="1586" w:type="pct"/>
            <w:noWrap/>
            <w:vAlign w:val="center"/>
          </w:tcPr>
          <w:p>
            <w:pPr>
              <w:pStyle w:val="3013"/>
              <w:spacing w:line="240" w:lineRule="exact"/>
              <w:rPr>
                <w:rFonts w:hint="eastAsia"/>
              </w:rPr>
            </w:pPr>
          </w:p>
        </w:tc>
        <w:tc>
          <w:tcPr>
            <w:tcW w:w="964" w:type="pct"/>
            <w:noWrap/>
            <w:vAlign w:val="center"/>
          </w:tcPr>
          <w:p>
            <w:pPr>
              <w:pStyle w:val="3013"/>
              <w:spacing w:line="240" w:lineRule="exact"/>
              <w:rPr>
                <w:rFonts w:hint="eastAsia"/>
              </w:rPr>
            </w:pPr>
            <w:r>
              <w:rPr>
                <w:rFonts w:hint="eastAsia"/>
              </w:rPr>
              <w:t>228.56</w:t>
            </w:r>
          </w:p>
        </w:tc>
        <w:tc>
          <w:tcPr>
            <w:tcW w:w="964" w:type="pct"/>
            <w:noWrap/>
            <w:vAlign w:val="center"/>
          </w:tcPr>
          <w:p>
            <w:pPr>
              <w:pStyle w:val="3013"/>
              <w:spacing w:line="240" w:lineRule="exact"/>
              <w:rPr>
                <w:rFonts w:hint="eastAsia"/>
              </w:rPr>
            </w:pPr>
            <w:r>
              <w:rPr>
                <w:rFonts w:hint="eastAsia"/>
              </w:rPr>
              <w:t>228.04</w:t>
            </w:r>
          </w:p>
        </w:tc>
        <w:tc>
          <w:tcPr>
            <w:tcW w:w="851" w:type="pct"/>
            <w:noWrap/>
            <w:vAlign w:val="center"/>
          </w:tcPr>
          <w:p>
            <w:pPr>
              <w:pStyle w:val="3013"/>
              <w:spacing w:line="240" w:lineRule="exact"/>
              <w:rPr>
                <w:rFonts w:hint="eastAsia"/>
              </w:rPr>
            </w:pPr>
            <w:r>
              <w:rPr>
                <w:rFonts w:hint="eastAsia"/>
              </w:rPr>
              <w:t>0.51</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634" w:type="pct"/>
            <w:noWrap/>
            <w:vAlign w:val="center"/>
          </w:tcPr>
          <w:p>
            <w:pPr>
              <w:pStyle w:val="3013"/>
              <w:spacing w:line="240" w:lineRule="exact"/>
              <w:rPr>
                <w:rFonts w:hint="eastAsia"/>
              </w:rPr>
            </w:pPr>
            <w:r>
              <w:rPr>
                <w:rFonts w:hint="eastAsia"/>
              </w:rPr>
              <w:t>379</w:t>
            </w:r>
          </w:p>
        </w:tc>
        <w:tc>
          <w:tcPr>
            <w:tcW w:w="1586" w:type="pct"/>
            <w:noWrap/>
            <w:vAlign w:val="center"/>
          </w:tcPr>
          <w:p>
            <w:pPr>
              <w:pStyle w:val="3013"/>
              <w:spacing w:line="240" w:lineRule="exact"/>
              <w:rPr>
                <w:rFonts w:hint="eastAsia"/>
              </w:rPr>
            </w:pPr>
            <w:r>
              <w:rPr>
                <w:rFonts w:hint="eastAsia"/>
              </w:rPr>
              <w:t>古南水文站右岸</w:t>
            </w:r>
          </w:p>
        </w:tc>
        <w:tc>
          <w:tcPr>
            <w:tcW w:w="964" w:type="pct"/>
            <w:noWrap/>
            <w:vAlign w:val="center"/>
          </w:tcPr>
          <w:p>
            <w:pPr>
              <w:pStyle w:val="3013"/>
              <w:spacing w:line="240" w:lineRule="exact"/>
              <w:rPr>
                <w:rFonts w:hint="eastAsia"/>
              </w:rPr>
            </w:pPr>
            <w:r>
              <w:rPr>
                <w:rFonts w:hint="eastAsia"/>
              </w:rPr>
              <w:t>228.49</w:t>
            </w:r>
          </w:p>
        </w:tc>
        <w:tc>
          <w:tcPr>
            <w:tcW w:w="964" w:type="pct"/>
            <w:noWrap/>
            <w:vAlign w:val="center"/>
          </w:tcPr>
          <w:p>
            <w:pPr>
              <w:pStyle w:val="3013"/>
              <w:spacing w:line="240" w:lineRule="exact"/>
              <w:rPr>
                <w:rFonts w:hint="eastAsia"/>
              </w:rPr>
            </w:pPr>
            <w:r>
              <w:rPr>
                <w:rFonts w:hint="eastAsia"/>
              </w:rPr>
              <w:t>227.96</w:t>
            </w:r>
          </w:p>
        </w:tc>
        <w:tc>
          <w:tcPr>
            <w:tcW w:w="851" w:type="pct"/>
            <w:noWrap/>
            <w:vAlign w:val="center"/>
          </w:tcPr>
          <w:p>
            <w:pPr>
              <w:pStyle w:val="3013"/>
              <w:spacing w:line="240" w:lineRule="exact"/>
              <w:rPr>
                <w:rFonts w:hint="eastAsia"/>
              </w:rPr>
            </w:pPr>
            <w:r>
              <w:rPr>
                <w:rFonts w:hint="eastAsia"/>
              </w:rPr>
              <w:t>0.53</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634" w:type="pct"/>
            <w:noWrap/>
            <w:vAlign w:val="center"/>
          </w:tcPr>
          <w:p>
            <w:pPr>
              <w:pStyle w:val="3013"/>
              <w:spacing w:line="240" w:lineRule="exact"/>
              <w:rPr>
                <w:rFonts w:hint="eastAsia"/>
              </w:rPr>
            </w:pPr>
            <w:r>
              <w:rPr>
                <w:rFonts w:hint="eastAsia"/>
              </w:rPr>
              <w:t>475</w:t>
            </w:r>
          </w:p>
        </w:tc>
        <w:tc>
          <w:tcPr>
            <w:tcW w:w="1586" w:type="pct"/>
            <w:noWrap/>
            <w:vAlign w:val="center"/>
          </w:tcPr>
          <w:p>
            <w:pPr>
              <w:pStyle w:val="3013"/>
              <w:spacing w:line="240" w:lineRule="exact"/>
              <w:rPr>
                <w:rFonts w:hint="eastAsia"/>
              </w:rPr>
            </w:pPr>
            <w:r>
              <w:rPr>
                <w:rFonts w:hint="eastAsia"/>
              </w:rPr>
              <w:t>重庆石化黄木湾加油站</w:t>
            </w:r>
          </w:p>
        </w:tc>
        <w:tc>
          <w:tcPr>
            <w:tcW w:w="964" w:type="pct"/>
            <w:noWrap/>
            <w:vAlign w:val="center"/>
          </w:tcPr>
          <w:p>
            <w:pPr>
              <w:pStyle w:val="3013"/>
              <w:spacing w:line="240" w:lineRule="exact"/>
              <w:rPr>
                <w:rFonts w:hint="eastAsia"/>
              </w:rPr>
            </w:pPr>
            <w:r>
              <w:rPr>
                <w:rFonts w:hint="eastAsia"/>
              </w:rPr>
              <w:t>228.45</w:t>
            </w:r>
          </w:p>
        </w:tc>
        <w:tc>
          <w:tcPr>
            <w:tcW w:w="964" w:type="pct"/>
            <w:noWrap/>
            <w:vAlign w:val="center"/>
          </w:tcPr>
          <w:p>
            <w:pPr>
              <w:pStyle w:val="3013"/>
              <w:spacing w:line="240" w:lineRule="exact"/>
              <w:rPr>
                <w:rFonts w:hint="eastAsia"/>
              </w:rPr>
            </w:pPr>
            <w:r>
              <w:rPr>
                <w:rFonts w:hint="eastAsia"/>
              </w:rPr>
              <w:t>227.91</w:t>
            </w:r>
          </w:p>
        </w:tc>
        <w:tc>
          <w:tcPr>
            <w:tcW w:w="851" w:type="pct"/>
            <w:noWrap/>
            <w:vAlign w:val="center"/>
          </w:tcPr>
          <w:p>
            <w:pPr>
              <w:pStyle w:val="3013"/>
              <w:spacing w:line="240" w:lineRule="exact"/>
              <w:rPr>
                <w:rFonts w:hint="eastAsia"/>
              </w:rPr>
            </w:pPr>
            <w:r>
              <w:rPr>
                <w:rFonts w:hint="eastAsia"/>
              </w:rPr>
              <w:t>0.53</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634" w:type="pct"/>
            <w:noWrap/>
            <w:vAlign w:val="center"/>
          </w:tcPr>
          <w:p>
            <w:pPr>
              <w:pStyle w:val="3013"/>
              <w:spacing w:line="240" w:lineRule="exact"/>
              <w:rPr>
                <w:rFonts w:hint="eastAsia"/>
              </w:rPr>
            </w:pPr>
            <w:r>
              <w:rPr>
                <w:rFonts w:hint="eastAsia"/>
              </w:rPr>
              <w:t>630</w:t>
            </w:r>
          </w:p>
        </w:tc>
        <w:tc>
          <w:tcPr>
            <w:tcW w:w="1586" w:type="pct"/>
            <w:noWrap/>
            <w:vAlign w:val="center"/>
          </w:tcPr>
          <w:p>
            <w:pPr>
              <w:pStyle w:val="3013"/>
              <w:spacing w:line="240" w:lineRule="exact"/>
              <w:rPr>
                <w:rFonts w:hint="eastAsia"/>
              </w:rPr>
            </w:pPr>
            <w:r>
              <w:rPr>
                <w:rFonts w:hint="eastAsia"/>
              </w:rPr>
              <w:t>黄木湾路公厕</w:t>
            </w:r>
          </w:p>
        </w:tc>
        <w:tc>
          <w:tcPr>
            <w:tcW w:w="964" w:type="pct"/>
            <w:noWrap/>
            <w:vAlign w:val="center"/>
          </w:tcPr>
          <w:p>
            <w:pPr>
              <w:pStyle w:val="3013"/>
              <w:spacing w:line="240" w:lineRule="exact"/>
              <w:rPr>
                <w:rFonts w:hint="eastAsia"/>
              </w:rPr>
            </w:pPr>
            <w:r>
              <w:rPr>
                <w:rFonts w:hint="eastAsia"/>
              </w:rPr>
              <w:t>228.38</w:t>
            </w:r>
          </w:p>
        </w:tc>
        <w:tc>
          <w:tcPr>
            <w:tcW w:w="964" w:type="pct"/>
            <w:noWrap/>
            <w:vAlign w:val="center"/>
          </w:tcPr>
          <w:p>
            <w:pPr>
              <w:pStyle w:val="3013"/>
              <w:spacing w:line="240" w:lineRule="exact"/>
              <w:rPr>
                <w:rFonts w:hint="eastAsia"/>
              </w:rPr>
            </w:pPr>
            <w:r>
              <w:rPr>
                <w:rFonts w:hint="eastAsia"/>
              </w:rPr>
              <w:t>227.84</w:t>
            </w:r>
          </w:p>
        </w:tc>
        <w:tc>
          <w:tcPr>
            <w:tcW w:w="851" w:type="pct"/>
            <w:noWrap/>
            <w:vAlign w:val="center"/>
          </w:tcPr>
          <w:p>
            <w:pPr>
              <w:pStyle w:val="3013"/>
              <w:spacing w:line="240" w:lineRule="exact"/>
              <w:rPr>
                <w:rFonts w:hint="eastAsia"/>
              </w:rPr>
            </w:pPr>
            <w:r>
              <w:rPr>
                <w:rFonts w:hint="eastAsia"/>
              </w:rPr>
              <w:t>0.54</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634" w:type="pct"/>
            <w:noWrap/>
            <w:vAlign w:val="center"/>
          </w:tcPr>
          <w:p>
            <w:pPr>
              <w:pStyle w:val="3013"/>
              <w:spacing w:line="240" w:lineRule="exact"/>
              <w:rPr>
                <w:rFonts w:hint="eastAsia"/>
              </w:rPr>
            </w:pPr>
            <w:r>
              <w:rPr>
                <w:rFonts w:hint="eastAsia"/>
              </w:rPr>
              <w:t>977</w:t>
            </w:r>
          </w:p>
        </w:tc>
        <w:tc>
          <w:tcPr>
            <w:tcW w:w="1586" w:type="pct"/>
            <w:noWrap/>
            <w:vAlign w:val="center"/>
          </w:tcPr>
          <w:p>
            <w:pPr>
              <w:pStyle w:val="3013"/>
              <w:spacing w:line="240" w:lineRule="exact"/>
              <w:rPr>
                <w:rFonts w:hint="eastAsia"/>
              </w:rPr>
            </w:pPr>
          </w:p>
        </w:tc>
        <w:tc>
          <w:tcPr>
            <w:tcW w:w="964" w:type="pct"/>
            <w:noWrap/>
            <w:vAlign w:val="center"/>
          </w:tcPr>
          <w:p>
            <w:pPr>
              <w:pStyle w:val="3013"/>
              <w:spacing w:line="240" w:lineRule="exact"/>
              <w:rPr>
                <w:rFonts w:hint="eastAsia"/>
              </w:rPr>
            </w:pPr>
            <w:r>
              <w:rPr>
                <w:rFonts w:hint="eastAsia"/>
              </w:rPr>
              <w:t>228.07</w:t>
            </w:r>
          </w:p>
        </w:tc>
        <w:tc>
          <w:tcPr>
            <w:tcW w:w="964" w:type="pct"/>
            <w:noWrap/>
            <w:vAlign w:val="center"/>
          </w:tcPr>
          <w:p>
            <w:pPr>
              <w:pStyle w:val="3013"/>
              <w:spacing w:line="240" w:lineRule="exact"/>
              <w:rPr>
                <w:rFonts w:hint="eastAsia"/>
              </w:rPr>
            </w:pPr>
            <w:r>
              <w:rPr>
                <w:rFonts w:hint="eastAsia"/>
              </w:rPr>
              <w:t>227.48</w:t>
            </w:r>
          </w:p>
        </w:tc>
        <w:tc>
          <w:tcPr>
            <w:tcW w:w="851" w:type="pct"/>
            <w:noWrap/>
            <w:vAlign w:val="center"/>
          </w:tcPr>
          <w:p>
            <w:pPr>
              <w:pStyle w:val="3013"/>
              <w:spacing w:line="240" w:lineRule="exact"/>
              <w:rPr>
                <w:rFonts w:hint="eastAsia"/>
              </w:rPr>
            </w:pPr>
            <w:r>
              <w:rPr>
                <w:rFonts w:hint="eastAsia"/>
              </w:rPr>
              <w:t>0.59</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634" w:type="pct"/>
            <w:noWrap/>
            <w:vAlign w:val="center"/>
          </w:tcPr>
          <w:p>
            <w:pPr>
              <w:pStyle w:val="3013"/>
              <w:spacing w:line="240" w:lineRule="exact"/>
              <w:rPr>
                <w:rFonts w:hint="eastAsia"/>
              </w:rPr>
            </w:pPr>
            <w:r>
              <w:rPr>
                <w:rFonts w:hint="eastAsia"/>
              </w:rPr>
              <w:t>1007</w:t>
            </w:r>
          </w:p>
        </w:tc>
        <w:tc>
          <w:tcPr>
            <w:tcW w:w="1586" w:type="pct"/>
            <w:noWrap/>
            <w:vAlign w:val="center"/>
          </w:tcPr>
          <w:p>
            <w:pPr>
              <w:pStyle w:val="3013"/>
              <w:spacing w:line="240" w:lineRule="exact"/>
              <w:rPr>
                <w:rFonts w:hint="eastAsia"/>
              </w:rPr>
            </w:pPr>
            <w:r>
              <w:rPr>
                <w:rFonts w:hint="eastAsia"/>
              </w:rPr>
              <w:t>綦江久平汽车售后服务部</w:t>
            </w:r>
          </w:p>
        </w:tc>
        <w:tc>
          <w:tcPr>
            <w:tcW w:w="964" w:type="pct"/>
            <w:noWrap/>
            <w:vAlign w:val="center"/>
          </w:tcPr>
          <w:p>
            <w:pPr>
              <w:pStyle w:val="3013"/>
              <w:spacing w:line="240" w:lineRule="exact"/>
              <w:rPr>
                <w:rFonts w:hint="eastAsia"/>
              </w:rPr>
            </w:pPr>
            <w:r>
              <w:rPr>
                <w:rFonts w:hint="eastAsia"/>
              </w:rPr>
              <w:t>228.03</w:t>
            </w:r>
          </w:p>
        </w:tc>
        <w:tc>
          <w:tcPr>
            <w:tcW w:w="964" w:type="pct"/>
            <w:noWrap/>
            <w:vAlign w:val="center"/>
          </w:tcPr>
          <w:p>
            <w:pPr>
              <w:pStyle w:val="3013"/>
              <w:spacing w:line="240" w:lineRule="exact"/>
              <w:rPr>
                <w:rFonts w:hint="eastAsia"/>
              </w:rPr>
            </w:pPr>
            <w:r>
              <w:rPr>
                <w:rFonts w:hint="eastAsia"/>
              </w:rPr>
              <w:t>227.44</w:t>
            </w:r>
          </w:p>
        </w:tc>
        <w:tc>
          <w:tcPr>
            <w:tcW w:w="851" w:type="pct"/>
            <w:noWrap/>
            <w:vAlign w:val="center"/>
          </w:tcPr>
          <w:p>
            <w:pPr>
              <w:pStyle w:val="3013"/>
              <w:spacing w:line="240" w:lineRule="exact"/>
              <w:rPr>
                <w:rFonts w:hint="eastAsia"/>
              </w:rPr>
            </w:pPr>
            <w:r>
              <w:rPr>
                <w:rFonts w:hint="eastAsia"/>
              </w:rPr>
              <w:t>0.59</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634" w:type="pct"/>
            <w:noWrap/>
            <w:vAlign w:val="center"/>
          </w:tcPr>
          <w:p>
            <w:pPr>
              <w:pStyle w:val="3013"/>
              <w:spacing w:line="240" w:lineRule="exact"/>
              <w:rPr>
                <w:rFonts w:hint="eastAsia"/>
              </w:rPr>
            </w:pPr>
            <w:r>
              <w:rPr>
                <w:rFonts w:hint="eastAsia"/>
              </w:rPr>
              <w:t>1234</w:t>
            </w:r>
          </w:p>
        </w:tc>
        <w:tc>
          <w:tcPr>
            <w:tcW w:w="1586" w:type="pct"/>
            <w:noWrap/>
            <w:vAlign w:val="center"/>
          </w:tcPr>
          <w:p>
            <w:pPr>
              <w:pStyle w:val="3013"/>
              <w:spacing w:line="240" w:lineRule="exact"/>
              <w:rPr>
                <w:rFonts w:hint="eastAsia"/>
              </w:rPr>
            </w:pPr>
          </w:p>
        </w:tc>
        <w:tc>
          <w:tcPr>
            <w:tcW w:w="964" w:type="pct"/>
            <w:noWrap w:val="0"/>
            <w:vAlign w:val="center"/>
          </w:tcPr>
          <w:p>
            <w:pPr>
              <w:pStyle w:val="3013"/>
              <w:spacing w:line="240" w:lineRule="exact"/>
              <w:rPr>
                <w:rFonts w:hint="eastAsia"/>
              </w:rPr>
            </w:pPr>
            <w:r>
              <w:rPr>
                <w:rFonts w:hint="eastAsia"/>
              </w:rPr>
              <w:t>227.75</w:t>
            </w:r>
          </w:p>
        </w:tc>
        <w:tc>
          <w:tcPr>
            <w:tcW w:w="964" w:type="pct"/>
            <w:noWrap w:val="0"/>
            <w:vAlign w:val="center"/>
          </w:tcPr>
          <w:p>
            <w:pPr>
              <w:pStyle w:val="3013"/>
              <w:spacing w:line="240" w:lineRule="exact"/>
              <w:rPr>
                <w:rFonts w:hint="eastAsia"/>
              </w:rPr>
            </w:pPr>
            <w:r>
              <w:rPr>
                <w:rFonts w:hint="eastAsia"/>
              </w:rPr>
              <w:t>227.10</w:t>
            </w:r>
          </w:p>
        </w:tc>
        <w:tc>
          <w:tcPr>
            <w:tcW w:w="851" w:type="pct"/>
            <w:noWrap/>
            <w:vAlign w:val="center"/>
          </w:tcPr>
          <w:p>
            <w:pPr>
              <w:pStyle w:val="3013"/>
              <w:spacing w:line="240" w:lineRule="exact"/>
              <w:rPr>
                <w:rFonts w:hint="eastAsia"/>
              </w:rPr>
            </w:pPr>
            <w:r>
              <w:rPr>
                <w:rFonts w:hint="eastAsia"/>
              </w:rPr>
              <w:t>0.64</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634" w:type="pct"/>
            <w:noWrap/>
            <w:vAlign w:val="center"/>
          </w:tcPr>
          <w:p>
            <w:pPr>
              <w:pStyle w:val="3013"/>
              <w:spacing w:line="240" w:lineRule="exact"/>
              <w:rPr>
                <w:rFonts w:hint="eastAsia"/>
              </w:rPr>
            </w:pPr>
            <w:r>
              <w:rPr>
                <w:rFonts w:hint="eastAsia"/>
              </w:rPr>
              <w:t>1324</w:t>
            </w:r>
          </w:p>
        </w:tc>
        <w:tc>
          <w:tcPr>
            <w:tcW w:w="1586" w:type="pct"/>
            <w:noWrap/>
            <w:vAlign w:val="center"/>
          </w:tcPr>
          <w:p>
            <w:pPr>
              <w:pStyle w:val="3013"/>
              <w:spacing w:line="240" w:lineRule="exact"/>
              <w:rPr>
                <w:rFonts w:hint="eastAsia"/>
              </w:rPr>
            </w:pPr>
            <w:r>
              <w:rPr>
                <w:rFonts w:hint="eastAsia"/>
              </w:rPr>
              <w:t>沱湾大桥</w:t>
            </w:r>
          </w:p>
        </w:tc>
        <w:tc>
          <w:tcPr>
            <w:tcW w:w="964" w:type="pct"/>
            <w:noWrap/>
            <w:vAlign w:val="center"/>
          </w:tcPr>
          <w:p>
            <w:pPr>
              <w:pStyle w:val="3013"/>
              <w:spacing w:line="240" w:lineRule="exact"/>
              <w:rPr>
                <w:rFonts w:hint="eastAsia"/>
              </w:rPr>
            </w:pPr>
            <w:r>
              <w:rPr>
                <w:rFonts w:hint="eastAsia"/>
              </w:rPr>
              <w:t>227.63</w:t>
            </w:r>
          </w:p>
        </w:tc>
        <w:tc>
          <w:tcPr>
            <w:tcW w:w="964" w:type="pct"/>
            <w:noWrap/>
            <w:vAlign w:val="center"/>
          </w:tcPr>
          <w:p>
            <w:pPr>
              <w:pStyle w:val="3013"/>
              <w:spacing w:line="240" w:lineRule="exact"/>
              <w:rPr>
                <w:rFonts w:hint="eastAsia"/>
              </w:rPr>
            </w:pPr>
            <w:r>
              <w:rPr>
                <w:rFonts w:hint="eastAsia"/>
              </w:rPr>
              <w:t>226.97</w:t>
            </w:r>
          </w:p>
        </w:tc>
        <w:tc>
          <w:tcPr>
            <w:tcW w:w="851" w:type="pct"/>
            <w:noWrap/>
            <w:vAlign w:val="center"/>
          </w:tcPr>
          <w:p>
            <w:pPr>
              <w:pStyle w:val="3013"/>
              <w:spacing w:line="240" w:lineRule="exact"/>
              <w:rPr>
                <w:rFonts w:hint="eastAsia"/>
              </w:rPr>
            </w:pPr>
            <w:r>
              <w:rPr>
                <w:rFonts w:hint="eastAsia"/>
              </w:rPr>
              <w:t>0.66</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634" w:type="pct"/>
            <w:noWrap/>
            <w:vAlign w:val="center"/>
          </w:tcPr>
          <w:p>
            <w:pPr>
              <w:pStyle w:val="3013"/>
              <w:spacing w:line="240" w:lineRule="exact"/>
              <w:rPr>
                <w:rFonts w:hint="eastAsia"/>
              </w:rPr>
            </w:pPr>
            <w:r>
              <w:rPr>
                <w:rFonts w:hint="eastAsia"/>
              </w:rPr>
              <w:t>1425</w:t>
            </w:r>
          </w:p>
        </w:tc>
        <w:tc>
          <w:tcPr>
            <w:tcW w:w="1586" w:type="pct"/>
            <w:noWrap/>
            <w:vAlign w:val="center"/>
          </w:tcPr>
          <w:p>
            <w:pPr>
              <w:pStyle w:val="3013"/>
              <w:spacing w:line="240" w:lineRule="exact"/>
              <w:rPr>
                <w:rFonts w:hint="eastAsia"/>
              </w:rPr>
            </w:pPr>
          </w:p>
        </w:tc>
        <w:tc>
          <w:tcPr>
            <w:tcW w:w="964" w:type="pct"/>
            <w:noWrap/>
            <w:vAlign w:val="center"/>
          </w:tcPr>
          <w:p>
            <w:pPr>
              <w:pStyle w:val="3013"/>
              <w:spacing w:line="240" w:lineRule="exact"/>
              <w:rPr>
                <w:rFonts w:hint="eastAsia"/>
              </w:rPr>
            </w:pPr>
            <w:r>
              <w:rPr>
                <w:rFonts w:hint="eastAsia"/>
              </w:rPr>
              <w:t>227.57</w:t>
            </w:r>
          </w:p>
        </w:tc>
        <w:tc>
          <w:tcPr>
            <w:tcW w:w="964" w:type="pct"/>
            <w:noWrap/>
            <w:vAlign w:val="center"/>
          </w:tcPr>
          <w:p>
            <w:pPr>
              <w:pStyle w:val="3013"/>
              <w:spacing w:line="240" w:lineRule="exact"/>
              <w:rPr>
                <w:rFonts w:hint="eastAsia"/>
              </w:rPr>
            </w:pPr>
            <w:r>
              <w:rPr>
                <w:rFonts w:hint="eastAsia"/>
              </w:rPr>
              <w:t>226.93</w:t>
            </w:r>
          </w:p>
        </w:tc>
        <w:tc>
          <w:tcPr>
            <w:tcW w:w="851" w:type="pct"/>
            <w:noWrap/>
            <w:vAlign w:val="center"/>
          </w:tcPr>
          <w:p>
            <w:pPr>
              <w:pStyle w:val="3013"/>
              <w:spacing w:line="240" w:lineRule="exact"/>
              <w:rPr>
                <w:rFonts w:hint="eastAsia"/>
              </w:rPr>
            </w:pPr>
            <w:r>
              <w:rPr>
                <w:rFonts w:hint="eastAsia"/>
              </w:rPr>
              <w:t>0.64</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634" w:type="pct"/>
            <w:noWrap/>
            <w:vAlign w:val="center"/>
          </w:tcPr>
          <w:p>
            <w:pPr>
              <w:pStyle w:val="3013"/>
              <w:spacing w:line="240" w:lineRule="exact"/>
              <w:rPr>
                <w:rFonts w:hint="eastAsia"/>
              </w:rPr>
            </w:pPr>
            <w:r>
              <w:rPr>
                <w:rFonts w:hint="eastAsia"/>
              </w:rPr>
              <w:t>1603</w:t>
            </w:r>
          </w:p>
        </w:tc>
        <w:tc>
          <w:tcPr>
            <w:tcW w:w="1586" w:type="pct"/>
            <w:noWrap/>
            <w:vAlign w:val="center"/>
          </w:tcPr>
          <w:p>
            <w:pPr>
              <w:pStyle w:val="3013"/>
              <w:spacing w:line="240" w:lineRule="exact"/>
              <w:rPr>
                <w:rFonts w:hint="eastAsia"/>
              </w:rPr>
            </w:pPr>
            <w:r>
              <w:rPr>
                <w:rFonts w:hint="eastAsia"/>
              </w:rPr>
              <w:t>交警队</w:t>
            </w:r>
          </w:p>
        </w:tc>
        <w:tc>
          <w:tcPr>
            <w:tcW w:w="964" w:type="pct"/>
            <w:noWrap w:val="0"/>
            <w:vAlign w:val="center"/>
          </w:tcPr>
          <w:p>
            <w:pPr>
              <w:pStyle w:val="3013"/>
              <w:spacing w:line="240" w:lineRule="exact"/>
              <w:rPr>
                <w:rFonts w:hint="eastAsia"/>
              </w:rPr>
            </w:pPr>
            <w:r>
              <w:rPr>
                <w:rFonts w:hint="eastAsia"/>
              </w:rPr>
              <w:t>227.46</w:t>
            </w:r>
          </w:p>
        </w:tc>
        <w:tc>
          <w:tcPr>
            <w:tcW w:w="964" w:type="pct"/>
            <w:noWrap w:val="0"/>
            <w:vAlign w:val="center"/>
          </w:tcPr>
          <w:p>
            <w:pPr>
              <w:pStyle w:val="3013"/>
              <w:spacing w:line="240" w:lineRule="exact"/>
              <w:rPr>
                <w:rFonts w:hint="eastAsia"/>
              </w:rPr>
            </w:pPr>
            <w:r>
              <w:rPr>
                <w:rFonts w:hint="eastAsia"/>
              </w:rPr>
              <w:t>226.85</w:t>
            </w:r>
          </w:p>
        </w:tc>
        <w:tc>
          <w:tcPr>
            <w:tcW w:w="851" w:type="pct"/>
            <w:noWrap/>
            <w:vAlign w:val="center"/>
          </w:tcPr>
          <w:p>
            <w:pPr>
              <w:pStyle w:val="3013"/>
              <w:spacing w:line="240" w:lineRule="exact"/>
              <w:rPr>
                <w:rFonts w:hint="eastAsia"/>
              </w:rPr>
            </w:pPr>
            <w:r>
              <w:rPr>
                <w:rFonts w:hint="eastAsia"/>
              </w:rPr>
              <w:t>0.60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634" w:type="pct"/>
            <w:noWrap/>
            <w:vAlign w:val="center"/>
          </w:tcPr>
          <w:p>
            <w:pPr>
              <w:pStyle w:val="3013"/>
              <w:spacing w:line="240" w:lineRule="exact"/>
              <w:rPr>
                <w:rFonts w:hint="eastAsia"/>
              </w:rPr>
            </w:pPr>
            <w:r>
              <w:rPr>
                <w:rFonts w:hint="eastAsia"/>
              </w:rPr>
              <w:t>1738</w:t>
            </w:r>
          </w:p>
        </w:tc>
        <w:tc>
          <w:tcPr>
            <w:tcW w:w="1586" w:type="pct"/>
            <w:noWrap/>
            <w:vAlign w:val="center"/>
          </w:tcPr>
          <w:p>
            <w:pPr>
              <w:pStyle w:val="3013"/>
              <w:spacing w:line="240" w:lineRule="exact"/>
              <w:rPr>
                <w:rFonts w:hint="eastAsia"/>
              </w:rPr>
            </w:pPr>
          </w:p>
        </w:tc>
        <w:tc>
          <w:tcPr>
            <w:tcW w:w="964" w:type="pct"/>
            <w:noWrap/>
            <w:vAlign w:val="center"/>
          </w:tcPr>
          <w:p>
            <w:pPr>
              <w:pStyle w:val="3013"/>
              <w:spacing w:line="240" w:lineRule="exact"/>
              <w:rPr>
                <w:rFonts w:hint="eastAsia"/>
              </w:rPr>
            </w:pPr>
            <w:r>
              <w:rPr>
                <w:rFonts w:hint="eastAsia"/>
              </w:rPr>
              <w:t>227.37</w:t>
            </w:r>
          </w:p>
        </w:tc>
        <w:tc>
          <w:tcPr>
            <w:tcW w:w="964" w:type="pct"/>
            <w:noWrap/>
            <w:vAlign w:val="center"/>
          </w:tcPr>
          <w:p>
            <w:pPr>
              <w:pStyle w:val="3013"/>
              <w:spacing w:line="240" w:lineRule="exact"/>
              <w:rPr>
                <w:rFonts w:hint="eastAsia"/>
              </w:rPr>
            </w:pPr>
            <w:r>
              <w:rPr>
                <w:rFonts w:hint="eastAsia"/>
              </w:rPr>
              <w:t>226.79</w:t>
            </w:r>
          </w:p>
        </w:tc>
        <w:tc>
          <w:tcPr>
            <w:tcW w:w="851" w:type="pct"/>
            <w:noWrap/>
            <w:vAlign w:val="center"/>
          </w:tcPr>
          <w:p>
            <w:pPr>
              <w:pStyle w:val="3013"/>
              <w:spacing w:line="240" w:lineRule="exact"/>
              <w:rPr>
                <w:rFonts w:hint="eastAsia"/>
              </w:rPr>
            </w:pPr>
            <w:r>
              <w:rPr>
                <w:rFonts w:hint="eastAsia"/>
              </w:rPr>
              <w:t>0.58</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634" w:type="pct"/>
            <w:noWrap/>
            <w:vAlign w:val="center"/>
          </w:tcPr>
          <w:p>
            <w:pPr>
              <w:pStyle w:val="3013"/>
              <w:spacing w:line="240" w:lineRule="exact"/>
              <w:rPr>
                <w:rFonts w:hint="eastAsia"/>
              </w:rPr>
            </w:pPr>
            <w:r>
              <w:rPr>
                <w:rFonts w:hint="eastAsia"/>
              </w:rPr>
              <w:t>2085</w:t>
            </w:r>
          </w:p>
        </w:tc>
        <w:tc>
          <w:tcPr>
            <w:tcW w:w="1586" w:type="pct"/>
            <w:noWrap/>
            <w:vAlign w:val="center"/>
          </w:tcPr>
          <w:p>
            <w:pPr>
              <w:pStyle w:val="3013"/>
              <w:spacing w:line="240" w:lineRule="exact"/>
              <w:rPr>
                <w:rFonts w:hint="eastAsia"/>
              </w:rPr>
            </w:pPr>
          </w:p>
        </w:tc>
        <w:tc>
          <w:tcPr>
            <w:tcW w:w="964" w:type="pct"/>
            <w:noWrap/>
            <w:vAlign w:val="center"/>
          </w:tcPr>
          <w:p>
            <w:pPr>
              <w:pStyle w:val="3013"/>
              <w:spacing w:line="240" w:lineRule="exact"/>
              <w:rPr>
                <w:rFonts w:hint="eastAsia"/>
              </w:rPr>
            </w:pPr>
            <w:r>
              <w:rPr>
                <w:rFonts w:hint="eastAsia"/>
              </w:rPr>
              <w:t>227.21</w:t>
            </w:r>
          </w:p>
        </w:tc>
        <w:tc>
          <w:tcPr>
            <w:tcW w:w="964" w:type="pct"/>
            <w:noWrap/>
            <w:vAlign w:val="center"/>
          </w:tcPr>
          <w:p>
            <w:pPr>
              <w:pStyle w:val="3013"/>
              <w:spacing w:line="240" w:lineRule="exact"/>
              <w:rPr>
                <w:rFonts w:hint="eastAsia"/>
              </w:rPr>
            </w:pPr>
            <w:r>
              <w:rPr>
                <w:rFonts w:hint="eastAsia"/>
              </w:rPr>
              <w:t>226.71</w:t>
            </w:r>
          </w:p>
        </w:tc>
        <w:tc>
          <w:tcPr>
            <w:tcW w:w="851" w:type="pct"/>
            <w:noWrap/>
            <w:vAlign w:val="center"/>
          </w:tcPr>
          <w:p>
            <w:pPr>
              <w:pStyle w:val="3013"/>
              <w:spacing w:line="240" w:lineRule="exact"/>
              <w:rPr>
                <w:rFonts w:hint="eastAsia"/>
              </w:rPr>
            </w:pPr>
            <w:r>
              <w:rPr>
                <w:rFonts w:hint="eastAsia"/>
              </w:rPr>
              <w:t>0.50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634" w:type="pct"/>
            <w:noWrap/>
            <w:vAlign w:val="center"/>
          </w:tcPr>
          <w:p>
            <w:pPr>
              <w:pStyle w:val="3013"/>
              <w:spacing w:line="240" w:lineRule="exact"/>
              <w:rPr>
                <w:rFonts w:hint="eastAsia"/>
              </w:rPr>
            </w:pPr>
            <w:r>
              <w:rPr>
                <w:rFonts w:hint="eastAsia"/>
              </w:rPr>
              <w:t>2151</w:t>
            </w:r>
          </w:p>
        </w:tc>
        <w:tc>
          <w:tcPr>
            <w:tcW w:w="1586" w:type="pct"/>
            <w:noWrap/>
            <w:vAlign w:val="center"/>
          </w:tcPr>
          <w:p>
            <w:pPr>
              <w:pStyle w:val="3013"/>
              <w:spacing w:line="240" w:lineRule="exact"/>
              <w:rPr>
                <w:rFonts w:hint="eastAsia"/>
              </w:rPr>
            </w:pPr>
            <w:r>
              <w:rPr>
                <w:rFonts w:hint="eastAsia"/>
              </w:rPr>
              <w:t>彩虹桥</w:t>
            </w:r>
          </w:p>
        </w:tc>
        <w:tc>
          <w:tcPr>
            <w:tcW w:w="964" w:type="pct"/>
            <w:noWrap/>
            <w:vAlign w:val="center"/>
          </w:tcPr>
          <w:p>
            <w:pPr>
              <w:pStyle w:val="3013"/>
              <w:spacing w:line="240" w:lineRule="exact"/>
              <w:rPr>
                <w:rFonts w:hint="eastAsia"/>
              </w:rPr>
            </w:pPr>
            <w:r>
              <w:rPr>
                <w:rFonts w:hint="eastAsia"/>
              </w:rPr>
              <w:t>227.19</w:t>
            </w:r>
          </w:p>
        </w:tc>
        <w:tc>
          <w:tcPr>
            <w:tcW w:w="964" w:type="pct"/>
            <w:noWrap/>
            <w:vAlign w:val="center"/>
          </w:tcPr>
          <w:p>
            <w:pPr>
              <w:pStyle w:val="3013"/>
              <w:spacing w:line="240" w:lineRule="exact"/>
              <w:rPr>
                <w:rFonts w:hint="eastAsia"/>
              </w:rPr>
            </w:pPr>
            <w:r>
              <w:rPr>
                <w:rFonts w:hint="eastAsia"/>
              </w:rPr>
              <w:t>226.70</w:t>
            </w:r>
          </w:p>
        </w:tc>
        <w:tc>
          <w:tcPr>
            <w:tcW w:w="851" w:type="pct"/>
            <w:noWrap/>
            <w:vAlign w:val="center"/>
          </w:tcPr>
          <w:p>
            <w:pPr>
              <w:pStyle w:val="3013"/>
              <w:spacing w:line="240" w:lineRule="exact"/>
              <w:rPr>
                <w:rFonts w:hint="eastAsia"/>
              </w:rPr>
            </w:pPr>
            <w:r>
              <w:rPr>
                <w:rFonts w:hint="eastAsia"/>
              </w:rPr>
              <w:t>0.49</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634" w:type="pct"/>
            <w:noWrap/>
            <w:vAlign w:val="center"/>
          </w:tcPr>
          <w:p>
            <w:pPr>
              <w:pStyle w:val="3013"/>
              <w:spacing w:line="240" w:lineRule="exact"/>
              <w:rPr>
                <w:rFonts w:hint="eastAsia"/>
              </w:rPr>
            </w:pPr>
            <w:r>
              <w:rPr>
                <w:rFonts w:hint="eastAsia"/>
              </w:rPr>
              <w:t>2202</w:t>
            </w:r>
          </w:p>
        </w:tc>
        <w:tc>
          <w:tcPr>
            <w:tcW w:w="1586" w:type="pct"/>
            <w:noWrap/>
            <w:vAlign w:val="center"/>
          </w:tcPr>
          <w:p>
            <w:pPr>
              <w:pStyle w:val="3013"/>
              <w:spacing w:line="240" w:lineRule="exact"/>
              <w:rPr>
                <w:rFonts w:hint="eastAsia"/>
              </w:rPr>
            </w:pPr>
            <w:r>
              <w:rPr>
                <w:rFonts w:hint="eastAsia"/>
              </w:rPr>
              <w:t>南门办公楼</w:t>
            </w:r>
          </w:p>
        </w:tc>
        <w:tc>
          <w:tcPr>
            <w:tcW w:w="964" w:type="pct"/>
            <w:noWrap w:val="0"/>
            <w:vAlign w:val="center"/>
          </w:tcPr>
          <w:p>
            <w:pPr>
              <w:pStyle w:val="3013"/>
              <w:spacing w:line="240" w:lineRule="exact"/>
              <w:rPr>
                <w:rFonts w:hint="eastAsia"/>
              </w:rPr>
            </w:pPr>
            <w:r>
              <w:rPr>
                <w:rFonts w:hint="eastAsia"/>
              </w:rPr>
              <w:t>227.16</w:t>
            </w:r>
          </w:p>
        </w:tc>
        <w:tc>
          <w:tcPr>
            <w:tcW w:w="964" w:type="pct"/>
            <w:noWrap w:val="0"/>
            <w:vAlign w:val="center"/>
          </w:tcPr>
          <w:p>
            <w:pPr>
              <w:pStyle w:val="3013"/>
              <w:spacing w:line="240" w:lineRule="exact"/>
              <w:rPr>
                <w:rFonts w:hint="eastAsia"/>
              </w:rPr>
            </w:pPr>
            <w:r>
              <w:rPr>
                <w:rFonts w:hint="eastAsia"/>
              </w:rPr>
              <w:t>226.68</w:t>
            </w:r>
          </w:p>
        </w:tc>
        <w:tc>
          <w:tcPr>
            <w:tcW w:w="851" w:type="pct"/>
            <w:noWrap/>
            <w:vAlign w:val="center"/>
          </w:tcPr>
          <w:p>
            <w:pPr>
              <w:pStyle w:val="3013"/>
              <w:spacing w:line="240" w:lineRule="exact"/>
              <w:rPr>
                <w:rFonts w:hint="eastAsia"/>
              </w:rPr>
            </w:pPr>
            <w:r>
              <w:rPr>
                <w:rFonts w:hint="eastAsia"/>
              </w:rPr>
              <w:t>0.48</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634" w:type="pct"/>
            <w:noWrap/>
            <w:vAlign w:val="center"/>
          </w:tcPr>
          <w:p>
            <w:pPr>
              <w:pStyle w:val="3013"/>
              <w:spacing w:line="240" w:lineRule="exact"/>
              <w:rPr>
                <w:rFonts w:hint="eastAsia"/>
              </w:rPr>
            </w:pPr>
            <w:r>
              <w:rPr>
                <w:rFonts w:hint="eastAsia"/>
              </w:rPr>
              <w:t>2242</w:t>
            </w:r>
          </w:p>
        </w:tc>
        <w:tc>
          <w:tcPr>
            <w:tcW w:w="1586" w:type="pct"/>
            <w:noWrap/>
            <w:vAlign w:val="center"/>
          </w:tcPr>
          <w:p>
            <w:pPr>
              <w:pStyle w:val="3013"/>
              <w:spacing w:line="240" w:lineRule="exact"/>
              <w:rPr>
                <w:rFonts w:hint="eastAsia"/>
              </w:rPr>
            </w:pPr>
          </w:p>
        </w:tc>
        <w:tc>
          <w:tcPr>
            <w:tcW w:w="964" w:type="pct"/>
            <w:noWrap w:val="0"/>
            <w:vAlign w:val="center"/>
          </w:tcPr>
          <w:p>
            <w:pPr>
              <w:pStyle w:val="3013"/>
              <w:spacing w:line="240" w:lineRule="exact"/>
              <w:rPr>
                <w:rFonts w:hint="eastAsia"/>
              </w:rPr>
            </w:pPr>
            <w:r>
              <w:rPr>
                <w:rFonts w:hint="eastAsia"/>
              </w:rPr>
              <w:t>227.14</w:t>
            </w:r>
          </w:p>
        </w:tc>
        <w:tc>
          <w:tcPr>
            <w:tcW w:w="964" w:type="pct"/>
            <w:noWrap w:val="0"/>
            <w:vAlign w:val="center"/>
          </w:tcPr>
          <w:p>
            <w:pPr>
              <w:pStyle w:val="3013"/>
              <w:spacing w:line="240" w:lineRule="exact"/>
              <w:rPr>
                <w:rFonts w:hint="eastAsia"/>
              </w:rPr>
            </w:pPr>
            <w:r>
              <w:rPr>
                <w:rFonts w:hint="eastAsia"/>
              </w:rPr>
              <w:t>226.66</w:t>
            </w:r>
          </w:p>
        </w:tc>
        <w:tc>
          <w:tcPr>
            <w:tcW w:w="851" w:type="pct"/>
            <w:noWrap/>
            <w:vAlign w:val="center"/>
          </w:tcPr>
          <w:p>
            <w:pPr>
              <w:pStyle w:val="3013"/>
              <w:spacing w:line="240" w:lineRule="exact"/>
              <w:rPr>
                <w:rFonts w:hint="eastAsia"/>
              </w:rPr>
            </w:pPr>
            <w:r>
              <w:rPr>
                <w:rFonts w:hint="eastAsia"/>
              </w:rPr>
              <w:t>0.48</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634" w:type="pct"/>
            <w:noWrap/>
            <w:vAlign w:val="center"/>
          </w:tcPr>
          <w:p>
            <w:pPr>
              <w:pStyle w:val="3013"/>
              <w:spacing w:line="240" w:lineRule="exact"/>
              <w:rPr>
                <w:rFonts w:hint="eastAsia"/>
              </w:rPr>
            </w:pPr>
            <w:r>
              <w:rPr>
                <w:rFonts w:hint="eastAsia"/>
              </w:rPr>
              <w:t>2532</w:t>
            </w:r>
          </w:p>
        </w:tc>
        <w:tc>
          <w:tcPr>
            <w:tcW w:w="1586" w:type="pct"/>
            <w:noWrap/>
            <w:vAlign w:val="center"/>
          </w:tcPr>
          <w:p>
            <w:pPr>
              <w:pStyle w:val="3013"/>
              <w:spacing w:line="240" w:lineRule="exact"/>
              <w:rPr>
                <w:rFonts w:hint="eastAsia"/>
              </w:rPr>
            </w:pPr>
            <w:r>
              <w:rPr>
                <w:rFonts w:hint="eastAsia"/>
              </w:rPr>
              <w:t>通惠河口</w:t>
            </w:r>
          </w:p>
        </w:tc>
        <w:tc>
          <w:tcPr>
            <w:tcW w:w="964" w:type="pct"/>
            <w:noWrap/>
            <w:vAlign w:val="center"/>
          </w:tcPr>
          <w:p>
            <w:pPr>
              <w:pStyle w:val="3013"/>
              <w:spacing w:line="240" w:lineRule="exact"/>
              <w:rPr>
                <w:rFonts w:hint="eastAsia"/>
              </w:rPr>
            </w:pPr>
            <w:r>
              <w:rPr>
                <w:rFonts w:hint="eastAsia"/>
              </w:rPr>
              <w:t>227.01</w:t>
            </w:r>
          </w:p>
        </w:tc>
        <w:tc>
          <w:tcPr>
            <w:tcW w:w="964" w:type="pct"/>
            <w:noWrap/>
            <w:vAlign w:val="center"/>
          </w:tcPr>
          <w:p>
            <w:pPr>
              <w:pStyle w:val="3013"/>
              <w:spacing w:line="240" w:lineRule="exact"/>
              <w:rPr>
                <w:rFonts w:hint="eastAsia"/>
              </w:rPr>
            </w:pPr>
            <w:r>
              <w:rPr>
                <w:rFonts w:hint="eastAsia"/>
              </w:rPr>
              <w:t>226.56</w:t>
            </w:r>
          </w:p>
        </w:tc>
        <w:tc>
          <w:tcPr>
            <w:tcW w:w="851" w:type="pct"/>
            <w:noWrap/>
            <w:vAlign w:val="center"/>
          </w:tcPr>
          <w:p>
            <w:pPr>
              <w:pStyle w:val="3013"/>
              <w:spacing w:line="240" w:lineRule="exact"/>
              <w:rPr>
                <w:rFonts w:hint="eastAsia"/>
              </w:rPr>
            </w:pPr>
            <w:r>
              <w:rPr>
                <w:rFonts w:hint="eastAsia"/>
              </w:rPr>
              <w:t>0.45</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634" w:type="pct"/>
            <w:noWrap/>
            <w:vAlign w:val="center"/>
          </w:tcPr>
          <w:p>
            <w:pPr>
              <w:pStyle w:val="3013"/>
              <w:spacing w:line="240" w:lineRule="exact"/>
              <w:rPr>
                <w:rFonts w:hint="eastAsia"/>
              </w:rPr>
            </w:pPr>
            <w:r>
              <w:rPr>
                <w:rFonts w:hint="eastAsia"/>
              </w:rPr>
              <w:t>2589</w:t>
            </w:r>
          </w:p>
        </w:tc>
        <w:tc>
          <w:tcPr>
            <w:tcW w:w="1586" w:type="pct"/>
            <w:noWrap/>
            <w:vAlign w:val="center"/>
          </w:tcPr>
          <w:p>
            <w:pPr>
              <w:pStyle w:val="3013"/>
              <w:spacing w:line="240" w:lineRule="exact"/>
              <w:rPr>
                <w:rFonts w:hint="eastAsia"/>
              </w:rPr>
            </w:pPr>
          </w:p>
        </w:tc>
        <w:tc>
          <w:tcPr>
            <w:tcW w:w="964" w:type="pct"/>
            <w:noWrap/>
            <w:vAlign w:val="center"/>
          </w:tcPr>
          <w:p>
            <w:pPr>
              <w:pStyle w:val="3013"/>
              <w:spacing w:line="240" w:lineRule="exact"/>
              <w:rPr>
                <w:rFonts w:hint="eastAsia"/>
              </w:rPr>
            </w:pPr>
            <w:r>
              <w:rPr>
                <w:rFonts w:hint="eastAsia"/>
              </w:rPr>
              <w:t>226.98</w:t>
            </w:r>
          </w:p>
        </w:tc>
        <w:tc>
          <w:tcPr>
            <w:tcW w:w="964" w:type="pct"/>
            <w:noWrap/>
            <w:vAlign w:val="center"/>
          </w:tcPr>
          <w:p>
            <w:pPr>
              <w:pStyle w:val="3013"/>
              <w:spacing w:line="240" w:lineRule="exact"/>
              <w:rPr>
                <w:rFonts w:hint="eastAsia"/>
              </w:rPr>
            </w:pPr>
            <w:r>
              <w:rPr>
                <w:rFonts w:hint="eastAsia"/>
              </w:rPr>
              <w:t>226.53</w:t>
            </w:r>
          </w:p>
        </w:tc>
        <w:tc>
          <w:tcPr>
            <w:tcW w:w="851" w:type="pct"/>
            <w:noWrap/>
            <w:vAlign w:val="center"/>
          </w:tcPr>
          <w:p>
            <w:pPr>
              <w:pStyle w:val="3013"/>
              <w:spacing w:line="240" w:lineRule="exact"/>
              <w:rPr>
                <w:rFonts w:hint="eastAsia"/>
              </w:rPr>
            </w:pPr>
            <w:r>
              <w:rPr>
                <w:rFonts w:hint="eastAsia"/>
              </w:rPr>
              <w:t>0.45</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634" w:type="pct"/>
            <w:noWrap/>
            <w:vAlign w:val="center"/>
          </w:tcPr>
          <w:p>
            <w:pPr>
              <w:pStyle w:val="3013"/>
              <w:spacing w:line="240" w:lineRule="exact"/>
              <w:rPr>
                <w:rFonts w:hint="eastAsia"/>
              </w:rPr>
            </w:pPr>
            <w:r>
              <w:rPr>
                <w:rFonts w:hint="eastAsia"/>
              </w:rPr>
              <w:t>2689</w:t>
            </w:r>
          </w:p>
        </w:tc>
        <w:tc>
          <w:tcPr>
            <w:tcW w:w="1586" w:type="pct"/>
            <w:noWrap/>
            <w:vAlign w:val="center"/>
          </w:tcPr>
          <w:p>
            <w:pPr>
              <w:pStyle w:val="3013"/>
              <w:spacing w:line="240" w:lineRule="exact"/>
              <w:rPr>
                <w:rFonts w:hint="eastAsia"/>
              </w:rPr>
            </w:pPr>
            <w:r>
              <w:rPr>
                <w:rFonts w:hint="eastAsia"/>
              </w:rPr>
              <w:t>綦江大桥</w:t>
            </w:r>
          </w:p>
        </w:tc>
        <w:tc>
          <w:tcPr>
            <w:tcW w:w="964" w:type="pct"/>
            <w:noWrap/>
            <w:vAlign w:val="center"/>
          </w:tcPr>
          <w:p>
            <w:pPr>
              <w:pStyle w:val="3013"/>
              <w:spacing w:line="240" w:lineRule="exact"/>
              <w:rPr>
                <w:rFonts w:hint="eastAsia"/>
              </w:rPr>
            </w:pPr>
            <w:r>
              <w:rPr>
                <w:rFonts w:hint="eastAsia"/>
              </w:rPr>
              <w:t>226.71</w:t>
            </w:r>
          </w:p>
        </w:tc>
        <w:tc>
          <w:tcPr>
            <w:tcW w:w="964" w:type="pct"/>
            <w:noWrap/>
            <w:vAlign w:val="center"/>
          </w:tcPr>
          <w:p>
            <w:pPr>
              <w:pStyle w:val="3013"/>
              <w:spacing w:line="240" w:lineRule="exact"/>
              <w:rPr>
                <w:rFonts w:hint="eastAsia"/>
              </w:rPr>
            </w:pPr>
            <w:r>
              <w:rPr>
                <w:rFonts w:hint="eastAsia"/>
              </w:rPr>
              <w:t>226.22</w:t>
            </w:r>
          </w:p>
        </w:tc>
        <w:tc>
          <w:tcPr>
            <w:tcW w:w="851" w:type="pct"/>
            <w:noWrap/>
            <w:vAlign w:val="center"/>
          </w:tcPr>
          <w:p>
            <w:pPr>
              <w:pStyle w:val="3013"/>
              <w:spacing w:line="240" w:lineRule="exact"/>
              <w:rPr>
                <w:rFonts w:hint="eastAsia"/>
              </w:rPr>
            </w:pPr>
            <w:r>
              <w:rPr>
                <w:rFonts w:hint="eastAsia"/>
              </w:rPr>
              <w:t>0.48</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634" w:type="pct"/>
            <w:noWrap/>
            <w:vAlign w:val="center"/>
          </w:tcPr>
          <w:p>
            <w:pPr>
              <w:pStyle w:val="3013"/>
              <w:spacing w:line="240" w:lineRule="exact"/>
              <w:rPr>
                <w:rFonts w:hint="eastAsia"/>
              </w:rPr>
            </w:pPr>
            <w:r>
              <w:rPr>
                <w:rFonts w:hint="eastAsia"/>
              </w:rPr>
              <w:t>2856</w:t>
            </w:r>
          </w:p>
        </w:tc>
        <w:tc>
          <w:tcPr>
            <w:tcW w:w="1586" w:type="pct"/>
            <w:noWrap/>
            <w:vAlign w:val="center"/>
          </w:tcPr>
          <w:p>
            <w:pPr>
              <w:pStyle w:val="3013"/>
              <w:spacing w:line="240" w:lineRule="exact"/>
              <w:rPr>
                <w:rFonts w:hint="eastAsia"/>
              </w:rPr>
            </w:pPr>
            <w:r>
              <w:rPr>
                <w:rFonts w:hint="eastAsia"/>
              </w:rPr>
              <w:t>綦江区人民政府</w:t>
            </w:r>
          </w:p>
        </w:tc>
        <w:tc>
          <w:tcPr>
            <w:tcW w:w="964" w:type="pct"/>
            <w:noWrap/>
            <w:vAlign w:val="center"/>
          </w:tcPr>
          <w:p>
            <w:pPr>
              <w:pStyle w:val="3013"/>
              <w:spacing w:line="240" w:lineRule="exact"/>
              <w:rPr>
                <w:rFonts w:hint="eastAsia"/>
              </w:rPr>
            </w:pPr>
            <w:r>
              <w:rPr>
                <w:rFonts w:hint="eastAsia"/>
              </w:rPr>
              <w:t>226.67</w:t>
            </w:r>
          </w:p>
        </w:tc>
        <w:tc>
          <w:tcPr>
            <w:tcW w:w="964" w:type="pct"/>
            <w:noWrap/>
            <w:vAlign w:val="center"/>
          </w:tcPr>
          <w:p>
            <w:pPr>
              <w:pStyle w:val="3013"/>
              <w:spacing w:line="240" w:lineRule="exact"/>
              <w:rPr>
                <w:rFonts w:hint="eastAsia"/>
              </w:rPr>
            </w:pPr>
            <w:r>
              <w:rPr>
                <w:rFonts w:hint="eastAsia"/>
              </w:rPr>
              <w:t>226.16</w:t>
            </w:r>
          </w:p>
        </w:tc>
        <w:tc>
          <w:tcPr>
            <w:tcW w:w="851" w:type="pct"/>
            <w:noWrap/>
            <w:vAlign w:val="center"/>
          </w:tcPr>
          <w:p>
            <w:pPr>
              <w:pStyle w:val="3013"/>
              <w:spacing w:line="240" w:lineRule="exact"/>
              <w:rPr>
                <w:rFonts w:hint="eastAsia"/>
              </w:rPr>
            </w:pPr>
            <w:r>
              <w:rPr>
                <w:rFonts w:hint="eastAsia"/>
              </w:rPr>
              <w:t>0.51</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634" w:type="pct"/>
            <w:noWrap/>
            <w:vAlign w:val="center"/>
          </w:tcPr>
          <w:p>
            <w:pPr>
              <w:pStyle w:val="3013"/>
              <w:spacing w:line="240" w:lineRule="exact"/>
              <w:rPr>
                <w:rFonts w:hint="eastAsia"/>
              </w:rPr>
            </w:pPr>
            <w:r>
              <w:rPr>
                <w:rFonts w:hint="eastAsia"/>
              </w:rPr>
              <w:t>2983</w:t>
            </w:r>
          </w:p>
        </w:tc>
        <w:tc>
          <w:tcPr>
            <w:tcW w:w="1586" w:type="pct"/>
            <w:noWrap/>
            <w:vAlign w:val="center"/>
          </w:tcPr>
          <w:p>
            <w:pPr>
              <w:pStyle w:val="3013"/>
              <w:spacing w:line="240" w:lineRule="exact"/>
              <w:rPr>
                <w:rFonts w:hint="eastAsia"/>
              </w:rPr>
            </w:pPr>
          </w:p>
        </w:tc>
        <w:tc>
          <w:tcPr>
            <w:tcW w:w="964" w:type="pct"/>
            <w:noWrap/>
            <w:vAlign w:val="center"/>
          </w:tcPr>
          <w:p>
            <w:pPr>
              <w:pStyle w:val="3013"/>
              <w:spacing w:line="240" w:lineRule="exact"/>
              <w:rPr>
                <w:rFonts w:hint="eastAsia"/>
              </w:rPr>
            </w:pPr>
            <w:r>
              <w:rPr>
                <w:rFonts w:hint="eastAsia"/>
              </w:rPr>
              <w:t>226.65</w:t>
            </w:r>
          </w:p>
        </w:tc>
        <w:tc>
          <w:tcPr>
            <w:tcW w:w="964" w:type="pct"/>
            <w:noWrap/>
            <w:vAlign w:val="center"/>
          </w:tcPr>
          <w:p>
            <w:pPr>
              <w:pStyle w:val="3013"/>
              <w:spacing w:line="240" w:lineRule="exact"/>
              <w:rPr>
                <w:rFonts w:hint="eastAsia"/>
              </w:rPr>
            </w:pPr>
            <w:r>
              <w:rPr>
                <w:rFonts w:hint="eastAsia"/>
              </w:rPr>
              <w:t>226.11</w:t>
            </w:r>
          </w:p>
        </w:tc>
        <w:tc>
          <w:tcPr>
            <w:tcW w:w="851" w:type="pct"/>
            <w:noWrap/>
            <w:vAlign w:val="center"/>
          </w:tcPr>
          <w:p>
            <w:pPr>
              <w:pStyle w:val="3013"/>
              <w:spacing w:line="240" w:lineRule="exact"/>
              <w:rPr>
                <w:rFonts w:hint="eastAsia"/>
              </w:rPr>
            </w:pPr>
            <w:r>
              <w:rPr>
                <w:rFonts w:hint="eastAsia"/>
              </w:rPr>
              <w:t>0.53</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634" w:type="pct"/>
            <w:noWrap/>
            <w:vAlign w:val="center"/>
          </w:tcPr>
          <w:p>
            <w:pPr>
              <w:pStyle w:val="3013"/>
              <w:spacing w:line="240" w:lineRule="exact"/>
              <w:rPr>
                <w:rFonts w:hint="eastAsia"/>
              </w:rPr>
            </w:pPr>
            <w:r>
              <w:rPr>
                <w:rFonts w:hint="eastAsia"/>
              </w:rPr>
              <w:t>3135</w:t>
            </w:r>
          </w:p>
        </w:tc>
        <w:tc>
          <w:tcPr>
            <w:tcW w:w="1586" w:type="pct"/>
            <w:noWrap/>
            <w:vAlign w:val="center"/>
          </w:tcPr>
          <w:p>
            <w:pPr>
              <w:pStyle w:val="3013"/>
              <w:spacing w:line="240" w:lineRule="exact"/>
              <w:rPr>
                <w:rFonts w:hint="eastAsia"/>
              </w:rPr>
            </w:pPr>
            <w:r>
              <w:rPr>
                <w:rFonts w:hint="eastAsia"/>
              </w:rPr>
              <w:t>北街小学</w:t>
            </w:r>
          </w:p>
        </w:tc>
        <w:tc>
          <w:tcPr>
            <w:tcW w:w="964" w:type="pct"/>
            <w:noWrap/>
            <w:vAlign w:val="center"/>
          </w:tcPr>
          <w:p>
            <w:pPr>
              <w:pStyle w:val="3013"/>
              <w:spacing w:line="240" w:lineRule="exact"/>
              <w:rPr>
                <w:rFonts w:hint="eastAsia"/>
              </w:rPr>
            </w:pPr>
            <w:r>
              <w:rPr>
                <w:rFonts w:hint="eastAsia"/>
              </w:rPr>
              <w:t>226.60</w:t>
            </w:r>
          </w:p>
        </w:tc>
        <w:tc>
          <w:tcPr>
            <w:tcW w:w="964" w:type="pct"/>
            <w:noWrap/>
            <w:vAlign w:val="center"/>
          </w:tcPr>
          <w:p>
            <w:pPr>
              <w:pStyle w:val="3013"/>
              <w:spacing w:line="240" w:lineRule="exact"/>
              <w:rPr>
                <w:rFonts w:hint="eastAsia"/>
              </w:rPr>
            </w:pPr>
            <w:r>
              <w:rPr>
                <w:rFonts w:hint="eastAsia"/>
              </w:rPr>
              <w:t>226.08</w:t>
            </w:r>
          </w:p>
        </w:tc>
        <w:tc>
          <w:tcPr>
            <w:tcW w:w="851" w:type="pct"/>
            <w:noWrap/>
            <w:vAlign w:val="center"/>
          </w:tcPr>
          <w:p>
            <w:pPr>
              <w:pStyle w:val="3013"/>
              <w:spacing w:line="240" w:lineRule="exact"/>
              <w:rPr>
                <w:rFonts w:hint="eastAsia"/>
              </w:rPr>
            </w:pPr>
            <w:r>
              <w:rPr>
                <w:rFonts w:hint="eastAsia"/>
              </w:rPr>
              <w:t>0.52</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634" w:type="pct"/>
            <w:noWrap/>
            <w:vAlign w:val="center"/>
          </w:tcPr>
          <w:p>
            <w:pPr>
              <w:pStyle w:val="3013"/>
              <w:spacing w:line="240" w:lineRule="exact"/>
              <w:rPr>
                <w:rFonts w:hint="eastAsia"/>
              </w:rPr>
            </w:pPr>
            <w:r>
              <w:rPr>
                <w:rFonts w:hint="eastAsia"/>
              </w:rPr>
              <w:t>3273</w:t>
            </w:r>
          </w:p>
        </w:tc>
        <w:tc>
          <w:tcPr>
            <w:tcW w:w="1586" w:type="pct"/>
            <w:noWrap/>
            <w:vAlign w:val="center"/>
          </w:tcPr>
          <w:p>
            <w:pPr>
              <w:pStyle w:val="3013"/>
              <w:spacing w:line="240" w:lineRule="exact"/>
              <w:rPr>
                <w:rFonts w:hint="eastAsia"/>
              </w:rPr>
            </w:pPr>
          </w:p>
        </w:tc>
        <w:tc>
          <w:tcPr>
            <w:tcW w:w="964" w:type="pct"/>
            <w:noWrap/>
            <w:vAlign w:val="center"/>
          </w:tcPr>
          <w:p>
            <w:pPr>
              <w:pStyle w:val="3013"/>
              <w:spacing w:line="240" w:lineRule="exact"/>
              <w:rPr>
                <w:rFonts w:hint="eastAsia"/>
              </w:rPr>
            </w:pPr>
            <w:r>
              <w:rPr>
                <w:rFonts w:hint="eastAsia"/>
              </w:rPr>
              <w:t>226.55</w:t>
            </w:r>
          </w:p>
        </w:tc>
        <w:tc>
          <w:tcPr>
            <w:tcW w:w="964" w:type="pct"/>
            <w:noWrap/>
            <w:vAlign w:val="center"/>
          </w:tcPr>
          <w:p>
            <w:pPr>
              <w:pStyle w:val="3013"/>
              <w:spacing w:line="240" w:lineRule="exact"/>
              <w:rPr>
                <w:rFonts w:hint="eastAsia"/>
              </w:rPr>
            </w:pPr>
            <w:r>
              <w:rPr>
                <w:rFonts w:hint="eastAsia"/>
              </w:rPr>
              <w:t>226.05</w:t>
            </w:r>
          </w:p>
        </w:tc>
        <w:tc>
          <w:tcPr>
            <w:tcW w:w="851" w:type="pct"/>
            <w:noWrap/>
            <w:vAlign w:val="center"/>
          </w:tcPr>
          <w:p>
            <w:pPr>
              <w:pStyle w:val="3013"/>
              <w:spacing w:line="240" w:lineRule="exact"/>
              <w:rPr>
                <w:rFonts w:hint="eastAsia"/>
              </w:rPr>
            </w:pPr>
            <w:r>
              <w:rPr>
                <w:rFonts w:hint="eastAsia"/>
              </w:rPr>
              <w:t>0.50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634" w:type="pct"/>
            <w:noWrap/>
            <w:vAlign w:val="center"/>
          </w:tcPr>
          <w:p>
            <w:pPr>
              <w:pStyle w:val="3013"/>
              <w:spacing w:line="240" w:lineRule="exact"/>
              <w:rPr>
                <w:rFonts w:hint="eastAsia"/>
              </w:rPr>
            </w:pPr>
            <w:r>
              <w:rPr>
                <w:rFonts w:hint="eastAsia"/>
              </w:rPr>
              <w:t>3333</w:t>
            </w:r>
          </w:p>
        </w:tc>
        <w:tc>
          <w:tcPr>
            <w:tcW w:w="1586" w:type="pct"/>
            <w:noWrap/>
            <w:vAlign w:val="center"/>
          </w:tcPr>
          <w:p>
            <w:pPr>
              <w:pStyle w:val="3013"/>
              <w:spacing w:line="240" w:lineRule="exact"/>
              <w:rPr>
                <w:rFonts w:hint="eastAsia"/>
              </w:rPr>
            </w:pPr>
            <w:r>
              <w:rPr>
                <w:rFonts w:hint="eastAsia"/>
              </w:rPr>
              <w:t>重庆杭华房地产开发有限公司</w:t>
            </w:r>
          </w:p>
        </w:tc>
        <w:tc>
          <w:tcPr>
            <w:tcW w:w="964" w:type="pct"/>
            <w:noWrap/>
            <w:vAlign w:val="center"/>
          </w:tcPr>
          <w:p>
            <w:pPr>
              <w:pStyle w:val="3013"/>
              <w:spacing w:line="240" w:lineRule="exact"/>
              <w:rPr>
                <w:rFonts w:hint="eastAsia"/>
              </w:rPr>
            </w:pPr>
            <w:r>
              <w:rPr>
                <w:rFonts w:hint="eastAsia"/>
              </w:rPr>
              <w:t>226.50</w:t>
            </w:r>
          </w:p>
        </w:tc>
        <w:tc>
          <w:tcPr>
            <w:tcW w:w="964" w:type="pct"/>
            <w:noWrap/>
            <w:vAlign w:val="center"/>
          </w:tcPr>
          <w:p>
            <w:pPr>
              <w:pStyle w:val="3013"/>
              <w:spacing w:line="240" w:lineRule="exact"/>
              <w:rPr>
                <w:rFonts w:hint="eastAsia"/>
              </w:rPr>
            </w:pPr>
            <w:r>
              <w:rPr>
                <w:rFonts w:hint="eastAsia"/>
              </w:rPr>
              <w:t>226.01</w:t>
            </w:r>
          </w:p>
        </w:tc>
        <w:tc>
          <w:tcPr>
            <w:tcW w:w="851" w:type="pct"/>
            <w:noWrap/>
            <w:vAlign w:val="center"/>
          </w:tcPr>
          <w:p>
            <w:pPr>
              <w:pStyle w:val="3013"/>
              <w:spacing w:line="240" w:lineRule="exact"/>
              <w:rPr>
                <w:rFonts w:hint="eastAsia"/>
              </w:rPr>
            </w:pPr>
            <w:r>
              <w:rPr>
                <w:rFonts w:hint="eastAsia"/>
              </w:rPr>
              <w:t>0.49</w:t>
            </w:r>
          </w:p>
        </w:tc>
      </w:tr>
    </w:tbl>
    <w:p>
      <w:pPr>
        <w:pStyle w:val="2312"/>
        <w:ind w:firstLine="280"/>
        <w:rPr>
          <w:rFonts w:hint="default" w:ascii="Times New Roman" w:hAnsi="Times New Roman" w:cs="Times New Roman"/>
        </w:rPr>
      </w:pPr>
      <w:r>
        <w:rPr>
          <w:rFonts w:ascii="仿宋_GB2312" w:eastAsia="仿宋_GB2312"/>
          <w:sz w:val="28"/>
          <w:szCs w:val="28"/>
        </w:rPr>
        <w:br w:type="page"/>
      </w:r>
      <w:r>
        <w:rPr>
          <w:rFonts w:hint="default" w:ascii="Times New Roman" w:hAnsi="Times New Roman" w:cs="Times New Roman"/>
        </w:rPr>
        <w:t>续表6.1</w:t>
      </w:r>
      <w:r>
        <w:rPr>
          <w:rFonts w:hint="default" w:ascii="Times New Roman" w:hAnsi="Times New Roman" w:cs="Times New Roman"/>
          <w:lang w:eastAsia="zh-CN"/>
        </w:rPr>
        <w:t>—</w:t>
      </w:r>
      <w:r>
        <w:rPr>
          <w:rFonts w:hint="default" w:ascii="Times New Roman" w:hAnsi="Times New Roman" w:cs="Times New Roman"/>
        </w:rPr>
        <w:t>4        河道疏浚前后綦江城区河段水面线变化表</w:t>
      </w:r>
    </w:p>
    <w:tbl>
      <w:tblPr>
        <w:tblStyle w:val="88"/>
        <w:tblW w:w="5000"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108" w:type="dxa"/>
          <w:bottom w:w="0" w:type="dxa"/>
          <w:right w:w="108" w:type="dxa"/>
        </w:tblCellMar>
      </w:tblPr>
      <w:tblGrid>
        <w:gridCol w:w="1857"/>
        <w:gridCol w:w="1857"/>
        <w:gridCol w:w="1857"/>
        <w:gridCol w:w="1857"/>
        <w:gridCol w:w="1859"/>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51" w:hRule="atLeast"/>
          <w:jc w:val="center"/>
        </w:trPr>
        <w:tc>
          <w:tcPr>
            <w:tcW w:w="999" w:type="pct"/>
            <w:noWrap/>
            <w:vAlign w:val="center"/>
          </w:tcPr>
          <w:p>
            <w:pPr>
              <w:pStyle w:val="3013"/>
              <w:rPr>
                <w:rFonts w:hint="eastAsia"/>
              </w:rPr>
            </w:pPr>
            <w:r>
              <w:rPr>
                <w:rFonts w:hint="eastAsia"/>
              </w:rPr>
              <w:t>桩号（m）</w:t>
            </w:r>
          </w:p>
        </w:tc>
        <w:tc>
          <w:tcPr>
            <w:tcW w:w="999" w:type="pct"/>
            <w:noWrap/>
            <w:vAlign w:val="center"/>
          </w:tcPr>
          <w:p>
            <w:pPr>
              <w:pStyle w:val="3013"/>
              <w:rPr>
                <w:rFonts w:hint="eastAsia"/>
              </w:rPr>
            </w:pPr>
            <w:r>
              <w:rPr>
                <w:rFonts w:hint="eastAsia"/>
              </w:rPr>
              <w:t>河段名称</w:t>
            </w:r>
          </w:p>
        </w:tc>
        <w:tc>
          <w:tcPr>
            <w:tcW w:w="999" w:type="pct"/>
            <w:noWrap/>
            <w:vAlign w:val="center"/>
          </w:tcPr>
          <w:p>
            <w:pPr>
              <w:pStyle w:val="3013"/>
              <w:rPr>
                <w:rFonts w:hint="eastAsia"/>
              </w:rPr>
            </w:pPr>
            <w:r>
              <w:rPr>
                <w:rFonts w:hint="eastAsia"/>
              </w:rPr>
              <w:t>工程前水位（m）</w:t>
            </w:r>
          </w:p>
        </w:tc>
        <w:tc>
          <w:tcPr>
            <w:tcW w:w="999" w:type="pct"/>
            <w:noWrap/>
            <w:vAlign w:val="center"/>
          </w:tcPr>
          <w:p>
            <w:pPr>
              <w:pStyle w:val="3013"/>
              <w:rPr>
                <w:rFonts w:hint="eastAsia"/>
              </w:rPr>
            </w:pPr>
            <w:r>
              <w:rPr>
                <w:rFonts w:hint="eastAsia"/>
              </w:rPr>
              <w:t>工程后水位（m）</w:t>
            </w:r>
          </w:p>
        </w:tc>
        <w:tc>
          <w:tcPr>
            <w:tcW w:w="1000" w:type="pct"/>
            <w:noWrap/>
            <w:vAlign w:val="center"/>
          </w:tcPr>
          <w:p>
            <w:pPr>
              <w:pStyle w:val="3013"/>
              <w:rPr>
                <w:rFonts w:hint="eastAsia"/>
              </w:rPr>
            </w:pPr>
            <w:r>
              <w:rPr>
                <w:rFonts w:hint="eastAsia"/>
              </w:rPr>
              <w:t>水位降幅（m）</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51" w:hRule="atLeast"/>
          <w:jc w:val="center"/>
        </w:trPr>
        <w:tc>
          <w:tcPr>
            <w:tcW w:w="999" w:type="pct"/>
            <w:noWrap/>
            <w:vAlign w:val="center"/>
          </w:tcPr>
          <w:p>
            <w:pPr>
              <w:pStyle w:val="3013"/>
              <w:rPr>
                <w:rFonts w:hint="eastAsia"/>
              </w:rPr>
            </w:pPr>
            <w:r>
              <w:rPr>
                <w:rFonts w:hint="eastAsia"/>
              </w:rPr>
              <w:t>3563</w:t>
            </w:r>
          </w:p>
        </w:tc>
        <w:tc>
          <w:tcPr>
            <w:tcW w:w="999" w:type="pct"/>
            <w:noWrap/>
            <w:vAlign w:val="center"/>
          </w:tcPr>
          <w:p>
            <w:pPr>
              <w:pStyle w:val="3013"/>
              <w:rPr>
                <w:rFonts w:hint="eastAsia"/>
              </w:rPr>
            </w:pPr>
          </w:p>
        </w:tc>
        <w:tc>
          <w:tcPr>
            <w:tcW w:w="999" w:type="pct"/>
            <w:noWrap/>
            <w:vAlign w:val="center"/>
          </w:tcPr>
          <w:p>
            <w:pPr>
              <w:pStyle w:val="3013"/>
              <w:rPr>
                <w:rFonts w:hint="eastAsia"/>
              </w:rPr>
            </w:pPr>
            <w:r>
              <w:rPr>
                <w:rFonts w:hint="eastAsia"/>
              </w:rPr>
              <w:t>226.30</w:t>
            </w:r>
          </w:p>
        </w:tc>
        <w:tc>
          <w:tcPr>
            <w:tcW w:w="999" w:type="pct"/>
            <w:noWrap/>
            <w:vAlign w:val="center"/>
          </w:tcPr>
          <w:p>
            <w:pPr>
              <w:pStyle w:val="3013"/>
              <w:rPr>
                <w:rFonts w:hint="eastAsia"/>
              </w:rPr>
            </w:pPr>
            <w:r>
              <w:rPr>
                <w:rFonts w:hint="eastAsia"/>
              </w:rPr>
              <w:t>225.88</w:t>
            </w:r>
          </w:p>
        </w:tc>
        <w:tc>
          <w:tcPr>
            <w:tcW w:w="1000" w:type="pct"/>
            <w:noWrap/>
            <w:vAlign w:val="center"/>
          </w:tcPr>
          <w:p>
            <w:pPr>
              <w:pStyle w:val="3013"/>
              <w:rPr>
                <w:rFonts w:hint="eastAsia"/>
              </w:rPr>
            </w:pPr>
            <w:r>
              <w:rPr>
                <w:rFonts w:hint="eastAsia"/>
              </w:rPr>
              <w:t>0.43</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51" w:hRule="atLeast"/>
          <w:jc w:val="center"/>
        </w:trPr>
        <w:tc>
          <w:tcPr>
            <w:tcW w:w="999" w:type="pct"/>
            <w:noWrap/>
            <w:vAlign w:val="center"/>
          </w:tcPr>
          <w:p>
            <w:pPr>
              <w:pStyle w:val="3013"/>
              <w:rPr>
                <w:rFonts w:hint="eastAsia"/>
              </w:rPr>
            </w:pPr>
            <w:r>
              <w:rPr>
                <w:rFonts w:hint="eastAsia"/>
              </w:rPr>
              <w:t>3763</w:t>
            </w:r>
          </w:p>
        </w:tc>
        <w:tc>
          <w:tcPr>
            <w:tcW w:w="999" w:type="pct"/>
            <w:noWrap/>
            <w:vAlign w:val="center"/>
          </w:tcPr>
          <w:p>
            <w:pPr>
              <w:pStyle w:val="3013"/>
              <w:rPr>
                <w:rFonts w:hint="eastAsia"/>
              </w:rPr>
            </w:pPr>
            <w:r>
              <w:rPr>
                <w:rFonts w:hint="eastAsia"/>
              </w:rPr>
              <w:t>大常枢纽</w:t>
            </w:r>
          </w:p>
        </w:tc>
        <w:tc>
          <w:tcPr>
            <w:tcW w:w="999" w:type="pct"/>
            <w:noWrap/>
            <w:vAlign w:val="center"/>
          </w:tcPr>
          <w:p>
            <w:pPr>
              <w:pStyle w:val="3013"/>
              <w:rPr>
                <w:rFonts w:hint="eastAsia"/>
              </w:rPr>
            </w:pPr>
            <w:r>
              <w:rPr>
                <w:rFonts w:hint="eastAsia"/>
              </w:rPr>
              <w:t>225.81</w:t>
            </w:r>
          </w:p>
        </w:tc>
        <w:tc>
          <w:tcPr>
            <w:tcW w:w="999" w:type="pct"/>
            <w:noWrap/>
            <w:vAlign w:val="center"/>
          </w:tcPr>
          <w:p>
            <w:pPr>
              <w:pStyle w:val="3013"/>
              <w:rPr>
                <w:rFonts w:hint="eastAsia"/>
              </w:rPr>
            </w:pPr>
            <w:r>
              <w:rPr>
                <w:rFonts w:hint="eastAsia"/>
              </w:rPr>
              <w:t>225.34</w:t>
            </w:r>
          </w:p>
        </w:tc>
        <w:tc>
          <w:tcPr>
            <w:tcW w:w="1000" w:type="pct"/>
            <w:noWrap/>
            <w:vAlign w:val="center"/>
          </w:tcPr>
          <w:p>
            <w:pPr>
              <w:pStyle w:val="3013"/>
              <w:rPr>
                <w:rFonts w:hint="eastAsia"/>
              </w:rPr>
            </w:pPr>
            <w:r>
              <w:rPr>
                <w:rFonts w:hint="eastAsia"/>
              </w:rPr>
              <w:t>0.47</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51" w:hRule="atLeast"/>
          <w:jc w:val="center"/>
        </w:trPr>
        <w:tc>
          <w:tcPr>
            <w:tcW w:w="999" w:type="pct"/>
            <w:noWrap/>
            <w:vAlign w:val="center"/>
          </w:tcPr>
          <w:p>
            <w:pPr>
              <w:pStyle w:val="3013"/>
              <w:rPr>
                <w:rFonts w:hint="eastAsia"/>
              </w:rPr>
            </w:pPr>
            <w:r>
              <w:rPr>
                <w:rFonts w:hint="eastAsia"/>
              </w:rPr>
              <w:t>3866</w:t>
            </w:r>
          </w:p>
        </w:tc>
        <w:tc>
          <w:tcPr>
            <w:tcW w:w="999" w:type="pct"/>
            <w:noWrap/>
            <w:vAlign w:val="center"/>
          </w:tcPr>
          <w:p>
            <w:pPr>
              <w:pStyle w:val="3013"/>
              <w:rPr>
                <w:rFonts w:hint="eastAsia"/>
              </w:rPr>
            </w:pPr>
          </w:p>
        </w:tc>
        <w:tc>
          <w:tcPr>
            <w:tcW w:w="999" w:type="pct"/>
            <w:noWrap w:val="0"/>
            <w:vAlign w:val="center"/>
          </w:tcPr>
          <w:p>
            <w:pPr>
              <w:pStyle w:val="3013"/>
              <w:rPr>
                <w:rFonts w:hint="eastAsia"/>
              </w:rPr>
            </w:pPr>
            <w:r>
              <w:rPr>
                <w:rFonts w:hint="eastAsia"/>
              </w:rPr>
              <w:t>225.71</w:t>
            </w:r>
          </w:p>
        </w:tc>
        <w:tc>
          <w:tcPr>
            <w:tcW w:w="999" w:type="pct"/>
            <w:noWrap w:val="0"/>
            <w:vAlign w:val="center"/>
          </w:tcPr>
          <w:p>
            <w:pPr>
              <w:pStyle w:val="3013"/>
              <w:rPr>
                <w:rFonts w:hint="eastAsia"/>
              </w:rPr>
            </w:pPr>
            <w:r>
              <w:rPr>
                <w:rFonts w:hint="eastAsia"/>
              </w:rPr>
              <w:t>225.25</w:t>
            </w:r>
          </w:p>
        </w:tc>
        <w:tc>
          <w:tcPr>
            <w:tcW w:w="1000" w:type="pct"/>
            <w:noWrap/>
            <w:vAlign w:val="center"/>
          </w:tcPr>
          <w:p>
            <w:pPr>
              <w:pStyle w:val="3013"/>
              <w:rPr>
                <w:rFonts w:hint="eastAsia"/>
              </w:rPr>
            </w:pPr>
            <w:r>
              <w:rPr>
                <w:rFonts w:hint="eastAsia"/>
              </w:rPr>
              <w:t>0.46</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51" w:hRule="atLeast"/>
          <w:jc w:val="center"/>
        </w:trPr>
        <w:tc>
          <w:tcPr>
            <w:tcW w:w="999" w:type="pct"/>
            <w:noWrap/>
            <w:vAlign w:val="center"/>
          </w:tcPr>
          <w:p>
            <w:pPr>
              <w:pStyle w:val="3013"/>
              <w:rPr>
                <w:rFonts w:hint="eastAsia"/>
              </w:rPr>
            </w:pPr>
            <w:r>
              <w:rPr>
                <w:rFonts w:hint="eastAsia"/>
              </w:rPr>
              <w:t>4063</w:t>
            </w:r>
          </w:p>
        </w:tc>
        <w:tc>
          <w:tcPr>
            <w:tcW w:w="999" w:type="pct"/>
            <w:noWrap/>
            <w:vAlign w:val="center"/>
          </w:tcPr>
          <w:p>
            <w:pPr>
              <w:pStyle w:val="3013"/>
              <w:rPr>
                <w:rFonts w:hint="eastAsia"/>
              </w:rPr>
            </w:pPr>
          </w:p>
        </w:tc>
        <w:tc>
          <w:tcPr>
            <w:tcW w:w="999" w:type="pct"/>
            <w:noWrap/>
            <w:vAlign w:val="center"/>
          </w:tcPr>
          <w:p>
            <w:pPr>
              <w:pStyle w:val="3013"/>
              <w:rPr>
                <w:rFonts w:hint="eastAsia"/>
              </w:rPr>
            </w:pPr>
            <w:r>
              <w:rPr>
                <w:rFonts w:hint="eastAsia"/>
              </w:rPr>
              <w:t>225.53</w:t>
            </w:r>
          </w:p>
        </w:tc>
        <w:tc>
          <w:tcPr>
            <w:tcW w:w="999" w:type="pct"/>
            <w:noWrap/>
            <w:vAlign w:val="center"/>
          </w:tcPr>
          <w:p>
            <w:pPr>
              <w:pStyle w:val="3013"/>
              <w:rPr>
                <w:rFonts w:hint="eastAsia"/>
              </w:rPr>
            </w:pPr>
            <w:r>
              <w:rPr>
                <w:rFonts w:hint="eastAsia"/>
              </w:rPr>
              <w:t>225.09</w:t>
            </w:r>
          </w:p>
        </w:tc>
        <w:tc>
          <w:tcPr>
            <w:tcW w:w="1000" w:type="pct"/>
            <w:noWrap/>
            <w:vAlign w:val="center"/>
          </w:tcPr>
          <w:p>
            <w:pPr>
              <w:pStyle w:val="3013"/>
              <w:rPr>
                <w:rFonts w:hint="eastAsia"/>
              </w:rPr>
            </w:pPr>
            <w:r>
              <w:rPr>
                <w:rFonts w:hint="eastAsia"/>
              </w:rPr>
              <w:t>0.45</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51" w:hRule="atLeast"/>
          <w:jc w:val="center"/>
        </w:trPr>
        <w:tc>
          <w:tcPr>
            <w:tcW w:w="999" w:type="pct"/>
            <w:noWrap/>
            <w:vAlign w:val="center"/>
          </w:tcPr>
          <w:p>
            <w:pPr>
              <w:pStyle w:val="3013"/>
              <w:rPr>
                <w:rFonts w:hint="eastAsia"/>
              </w:rPr>
            </w:pPr>
            <w:r>
              <w:rPr>
                <w:rFonts w:hint="eastAsia"/>
              </w:rPr>
              <w:t>4327</w:t>
            </w:r>
          </w:p>
        </w:tc>
        <w:tc>
          <w:tcPr>
            <w:tcW w:w="999" w:type="pct"/>
            <w:noWrap/>
            <w:vAlign w:val="center"/>
          </w:tcPr>
          <w:p>
            <w:pPr>
              <w:pStyle w:val="3013"/>
              <w:rPr>
                <w:rFonts w:hint="eastAsia"/>
              </w:rPr>
            </w:pPr>
          </w:p>
        </w:tc>
        <w:tc>
          <w:tcPr>
            <w:tcW w:w="999" w:type="pct"/>
            <w:noWrap/>
            <w:vAlign w:val="center"/>
          </w:tcPr>
          <w:p>
            <w:pPr>
              <w:pStyle w:val="3013"/>
              <w:rPr>
                <w:rFonts w:hint="eastAsia"/>
              </w:rPr>
            </w:pPr>
            <w:r>
              <w:rPr>
                <w:rFonts w:hint="eastAsia"/>
              </w:rPr>
              <w:t>225.49</w:t>
            </w:r>
          </w:p>
        </w:tc>
        <w:tc>
          <w:tcPr>
            <w:tcW w:w="999" w:type="pct"/>
            <w:noWrap/>
            <w:vAlign w:val="center"/>
          </w:tcPr>
          <w:p>
            <w:pPr>
              <w:pStyle w:val="3013"/>
              <w:rPr>
                <w:rFonts w:hint="eastAsia"/>
              </w:rPr>
            </w:pPr>
            <w:r>
              <w:rPr>
                <w:rFonts w:hint="eastAsia"/>
              </w:rPr>
              <w:t>225.04</w:t>
            </w:r>
          </w:p>
        </w:tc>
        <w:tc>
          <w:tcPr>
            <w:tcW w:w="1000" w:type="pct"/>
            <w:noWrap/>
            <w:vAlign w:val="center"/>
          </w:tcPr>
          <w:p>
            <w:pPr>
              <w:pStyle w:val="3013"/>
              <w:rPr>
                <w:rFonts w:hint="eastAsia"/>
              </w:rPr>
            </w:pPr>
            <w:r>
              <w:rPr>
                <w:rFonts w:hint="eastAsia"/>
              </w:rPr>
              <w:t>0.44</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51" w:hRule="atLeast"/>
          <w:jc w:val="center"/>
        </w:trPr>
        <w:tc>
          <w:tcPr>
            <w:tcW w:w="999" w:type="pct"/>
            <w:noWrap/>
            <w:vAlign w:val="center"/>
          </w:tcPr>
          <w:p>
            <w:pPr>
              <w:pStyle w:val="3013"/>
              <w:rPr>
                <w:rFonts w:hint="eastAsia"/>
              </w:rPr>
            </w:pPr>
            <w:r>
              <w:rPr>
                <w:rFonts w:hint="eastAsia"/>
              </w:rPr>
              <w:t>4518</w:t>
            </w:r>
          </w:p>
        </w:tc>
        <w:tc>
          <w:tcPr>
            <w:tcW w:w="999" w:type="pct"/>
            <w:noWrap/>
            <w:vAlign w:val="center"/>
          </w:tcPr>
          <w:p>
            <w:pPr>
              <w:pStyle w:val="3013"/>
              <w:rPr>
                <w:rFonts w:hint="eastAsia"/>
              </w:rPr>
            </w:pPr>
          </w:p>
        </w:tc>
        <w:tc>
          <w:tcPr>
            <w:tcW w:w="999" w:type="pct"/>
            <w:noWrap/>
            <w:vAlign w:val="center"/>
          </w:tcPr>
          <w:p>
            <w:pPr>
              <w:pStyle w:val="3013"/>
              <w:rPr>
                <w:rFonts w:hint="eastAsia"/>
              </w:rPr>
            </w:pPr>
            <w:r>
              <w:rPr>
                <w:rFonts w:hint="eastAsia"/>
              </w:rPr>
              <w:t>225.42</w:t>
            </w:r>
          </w:p>
        </w:tc>
        <w:tc>
          <w:tcPr>
            <w:tcW w:w="999" w:type="pct"/>
            <w:noWrap/>
            <w:vAlign w:val="center"/>
          </w:tcPr>
          <w:p>
            <w:pPr>
              <w:pStyle w:val="3013"/>
              <w:rPr>
                <w:rFonts w:hint="eastAsia"/>
              </w:rPr>
            </w:pPr>
            <w:r>
              <w:rPr>
                <w:rFonts w:hint="eastAsia"/>
              </w:rPr>
              <w:t>224.97</w:t>
            </w:r>
          </w:p>
        </w:tc>
        <w:tc>
          <w:tcPr>
            <w:tcW w:w="1000" w:type="pct"/>
            <w:noWrap/>
            <w:vAlign w:val="center"/>
          </w:tcPr>
          <w:p>
            <w:pPr>
              <w:pStyle w:val="3013"/>
              <w:rPr>
                <w:rFonts w:hint="eastAsia"/>
              </w:rPr>
            </w:pPr>
            <w:r>
              <w:rPr>
                <w:rFonts w:hint="eastAsia"/>
              </w:rPr>
              <w:t>0.45</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51" w:hRule="atLeast"/>
          <w:jc w:val="center"/>
        </w:trPr>
        <w:tc>
          <w:tcPr>
            <w:tcW w:w="999" w:type="pct"/>
            <w:noWrap/>
            <w:vAlign w:val="center"/>
          </w:tcPr>
          <w:p>
            <w:pPr>
              <w:pStyle w:val="3013"/>
              <w:rPr>
                <w:rFonts w:hint="eastAsia"/>
              </w:rPr>
            </w:pPr>
            <w:r>
              <w:rPr>
                <w:rFonts w:hint="eastAsia"/>
              </w:rPr>
              <w:t>4590</w:t>
            </w:r>
          </w:p>
        </w:tc>
        <w:tc>
          <w:tcPr>
            <w:tcW w:w="999" w:type="pct"/>
            <w:noWrap/>
            <w:vAlign w:val="center"/>
          </w:tcPr>
          <w:p>
            <w:pPr>
              <w:pStyle w:val="3013"/>
              <w:rPr>
                <w:rFonts w:hint="eastAsia"/>
              </w:rPr>
            </w:pPr>
          </w:p>
        </w:tc>
        <w:tc>
          <w:tcPr>
            <w:tcW w:w="999" w:type="pct"/>
            <w:noWrap/>
            <w:vAlign w:val="center"/>
          </w:tcPr>
          <w:p>
            <w:pPr>
              <w:pStyle w:val="3013"/>
              <w:rPr>
                <w:rFonts w:hint="eastAsia"/>
              </w:rPr>
            </w:pPr>
            <w:r>
              <w:rPr>
                <w:rFonts w:hint="eastAsia"/>
              </w:rPr>
              <w:t>225.39</w:t>
            </w:r>
          </w:p>
        </w:tc>
        <w:tc>
          <w:tcPr>
            <w:tcW w:w="999" w:type="pct"/>
            <w:noWrap/>
            <w:vAlign w:val="center"/>
          </w:tcPr>
          <w:p>
            <w:pPr>
              <w:pStyle w:val="3013"/>
              <w:rPr>
                <w:rFonts w:hint="eastAsia"/>
              </w:rPr>
            </w:pPr>
            <w:r>
              <w:rPr>
                <w:rFonts w:hint="eastAsia"/>
              </w:rPr>
              <w:t>224.94</w:t>
            </w:r>
          </w:p>
        </w:tc>
        <w:tc>
          <w:tcPr>
            <w:tcW w:w="1000" w:type="pct"/>
            <w:noWrap/>
            <w:vAlign w:val="center"/>
          </w:tcPr>
          <w:p>
            <w:pPr>
              <w:pStyle w:val="3013"/>
              <w:rPr>
                <w:rFonts w:hint="eastAsia"/>
              </w:rPr>
            </w:pPr>
            <w:r>
              <w:rPr>
                <w:rFonts w:hint="eastAsia"/>
              </w:rPr>
              <w:t>0.45</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51" w:hRule="atLeast"/>
          <w:jc w:val="center"/>
        </w:trPr>
        <w:tc>
          <w:tcPr>
            <w:tcW w:w="999" w:type="pct"/>
            <w:noWrap/>
            <w:vAlign w:val="center"/>
          </w:tcPr>
          <w:p>
            <w:pPr>
              <w:pStyle w:val="3013"/>
              <w:rPr>
                <w:rFonts w:hint="eastAsia"/>
              </w:rPr>
            </w:pPr>
            <w:r>
              <w:rPr>
                <w:rFonts w:hint="eastAsia"/>
              </w:rPr>
              <w:t>4973</w:t>
            </w:r>
          </w:p>
        </w:tc>
        <w:tc>
          <w:tcPr>
            <w:tcW w:w="999" w:type="pct"/>
            <w:noWrap/>
            <w:vAlign w:val="center"/>
          </w:tcPr>
          <w:p>
            <w:pPr>
              <w:pStyle w:val="3013"/>
              <w:rPr>
                <w:rFonts w:hint="eastAsia"/>
              </w:rPr>
            </w:pPr>
          </w:p>
        </w:tc>
        <w:tc>
          <w:tcPr>
            <w:tcW w:w="999" w:type="pct"/>
            <w:noWrap/>
            <w:vAlign w:val="center"/>
          </w:tcPr>
          <w:p>
            <w:pPr>
              <w:pStyle w:val="3013"/>
              <w:rPr>
                <w:rFonts w:hint="eastAsia"/>
              </w:rPr>
            </w:pPr>
            <w:r>
              <w:rPr>
                <w:rFonts w:hint="eastAsia"/>
              </w:rPr>
              <w:t>225.12</w:t>
            </w:r>
          </w:p>
        </w:tc>
        <w:tc>
          <w:tcPr>
            <w:tcW w:w="999" w:type="pct"/>
            <w:noWrap/>
            <w:vAlign w:val="center"/>
          </w:tcPr>
          <w:p>
            <w:pPr>
              <w:pStyle w:val="3013"/>
              <w:rPr>
                <w:rFonts w:hint="eastAsia"/>
              </w:rPr>
            </w:pPr>
            <w:r>
              <w:rPr>
                <w:rFonts w:hint="eastAsia"/>
              </w:rPr>
              <w:t>224.69</w:t>
            </w:r>
          </w:p>
        </w:tc>
        <w:tc>
          <w:tcPr>
            <w:tcW w:w="1000" w:type="pct"/>
            <w:noWrap/>
            <w:vAlign w:val="center"/>
          </w:tcPr>
          <w:p>
            <w:pPr>
              <w:pStyle w:val="3013"/>
              <w:rPr>
                <w:rFonts w:hint="eastAsia"/>
              </w:rPr>
            </w:pPr>
            <w:r>
              <w:rPr>
                <w:rFonts w:hint="eastAsia"/>
              </w:rPr>
              <w:t>0.43</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51" w:hRule="atLeast"/>
          <w:jc w:val="center"/>
        </w:trPr>
        <w:tc>
          <w:tcPr>
            <w:tcW w:w="999" w:type="pct"/>
            <w:noWrap/>
            <w:vAlign w:val="center"/>
          </w:tcPr>
          <w:p>
            <w:pPr>
              <w:pStyle w:val="3013"/>
              <w:rPr>
                <w:rFonts w:hint="eastAsia"/>
              </w:rPr>
            </w:pPr>
            <w:r>
              <w:rPr>
                <w:rFonts w:hint="eastAsia"/>
              </w:rPr>
              <w:t>5033</w:t>
            </w:r>
          </w:p>
        </w:tc>
        <w:tc>
          <w:tcPr>
            <w:tcW w:w="999" w:type="pct"/>
            <w:noWrap/>
            <w:vAlign w:val="center"/>
          </w:tcPr>
          <w:p>
            <w:pPr>
              <w:pStyle w:val="3013"/>
              <w:rPr>
                <w:rFonts w:hint="eastAsia"/>
              </w:rPr>
            </w:pPr>
            <w:r>
              <w:rPr>
                <w:rFonts w:hint="eastAsia"/>
              </w:rPr>
              <w:t>古南中学操场</w:t>
            </w:r>
          </w:p>
        </w:tc>
        <w:tc>
          <w:tcPr>
            <w:tcW w:w="999" w:type="pct"/>
            <w:noWrap/>
            <w:vAlign w:val="center"/>
          </w:tcPr>
          <w:p>
            <w:pPr>
              <w:pStyle w:val="3013"/>
              <w:rPr>
                <w:rFonts w:hint="eastAsia"/>
              </w:rPr>
            </w:pPr>
            <w:r>
              <w:rPr>
                <w:rFonts w:hint="eastAsia"/>
              </w:rPr>
              <w:t>225.03</w:t>
            </w:r>
          </w:p>
        </w:tc>
        <w:tc>
          <w:tcPr>
            <w:tcW w:w="999" w:type="pct"/>
            <w:noWrap/>
            <w:vAlign w:val="center"/>
          </w:tcPr>
          <w:p>
            <w:pPr>
              <w:pStyle w:val="3013"/>
              <w:rPr>
                <w:rFonts w:hint="eastAsia"/>
              </w:rPr>
            </w:pPr>
            <w:r>
              <w:rPr>
                <w:rFonts w:hint="eastAsia"/>
              </w:rPr>
              <w:t>224.60</w:t>
            </w:r>
          </w:p>
        </w:tc>
        <w:tc>
          <w:tcPr>
            <w:tcW w:w="1000" w:type="pct"/>
            <w:noWrap/>
            <w:vAlign w:val="center"/>
          </w:tcPr>
          <w:p>
            <w:pPr>
              <w:pStyle w:val="3013"/>
              <w:rPr>
                <w:rFonts w:hint="eastAsia"/>
              </w:rPr>
            </w:pPr>
            <w:r>
              <w:rPr>
                <w:rFonts w:hint="eastAsia"/>
              </w:rPr>
              <w:t>0.44</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51" w:hRule="atLeast"/>
          <w:jc w:val="center"/>
        </w:trPr>
        <w:tc>
          <w:tcPr>
            <w:tcW w:w="999" w:type="pct"/>
            <w:noWrap/>
            <w:vAlign w:val="center"/>
          </w:tcPr>
          <w:p>
            <w:pPr>
              <w:pStyle w:val="3013"/>
              <w:rPr>
                <w:rFonts w:hint="eastAsia"/>
              </w:rPr>
            </w:pPr>
            <w:r>
              <w:rPr>
                <w:rFonts w:hint="eastAsia"/>
              </w:rPr>
              <w:t>5123</w:t>
            </w:r>
          </w:p>
        </w:tc>
        <w:tc>
          <w:tcPr>
            <w:tcW w:w="999" w:type="pct"/>
            <w:noWrap/>
            <w:vAlign w:val="center"/>
          </w:tcPr>
          <w:p>
            <w:pPr>
              <w:pStyle w:val="3013"/>
              <w:rPr>
                <w:rFonts w:hint="eastAsia"/>
              </w:rPr>
            </w:pPr>
          </w:p>
        </w:tc>
        <w:tc>
          <w:tcPr>
            <w:tcW w:w="999" w:type="pct"/>
            <w:noWrap/>
            <w:vAlign w:val="center"/>
          </w:tcPr>
          <w:p>
            <w:pPr>
              <w:pStyle w:val="3013"/>
              <w:rPr>
                <w:rFonts w:hint="eastAsia"/>
              </w:rPr>
            </w:pPr>
            <w:r>
              <w:rPr>
                <w:rFonts w:hint="eastAsia"/>
              </w:rPr>
              <w:t>224.90</w:t>
            </w:r>
          </w:p>
        </w:tc>
        <w:tc>
          <w:tcPr>
            <w:tcW w:w="999" w:type="pct"/>
            <w:noWrap/>
            <w:vAlign w:val="center"/>
          </w:tcPr>
          <w:p>
            <w:pPr>
              <w:pStyle w:val="3013"/>
              <w:rPr>
                <w:rFonts w:hint="eastAsia"/>
              </w:rPr>
            </w:pPr>
            <w:r>
              <w:rPr>
                <w:rFonts w:hint="eastAsia"/>
              </w:rPr>
              <w:t>224.46</w:t>
            </w:r>
          </w:p>
        </w:tc>
        <w:tc>
          <w:tcPr>
            <w:tcW w:w="1000" w:type="pct"/>
            <w:noWrap/>
            <w:vAlign w:val="center"/>
          </w:tcPr>
          <w:p>
            <w:pPr>
              <w:pStyle w:val="3013"/>
              <w:rPr>
                <w:rFonts w:hint="eastAsia"/>
              </w:rPr>
            </w:pPr>
            <w:r>
              <w:rPr>
                <w:rFonts w:hint="eastAsia"/>
              </w:rPr>
              <w:t>0.44</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51" w:hRule="atLeast"/>
          <w:jc w:val="center"/>
        </w:trPr>
        <w:tc>
          <w:tcPr>
            <w:tcW w:w="999" w:type="pct"/>
            <w:noWrap/>
            <w:vAlign w:val="center"/>
          </w:tcPr>
          <w:p>
            <w:pPr>
              <w:pStyle w:val="3013"/>
              <w:rPr>
                <w:rFonts w:hint="eastAsia"/>
              </w:rPr>
            </w:pPr>
            <w:r>
              <w:rPr>
                <w:rFonts w:hint="eastAsia"/>
              </w:rPr>
              <w:t>5173</w:t>
            </w:r>
          </w:p>
        </w:tc>
        <w:tc>
          <w:tcPr>
            <w:tcW w:w="999" w:type="pct"/>
            <w:noWrap/>
            <w:vAlign w:val="center"/>
          </w:tcPr>
          <w:p>
            <w:pPr>
              <w:pStyle w:val="3013"/>
              <w:rPr>
                <w:rFonts w:hint="eastAsia"/>
              </w:rPr>
            </w:pPr>
            <w:r>
              <w:rPr>
                <w:rFonts w:hint="eastAsia"/>
              </w:rPr>
              <w:t>城北大桥</w:t>
            </w:r>
          </w:p>
        </w:tc>
        <w:tc>
          <w:tcPr>
            <w:tcW w:w="999" w:type="pct"/>
            <w:noWrap/>
            <w:vAlign w:val="center"/>
          </w:tcPr>
          <w:p>
            <w:pPr>
              <w:pStyle w:val="3013"/>
              <w:rPr>
                <w:rFonts w:hint="eastAsia"/>
              </w:rPr>
            </w:pPr>
            <w:r>
              <w:rPr>
                <w:rFonts w:hint="eastAsia"/>
              </w:rPr>
              <w:t>224.83</w:t>
            </w:r>
          </w:p>
        </w:tc>
        <w:tc>
          <w:tcPr>
            <w:tcW w:w="999" w:type="pct"/>
            <w:noWrap/>
            <w:vAlign w:val="center"/>
          </w:tcPr>
          <w:p>
            <w:pPr>
              <w:pStyle w:val="3013"/>
              <w:rPr>
                <w:rFonts w:hint="eastAsia"/>
              </w:rPr>
            </w:pPr>
            <w:r>
              <w:rPr>
                <w:rFonts w:hint="eastAsia"/>
              </w:rPr>
              <w:t>224.38</w:t>
            </w:r>
          </w:p>
        </w:tc>
        <w:tc>
          <w:tcPr>
            <w:tcW w:w="1000" w:type="pct"/>
            <w:noWrap/>
            <w:vAlign w:val="center"/>
          </w:tcPr>
          <w:p>
            <w:pPr>
              <w:pStyle w:val="3013"/>
              <w:rPr>
                <w:rFonts w:hint="eastAsia"/>
              </w:rPr>
            </w:pPr>
            <w:r>
              <w:rPr>
                <w:rFonts w:hint="eastAsia"/>
              </w:rPr>
              <w:t>0.45</w:t>
            </w:r>
          </w:p>
        </w:tc>
      </w:tr>
    </w:tbl>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3</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桥梁改造</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3.1</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en-US" w:eastAsia="zh-CN"/>
        </w:rPr>
        <w:t>工程方案</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干流綦江主城区河段跨河桥梁共4座，阻洪明显的桥梁包括綦江大桥（连续石拱桥）和城北大桥（混凝土拱桥），分别建于1972年和2009年，20年一遇洪水条件下其阻水面积占比分别为22%和8%。《重庆市綦江区城乡总体规划（2012</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2020年）》和《綦江县县城防洪规划报告》（2007年）规划已提出对綦江大桥和城北大桥另选桥型，消除阻水影响。因此，可考虑对这2座大桥进行拆除重建或改造，改造后控制阻水面积在5%以内，拆除重建后辅以桥址处河道疏浚，减小其对防洪的不利影响。</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3.2</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en-US" w:eastAsia="zh-CN"/>
        </w:rPr>
        <w:t>防洪作用</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zh-CN" w:eastAsia="zh-CN"/>
        </w:rPr>
      </w:pPr>
      <w:r>
        <w:rPr>
          <w:rFonts w:hint="eastAsia" w:ascii="Times New Roman" w:hAnsi="Times New Roman" w:eastAsia="方正仿宋_GBK" w:cs="Times New Roman"/>
          <w:sz w:val="32"/>
          <w:szCs w:val="32"/>
          <w:lang w:val="en-US" w:eastAsia="zh-CN"/>
        </w:rPr>
        <w:t>通过数学模型计算，在20年一遇设计洪水条件下，桥梁改造方案的实施效果见表6.1</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5、图6.1</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17、图6.1</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18。可以看出：拆除重建綦江大桥，綦江主城区彩虹桥的水位降低了0.20m；拆除重建城北大桥，彩虹桥、北街小学的水位将分别降低0.04m</w:t>
      </w:r>
      <w:r>
        <w:rPr>
          <w:rFonts w:hint="eastAsia" w:ascii="Times New Roman" w:hAnsi="Times New Roman" w:eastAsia="方正仿宋_GBK" w:cs="Times New Roman"/>
          <w:sz w:val="32"/>
          <w:szCs w:val="32"/>
          <w:lang w:val="zh-CN" w:eastAsia="zh-CN"/>
        </w:rPr>
        <w:t>、0.05m。</w:t>
      </w:r>
    </w:p>
    <w:p>
      <w:pPr>
        <w:pStyle w:val="2886"/>
        <w:outlineLvl w:val="9"/>
      </w:pPr>
      <w:r>
        <w:drawing>
          <wp:anchor distT="0" distB="0" distL="114300" distR="114300" simplePos="0" relativeHeight="251666432" behindDoc="0" locked="0" layoutInCell="1" allowOverlap="1">
            <wp:simplePos x="0" y="0"/>
            <wp:positionH relativeFrom="character">
              <wp:posOffset>0</wp:posOffset>
            </wp:positionH>
            <wp:positionV relativeFrom="line">
              <wp:posOffset>0</wp:posOffset>
            </wp:positionV>
            <wp:extent cx="5219700" cy="2656840"/>
            <wp:effectExtent l="0" t="0" r="0" b="10160"/>
            <wp:wrapNone/>
            <wp:docPr id="8" name="图片 685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 name="图片 6854"/>
                    <pic:cNvPicPr>
                      <a:picLocks noChangeAspect="true"/>
                    </pic:cNvPicPr>
                  </pic:nvPicPr>
                  <pic:blipFill>
                    <a:blip r:embed="rId184"/>
                    <a:stretch>
                      <a:fillRect/>
                    </a:stretch>
                  </pic:blipFill>
                  <pic:spPr>
                    <a:xfrm>
                      <a:off x="0" y="0"/>
                      <a:ext cx="5219700" cy="2656840"/>
                    </a:xfrm>
                    <a:prstGeom prst="rect">
                      <a:avLst/>
                    </a:prstGeom>
                    <a:noFill/>
                    <a:ln>
                      <a:noFill/>
                    </a:ln>
                  </pic:spPr>
                </pic:pic>
              </a:graphicData>
            </a:graphic>
          </wp:anchor>
        </w:drawing>
      </w:r>
      <w:r>
        <mc:AlternateContent>
          <mc:Choice Requires="wps">
            <w:drawing>
              <wp:inline distT="0" distB="0" distL="114300" distR="114300">
                <wp:extent cx="5219700" cy="2656840"/>
                <wp:effectExtent l="0" t="0" r="0" b="0"/>
                <wp:docPr id="144" name="图片 111"/>
                <wp:cNvGraphicFramePr>
                  <a:graphicFrameLocks xmlns:a="http://schemas.openxmlformats.org/drawingml/2006/main" noChangeAspect="true"/>
                </wp:cNvGraphicFramePr>
                <a:graphic xmlns:a="http://schemas.openxmlformats.org/drawingml/2006/main">
                  <a:graphicData uri="http://schemas.microsoft.com/office/word/2010/wordprocessingShape">
                    <wps:wsp>
                      <wps:cNvSpPr>
                        <a:spLocks noChangeAspect="true"/>
                      </wps:cNvSpPr>
                      <wps:spPr>
                        <a:xfrm>
                          <a:off x="0" y="0"/>
                          <a:ext cx="5219700" cy="2656840"/>
                        </a:xfrm>
                        <a:prstGeom prst="rect">
                          <a:avLst/>
                        </a:prstGeom>
                        <a:noFill/>
                        <a:ln>
                          <a:noFill/>
                        </a:ln>
                      </wps:spPr>
                      <wps:bodyPr wrap="square" upright="true"/>
                    </wps:wsp>
                  </a:graphicData>
                </a:graphic>
              </wp:inline>
            </w:drawing>
          </mc:Choice>
          <mc:Fallback>
            <w:pict>
              <v:rect id="图片 111" o:spid="_x0000_s1026" o:spt="1" style="height:209.2pt;width:411pt;" filled="f" stroked="f" coordsize="21600,21600" o:gfxdata="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FgAAAGRycy9QSwECFAAU&#10;AAAACACHTuJAgyPqZ9YAAAAFAQAADwAAAAAAAAABACAAAAA4AAAAZHJzL2Rvd25yZXYueG1sUEsB&#10;AhQAFAAAAAgAh07iQBnKDDyoAQAALQMAAA4AAAAAAAAAAQAgAAAAOwEAAGRycy9lMm9Eb2MueG1s&#10;UEsFBgAAAAAGAAYAWQEAAFUFAAAAAA==&#10;">
                <v:fill on="f" focussize="0,0"/>
                <v:stroke on="f"/>
                <v:imagedata o:title=""/>
                <o:lock v:ext="edit" aspectratio="t"/>
                <w10:wrap type="none"/>
                <w10:anchorlock/>
              </v:rect>
            </w:pict>
          </mc:Fallback>
        </mc:AlternateContent>
      </w:r>
    </w:p>
    <w:p>
      <w:pPr>
        <w:pStyle w:val="2886"/>
        <w:rPr>
          <w:rFonts w:hint="default" w:ascii="Times New Roman" w:hAnsi="Times New Roman" w:cs="Times New Roman"/>
        </w:rPr>
      </w:pPr>
      <w:r>
        <w:rPr>
          <w:rFonts w:hint="default" w:ascii="Times New Roman" w:hAnsi="Times New Roman" w:cs="Times New Roman"/>
        </w:rPr>
        <w:t>图6.1</w:t>
      </w:r>
      <w:r>
        <w:rPr>
          <w:rFonts w:hint="default" w:ascii="Times New Roman" w:hAnsi="Times New Roman" w:cs="Times New Roman"/>
          <w:lang w:eastAsia="zh-CN"/>
        </w:rPr>
        <w:t>—</w:t>
      </w:r>
      <w:r>
        <w:rPr>
          <w:rFonts w:hint="default" w:ascii="Times New Roman" w:hAnsi="Times New Roman" w:cs="Times New Roman"/>
        </w:rPr>
        <w:t>17    綦江大桥拆除重建的实施效果</w:t>
      </w:r>
    </w:p>
    <w:p>
      <w:pPr>
        <w:pStyle w:val="2886"/>
        <w:outlineLvl w:val="9"/>
      </w:pPr>
      <w:r>
        <w:drawing>
          <wp:anchor distT="0" distB="0" distL="114300" distR="114300" simplePos="0" relativeHeight="251667456" behindDoc="0" locked="0" layoutInCell="1" allowOverlap="1">
            <wp:simplePos x="0" y="0"/>
            <wp:positionH relativeFrom="character">
              <wp:posOffset>0</wp:posOffset>
            </wp:positionH>
            <wp:positionV relativeFrom="line">
              <wp:posOffset>0</wp:posOffset>
            </wp:positionV>
            <wp:extent cx="5219700" cy="2656840"/>
            <wp:effectExtent l="0" t="0" r="0" b="10160"/>
            <wp:wrapNone/>
            <wp:docPr id="9" name="图片 685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 name="图片 6853"/>
                    <pic:cNvPicPr>
                      <a:picLocks noChangeAspect="true"/>
                    </pic:cNvPicPr>
                  </pic:nvPicPr>
                  <pic:blipFill>
                    <a:blip r:embed="rId185"/>
                    <a:stretch>
                      <a:fillRect/>
                    </a:stretch>
                  </pic:blipFill>
                  <pic:spPr>
                    <a:xfrm>
                      <a:off x="0" y="0"/>
                      <a:ext cx="5219700" cy="2656840"/>
                    </a:xfrm>
                    <a:prstGeom prst="rect">
                      <a:avLst/>
                    </a:prstGeom>
                    <a:noFill/>
                    <a:ln>
                      <a:noFill/>
                    </a:ln>
                  </pic:spPr>
                </pic:pic>
              </a:graphicData>
            </a:graphic>
          </wp:anchor>
        </w:drawing>
      </w:r>
      <w:r>
        <mc:AlternateContent>
          <mc:Choice Requires="wps">
            <w:drawing>
              <wp:inline distT="0" distB="0" distL="114300" distR="114300">
                <wp:extent cx="5219700" cy="2656840"/>
                <wp:effectExtent l="0" t="0" r="0" b="0"/>
                <wp:docPr id="145" name="图片 112"/>
                <wp:cNvGraphicFramePr>
                  <a:graphicFrameLocks xmlns:a="http://schemas.openxmlformats.org/drawingml/2006/main" noChangeAspect="true"/>
                </wp:cNvGraphicFramePr>
                <a:graphic xmlns:a="http://schemas.openxmlformats.org/drawingml/2006/main">
                  <a:graphicData uri="http://schemas.microsoft.com/office/word/2010/wordprocessingShape">
                    <wps:wsp>
                      <wps:cNvSpPr>
                        <a:spLocks noChangeAspect="true"/>
                      </wps:cNvSpPr>
                      <wps:spPr>
                        <a:xfrm>
                          <a:off x="0" y="0"/>
                          <a:ext cx="5219700" cy="2656840"/>
                        </a:xfrm>
                        <a:prstGeom prst="rect">
                          <a:avLst/>
                        </a:prstGeom>
                        <a:noFill/>
                        <a:ln>
                          <a:noFill/>
                        </a:ln>
                      </wps:spPr>
                      <wps:bodyPr wrap="square" upright="true"/>
                    </wps:wsp>
                  </a:graphicData>
                </a:graphic>
              </wp:inline>
            </w:drawing>
          </mc:Choice>
          <mc:Fallback>
            <w:pict>
              <v:rect id="图片 112" o:spid="_x0000_s1026" o:spt="1" style="height:209.2pt;width:411pt;" filled="f" stroked="f" coordsize="21600,21600" o:gfxdata="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WAAAAZHJzL1BLAQIUABQA&#10;AAAIAIdO4kCDI+pn1gAAAAUBAAAPAAAAAAAAAAEAIAAAADgAAABkcnMvZG93bnJldi54bWxQSwEC&#10;FAAUAAAACACHTuJAGzZKzacBAAAtAwAADgAAAAAAAAABACAAAAA7AQAAZHJzL2Uyb0RvYy54bWxQ&#10;SwUGAAAAAAYABgBZAQAAVAUAAAAA&#10;">
                <v:fill on="f" focussize="0,0"/>
                <v:stroke on="f"/>
                <v:imagedata o:title=""/>
                <o:lock v:ext="edit" aspectratio="t"/>
                <w10:wrap type="none"/>
                <w10:anchorlock/>
              </v:rect>
            </w:pict>
          </mc:Fallback>
        </mc:AlternateContent>
      </w:r>
    </w:p>
    <w:p>
      <w:pPr>
        <w:pStyle w:val="2886"/>
        <w:rPr>
          <w:rFonts w:hint="default" w:ascii="Times New Roman" w:hAnsi="Times New Roman" w:cs="Times New Roman"/>
        </w:rPr>
      </w:pPr>
      <w:r>
        <w:rPr>
          <w:rFonts w:hint="default" w:ascii="Times New Roman" w:hAnsi="Times New Roman" w:cs="Times New Roman"/>
        </w:rPr>
        <w:t>图6.1</w:t>
      </w:r>
      <w:r>
        <w:rPr>
          <w:rFonts w:hint="default" w:ascii="Times New Roman" w:hAnsi="Times New Roman" w:cs="Times New Roman"/>
          <w:lang w:eastAsia="zh-CN"/>
        </w:rPr>
        <w:t>—</w:t>
      </w:r>
      <w:r>
        <w:rPr>
          <w:rFonts w:hint="default" w:ascii="Times New Roman" w:hAnsi="Times New Roman" w:cs="Times New Roman"/>
        </w:rPr>
        <w:t>18    城北大桥拆除重建的实施效果</w:t>
      </w:r>
    </w:p>
    <w:p>
      <w:pPr>
        <w:pStyle w:val="2312"/>
        <w:ind w:firstLine="240"/>
        <w:rPr>
          <w:rFonts w:hint="default" w:ascii="Times New Roman" w:hAnsi="Times New Roman" w:cs="Times New Roman"/>
        </w:rPr>
      </w:pPr>
      <w:r>
        <w:rPr>
          <w:rFonts w:hint="default" w:ascii="Times New Roman" w:hAnsi="Times New Roman" w:cs="Times New Roman"/>
        </w:rPr>
        <w:t>表6.1</w:t>
      </w:r>
      <w:r>
        <w:rPr>
          <w:rFonts w:hint="default" w:ascii="Times New Roman" w:hAnsi="Times New Roman" w:cs="Times New Roman"/>
          <w:lang w:eastAsia="zh-CN"/>
        </w:rPr>
        <w:t>—</w:t>
      </w:r>
      <w:r>
        <w:rPr>
          <w:rFonts w:hint="default" w:ascii="Times New Roman" w:hAnsi="Times New Roman" w:cs="Times New Roman"/>
        </w:rPr>
        <w:t>5             桥梁改造前后綦江城区河段水面线变化表</w:t>
      </w:r>
    </w:p>
    <w:tbl>
      <w:tblPr>
        <w:tblStyle w:val="88"/>
        <w:tblW w:w="5000"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fixed"/>
        <w:tblCellMar>
          <w:top w:w="0" w:type="dxa"/>
          <w:left w:w="108" w:type="dxa"/>
          <w:bottom w:w="0" w:type="dxa"/>
          <w:right w:w="108" w:type="dxa"/>
        </w:tblCellMar>
      </w:tblPr>
      <w:tblGrid>
        <w:gridCol w:w="802"/>
        <w:gridCol w:w="1990"/>
        <w:gridCol w:w="1359"/>
        <w:gridCol w:w="1358"/>
        <w:gridCol w:w="1209"/>
        <w:gridCol w:w="1358"/>
        <w:gridCol w:w="1211"/>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431" w:type="pct"/>
            <w:vMerge w:val="restart"/>
            <w:noWrap/>
            <w:vAlign w:val="center"/>
          </w:tcPr>
          <w:p>
            <w:pPr>
              <w:pStyle w:val="3013"/>
              <w:spacing w:line="240" w:lineRule="exact"/>
              <w:rPr>
                <w:rFonts w:hint="eastAsia"/>
              </w:rPr>
            </w:pPr>
            <w:r>
              <w:rPr>
                <w:rFonts w:hint="eastAsia"/>
              </w:rPr>
              <w:t>桩号</w:t>
            </w:r>
          </w:p>
          <w:p>
            <w:pPr>
              <w:pStyle w:val="3013"/>
              <w:spacing w:line="240" w:lineRule="exact"/>
              <w:rPr>
                <w:rFonts w:hint="eastAsia"/>
              </w:rPr>
            </w:pPr>
            <w:r>
              <w:rPr>
                <w:rFonts w:hint="eastAsia"/>
              </w:rPr>
              <w:t>（m）</w:t>
            </w:r>
          </w:p>
        </w:tc>
        <w:tc>
          <w:tcPr>
            <w:tcW w:w="1071" w:type="pct"/>
            <w:vMerge w:val="restart"/>
            <w:noWrap/>
            <w:vAlign w:val="center"/>
          </w:tcPr>
          <w:p>
            <w:pPr>
              <w:pStyle w:val="3013"/>
              <w:spacing w:line="240" w:lineRule="exact"/>
              <w:rPr>
                <w:rFonts w:hint="eastAsia"/>
              </w:rPr>
            </w:pPr>
            <w:r>
              <w:rPr>
                <w:rFonts w:hint="eastAsia"/>
              </w:rPr>
              <w:t>河段名称</w:t>
            </w:r>
          </w:p>
        </w:tc>
        <w:tc>
          <w:tcPr>
            <w:tcW w:w="731" w:type="pct"/>
            <w:vMerge w:val="restart"/>
            <w:noWrap/>
            <w:vAlign w:val="center"/>
          </w:tcPr>
          <w:p>
            <w:pPr>
              <w:pStyle w:val="3013"/>
              <w:spacing w:line="240" w:lineRule="exact"/>
              <w:rPr>
                <w:rFonts w:hint="eastAsia"/>
              </w:rPr>
            </w:pPr>
            <w:r>
              <w:rPr>
                <w:rFonts w:hint="eastAsia"/>
              </w:rPr>
              <w:t>工程前水位（m）</w:t>
            </w:r>
          </w:p>
        </w:tc>
        <w:tc>
          <w:tcPr>
            <w:tcW w:w="1382" w:type="pct"/>
            <w:gridSpan w:val="2"/>
            <w:noWrap/>
            <w:vAlign w:val="center"/>
          </w:tcPr>
          <w:p>
            <w:pPr>
              <w:pStyle w:val="3013"/>
              <w:spacing w:line="240" w:lineRule="exact"/>
              <w:rPr>
                <w:rFonts w:hint="eastAsia"/>
              </w:rPr>
            </w:pPr>
            <w:r>
              <w:rPr>
                <w:rFonts w:hint="eastAsia"/>
              </w:rPr>
              <w:t>綦江大桥拆除重建</w:t>
            </w:r>
          </w:p>
        </w:tc>
        <w:tc>
          <w:tcPr>
            <w:tcW w:w="1383" w:type="pct"/>
            <w:gridSpan w:val="2"/>
            <w:noWrap/>
            <w:vAlign w:val="center"/>
          </w:tcPr>
          <w:p>
            <w:pPr>
              <w:pStyle w:val="3013"/>
              <w:spacing w:line="240" w:lineRule="exact"/>
              <w:rPr>
                <w:rFonts w:hint="eastAsia"/>
              </w:rPr>
            </w:pPr>
            <w:r>
              <w:rPr>
                <w:rFonts w:hint="eastAsia"/>
              </w:rPr>
              <w:t>城北大桥拆除重建</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283" w:hRule="atLeast"/>
          <w:jc w:val="center"/>
        </w:trPr>
        <w:tc>
          <w:tcPr>
            <w:tcW w:w="431" w:type="pct"/>
            <w:vMerge w:val="continue"/>
            <w:noWrap/>
            <w:vAlign w:val="center"/>
          </w:tcPr>
          <w:p>
            <w:pPr>
              <w:pStyle w:val="3013"/>
              <w:spacing w:line="240" w:lineRule="exact"/>
              <w:rPr>
                <w:rFonts w:hint="eastAsia"/>
              </w:rPr>
            </w:pPr>
          </w:p>
        </w:tc>
        <w:tc>
          <w:tcPr>
            <w:tcW w:w="1071" w:type="pct"/>
            <w:vMerge w:val="continue"/>
            <w:noWrap/>
            <w:vAlign w:val="center"/>
          </w:tcPr>
          <w:p>
            <w:pPr>
              <w:pStyle w:val="3013"/>
              <w:spacing w:line="240" w:lineRule="exact"/>
              <w:rPr>
                <w:rFonts w:hint="eastAsia"/>
              </w:rPr>
            </w:pPr>
          </w:p>
        </w:tc>
        <w:tc>
          <w:tcPr>
            <w:tcW w:w="731" w:type="pct"/>
            <w:vMerge w:val="continue"/>
            <w:noWrap/>
            <w:vAlign w:val="center"/>
          </w:tcPr>
          <w:p>
            <w:pPr>
              <w:pStyle w:val="3013"/>
              <w:spacing w:line="240" w:lineRule="exact"/>
              <w:rPr>
                <w:rFonts w:hint="eastAsia"/>
              </w:rPr>
            </w:pPr>
          </w:p>
        </w:tc>
        <w:tc>
          <w:tcPr>
            <w:tcW w:w="731" w:type="pct"/>
            <w:noWrap/>
            <w:vAlign w:val="center"/>
          </w:tcPr>
          <w:p>
            <w:pPr>
              <w:pStyle w:val="3013"/>
              <w:spacing w:line="240" w:lineRule="exact"/>
              <w:rPr>
                <w:rFonts w:hint="eastAsia"/>
              </w:rPr>
            </w:pPr>
            <w:r>
              <w:rPr>
                <w:rFonts w:hint="eastAsia"/>
              </w:rPr>
              <w:t>工程后水位（m）</w:t>
            </w:r>
          </w:p>
        </w:tc>
        <w:tc>
          <w:tcPr>
            <w:tcW w:w="650" w:type="pct"/>
            <w:noWrap/>
            <w:vAlign w:val="center"/>
          </w:tcPr>
          <w:p>
            <w:pPr>
              <w:pStyle w:val="3013"/>
              <w:spacing w:line="240" w:lineRule="exact"/>
              <w:rPr>
                <w:rFonts w:hint="eastAsia"/>
              </w:rPr>
            </w:pPr>
            <w:r>
              <w:rPr>
                <w:rFonts w:hint="eastAsia"/>
              </w:rPr>
              <w:t>水位降低（m）</w:t>
            </w:r>
          </w:p>
        </w:tc>
        <w:tc>
          <w:tcPr>
            <w:tcW w:w="731" w:type="pct"/>
            <w:noWrap/>
            <w:vAlign w:val="center"/>
          </w:tcPr>
          <w:p>
            <w:pPr>
              <w:pStyle w:val="3013"/>
              <w:spacing w:line="240" w:lineRule="exact"/>
              <w:rPr>
                <w:rFonts w:hint="eastAsia"/>
              </w:rPr>
            </w:pPr>
            <w:r>
              <w:rPr>
                <w:rFonts w:hint="eastAsia"/>
              </w:rPr>
              <w:t>工程后水位（m）</w:t>
            </w:r>
          </w:p>
        </w:tc>
        <w:tc>
          <w:tcPr>
            <w:tcW w:w="651" w:type="pct"/>
            <w:noWrap/>
            <w:vAlign w:val="center"/>
          </w:tcPr>
          <w:p>
            <w:pPr>
              <w:pStyle w:val="3013"/>
              <w:spacing w:line="240" w:lineRule="exact"/>
              <w:rPr>
                <w:rFonts w:hint="eastAsia"/>
              </w:rPr>
            </w:pPr>
            <w:r>
              <w:rPr>
                <w:rFonts w:hint="eastAsia"/>
              </w:rPr>
              <w:t>水位降低（m）</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431" w:type="pct"/>
            <w:noWrap/>
            <w:vAlign w:val="center"/>
          </w:tcPr>
          <w:p>
            <w:pPr>
              <w:pStyle w:val="3013"/>
              <w:spacing w:line="240" w:lineRule="exact"/>
              <w:rPr>
                <w:rFonts w:hint="eastAsia"/>
              </w:rPr>
            </w:pPr>
            <w:r>
              <w:rPr>
                <w:rFonts w:hint="eastAsia"/>
              </w:rPr>
              <w:t>0</w:t>
            </w:r>
          </w:p>
        </w:tc>
        <w:tc>
          <w:tcPr>
            <w:tcW w:w="1071" w:type="pct"/>
            <w:noWrap/>
            <w:vAlign w:val="center"/>
          </w:tcPr>
          <w:p>
            <w:pPr>
              <w:pStyle w:val="3013"/>
              <w:spacing w:line="240" w:lineRule="exact"/>
              <w:rPr>
                <w:rFonts w:hint="eastAsia"/>
              </w:rPr>
            </w:pPr>
            <w:r>
              <w:rPr>
                <w:rFonts w:hint="eastAsia"/>
              </w:rPr>
              <w:t>中国石化</w:t>
            </w:r>
          </w:p>
        </w:tc>
        <w:tc>
          <w:tcPr>
            <w:tcW w:w="731" w:type="pct"/>
            <w:noWrap/>
            <w:vAlign w:val="center"/>
          </w:tcPr>
          <w:p>
            <w:pPr>
              <w:pStyle w:val="3013"/>
              <w:spacing w:line="240" w:lineRule="exact"/>
              <w:rPr>
                <w:rFonts w:hint="eastAsia"/>
              </w:rPr>
            </w:pPr>
            <w:r>
              <w:rPr>
                <w:rFonts w:hint="eastAsia"/>
              </w:rPr>
              <w:t>228.66</w:t>
            </w:r>
          </w:p>
        </w:tc>
        <w:tc>
          <w:tcPr>
            <w:tcW w:w="731" w:type="pct"/>
            <w:noWrap/>
            <w:vAlign w:val="center"/>
          </w:tcPr>
          <w:p>
            <w:pPr>
              <w:pStyle w:val="3013"/>
              <w:spacing w:line="240" w:lineRule="exact"/>
              <w:rPr>
                <w:rFonts w:hint="eastAsia"/>
              </w:rPr>
            </w:pPr>
            <w:r>
              <w:rPr>
                <w:rFonts w:hint="eastAsia"/>
              </w:rPr>
              <w:t>228.53</w:t>
            </w:r>
          </w:p>
        </w:tc>
        <w:tc>
          <w:tcPr>
            <w:tcW w:w="650" w:type="pct"/>
            <w:noWrap/>
            <w:vAlign w:val="center"/>
          </w:tcPr>
          <w:p>
            <w:pPr>
              <w:pStyle w:val="3013"/>
              <w:spacing w:line="240" w:lineRule="exact"/>
              <w:rPr>
                <w:rFonts w:hint="eastAsia"/>
              </w:rPr>
            </w:pPr>
            <w:r>
              <w:rPr>
                <w:rFonts w:hint="eastAsia"/>
              </w:rPr>
              <w:t>0.13</w:t>
            </w:r>
          </w:p>
        </w:tc>
        <w:tc>
          <w:tcPr>
            <w:tcW w:w="731" w:type="pct"/>
            <w:noWrap/>
            <w:vAlign w:val="center"/>
          </w:tcPr>
          <w:p>
            <w:pPr>
              <w:pStyle w:val="3013"/>
              <w:spacing w:line="240" w:lineRule="exact"/>
              <w:rPr>
                <w:rFonts w:hint="eastAsia"/>
              </w:rPr>
            </w:pPr>
            <w:r>
              <w:rPr>
                <w:rFonts w:hint="eastAsia"/>
              </w:rPr>
              <w:t>228.64</w:t>
            </w:r>
          </w:p>
        </w:tc>
        <w:tc>
          <w:tcPr>
            <w:tcW w:w="651" w:type="pct"/>
            <w:noWrap/>
            <w:vAlign w:val="center"/>
          </w:tcPr>
          <w:p>
            <w:pPr>
              <w:pStyle w:val="3013"/>
              <w:spacing w:line="240" w:lineRule="exact"/>
              <w:rPr>
                <w:rFonts w:hint="eastAsia"/>
              </w:rPr>
            </w:pPr>
            <w:r>
              <w:rPr>
                <w:rFonts w:hint="eastAsia"/>
              </w:rPr>
              <w:t>0.03</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283" w:hRule="atLeast"/>
          <w:jc w:val="center"/>
        </w:trPr>
        <w:tc>
          <w:tcPr>
            <w:tcW w:w="431" w:type="pct"/>
            <w:noWrap/>
            <w:vAlign w:val="center"/>
          </w:tcPr>
          <w:p>
            <w:pPr>
              <w:pStyle w:val="3013"/>
              <w:spacing w:line="240" w:lineRule="exact"/>
              <w:rPr>
                <w:rFonts w:hint="eastAsia"/>
              </w:rPr>
            </w:pPr>
            <w:r>
              <w:rPr>
                <w:rFonts w:hint="eastAsia"/>
              </w:rPr>
              <w:t>206</w:t>
            </w:r>
          </w:p>
        </w:tc>
        <w:tc>
          <w:tcPr>
            <w:tcW w:w="1071" w:type="pct"/>
            <w:noWrap/>
            <w:vAlign w:val="center"/>
          </w:tcPr>
          <w:p>
            <w:pPr>
              <w:pStyle w:val="3013"/>
              <w:spacing w:line="240" w:lineRule="exact"/>
              <w:rPr>
                <w:rFonts w:hint="eastAsia"/>
              </w:rPr>
            </w:pPr>
          </w:p>
        </w:tc>
        <w:tc>
          <w:tcPr>
            <w:tcW w:w="731" w:type="pct"/>
            <w:noWrap/>
            <w:vAlign w:val="center"/>
          </w:tcPr>
          <w:p>
            <w:pPr>
              <w:pStyle w:val="3013"/>
              <w:spacing w:line="240" w:lineRule="exact"/>
              <w:rPr>
                <w:rFonts w:hint="eastAsia"/>
              </w:rPr>
            </w:pPr>
            <w:r>
              <w:rPr>
                <w:rFonts w:hint="eastAsia"/>
              </w:rPr>
              <w:t>228.56</w:t>
            </w:r>
          </w:p>
        </w:tc>
        <w:tc>
          <w:tcPr>
            <w:tcW w:w="731" w:type="pct"/>
            <w:noWrap/>
            <w:vAlign w:val="center"/>
          </w:tcPr>
          <w:p>
            <w:pPr>
              <w:pStyle w:val="3013"/>
              <w:spacing w:line="240" w:lineRule="exact"/>
              <w:rPr>
                <w:rFonts w:hint="eastAsia"/>
              </w:rPr>
            </w:pPr>
            <w:r>
              <w:rPr>
                <w:rFonts w:hint="eastAsia"/>
              </w:rPr>
              <w:t>228.42</w:t>
            </w:r>
          </w:p>
        </w:tc>
        <w:tc>
          <w:tcPr>
            <w:tcW w:w="650" w:type="pct"/>
            <w:noWrap/>
            <w:vAlign w:val="center"/>
          </w:tcPr>
          <w:p>
            <w:pPr>
              <w:pStyle w:val="3013"/>
              <w:spacing w:line="240" w:lineRule="exact"/>
              <w:rPr>
                <w:rFonts w:hint="eastAsia"/>
              </w:rPr>
            </w:pPr>
            <w:r>
              <w:rPr>
                <w:rFonts w:hint="eastAsia"/>
              </w:rPr>
              <w:t>0.14</w:t>
            </w:r>
          </w:p>
        </w:tc>
        <w:tc>
          <w:tcPr>
            <w:tcW w:w="731" w:type="pct"/>
            <w:noWrap/>
            <w:vAlign w:val="center"/>
          </w:tcPr>
          <w:p>
            <w:pPr>
              <w:pStyle w:val="3013"/>
              <w:spacing w:line="240" w:lineRule="exact"/>
              <w:rPr>
                <w:rFonts w:hint="eastAsia"/>
              </w:rPr>
            </w:pPr>
            <w:r>
              <w:rPr>
                <w:rFonts w:hint="eastAsia"/>
              </w:rPr>
              <w:t>228.53</w:t>
            </w:r>
          </w:p>
        </w:tc>
        <w:tc>
          <w:tcPr>
            <w:tcW w:w="651" w:type="pct"/>
            <w:noWrap/>
            <w:vAlign w:val="center"/>
          </w:tcPr>
          <w:p>
            <w:pPr>
              <w:pStyle w:val="3013"/>
              <w:spacing w:line="240" w:lineRule="exact"/>
              <w:rPr>
                <w:rFonts w:hint="eastAsia"/>
              </w:rPr>
            </w:pPr>
            <w:r>
              <w:rPr>
                <w:rFonts w:hint="eastAsia"/>
              </w:rPr>
              <w:t>0.03</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431" w:type="pct"/>
            <w:noWrap/>
            <w:vAlign w:val="center"/>
          </w:tcPr>
          <w:p>
            <w:pPr>
              <w:pStyle w:val="3013"/>
              <w:spacing w:line="240" w:lineRule="exact"/>
              <w:rPr>
                <w:rFonts w:hint="eastAsia"/>
              </w:rPr>
            </w:pPr>
            <w:r>
              <w:rPr>
                <w:rFonts w:hint="eastAsia"/>
              </w:rPr>
              <w:t>379</w:t>
            </w:r>
          </w:p>
        </w:tc>
        <w:tc>
          <w:tcPr>
            <w:tcW w:w="1071" w:type="pct"/>
            <w:noWrap/>
            <w:vAlign w:val="center"/>
          </w:tcPr>
          <w:p>
            <w:pPr>
              <w:pStyle w:val="3013"/>
              <w:spacing w:line="240" w:lineRule="exact"/>
              <w:rPr>
                <w:rFonts w:hint="eastAsia"/>
              </w:rPr>
            </w:pPr>
            <w:r>
              <w:rPr>
                <w:rFonts w:hint="eastAsia"/>
              </w:rPr>
              <w:t>古南水文站</w:t>
            </w:r>
          </w:p>
        </w:tc>
        <w:tc>
          <w:tcPr>
            <w:tcW w:w="731" w:type="pct"/>
            <w:noWrap/>
            <w:vAlign w:val="center"/>
          </w:tcPr>
          <w:p>
            <w:pPr>
              <w:pStyle w:val="3013"/>
              <w:spacing w:line="240" w:lineRule="exact"/>
              <w:rPr>
                <w:rFonts w:hint="eastAsia"/>
              </w:rPr>
            </w:pPr>
            <w:r>
              <w:rPr>
                <w:rFonts w:hint="eastAsia"/>
              </w:rPr>
              <w:t>228.49</w:t>
            </w:r>
          </w:p>
        </w:tc>
        <w:tc>
          <w:tcPr>
            <w:tcW w:w="731" w:type="pct"/>
            <w:noWrap/>
            <w:vAlign w:val="center"/>
          </w:tcPr>
          <w:p>
            <w:pPr>
              <w:pStyle w:val="3013"/>
              <w:spacing w:line="240" w:lineRule="exact"/>
              <w:rPr>
                <w:rFonts w:hint="eastAsia"/>
              </w:rPr>
            </w:pPr>
            <w:r>
              <w:rPr>
                <w:rFonts w:hint="eastAsia"/>
              </w:rPr>
              <w:t>228.35</w:t>
            </w:r>
          </w:p>
        </w:tc>
        <w:tc>
          <w:tcPr>
            <w:tcW w:w="650" w:type="pct"/>
            <w:noWrap/>
            <w:vAlign w:val="center"/>
          </w:tcPr>
          <w:p>
            <w:pPr>
              <w:pStyle w:val="3013"/>
              <w:spacing w:line="240" w:lineRule="exact"/>
              <w:rPr>
                <w:rFonts w:hint="eastAsia"/>
              </w:rPr>
            </w:pPr>
            <w:r>
              <w:rPr>
                <w:rFonts w:hint="eastAsia"/>
              </w:rPr>
              <w:t>0.14</w:t>
            </w:r>
          </w:p>
        </w:tc>
        <w:tc>
          <w:tcPr>
            <w:tcW w:w="731" w:type="pct"/>
            <w:noWrap/>
            <w:vAlign w:val="center"/>
          </w:tcPr>
          <w:p>
            <w:pPr>
              <w:pStyle w:val="3013"/>
              <w:spacing w:line="240" w:lineRule="exact"/>
              <w:rPr>
                <w:rFonts w:hint="eastAsia"/>
              </w:rPr>
            </w:pPr>
            <w:r>
              <w:rPr>
                <w:rFonts w:hint="eastAsia"/>
              </w:rPr>
              <w:t>228.46</w:t>
            </w:r>
          </w:p>
        </w:tc>
        <w:tc>
          <w:tcPr>
            <w:tcW w:w="651" w:type="pct"/>
            <w:noWrap/>
            <w:vAlign w:val="center"/>
          </w:tcPr>
          <w:p>
            <w:pPr>
              <w:pStyle w:val="3013"/>
              <w:spacing w:line="240" w:lineRule="exact"/>
              <w:rPr>
                <w:rFonts w:hint="eastAsia"/>
              </w:rPr>
            </w:pPr>
            <w:r>
              <w:rPr>
                <w:rFonts w:hint="eastAsia"/>
              </w:rPr>
              <w:t>0.03</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283" w:hRule="atLeast"/>
          <w:jc w:val="center"/>
        </w:trPr>
        <w:tc>
          <w:tcPr>
            <w:tcW w:w="431" w:type="pct"/>
            <w:noWrap/>
            <w:vAlign w:val="center"/>
          </w:tcPr>
          <w:p>
            <w:pPr>
              <w:pStyle w:val="3013"/>
              <w:spacing w:line="240" w:lineRule="exact"/>
              <w:rPr>
                <w:rFonts w:hint="eastAsia"/>
              </w:rPr>
            </w:pPr>
            <w:r>
              <w:rPr>
                <w:rFonts w:hint="eastAsia"/>
              </w:rPr>
              <w:t>475</w:t>
            </w:r>
          </w:p>
        </w:tc>
        <w:tc>
          <w:tcPr>
            <w:tcW w:w="1071" w:type="pct"/>
            <w:noWrap/>
            <w:vAlign w:val="center"/>
          </w:tcPr>
          <w:p>
            <w:pPr>
              <w:pStyle w:val="3013"/>
              <w:spacing w:line="240" w:lineRule="exact"/>
              <w:rPr>
                <w:rFonts w:hint="eastAsia"/>
              </w:rPr>
            </w:pPr>
            <w:r>
              <w:rPr>
                <w:rFonts w:hint="eastAsia"/>
              </w:rPr>
              <w:t>重庆石化黄木湾加油站</w:t>
            </w:r>
          </w:p>
        </w:tc>
        <w:tc>
          <w:tcPr>
            <w:tcW w:w="731" w:type="pct"/>
            <w:noWrap/>
            <w:vAlign w:val="center"/>
          </w:tcPr>
          <w:p>
            <w:pPr>
              <w:pStyle w:val="3013"/>
              <w:spacing w:line="240" w:lineRule="exact"/>
              <w:rPr>
                <w:rFonts w:hint="eastAsia"/>
              </w:rPr>
            </w:pPr>
            <w:r>
              <w:rPr>
                <w:rFonts w:hint="eastAsia"/>
              </w:rPr>
              <w:t>228.45</w:t>
            </w:r>
          </w:p>
        </w:tc>
        <w:tc>
          <w:tcPr>
            <w:tcW w:w="731" w:type="pct"/>
            <w:noWrap/>
            <w:vAlign w:val="center"/>
          </w:tcPr>
          <w:p>
            <w:pPr>
              <w:pStyle w:val="3013"/>
              <w:spacing w:line="240" w:lineRule="exact"/>
              <w:rPr>
                <w:rFonts w:hint="eastAsia"/>
              </w:rPr>
            </w:pPr>
            <w:r>
              <w:rPr>
                <w:rFonts w:hint="eastAsia"/>
              </w:rPr>
              <w:t>228.31</w:t>
            </w:r>
          </w:p>
        </w:tc>
        <w:tc>
          <w:tcPr>
            <w:tcW w:w="650" w:type="pct"/>
            <w:noWrap/>
            <w:vAlign w:val="center"/>
          </w:tcPr>
          <w:p>
            <w:pPr>
              <w:pStyle w:val="3013"/>
              <w:spacing w:line="240" w:lineRule="exact"/>
              <w:rPr>
                <w:rFonts w:hint="eastAsia"/>
              </w:rPr>
            </w:pPr>
            <w:r>
              <w:rPr>
                <w:rFonts w:hint="eastAsia"/>
              </w:rPr>
              <w:t>0.14</w:t>
            </w:r>
          </w:p>
        </w:tc>
        <w:tc>
          <w:tcPr>
            <w:tcW w:w="731" w:type="pct"/>
            <w:noWrap/>
            <w:vAlign w:val="center"/>
          </w:tcPr>
          <w:p>
            <w:pPr>
              <w:pStyle w:val="3013"/>
              <w:spacing w:line="240" w:lineRule="exact"/>
              <w:rPr>
                <w:rFonts w:hint="eastAsia"/>
              </w:rPr>
            </w:pPr>
            <w:r>
              <w:rPr>
                <w:rFonts w:hint="eastAsia"/>
              </w:rPr>
              <w:t>228.42</w:t>
            </w:r>
          </w:p>
        </w:tc>
        <w:tc>
          <w:tcPr>
            <w:tcW w:w="651" w:type="pct"/>
            <w:noWrap/>
            <w:vAlign w:val="center"/>
          </w:tcPr>
          <w:p>
            <w:pPr>
              <w:pStyle w:val="3013"/>
              <w:spacing w:line="240" w:lineRule="exact"/>
              <w:rPr>
                <w:rFonts w:hint="eastAsia"/>
              </w:rPr>
            </w:pPr>
            <w:r>
              <w:rPr>
                <w:rFonts w:hint="eastAsia"/>
              </w:rPr>
              <w:t>0.03</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431" w:type="pct"/>
            <w:noWrap/>
            <w:vAlign w:val="center"/>
          </w:tcPr>
          <w:p>
            <w:pPr>
              <w:pStyle w:val="3013"/>
              <w:spacing w:line="240" w:lineRule="exact"/>
              <w:rPr>
                <w:rFonts w:hint="eastAsia"/>
              </w:rPr>
            </w:pPr>
            <w:r>
              <w:rPr>
                <w:rFonts w:hint="eastAsia"/>
              </w:rPr>
              <w:t>630</w:t>
            </w:r>
          </w:p>
        </w:tc>
        <w:tc>
          <w:tcPr>
            <w:tcW w:w="1071" w:type="pct"/>
            <w:noWrap/>
            <w:vAlign w:val="center"/>
          </w:tcPr>
          <w:p>
            <w:pPr>
              <w:pStyle w:val="3013"/>
              <w:spacing w:line="240" w:lineRule="exact"/>
              <w:rPr>
                <w:rFonts w:hint="eastAsia"/>
              </w:rPr>
            </w:pPr>
            <w:r>
              <w:rPr>
                <w:rFonts w:hint="eastAsia"/>
              </w:rPr>
              <w:t>黄木湾路公厕</w:t>
            </w:r>
          </w:p>
        </w:tc>
        <w:tc>
          <w:tcPr>
            <w:tcW w:w="731" w:type="pct"/>
            <w:noWrap/>
            <w:vAlign w:val="center"/>
          </w:tcPr>
          <w:p>
            <w:pPr>
              <w:pStyle w:val="3013"/>
              <w:spacing w:line="240" w:lineRule="exact"/>
              <w:rPr>
                <w:rFonts w:hint="eastAsia"/>
              </w:rPr>
            </w:pPr>
            <w:r>
              <w:rPr>
                <w:rFonts w:hint="eastAsia"/>
              </w:rPr>
              <w:t>228.38</w:t>
            </w:r>
          </w:p>
        </w:tc>
        <w:tc>
          <w:tcPr>
            <w:tcW w:w="731" w:type="pct"/>
            <w:noWrap/>
            <w:vAlign w:val="center"/>
          </w:tcPr>
          <w:p>
            <w:pPr>
              <w:pStyle w:val="3013"/>
              <w:spacing w:line="240" w:lineRule="exact"/>
              <w:rPr>
                <w:rFonts w:hint="eastAsia"/>
              </w:rPr>
            </w:pPr>
            <w:r>
              <w:rPr>
                <w:rFonts w:hint="eastAsia"/>
              </w:rPr>
              <w:t>228.24</w:t>
            </w:r>
          </w:p>
        </w:tc>
        <w:tc>
          <w:tcPr>
            <w:tcW w:w="650" w:type="pct"/>
            <w:noWrap/>
            <w:vAlign w:val="center"/>
          </w:tcPr>
          <w:p>
            <w:pPr>
              <w:pStyle w:val="3013"/>
              <w:spacing w:line="240" w:lineRule="exact"/>
              <w:rPr>
                <w:rFonts w:hint="eastAsia"/>
              </w:rPr>
            </w:pPr>
            <w:r>
              <w:rPr>
                <w:rFonts w:hint="eastAsia"/>
              </w:rPr>
              <w:t>0.14</w:t>
            </w:r>
          </w:p>
        </w:tc>
        <w:tc>
          <w:tcPr>
            <w:tcW w:w="731" w:type="pct"/>
            <w:noWrap/>
            <w:vAlign w:val="center"/>
          </w:tcPr>
          <w:p>
            <w:pPr>
              <w:pStyle w:val="3013"/>
              <w:spacing w:line="240" w:lineRule="exact"/>
              <w:rPr>
                <w:rFonts w:hint="eastAsia"/>
              </w:rPr>
            </w:pPr>
            <w:r>
              <w:rPr>
                <w:rFonts w:hint="eastAsia"/>
              </w:rPr>
              <w:t>228.35</w:t>
            </w:r>
          </w:p>
        </w:tc>
        <w:tc>
          <w:tcPr>
            <w:tcW w:w="651" w:type="pct"/>
            <w:noWrap/>
            <w:vAlign w:val="center"/>
          </w:tcPr>
          <w:p>
            <w:pPr>
              <w:pStyle w:val="3013"/>
              <w:spacing w:line="240" w:lineRule="exact"/>
              <w:rPr>
                <w:rFonts w:hint="eastAsia"/>
              </w:rPr>
            </w:pPr>
            <w:r>
              <w:rPr>
                <w:rFonts w:hint="eastAsia"/>
              </w:rPr>
              <w:t>0.03</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283" w:hRule="atLeast"/>
          <w:jc w:val="center"/>
        </w:trPr>
        <w:tc>
          <w:tcPr>
            <w:tcW w:w="431" w:type="pct"/>
            <w:noWrap/>
            <w:vAlign w:val="center"/>
          </w:tcPr>
          <w:p>
            <w:pPr>
              <w:pStyle w:val="3013"/>
              <w:spacing w:line="240" w:lineRule="exact"/>
              <w:rPr>
                <w:rFonts w:hint="eastAsia"/>
              </w:rPr>
            </w:pPr>
            <w:r>
              <w:rPr>
                <w:rFonts w:hint="eastAsia"/>
              </w:rPr>
              <w:t>977</w:t>
            </w:r>
          </w:p>
        </w:tc>
        <w:tc>
          <w:tcPr>
            <w:tcW w:w="1071" w:type="pct"/>
            <w:noWrap/>
            <w:vAlign w:val="center"/>
          </w:tcPr>
          <w:p>
            <w:pPr>
              <w:pStyle w:val="3013"/>
              <w:spacing w:line="240" w:lineRule="exact"/>
              <w:rPr>
                <w:rFonts w:hint="eastAsia"/>
              </w:rPr>
            </w:pPr>
          </w:p>
        </w:tc>
        <w:tc>
          <w:tcPr>
            <w:tcW w:w="731" w:type="pct"/>
            <w:noWrap/>
            <w:vAlign w:val="center"/>
          </w:tcPr>
          <w:p>
            <w:pPr>
              <w:pStyle w:val="3013"/>
              <w:spacing w:line="240" w:lineRule="exact"/>
              <w:rPr>
                <w:rFonts w:hint="eastAsia"/>
              </w:rPr>
            </w:pPr>
            <w:r>
              <w:rPr>
                <w:rFonts w:hint="eastAsia"/>
              </w:rPr>
              <w:t>228.07</w:t>
            </w:r>
          </w:p>
        </w:tc>
        <w:tc>
          <w:tcPr>
            <w:tcW w:w="731" w:type="pct"/>
            <w:noWrap/>
            <w:vAlign w:val="center"/>
          </w:tcPr>
          <w:p>
            <w:pPr>
              <w:pStyle w:val="3013"/>
              <w:spacing w:line="240" w:lineRule="exact"/>
              <w:rPr>
                <w:rFonts w:hint="eastAsia"/>
              </w:rPr>
            </w:pPr>
            <w:r>
              <w:rPr>
                <w:rFonts w:hint="eastAsia"/>
              </w:rPr>
              <w:t>227.92</w:t>
            </w:r>
          </w:p>
        </w:tc>
        <w:tc>
          <w:tcPr>
            <w:tcW w:w="650" w:type="pct"/>
            <w:noWrap/>
            <w:vAlign w:val="center"/>
          </w:tcPr>
          <w:p>
            <w:pPr>
              <w:pStyle w:val="3013"/>
              <w:spacing w:line="240" w:lineRule="exact"/>
              <w:rPr>
                <w:rFonts w:hint="eastAsia"/>
              </w:rPr>
            </w:pPr>
            <w:r>
              <w:rPr>
                <w:rFonts w:hint="eastAsia"/>
              </w:rPr>
              <w:t>0.15</w:t>
            </w:r>
          </w:p>
        </w:tc>
        <w:tc>
          <w:tcPr>
            <w:tcW w:w="731" w:type="pct"/>
            <w:noWrap/>
            <w:vAlign w:val="center"/>
          </w:tcPr>
          <w:p>
            <w:pPr>
              <w:pStyle w:val="3013"/>
              <w:spacing w:line="240" w:lineRule="exact"/>
              <w:rPr>
                <w:rFonts w:hint="eastAsia"/>
              </w:rPr>
            </w:pPr>
            <w:r>
              <w:rPr>
                <w:rFonts w:hint="eastAsia"/>
              </w:rPr>
              <w:t>228.04</w:t>
            </w:r>
          </w:p>
        </w:tc>
        <w:tc>
          <w:tcPr>
            <w:tcW w:w="651" w:type="pct"/>
            <w:noWrap/>
            <w:vAlign w:val="center"/>
          </w:tcPr>
          <w:p>
            <w:pPr>
              <w:pStyle w:val="3013"/>
              <w:spacing w:line="240" w:lineRule="exact"/>
              <w:rPr>
                <w:rFonts w:hint="eastAsia"/>
              </w:rPr>
            </w:pPr>
            <w:r>
              <w:rPr>
                <w:rFonts w:hint="eastAsia"/>
              </w:rPr>
              <w:t>0.03</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431" w:type="pct"/>
            <w:noWrap/>
            <w:vAlign w:val="center"/>
          </w:tcPr>
          <w:p>
            <w:pPr>
              <w:pStyle w:val="3013"/>
              <w:spacing w:line="240" w:lineRule="exact"/>
              <w:rPr>
                <w:rFonts w:hint="eastAsia"/>
              </w:rPr>
            </w:pPr>
            <w:r>
              <w:rPr>
                <w:rFonts w:hint="eastAsia"/>
              </w:rPr>
              <w:t>1007</w:t>
            </w:r>
          </w:p>
        </w:tc>
        <w:tc>
          <w:tcPr>
            <w:tcW w:w="1071" w:type="pct"/>
            <w:noWrap/>
            <w:vAlign w:val="center"/>
          </w:tcPr>
          <w:p>
            <w:pPr>
              <w:pStyle w:val="3013"/>
              <w:spacing w:line="240" w:lineRule="exact"/>
              <w:rPr>
                <w:rFonts w:hint="eastAsia"/>
              </w:rPr>
            </w:pPr>
            <w:r>
              <w:rPr>
                <w:rFonts w:hint="eastAsia"/>
              </w:rPr>
              <w:t>綦江久平汽车售后服务部</w:t>
            </w:r>
          </w:p>
        </w:tc>
        <w:tc>
          <w:tcPr>
            <w:tcW w:w="731" w:type="pct"/>
            <w:noWrap/>
            <w:vAlign w:val="center"/>
          </w:tcPr>
          <w:p>
            <w:pPr>
              <w:pStyle w:val="3013"/>
              <w:spacing w:line="240" w:lineRule="exact"/>
              <w:rPr>
                <w:rFonts w:hint="eastAsia"/>
              </w:rPr>
            </w:pPr>
            <w:r>
              <w:rPr>
                <w:rFonts w:hint="eastAsia"/>
              </w:rPr>
              <w:t>228.03</w:t>
            </w:r>
          </w:p>
        </w:tc>
        <w:tc>
          <w:tcPr>
            <w:tcW w:w="731" w:type="pct"/>
            <w:noWrap/>
            <w:vAlign w:val="center"/>
          </w:tcPr>
          <w:p>
            <w:pPr>
              <w:pStyle w:val="3013"/>
              <w:spacing w:line="240" w:lineRule="exact"/>
              <w:rPr>
                <w:rFonts w:hint="eastAsia"/>
              </w:rPr>
            </w:pPr>
            <w:r>
              <w:rPr>
                <w:rFonts w:hint="eastAsia"/>
              </w:rPr>
              <w:t>227.88</w:t>
            </w:r>
          </w:p>
        </w:tc>
        <w:tc>
          <w:tcPr>
            <w:tcW w:w="650" w:type="pct"/>
            <w:noWrap/>
            <w:vAlign w:val="center"/>
          </w:tcPr>
          <w:p>
            <w:pPr>
              <w:pStyle w:val="3013"/>
              <w:spacing w:line="240" w:lineRule="exact"/>
              <w:rPr>
                <w:rFonts w:hint="eastAsia"/>
              </w:rPr>
            </w:pPr>
            <w:r>
              <w:rPr>
                <w:rFonts w:hint="eastAsia"/>
              </w:rPr>
              <w:t>0.16</w:t>
            </w:r>
          </w:p>
        </w:tc>
        <w:tc>
          <w:tcPr>
            <w:tcW w:w="731" w:type="pct"/>
            <w:noWrap/>
            <w:vAlign w:val="center"/>
          </w:tcPr>
          <w:p>
            <w:pPr>
              <w:pStyle w:val="3013"/>
              <w:spacing w:line="240" w:lineRule="exact"/>
              <w:rPr>
                <w:rFonts w:hint="eastAsia"/>
              </w:rPr>
            </w:pPr>
            <w:r>
              <w:rPr>
                <w:rFonts w:hint="eastAsia"/>
              </w:rPr>
              <w:t>228.00</w:t>
            </w:r>
          </w:p>
        </w:tc>
        <w:tc>
          <w:tcPr>
            <w:tcW w:w="651" w:type="pct"/>
            <w:noWrap/>
            <w:vAlign w:val="center"/>
          </w:tcPr>
          <w:p>
            <w:pPr>
              <w:pStyle w:val="3013"/>
              <w:spacing w:line="240" w:lineRule="exact"/>
              <w:rPr>
                <w:rFonts w:hint="eastAsia"/>
              </w:rPr>
            </w:pPr>
            <w:r>
              <w:rPr>
                <w:rFonts w:hint="eastAsia"/>
              </w:rPr>
              <w:t>0.03</w:t>
            </w:r>
          </w:p>
        </w:tc>
      </w:tr>
    </w:tbl>
    <w:p>
      <w:pPr>
        <w:pStyle w:val="2312"/>
        <w:ind w:firstLine="240"/>
        <w:rPr>
          <w:rFonts w:hint="default" w:ascii="Times New Roman" w:hAnsi="Times New Roman" w:cs="Times New Roman"/>
        </w:rPr>
      </w:pPr>
      <w:r>
        <w:br w:type="page"/>
      </w:r>
      <w:r>
        <w:rPr>
          <w:rFonts w:hint="default" w:ascii="Times New Roman" w:hAnsi="Times New Roman" w:cs="Times New Roman"/>
        </w:rPr>
        <w:t>续表6.1</w:t>
      </w:r>
      <w:r>
        <w:rPr>
          <w:rFonts w:hint="default" w:ascii="Times New Roman" w:hAnsi="Times New Roman" w:cs="Times New Roman"/>
          <w:lang w:eastAsia="zh-CN"/>
        </w:rPr>
        <w:t>—</w:t>
      </w:r>
      <w:r>
        <w:rPr>
          <w:rFonts w:hint="default" w:ascii="Times New Roman" w:hAnsi="Times New Roman" w:cs="Times New Roman"/>
        </w:rPr>
        <w:t>5             桥梁改造前后綦江城区河段水面线变化表</w:t>
      </w:r>
    </w:p>
    <w:tbl>
      <w:tblPr>
        <w:tblStyle w:val="88"/>
        <w:tblW w:w="5000"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fixed"/>
        <w:tblCellMar>
          <w:top w:w="0" w:type="dxa"/>
          <w:left w:w="108" w:type="dxa"/>
          <w:bottom w:w="0" w:type="dxa"/>
          <w:right w:w="108" w:type="dxa"/>
        </w:tblCellMar>
      </w:tblPr>
      <w:tblGrid>
        <w:gridCol w:w="802"/>
        <w:gridCol w:w="1990"/>
        <w:gridCol w:w="1359"/>
        <w:gridCol w:w="1358"/>
        <w:gridCol w:w="1209"/>
        <w:gridCol w:w="1358"/>
        <w:gridCol w:w="1211"/>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431" w:type="pct"/>
            <w:vMerge w:val="restart"/>
            <w:noWrap/>
            <w:vAlign w:val="center"/>
          </w:tcPr>
          <w:p>
            <w:pPr>
              <w:pStyle w:val="3013"/>
              <w:rPr>
                <w:rFonts w:hint="eastAsia"/>
              </w:rPr>
            </w:pPr>
            <w:r>
              <w:rPr>
                <w:rFonts w:hint="eastAsia"/>
              </w:rPr>
              <w:t>桩号</w:t>
            </w:r>
          </w:p>
          <w:p>
            <w:pPr>
              <w:pStyle w:val="3013"/>
              <w:rPr>
                <w:rFonts w:hint="eastAsia"/>
              </w:rPr>
            </w:pPr>
            <w:r>
              <w:rPr>
                <w:rFonts w:hint="eastAsia"/>
              </w:rPr>
              <w:t>（m）</w:t>
            </w:r>
          </w:p>
        </w:tc>
        <w:tc>
          <w:tcPr>
            <w:tcW w:w="1071" w:type="pct"/>
            <w:vMerge w:val="restart"/>
            <w:noWrap/>
            <w:vAlign w:val="center"/>
          </w:tcPr>
          <w:p>
            <w:pPr>
              <w:pStyle w:val="3013"/>
              <w:rPr>
                <w:rFonts w:hint="eastAsia"/>
              </w:rPr>
            </w:pPr>
            <w:r>
              <w:rPr>
                <w:rFonts w:hint="eastAsia"/>
              </w:rPr>
              <w:t>河段名称</w:t>
            </w:r>
          </w:p>
        </w:tc>
        <w:tc>
          <w:tcPr>
            <w:tcW w:w="731" w:type="pct"/>
            <w:vMerge w:val="restart"/>
            <w:noWrap/>
            <w:vAlign w:val="center"/>
          </w:tcPr>
          <w:p>
            <w:pPr>
              <w:pStyle w:val="3013"/>
              <w:rPr>
                <w:rFonts w:hint="eastAsia"/>
              </w:rPr>
            </w:pPr>
            <w:r>
              <w:rPr>
                <w:rFonts w:hint="eastAsia"/>
              </w:rPr>
              <w:t>工程前水位（m）</w:t>
            </w:r>
          </w:p>
        </w:tc>
        <w:tc>
          <w:tcPr>
            <w:tcW w:w="1382" w:type="pct"/>
            <w:gridSpan w:val="2"/>
            <w:noWrap/>
            <w:vAlign w:val="center"/>
          </w:tcPr>
          <w:p>
            <w:pPr>
              <w:pStyle w:val="3013"/>
              <w:rPr>
                <w:rFonts w:hint="eastAsia"/>
              </w:rPr>
            </w:pPr>
            <w:r>
              <w:rPr>
                <w:rFonts w:hint="eastAsia"/>
              </w:rPr>
              <w:t>綦江大桥拆除重建</w:t>
            </w:r>
          </w:p>
        </w:tc>
        <w:tc>
          <w:tcPr>
            <w:tcW w:w="1383" w:type="pct"/>
            <w:gridSpan w:val="2"/>
            <w:noWrap/>
            <w:vAlign w:val="center"/>
          </w:tcPr>
          <w:p>
            <w:pPr>
              <w:pStyle w:val="3013"/>
              <w:rPr>
                <w:rFonts w:hint="eastAsia"/>
              </w:rPr>
            </w:pPr>
            <w:r>
              <w:rPr>
                <w:rFonts w:hint="eastAsia"/>
              </w:rPr>
              <w:t>城北大桥拆除重建</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431" w:type="pct"/>
            <w:vMerge w:val="continue"/>
            <w:noWrap/>
            <w:vAlign w:val="center"/>
          </w:tcPr>
          <w:p>
            <w:pPr>
              <w:pStyle w:val="3013"/>
              <w:rPr>
                <w:rFonts w:hint="eastAsia"/>
              </w:rPr>
            </w:pPr>
          </w:p>
        </w:tc>
        <w:tc>
          <w:tcPr>
            <w:tcW w:w="1071" w:type="pct"/>
            <w:vMerge w:val="continue"/>
            <w:noWrap/>
            <w:vAlign w:val="center"/>
          </w:tcPr>
          <w:p>
            <w:pPr>
              <w:pStyle w:val="3013"/>
              <w:rPr>
                <w:rFonts w:hint="eastAsia"/>
              </w:rPr>
            </w:pPr>
          </w:p>
        </w:tc>
        <w:tc>
          <w:tcPr>
            <w:tcW w:w="731" w:type="pct"/>
            <w:vMerge w:val="continue"/>
            <w:noWrap/>
            <w:vAlign w:val="center"/>
          </w:tcPr>
          <w:p>
            <w:pPr>
              <w:pStyle w:val="3013"/>
              <w:rPr>
                <w:rFonts w:hint="eastAsia"/>
              </w:rPr>
            </w:pPr>
          </w:p>
        </w:tc>
        <w:tc>
          <w:tcPr>
            <w:tcW w:w="731" w:type="pct"/>
            <w:noWrap/>
            <w:vAlign w:val="center"/>
          </w:tcPr>
          <w:p>
            <w:pPr>
              <w:pStyle w:val="3013"/>
              <w:rPr>
                <w:rFonts w:hint="eastAsia"/>
              </w:rPr>
            </w:pPr>
            <w:r>
              <w:rPr>
                <w:rFonts w:hint="eastAsia"/>
              </w:rPr>
              <w:t>工程后水位（m）</w:t>
            </w:r>
          </w:p>
        </w:tc>
        <w:tc>
          <w:tcPr>
            <w:tcW w:w="650" w:type="pct"/>
            <w:noWrap/>
            <w:vAlign w:val="center"/>
          </w:tcPr>
          <w:p>
            <w:pPr>
              <w:pStyle w:val="3013"/>
              <w:rPr>
                <w:rFonts w:hint="eastAsia"/>
              </w:rPr>
            </w:pPr>
            <w:r>
              <w:rPr>
                <w:rFonts w:hint="eastAsia"/>
              </w:rPr>
              <w:t>水位降低（m）</w:t>
            </w:r>
          </w:p>
        </w:tc>
        <w:tc>
          <w:tcPr>
            <w:tcW w:w="731" w:type="pct"/>
            <w:noWrap/>
            <w:vAlign w:val="center"/>
          </w:tcPr>
          <w:p>
            <w:pPr>
              <w:pStyle w:val="3013"/>
              <w:rPr>
                <w:rFonts w:hint="eastAsia"/>
              </w:rPr>
            </w:pPr>
            <w:r>
              <w:rPr>
                <w:rFonts w:hint="eastAsia"/>
              </w:rPr>
              <w:t>工程后水位（m）</w:t>
            </w:r>
          </w:p>
        </w:tc>
        <w:tc>
          <w:tcPr>
            <w:tcW w:w="651" w:type="pct"/>
            <w:noWrap/>
            <w:vAlign w:val="center"/>
          </w:tcPr>
          <w:p>
            <w:pPr>
              <w:pStyle w:val="3013"/>
              <w:rPr>
                <w:rFonts w:hint="eastAsia"/>
              </w:rPr>
            </w:pPr>
            <w:r>
              <w:rPr>
                <w:rFonts w:hint="eastAsia"/>
              </w:rPr>
              <w:t>水位降低（m）</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431" w:type="pct"/>
            <w:noWrap/>
            <w:vAlign w:val="center"/>
          </w:tcPr>
          <w:p>
            <w:pPr>
              <w:pStyle w:val="3013"/>
              <w:rPr>
                <w:rFonts w:hint="eastAsia"/>
              </w:rPr>
            </w:pPr>
            <w:r>
              <w:rPr>
                <w:rFonts w:hint="eastAsia"/>
              </w:rPr>
              <w:t>1234</w:t>
            </w:r>
          </w:p>
        </w:tc>
        <w:tc>
          <w:tcPr>
            <w:tcW w:w="1071" w:type="pct"/>
            <w:noWrap/>
            <w:vAlign w:val="center"/>
          </w:tcPr>
          <w:p>
            <w:pPr>
              <w:pStyle w:val="3013"/>
              <w:rPr>
                <w:rFonts w:hint="eastAsia"/>
              </w:rPr>
            </w:pPr>
          </w:p>
        </w:tc>
        <w:tc>
          <w:tcPr>
            <w:tcW w:w="731" w:type="pct"/>
            <w:noWrap/>
            <w:vAlign w:val="center"/>
          </w:tcPr>
          <w:p>
            <w:pPr>
              <w:pStyle w:val="3013"/>
              <w:rPr>
                <w:rFonts w:hint="eastAsia"/>
              </w:rPr>
            </w:pPr>
            <w:r>
              <w:rPr>
                <w:rFonts w:hint="eastAsia"/>
              </w:rPr>
              <w:t>227.75</w:t>
            </w:r>
          </w:p>
        </w:tc>
        <w:tc>
          <w:tcPr>
            <w:tcW w:w="731" w:type="pct"/>
            <w:noWrap/>
            <w:vAlign w:val="center"/>
          </w:tcPr>
          <w:p>
            <w:pPr>
              <w:pStyle w:val="3013"/>
              <w:rPr>
                <w:rFonts w:hint="eastAsia"/>
              </w:rPr>
            </w:pPr>
            <w:r>
              <w:rPr>
                <w:rFonts w:hint="eastAsia"/>
              </w:rPr>
              <w:t>227.58</w:t>
            </w:r>
          </w:p>
        </w:tc>
        <w:tc>
          <w:tcPr>
            <w:tcW w:w="650" w:type="pct"/>
            <w:noWrap/>
            <w:vAlign w:val="center"/>
          </w:tcPr>
          <w:p>
            <w:pPr>
              <w:pStyle w:val="3013"/>
              <w:rPr>
                <w:rFonts w:hint="eastAsia"/>
              </w:rPr>
            </w:pPr>
            <w:r>
              <w:rPr>
                <w:rFonts w:hint="eastAsia"/>
              </w:rPr>
              <w:t>0.17</w:t>
            </w:r>
          </w:p>
        </w:tc>
        <w:tc>
          <w:tcPr>
            <w:tcW w:w="731" w:type="pct"/>
            <w:noWrap/>
            <w:vAlign w:val="center"/>
          </w:tcPr>
          <w:p>
            <w:pPr>
              <w:pStyle w:val="3013"/>
              <w:rPr>
                <w:rFonts w:hint="eastAsia"/>
              </w:rPr>
            </w:pPr>
            <w:r>
              <w:rPr>
                <w:rFonts w:hint="eastAsia"/>
              </w:rPr>
              <w:t>227.71</w:t>
            </w:r>
          </w:p>
        </w:tc>
        <w:tc>
          <w:tcPr>
            <w:tcW w:w="651" w:type="pct"/>
            <w:noWrap/>
            <w:vAlign w:val="center"/>
          </w:tcPr>
          <w:p>
            <w:pPr>
              <w:pStyle w:val="3013"/>
              <w:rPr>
                <w:rFonts w:hint="eastAsia"/>
              </w:rPr>
            </w:pPr>
            <w:r>
              <w:rPr>
                <w:rFonts w:hint="eastAsia"/>
              </w:rPr>
              <w:t>0.03</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431" w:type="pct"/>
            <w:noWrap/>
            <w:vAlign w:val="center"/>
          </w:tcPr>
          <w:p>
            <w:pPr>
              <w:pStyle w:val="3013"/>
              <w:rPr>
                <w:rFonts w:hint="eastAsia"/>
              </w:rPr>
            </w:pPr>
            <w:r>
              <w:rPr>
                <w:rFonts w:hint="eastAsia"/>
              </w:rPr>
              <w:t>1324</w:t>
            </w:r>
          </w:p>
        </w:tc>
        <w:tc>
          <w:tcPr>
            <w:tcW w:w="1071" w:type="pct"/>
            <w:noWrap/>
            <w:vAlign w:val="center"/>
          </w:tcPr>
          <w:p>
            <w:pPr>
              <w:pStyle w:val="3013"/>
              <w:rPr>
                <w:rFonts w:hint="eastAsia"/>
              </w:rPr>
            </w:pPr>
            <w:r>
              <w:rPr>
                <w:rFonts w:hint="eastAsia"/>
              </w:rPr>
              <w:t>沱湾大桥</w:t>
            </w:r>
          </w:p>
        </w:tc>
        <w:tc>
          <w:tcPr>
            <w:tcW w:w="731" w:type="pct"/>
            <w:noWrap/>
            <w:vAlign w:val="center"/>
          </w:tcPr>
          <w:p>
            <w:pPr>
              <w:pStyle w:val="3013"/>
              <w:rPr>
                <w:rFonts w:hint="eastAsia"/>
              </w:rPr>
            </w:pPr>
            <w:r>
              <w:rPr>
                <w:rFonts w:hint="eastAsia"/>
              </w:rPr>
              <w:t>227.63</w:t>
            </w:r>
          </w:p>
        </w:tc>
        <w:tc>
          <w:tcPr>
            <w:tcW w:w="731" w:type="pct"/>
            <w:noWrap/>
            <w:vAlign w:val="center"/>
          </w:tcPr>
          <w:p>
            <w:pPr>
              <w:pStyle w:val="3013"/>
              <w:rPr>
                <w:rFonts w:hint="eastAsia"/>
              </w:rPr>
            </w:pPr>
            <w:r>
              <w:rPr>
                <w:rFonts w:hint="eastAsia"/>
              </w:rPr>
              <w:t>227.46</w:t>
            </w:r>
          </w:p>
        </w:tc>
        <w:tc>
          <w:tcPr>
            <w:tcW w:w="650" w:type="pct"/>
            <w:noWrap/>
            <w:vAlign w:val="center"/>
          </w:tcPr>
          <w:p>
            <w:pPr>
              <w:pStyle w:val="3013"/>
              <w:rPr>
                <w:rFonts w:hint="eastAsia"/>
              </w:rPr>
            </w:pPr>
            <w:r>
              <w:rPr>
                <w:rFonts w:hint="eastAsia"/>
              </w:rPr>
              <w:t>0.17</w:t>
            </w:r>
          </w:p>
        </w:tc>
        <w:tc>
          <w:tcPr>
            <w:tcW w:w="731" w:type="pct"/>
            <w:noWrap/>
            <w:vAlign w:val="center"/>
          </w:tcPr>
          <w:p>
            <w:pPr>
              <w:pStyle w:val="3013"/>
              <w:rPr>
                <w:rFonts w:hint="eastAsia"/>
              </w:rPr>
            </w:pPr>
            <w:r>
              <w:rPr>
                <w:rFonts w:hint="eastAsia"/>
              </w:rPr>
              <w:t>227.60</w:t>
            </w:r>
          </w:p>
        </w:tc>
        <w:tc>
          <w:tcPr>
            <w:tcW w:w="651" w:type="pct"/>
            <w:noWrap/>
            <w:vAlign w:val="center"/>
          </w:tcPr>
          <w:p>
            <w:pPr>
              <w:pStyle w:val="3013"/>
              <w:rPr>
                <w:rFonts w:hint="eastAsia"/>
              </w:rPr>
            </w:pPr>
            <w:r>
              <w:rPr>
                <w:rFonts w:hint="eastAsia"/>
              </w:rPr>
              <w:t>0.03</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431" w:type="pct"/>
            <w:noWrap/>
            <w:vAlign w:val="center"/>
          </w:tcPr>
          <w:p>
            <w:pPr>
              <w:pStyle w:val="3013"/>
              <w:rPr>
                <w:rFonts w:hint="eastAsia"/>
              </w:rPr>
            </w:pPr>
            <w:r>
              <w:rPr>
                <w:rFonts w:hint="eastAsia"/>
              </w:rPr>
              <w:t>1425</w:t>
            </w:r>
          </w:p>
        </w:tc>
        <w:tc>
          <w:tcPr>
            <w:tcW w:w="1071" w:type="pct"/>
            <w:noWrap/>
            <w:vAlign w:val="center"/>
          </w:tcPr>
          <w:p>
            <w:pPr>
              <w:pStyle w:val="3013"/>
              <w:rPr>
                <w:rFonts w:hint="eastAsia"/>
              </w:rPr>
            </w:pPr>
          </w:p>
        </w:tc>
        <w:tc>
          <w:tcPr>
            <w:tcW w:w="731" w:type="pct"/>
            <w:noWrap/>
            <w:vAlign w:val="center"/>
          </w:tcPr>
          <w:p>
            <w:pPr>
              <w:pStyle w:val="3013"/>
              <w:rPr>
                <w:rFonts w:hint="eastAsia"/>
              </w:rPr>
            </w:pPr>
            <w:r>
              <w:rPr>
                <w:rFonts w:hint="eastAsia"/>
              </w:rPr>
              <w:t>227.57</w:t>
            </w:r>
          </w:p>
        </w:tc>
        <w:tc>
          <w:tcPr>
            <w:tcW w:w="731" w:type="pct"/>
            <w:noWrap/>
            <w:vAlign w:val="center"/>
          </w:tcPr>
          <w:p>
            <w:pPr>
              <w:pStyle w:val="3013"/>
              <w:rPr>
                <w:rFonts w:hint="eastAsia"/>
              </w:rPr>
            </w:pPr>
            <w:r>
              <w:rPr>
                <w:rFonts w:hint="eastAsia"/>
              </w:rPr>
              <w:t>227.39</w:t>
            </w:r>
          </w:p>
        </w:tc>
        <w:tc>
          <w:tcPr>
            <w:tcW w:w="650" w:type="pct"/>
            <w:noWrap/>
            <w:vAlign w:val="center"/>
          </w:tcPr>
          <w:p>
            <w:pPr>
              <w:pStyle w:val="3013"/>
              <w:rPr>
                <w:rFonts w:hint="eastAsia"/>
              </w:rPr>
            </w:pPr>
            <w:r>
              <w:rPr>
                <w:rFonts w:hint="eastAsia"/>
              </w:rPr>
              <w:t>0.18</w:t>
            </w:r>
          </w:p>
        </w:tc>
        <w:tc>
          <w:tcPr>
            <w:tcW w:w="731" w:type="pct"/>
            <w:noWrap/>
            <w:vAlign w:val="center"/>
          </w:tcPr>
          <w:p>
            <w:pPr>
              <w:pStyle w:val="3013"/>
              <w:rPr>
                <w:rFonts w:hint="eastAsia"/>
              </w:rPr>
            </w:pPr>
            <w:r>
              <w:rPr>
                <w:rFonts w:hint="eastAsia"/>
              </w:rPr>
              <w:t>227.53</w:t>
            </w:r>
          </w:p>
        </w:tc>
        <w:tc>
          <w:tcPr>
            <w:tcW w:w="651" w:type="pct"/>
            <w:noWrap/>
            <w:vAlign w:val="center"/>
          </w:tcPr>
          <w:p>
            <w:pPr>
              <w:pStyle w:val="3013"/>
              <w:rPr>
                <w:rFonts w:hint="eastAsia"/>
              </w:rPr>
            </w:pPr>
            <w:r>
              <w:rPr>
                <w:rFonts w:hint="eastAsia"/>
              </w:rPr>
              <w:t>0.04</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431" w:type="pct"/>
            <w:noWrap/>
            <w:vAlign w:val="center"/>
          </w:tcPr>
          <w:p>
            <w:pPr>
              <w:pStyle w:val="3013"/>
              <w:rPr>
                <w:rFonts w:hint="eastAsia"/>
              </w:rPr>
            </w:pPr>
            <w:r>
              <w:rPr>
                <w:rFonts w:hint="eastAsia"/>
              </w:rPr>
              <w:t>1603</w:t>
            </w:r>
          </w:p>
        </w:tc>
        <w:tc>
          <w:tcPr>
            <w:tcW w:w="1071" w:type="pct"/>
            <w:noWrap/>
            <w:vAlign w:val="center"/>
          </w:tcPr>
          <w:p>
            <w:pPr>
              <w:pStyle w:val="3013"/>
              <w:rPr>
                <w:rFonts w:hint="eastAsia"/>
              </w:rPr>
            </w:pPr>
            <w:r>
              <w:rPr>
                <w:rFonts w:hint="eastAsia"/>
              </w:rPr>
              <w:t>交警队</w:t>
            </w:r>
          </w:p>
        </w:tc>
        <w:tc>
          <w:tcPr>
            <w:tcW w:w="731" w:type="pct"/>
            <w:noWrap/>
            <w:vAlign w:val="center"/>
          </w:tcPr>
          <w:p>
            <w:pPr>
              <w:pStyle w:val="3013"/>
              <w:rPr>
                <w:rFonts w:hint="eastAsia"/>
              </w:rPr>
            </w:pPr>
            <w:r>
              <w:rPr>
                <w:rFonts w:hint="eastAsia"/>
              </w:rPr>
              <w:t>227.46</w:t>
            </w:r>
          </w:p>
        </w:tc>
        <w:tc>
          <w:tcPr>
            <w:tcW w:w="731" w:type="pct"/>
            <w:noWrap/>
            <w:vAlign w:val="center"/>
          </w:tcPr>
          <w:p>
            <w:pPr>
              <w:pStyle w:val="3013"/>
              <w:rPr>
                <w:rFonts w:hint="eastAsia"/>
              </w:rPr>
            </w:pPr>
            <w:r>
              <w:rPr>
                <w:rFonts w:hint="eastAsia"/>
              </w:rPr>
              <w:t>227.27</w:t>
            </w:r>
          </w:p>
        </w:tc>
        <w:tc>
          <w:tcPr>
            <w:tcW w:w="650" w:type="pct"/>
            <w:noWrap/>
            <w:vAlign w:val="center"/>
          </w:tcPr>
          <w:p>
            <w:pPr>
              <w:pStyle w:val="3013"/>
              <w:rPr>
                <w:rFonts w:hint="eastAsia"/>
              </w:rPr>
            </w:pPr>
            <w:r>
              <w:rPr>
                <w:rFonts w:hint="eastAsia"/>
              </w:rPr>
              <w:t>0.18</w:t>
            </w:r>
          </w:p>
        </w:tc>
        <w:tc>
          <w:tcPr>
            <w:tcW w:w="731" w:type="pct"/>
            <w:noWrap/>
            <w:vAlign w:val="center"/>
          </w:tcPr>
          <w:p>
            <w:pPr>
              <w:pStyle w:val="3013"/>
              <w:rPr>
                <w:rFonts w:hint="eastAsia"/>
              </w:rPr>
            </w:pPr>
            <w:r>
              <w:rPr>
                <w:rFonts w:hint="eastAsia"/>
              </w:rPr>
              <w:t>227.42</w:t>
            </w:r>
          </w:p>
        </w:tc>
        <w:tc>
          <w:tcPr>
            <w:tcW w:w="651" w:type="pct"/>
            <w:noWrap/>
            <w:vAlign w:val="center"/>
          </w:tcPr>
          <w:p>
            <w:pPr>
              <w:pStyle w:val="3013"/>
              <w:rPr>
                <w:rFonts w:hint="eastAsia"/>
              </w:rPr>
            </w:pPr>
            <w:r>
              <w:rPr>
                <w:rFonts w:hint="eastAsia"/>
              </w:rPr>
              <w:t>0.04</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431" w:type="pct"/>
            <w:noWrap/>
            <w:vAlign w:val="center"/>
          </w:tcPr>
          <w:p>
            <w:pPr>
              <w:pStyle w:val="3013"/>
              <w:rPr>
                <w:rFonts w:hint="eastAsia"/>
              </w:rPr>
            </w:pPr>
            <w:r>
              <w:rPr>
                <w:rFonts w:hint="eastAsia"/>
              </w:rPr>
              <w:t>1738</w:t>
            </w:r>
          </w:p>
        </w:tc>
        <w:tc>
          <w:tcPr>
            <w:tcW w:w="1071" w:type="pct"/>
            <w:noWrap/>
            <w:vAlign w:val="center"/>
          </w:tcPr>
          <w:p>
            <w:pPr>
              <w:pStyle w:val="3013"/>
              <w:rPr>
                <w:rFonts w:hint="eastAsia"/>
              </w:rPr>
            </w:pPr>
          </w:p>
        </w:tc>
        <w:tc>
          <w:tcPr>
            <w:tcW w:w="731" w:type="pct"/>
            <w:noWrap/>
            <w:vAlign w:val="center"/>
          </w:tcPr>
          <w:p>
            <w:pPr>
              <w:pStyle w:val="3013"/>
              <w:rPr>
                <w:rFonts w:hint="eastAsia"/>
              </w:rPr>
            </w:pPr>
            <w:r>
              <w:rPr>
                <w:rFonts w:hint="eastAsia"/>
              </w:rPr>
              <w:t>227.37</w:t>
            </w:r>
          </w:p>
        </w:tc>
        <w:tc>
          <w:tcPr>
            <w:tcW w:w="731" w:type="pct"/>
            <w:noWrap/>
            <w:vAlign w:val="center"/>
          </w:tcPr>
          <w:p>
            <w:pPr>
              <w:pStyle w:val="3013"/>
              <w:rPr>
                <w:rFonts w:hint="eastAsia"/>
              </w:rPr>
            </w:pPr>
            <w:r>
              <w:rPr>
                <w:rFonts w:hint="eastAsia"/>
              </w:rPr>
              <w:t>227.18</w:t>
            </w:r>
          </w:p>
        </w:tc>
        <w:tc>
          <w:tcPr>
            <w:tcW w:w="650" w:type="pct"/>
            <w:noWrap/>
            <w:vAlign w:val="center"/>
          </w:tcPr>
          <w:p>
            <w:pPr>
              <w:pStyle w:val="3013"/>
              <w:rPr>
                <w:rFonts w:hint="eastAsia"/>
              </w:rPr>
            </w:pPr>
            <w:r>
              <w:rPr>
                <w:rFonts w:hint="eastAsia"/>
              </w:rPr>
              <w:t>0.19</w:t>
            </w:r>
          </w:p>
        </w:tc>
        <w:tc>
          <w:tcPr>
            <w:tcW w:w="731" w:type="pct"/>
            <w:noWrap/>
            <w:vAlign w:val="center"/>
          </w:tcPr>
          <w:p>
            <w:pPr>
              <w:pStyle w:val="3013"/>
              <w:rPr>
                <w:rFonts w:hint="eastAsia"/>
              </w:rPr>
            </w:pPr>
            <w:r>
              <w:rPr>
                <w:rFonts w:hint="eastAsia"/>
              </w:rPr>
              <w:t>227.33</w:t>
            </w:r>
          </w:p>
        </w:tc>
        <w:tc>
          <w:tcPr>
            <w:tcW w:w="651" w:type="pct"/>
            <w:noWrap/>
            <w:vAlign w:val="center"/>
          </w:tcPr>
          <w:p>
            <w:pPr>
              <w:pStyle w:val="3013"/>
              <w:rPr>
                <w:rFonts w:hint="eastAsia"/>
              </w:rPr>
            </w:pPr>
            <w:r>
              <w:rPr>
                <w:rFonts w:hint="eastAsia"/>
              </w:rPr>
              <w:t>0.04</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431" w:type="pct"/>
            <w:noWrap/>
            <w:vAlign w:val="center"/>
          </w:tcPr>
          <w:p>
            <w:pPr>
              <w:pStyle w:val="3013"/>
              <w:rPr>
                <w:rFonts w:hint="eastAsia"/>
              </w:rPr>
            </w:pPr>
            <w:r>
              <w:rPr>
                <w:rFonts w:hint="eastAsia"/>
              </w:rPr>
              <w:t>2085</w:t>
            </w:r>
          </w:p>
        </w:tc>
        <w:tc>
          <w:tcPr>
            <w:tcW w:w="1071" w:type="pct"/>
            <w:noWrap/>
            <w:vAlign w:val="center"/>
          </w:tcPr>
          <w:p>
            <w:pPr>
              <w:pStyle w:val="3013"/>
              <w:rPr>
                <w:rFonts w:hint="eastAsia"/>
              </w:rPr>
            </w:pPr>
          </w:p>
        </w:tc>
        <w:tc>
          <w:tcPr>
            <w:tcW w:w="731" w:type="pct"/>
            <w:noWrap/>
            <w:vAlign w:val="center"/>
          </w:tcPr>
          <w:p>
            <w:pPr>
              <w:pStyle w:val="3013"/>
              <w:rPr>
                <w:rFonts w:hint="eastAsia"/>
              </w:rPr>
            </w:pPr>
            <w:r>
              <w:rPr>
                <w:rFonts w:hint="eastAsia"/>
              </w:rPr>
              <w:t>227.21</w:t>
            </w:r>
          </w:p>
        </w:tc>
        <w:tc>
          <w:tcPr>
            <w:tcW w:w="731" w:type="pct"/>
            <w:noWrap/>
            <w:vAlign w:val="center"/>
          </w:tcPr>
          <w:p>
            <w:pPr>
              <w:pStyle w:val="3013"/>
              <w:rPr>
                <w:rFonts w:hint="eastAsia"/>
              </w:rPr>
            </w:pPr>
            <w:r>
              <w:rPr>
                <w:rFonts w:hint="eastAsia"/>
              </w:rPr>
              <w:t>227.02</w:t>
            </w:r>
          </w:p>
        </w:tc>
        <w:tc>
          <w:tcPr>
            <w:tcW w:w="650" w:type="pct"/>
            <w:noWrap/>
            <w:vAlign w:val="center"/>
          </w:tcPr>
          <w:p>
            <w:pPr>
              <w:pStyle w:val="3013"/>
              <w:rPr>
                <w:rFonts w:hint="eastAsia"/>
              </w:rPr>
            </w:pPr>
            <w:r>
              <w:rPr>
                <w:rFonts w:hint="eastAsia"/>
              </w:rPr>
              <w:t>0.20</w:t>
            </w:r>
          </w:p>
        </w:tc>
        <w:tc>
          <w:tcPr>
            <w:tcW w:w="731" w:type="pct"/>
            <w:noWrap/>
            <w:vAlign w:val="center"/>
          </w:tcPr>
          <w:p>
            <w:pPr>
              <w:pStyle w:val="3013"/>
              <w:rPr>
                <w:rFonts w:hint="eastAsia"/>
              </w:rPr>
            </w:pPr>
            <w:r>
              <w:rPr>
                <w:rFonts w:hint="eastAsia"/>
              </w:rPr>
              <w:t>227.18</w:t>
            </w:r>
          </w:p>
        </w:tc>
        <w:tc>
          <w:tcPr>
            <w:tcW w:w="651" w:type="pct"/>
            <w:noWrap/>
            <w:vAlign w:val="center"/>
          </w:tcPr>
          <w:p>
            <w:pPr>
              <w:pStyle w:val="3013"/>
              <w:rPr>
                <w:rFonts w:hint="eastAsia"/>
              </w:rPr>
            </w:pPr>
            <w:r>
              <w:rPr>
                <w:rFonts w:hint="eastAsia"/>
              </w:rPr>
              <w:t>0.04</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431" w:type="pct"/>
            <w:noWrap/>
            <w:vAlign w:val="center"/>
          </w:tcPr>
          <w:p>
            <w:pPr>
              <w:pStyle w:val="3013"/>
              <w:rPr>
                <w:rFonts w:hint="eastAsia"/>
              </w:rPr>
            </w:pPr>
            <w:r>
              <w:rPr>
                <w:rFonts w:hint="eastAsia"/>
              </w:rPr>
              <w:t>2151</w:t>
            </w:r>
          </w:p>
        </w:tc>
        <w:tc>
          <w:tcPr>
            <w:tcW w:w="1071" w:type="pct"/>
            <w:noWrap/>
            <w:vAlign w:val="center"/>
          </w:tcPr>
          <w:p>
            <w:pPr>
              <w:pStyle w:val="3013"/>
              <w:rPr>
                <w:rFonts w:hint="eastAsia"/>
              </w:rPr>
            </w:pPr>
            <w:r>
              <w:rPr>
                <w:rFonts w:hint="eastAsia"/>
              </w:rPr>
              <w:t>彩虹桥</w:t>
            </w:r>
          </w:p>
        </w:tc>
        <w:tc>
          <w:tcPr>
            <w:tcW w:w="731" w:type="pct"/>
            <w:noWrap/>
            <w:vAlign w:val="center"/>
          </w:tcPr>
          <w:p>
            <w:pPr>
              <w:pStyle w:val="3013"/>
              <w:rPr>
                <w:rFonts w:hint="eastAsia"/>
              </w:rPr>
            </w:pPr>
            <w:r>
              <w:rPr>
                <w:rFonts w:hint="eastAsia"/>
              </w:rPr>
              <w:t>227.19</w:t>
            </w:r>
          </w:p>
        </w:tc>
        <w:tc>
          <w:tcPr>
            <w:tcW w:w="731" w:type="pct"/>
            <w:noWrap/>
            <w:vAlign w:val="center"/>
          </w:tcPr>
          <w:p>
            <w:pPr>
              <w:pStyle w:val="3013"/>
              <w:rPr>
                <w:rFonts w:hint="eastAsia"/>
              </w:rPr>
            </w:pPr>
            <w:r>
              <w:rPr>
                <w:rFonts w:hint="eastAsia"/>
              </w:rPr>
              <w:t>226.99</w:t>
            </w:r>
          </w:p>
        </w:tc>
        <w:tc>
          <w:tcPr>
            <w:tcW w:w="650" w:type="pct"/>
            <w:noWrap/>
            <w:vAlign w:val="center"/>
          </w:tcPr>
          <w:p>
            <w:pPr>
              <w:pStyle w:val="3013"/>
              <w:rPr>
                <w:rFonts w:hint="eastAsia"/>
              </w:rPr>
            </w:pPr>
            <w:r>
              <w:rPr>
                <w:rFonts w:hint="eastAsia"/>
              </w:rPr>
              <w:t>0.20</w:t>
            </w:r>
          </w:p>
        </w:tc>
        <w:tc>
          <w:tcPr>
            <w:tcW w:w="731" w:type="pct"/>
            <w:noWrap/>
            <w:vAlign w:val="center"/>
          </w:tcPr>
          <w:p>
            <w:pPr>
              <w:pStyle w:val="3013"/>
              <w:rPr>
                <w:rFonts w:hint="eastAsia"/>
              </w:rPr>
            </w:pPr>
            <w:r>
              <w:rPr>
                <w:rFonts w:hint="eastAsia"/>
              </w:rPr>
              <w:t>227.15</w:t>
            </w:r>
          </w:p>
        </w:tc>
        <w:tc>
          <w:tcPr>
            <w:tcW w:w="651" w:type="pct"/>
            <w:noWrap/>
            <w:vAlign w:val="center"/>
          </w:tcPr>
          <w:p>
            <w:pPr>
              <w:pStyle w:val="3013"/>
              <w:rPr>
                <w:rFonts w:hint="eastAsia"/>
              </w:rPr>
            </w:pPr>
            <w:r>
              <w:rPr>
                <w:rFonts w:hint="eastAsia"/>
              </w:rPr>
              <w:t>0.04</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431" w:type="pct"/>
            <w:noWrap/>
            <w:vAlign w:val="center"/>
          </w:tcPr>
          <w:p>
            <w:pPr>
              <w:pStyle w:val="3013"/>
              <w:rPr>
                <w:rFonts w:hint="eastAsia"/>
              </w:rPr>
            </w:pPr>
            <w:r>
              <w:rPr>
                <w:rFonts w:hint="eastAsia"/>
              </w:rPr>
              <w:t>2202</w:t>
            </w:r>
          </w:p>
        </w:tc>
        <w:tc>
          <w:tcPr>
            <w:tcW w:w="1071" w:type="pct"/>
            <w:noWrap/>
            <w:vAlign w:val="center"/>
          </w:tcPr>
          <w:p>
            <w:pPr>
              <w:pStyle w:val="3013"/>
              <w:rPr>
                <w:rFonts w:hint="eastAsia"/>
              </w:rPr>
            </w:pPr>
            <w:r>
              <w:rPr>
                <w:rFonts w:hint="eastAsia"/>
              </w:rPr>
              <w:t>南门办公楼</w:t>
            </w:r>
          </w:p>
        </w:tc>
        <w:tc>
          <w:tcPr>
            <w:tcW w:w="731" w:type="pct"/>
            <w:noWrap/>
            <w:vAlign w:val="center"/>
          </w:tcPr>
          <w:p>
            <w:pPr>
              <w:pStyle w:val="3013"/>
              <w:rPr>
                <w:rFonts w:hint="eastAsia"/>
              </w:rPr>
            </w:pPr>
            <w:r>
              <w:rPr>
                <w:rFonts w:hint="eastAsia"/>
              </w:rPr>
              <w:t>227.16</w:t>
            </w:r>
          </w:p>
        </w:tc>
        <w:tc>
          <w:tcPr>
            <w:tcW w:w="731" w:type="pct"/>
            <w:noWrap/>
            <w:vAlign w:val="center"/>
          </w:tcPr>
          <w:p>
            <w:pPr>
              <w:pStyle w:val="3013"/>
              <w:rPr>
                <w:rFonts w:hint="eastAsia"/>
              </w:rPr>
            </w:pPr>
            <w:r>
              <w:rPr>
                <w:rFonts w:hint="eastAsia"/>
              </w:rPr>
              <w:t>226.96</w:t>
            </w:r>
          </w:p>
        </w:tc>
        <w:tc>
          <w:tcPr>
            <w:tcW w:w="650" w:type="pct"/>
            <w:noWrap/>
            <w:vAlign w:val="center"/>
          </w:tcPr>
          <w:p>
            <w:pPr>
              <w:pStyle w:val="3013"/>
              <w:rPr>
                <w:rFonts w:hint="eastAsia"/>
              </w:rPr>
            </w:pPr>
            <w:r>
              <w:rPr>
                <w:rFonts w:hint="eastAsia"/>
              </w:rPr>
              <w:t>0.20</w:t>
            </w:r>
          </w:p>
        </w:tc>
        <w:tc>
          <w:tcPr>
            <w:tcW w:w="731" w:type="pct"/>
            <w:noWrap/>
            <w:vAlign w:val="center"/>
          </w:tcPr>
          <w:p>
            <w:pPr>
              <w:pStyle w:val="3013"/>
              <w:rPr>
                <w:rFonts w:hint="eastAsia"/>
              </w:rPr>
            </w:pPr>
            <w:r>
              <w:rPr>
                <w:rFonts w:hint="eastAsia"/>
              </w:rPr>
              <w:t>227.12</w:t>
            </w:r>
          </w:p>
        </w:tc>
        <w:tc>
          <w:tcPr>
            <w:tcW w:w="651" w:type="pct"/>
            <w:noWrap/>
            <w:vAlign w:val="center"/>
          </w:tcPr>
          <w:p>
            <w:pPr>
              <w:pStyle w:val="3013"/>
              <w:rPr>
                <w:rFonts w:hint="eastAsia"/>
              </w:rPr>
            </w:pPr>
            <w:r>
              <w:rPr>
                <w:rFonts w:hint="eastAsia"/>
              </w:rPr>
              <w:t>0.04</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431" w:type="pct"/>
            <w:noWrap/>
            <w:vAlign w:val="center"/>
          </w:tcPr>
          <w:p>
            <w:pPr>
              <w:pStyle w:val="3013"/>
              <w:rPr>
                <w:rFonts w:hint="eastAsia"/>
              </w:rPr>
            </w:pPr>
            <w:r>
              <w:rPr>
                <w:rFonts w:hint="eastAsia"/>
              </w:rPr>
              <w:t>2242</w:t>
            </w:r>
          </w:p>
        </w:tc>
        <w:tc>
          <w:tcPr>
            <w:tcW w:w="1071" w:type="pct"/>
            <w:noWrap/>
            <w:vAlign w:val="center"/>
          </w:tcPr>
          <w:p>
            <w:pPr>
              <w:pStyle w:val="3013"/>
              <w:rPr>
                <w:rFonts w:hint="eastAsia"/>
              </w:rPr>
            </w:pPr>
          </w:p>
        </w:tc>
        <w:tc>
          <w:tcPr>
            <w:tcW w:w="731" w:type="pct"/>
            <w:noWrap/>
            <w:vAlign w:val="center"/>
          </w:tcPr>
          <w:p>
            <w:pPr>
              <w:pStyle w:val="3013"/>
              <w:rPr>
                <w:rFonts w:hint="eastAsia"/>
              </w:rPr>
            </w:pPr>
            <w:r>
              <w:rPr>
                <w:rFonts w:hint="eastAsia"/>
              </w:rPr>
              <w:t>227.14</w:t>
            </w:r>
          </w:p>
        </w:tc>
        <w:tc>
          <w:tcPr>
            <w:tcW w:w="731" w:type="pct"/>
            <w:noWrap/>
            <w:vAlign w:val="center"/>
          </w:tcPr>
          <w:p>
            <w:pPr>
              <w:pStyle w:val="3013"/>
              <w:rPr>
                <w:rFonts w:hint="eastAsia"/>
              </w:rPr>
            </w:pPr>
            <w:r>
              <w:rPr>
                <w:rFonts w:hint="eastAsia"/>
              </w:rPr>
              <w:t>226.94</w:t>
            </w:r>
          </w:p>
        </w:tc>
        <w:tc>
          <w:tcPr>
            <w:tcW w:w="650" w:type="pct"/>
            <w:noWrap/>
            <w:vAlign w:val="center"/>
          </w:tcPr>
          <w:p>
            <w:pPr>
              <w:pStyle w:val="3013"/>
              <w:rPr>
                <w:rFonts w:hint="eastAsia"/>
              </w:rPr>
            </w:pPr>
            <w:r>
              <w:rPr>
                <w:rFonts w:hint="eastAsia"/>
              </w:rPr>
              <w:t>0.20</w:t>
            </w:r>
          </w:p>
        </w:tc>
        <w:tc>
          <w:tcPr>
            <w:tcW w:w="731" w:type="pct"/>
            <w:noWrap/>
            <w:vAlign w:val="center"/>
          </w:tcPr>
          <w:p>
            <w:pPr>
              <w:pStyle w:val="3013"/>
              <w:rPr>
                <w:rFonts w:hint="eastAsia"/>
              </w:rPr>
            </w:pPr>
            <w:r>
              <w:rPr>
                <w:rFonts w:hint="eastAsia"/>
              </w:rPr>
              <w:t>227.10</w:t>
            </w:r>
          </w:p>
        </w:tc>
        <w:tc>
          <w:tcPr>
            <w:tcW w:w="651" w:type="pct"/>
            <w:noWrap/>
            <w:vAlign w:val="center"/>
          </w:tcPr>
          <w:p>
            <w:pPr>
              <w:pStyle w:val="3013"/>
              <w:rPr>
                <w:rFonts w:hint="eastAsia"/>
              </w:rPr>
            </w:pPr>
            <w:r>
              <w:rPr>
                <w:rFonts w:hint="eastAsia"/>
              </w:rPr>
              <w:t>0.04</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431" w:type="pct"/>
            <w:noWrap/>
            <w:vAlign w:val="center"/>
          </w:tcPr>
          <w:p>
            <w:pPr>
              <w:pStyle w:val="3013"/>
              <w:rPr>
                <w:rFonts w:hint="eastAsia"/>
              </w:rPr>
            </w:pPr>
            <w:r>
              <w:rPr>
                <w:rFonts w:hint="eastAsia"/>
              </w:rPr>
              <w:t>2532</w:t>
            </w:r>
          </w:p>
        </w:tc>
        <w:tc>
          <w:tcPr>
            <w:tcW w:w="1071" w:type="pct"/>
            <w:noWrap/>
            <w:vAlign w:val="center"/>
          </w:tcPr>
          <w:p>
            <w:pPr>
              <w:pStyle w:val="3013"/>
              <w:rPr>
                <w:rFonts w:hint="eastAsia"/>
              </w:rPr>
            </w:pPr>
            <w:r>
              <w:rPr>
                <w:rFonts w:hint="eastAsia"/>
              </w:rPr>
              <w:t>通惠河口</w:t>
            </w:r>
          </w:p>
        </w:tc>
        <w:tc>
          <w:tcPr>
            <w:tcW w:w="731" w:type="pct"/>
            <w:noWrap/>
            <w:vAlign w:val="center"/>
          </w:tcPr>
          <w:p>
            <w:pPr>
              <w:pStyle w:val="3013"/>
              <w:rPr>
                <w:rFonts w:hint="eastAsia"/>
              </w:rPr>
            </w:pPr>
            <w:r>
              <w:rPr>
                <w:rFonts w:hint="eastAsia"/>
              </w:rPr>
              <w:t>227.01</w:t>
            </w:r>
          </w:p>
        </w:tc>
        <w:tc>
          <w:tcPr>
            <w:tcW w:w="731" w:type="pct"/>
            <w:noWrap/>
            <w:vAlign w:val="center"/>
          </w:tcPr>
          <w:p>
            <w:pPr>
              <w:pStyle w:val="3013"/>
              <w:rPr>
                <w:rFonts w:hint="eastAsia"/>
              </w:rPr>
            </w:pPr>
            <w:r>
              <w:rPr>
                <w:rFonts w:hint="eastAsia"/>
              </w:rPr>
              <w:t>226.80</w:t>
            </w:r>
          </w:p>
        </w:tc>
        <w:tc>
          <w:tcPr>
            <w:tcW w:w="650" w:type="pct"/>
            <w:noWrap/>
            <w:vAlign w:val="center"/>
          </w:tcPr>
          <w:p>
            <w:pPr>
              <w:pStyle w:val="3013"/>
              <w:rPr>
                <w:rFonts w:hint="eastAsia"/>
              </w:rPr>
            </w:pPr>
            <w:r>
              <w:rPr>
                <w:rFonts w:hint="eastAsia"/>
              </w:rPr>
              <w:t>0.21</w:t>
            </w:r>
          </w:p>
        </w:tc>
        <w:tc>
          <w:tcPr>
            <w:tcW w:w="731" w:type="pct"/>
            <w:noWrap/>
            <w:vAlign w:val="center"/>
          </w:tcPr>
          <w:p>
            <w:pPr>
              <w:pStyle w:val="3013"/>
              <w:rPr>
                <w:rFonts w:hint="eastAsia"/>
              </w:rPr>
            </w:pPr>
            <w:r>
              <w:rPr>
                <w:rFonts w:hint="eastAsia"/>
              </w:rPr>
              <w:t>226.96</w:t>
            </w:r>
          </w:p>
        </w:tc>
        <w:tc>
          <w:tcPr>
            <w:tcW w:w="651" w:type="pct"/>
            <w:noWrap/>
            <w:vAlign w:val="center"/>
          </w:tcPr>
          <w:p>
            <w:pPr>
              <w:pStyle w:val="3013"/>
              <w:rPr>
                <w:rFonts w:hint="eastAsia"/>
              </w:rPr>
            </w:pPr>
            <w:r>
              <w:rPr>
                <w:rFonts w:hint="eastAsia"/>
              </w:rPr>
              <w:t>0.04</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431" w:type="pct"/>
            <w:noWrap/>
            <w:vAlign w:val="center"/>
          </w:tcPr>
          <w:p>
            <w:pPr>
              <w:pStyle w:val="3013"/>
              <w:rPr>
                <w:rFonts w:hint="eastAsia"/>
              </w:rPr>
            </w:pPr>
            <w:r>
              <w:rPr>
                <w:rFonts w:hint="eastAsia"/>
              </w:rPr>
              <w:t>2589</w:t>
            </w:r>
          </w:p>
        </w:tc>
        <w:tc>
          <w:tcPr>
            <w:tcW w:w="1071" w:type="pct"/>
            <w:noWrap/>
            <w:vAlign w:val="center"/>
          </w:tcPr>
          <w:p>
            <w:pPr>
              <w:pStyle w:val="3013"/>
              <w:rPr>
                <w:rFonts w:hint="eastAsia"/>
              </w:rPr>
            </w:pPr>
          </w:p>
        </w:tc>
        <w:tc>
          <w:tcPr>
            <w:tcW w:w="731" w:type="pct"/>
            <w:noWrap/>
            <w:vAlign w:val="center"/>
          </w:tcPr>
          <w:p>
            <w:pPr>
              <w:pStyle w:val="3013"/>
              <w:rPr>
                <w:rFonts w:hint="eastAsia"/>
              </w:rPr>
            </w:pPr>
            <w:r>
              <w:rPr>
                <w:rFonts w:hint="eastAsia"/>
              </w:rPr>
              <w:t>226.98</w:t>
            </w:r>
          </w:p>
        </w:tc>
        <w:tc>
          <w:tcPr>
            <w:tcW w:w="731" w:type="pct"/>
            <w:noWrap/>
            <w:vAlign w:val="center"/>
          </w:tcPr>
          <w:p>
            <w:pPr>
              <w:pStyle w:val="3013"/>
              <w:rPr>
                <w:rFonts w:hint="eastAsia"/>
              </w:rPr>
            </w:pPr>
            <w:r>
              <w:rPr>
                <w:rFonts w:hint="eastAsia"/>
              </w:rPr>
              <w:t>226.77</w:t>
            </w:r>
          </w:p>
        </w:tc>
        <w:tc>
          <w:tcPr>
            <w:tcW w:w="650" w:type="pct"/>
            <w:noWrap/>
            <w:vAlign w:val="center"/>
          </w:tcPr>
          <w:p>
            <w:pPr>
              <w:pStyle w:val="3013"/>
              <w:rPr>
                <w:rFonts w:hint="eastAsia"/>
              </w:rPr>
            </w:pPr>
            <w:r>
              <w:rPr>
                <w:rFonts w:hint="eastAsia"/>
              </w:rPr>
              <w:t>0.21</w:t>
            </w:r>
          </w:p>
        </w:tc>
        <w:tc>
          <w:tcPr>
            <w:tcW w:w="731" w:type="pct"/>
            <w:noWrap/>
            <w:vAlign w:val="center"/>
          </w:tcPr>
          <w:p>
            <w:pPr>
              <w:pStyle w:val="3013"/>
              <w:rPr>
                <w:rFonts w:hint="eastAsia"/>
              </w:rPr>
            </w:pPr>
            <w:r>
              <w:rPr>
                <w:rFonts w:hint="eastAsia"/>
              </w:rPr>
              <w:t>226.94</w:t>
            </w:r>
          </w:p>
        </w:tc>
        <w:tc>
          <w:tcPr>
            <w:tcW w:w="651" w:type="pct"/>
            <w:noWrap/>
            <w:vAlign w:val="center"/>
          </w:tcPr>
          <w:p>
            <w:pPr>
              <w:pStyle w:val="3013"/>
              <w:rPr>
                <w:rFonts w:hint="eastAsia"/>
              </w:rPr>
            </w:pPr>
            <w:r>
              <w:rPr>
                <w:rFonts w:hint="eastAsia"/>
              </w:rPr>
              <w:t>0.04</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431" w:type="pct"/>
            <w:noWrap/>
            <w:vAlign w:val="center"/>
          </w:tcPr>
          <w:p>
            <w:pPr>
              <w:pStyle w:val="3013"/>
              <w:rPr>
                <w:rFonts w:hint="eastAsia"/>
              </w:rPr>
            </w:pPr>
            <w:r>
              <w:rPr>
                <w:rFonts w:hint="eastAsia"/>
              </w:rPr>
              <w:t>2689</w:t>
            </w:r>
          </w:p>
        </w:tc>
        <w:tc>
          <w:tcPr>
            <w:tcW w:w="1071" w:type="pct"/>
            <w:noWrap/>
            <w:vAlign w:val="center"/>
          </w:tcPr>
          <w:p>
            <w:pPr>
              <w:pStyle w:val="3013"/>
              <w:rPr>
                <w:rFonts w:hint="eastAsia"/>
              </w:rPr>
            </w:pPr>
            <w:r>
              <w:rPr>
                <w:rFonts w:hint="eastAsia"/>
              </w:rPr>
              <w:t>綦江大桥</w:t>
            </w:r>
          </w:p>
        </w:tc>
        <w:tc>
          <w:tcPr>
            <w:tcW w:w="731" w:type="pct"/>
            <w:noWrap/>
            <w:vAlign w:val="center"/>
          </w:tcPr>
          <w:p>
            <w:pPr>
              <w:pStyle w:val="3013"/>
              <w:rPr>
                <w:rFonts w:hint="eastAsia"/>
              </w:rPr>
            </w:pPr>
            <w:r>
              <w:rPr>
                <w:rFonts w:hint="eastAsia"/>
              </w:rPr>
              <w:t>226.71</w:t>
            </w:r>
          </w:p>
        </w:tc>
        <w:tc>
          <w:tcPr>
            <w:tcW w:w="731" w:type="pct"/>
            <w:noWrap/>
            <w:vAlign w:val="center"/>
          </w:tcPr>
          <w:p>
            <w:pPr>
              <w:pStyle w:val="3013"/>
              <w:rPr>
                <w:rFonts w:hint="eastAsia"/>
              </w:rPr>
            </w:pPr>
            <w:r>
              <w:rPr>
                <w:rFonts w:hint="eastAsia"/>
              </w:rPr>
              <w:t>226.71</w:t>
            </w:r>
          </w:p>
        </w:tc>
        <w:tc>
          <w:tcPr>
            <w:tcW w:w="650" w:type="pct"/>
            <w:noWrap/>
            <w:vAlign w:val="center"/>
          </w:tcPr>
          <w:p>
            <w:pPr>
              <w:pStyle w:val="3013"/>
              <w:rPr>
                <w:rFonts w:hint="eastAsia"/>
              </w:rPr>
            </w:pPr>
            <w:r>
              <w:rPr>
                <w:rFonts w:hint="eastAsia"/>
              </w:rPr>
              <w:t>0.00</w:t>
            </w:r>
          </w:p>
        </w:tc>
        <w:tc>
          <w:tcPr>
            <w:tcW w:w="731" w:type="pct"/>
            <w:noWrap/>
            <w:vAlign w:val="center"/>
          </w:tcPr>
          <w:p>
            <w:pPr>
              <w:pStyle w:val="3013"/>
              <w:rPr>
                <w:rFonts w:hint="eastAsia"/>
              </w:rPr>
            </w:pPr>
            <w:r>
              <w:rPr>
                <w:rFonts w:hint="eastAsia"/>
              </w:rPr>
              <w:t>226.66</w:t>
            </w:r>
          </w:p>
        </w:tc>
        <w:tc>
          <w:tcPr>
            <w:tcW w:w="651" w:type="pct"/>
            <w:noWrap/>
            <w:vAlign w:val="center"/>
          </w:tcPr>
          <w:p>
            <w:pPr>
              <w:pStyle w:val="3013"/>
              <w:rPr>
                <w:rFonts w:hint="eastAsia"/>
              </w:rPr>
            </w:pPr>
            <w:r>
              <w:rPr>
                <w:rFonts w:hint="eastAsia"/>
              </w:rPr>
              <w:t>0.04</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431" w:type="pct"/>
            <w:noWrap/>
            <w:vAlign w:val="center"/>
          </w:tcPr>
          <w:p>
            <w:pPr>
              <w:pStyle w:val="3013"/>
              <w:rPr>
                <w:rFonts w:hint="eastAsia"/>
              </w:rPr>
            </w:pPr>
            <w:r>
              <w:rPr>
                <w:rFonts w:hint="eastAsia"/>
              </w:rPr>
              <w:t>2856</w:t>
            </w:r>
          </w:p>
        </w:tc>
        <w:tc>
          <w:tcPr>
            <w:tcW w:w="1071" w:type="pct"/>
            <w:noWrap/>
            <w:vAlign w:val="center"/>
          </w:tcPr>
          <w:p>
            <w:pPr>
              <w:pStyle w:val="3013"/>
              <w:rPr>
                <w:rFonts w:hint="eastAsia"/>
              </w:rPr>
            </w:pPr>
            <w:r>
              <w:rPr>
                <w:rFonts w:hint="eastAsia"/>
              </w:rPr>
              <w:t>綦江区人民政府</w:t>
            </w:r>
          </w:p>
        </w:tc>
        <w:tc>
          <w:tcPr>
            <w:tcW w:w="731" w:type="pct"/>
            <w:noWrap/>
            <w:vAlign w:val="center"/>
          </w:tcPr>
          <w:p>
            <w:pPr>
              <w:pStyle w:val="3013"/>
              <w:rPr>
                <w:rFonts w:hint="eastAsia"/>
              </w:rPr>
            </w:pPr>
            <w:r>
              <w:rPr>
                <w:rFonts w:hint="eastAsia"/>
              </w:rPr>
              <w:t>226.67</w:t>
            </w:r>
          </w:p>
        </w:tc>
        <w:tc>
          <w:tcPr>
            <w:tcW w:w="731" w:type="pct"/>
            <w:noWrap/>
            <w:vAlign w:val="center"/>
          </w:tcPr>
          <w:p>
            <w:pPr>
              <w:pStyle w:val="3013"/>
              <w:rPr>
                <w:rFonts w:hint="eastAsia"/>
              </w:rPr>
            </w:pPr>
            <w:r>
              <w:rPr>
                <w:rFonts w:hint="eastAsia"/>
              </w:rPr>
              <w:t>226.67</w:t>
            </w:r>
          </w:p>
        </w:tc>
        <w:tc>
          <w:tcPr>
            <w:tcW w:w="650" w:type="pct"/>
            <w:noWrap/>
            <w:vAlign w:val="center"/>
          </w:tcPr>
          <w:p>
            <w:pPr>
              <w:pStyle w:val="3013"/>
              <w:rPr>
                <w:rFonts w:hint="eastAsia"/>
              </w:rPr>
            </w:pPr>
            <w:r>
              <w:rPr>
                <w:rFonts w:hint="eastAsia"/>
              </w:rPr>
              <w:t>0.00</w:t>
            </w:r>
          </w:p>
        </w:tc>
        <w:tc>
          <w:tcPr>
            <w:tcW w:w="731" w:type="pct"/>
            <w:noWrap/>
            <w:vAlign w:val="center"/>
          </w:tcPr>
          <w:p>
            <w:pPr>
              <w:pStyle w:val="3013"/>
              <w:rPr>
                <w:rFonts w:hint="eastAsia"/>
              </w:rPr>
            </w:pPr>
            <w:r>
              <w:rPr>
                <w:rFonts w:hint="eastAsia"/>
              </w:rPr>
              <w:t>226.63</w:t>
            </w:r>
          </w:p>
        </w:tc>
        <w:tc>
          <w:tcPr>
            <w:tcW w:w="651" w:type="pct"/>
            <w:noWrap/>
            <w:vAlign w:val="center"/>
          </w:tcPr>
          <w:p>
            <w:pPr>
              <w:pStyle w:val="3013"/>
              <w:rPr>
                <w:rFonts w:hint="eastAsia"/>
              </w:rPr>
            </w:pPr>
            <w:r>
              <w:rPr>
                <w:rFonts w:hint="eastAsia"/>
              </w:rPr>
              <w:t>0.04</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431" w:type="pct"/>
            <w:noWrap/>
            <w:vAlign w:val="center"/>
          </w:tcPr>
          <w:p>
            <w:pPr>
              <w:pStyle w:val="3013"/>
              <w:rPr>
                <w:rFonts w:hint="eastAsia"/>
              </w:rPr>
            </w:pPr>
            <w:r>
              <w:rPr>
                <w:rFonts w:hint="eastAsia"/>
              </w:rPr>
              <w:t>2983</w:t>
            </w:r>
          </w:p>
        </w:tc>
        <w:tc>
          <w:tcPr>
            <w:tcW w:w="1071" w:type="pct"/>
            <w:noWrap/>
            <w:vAlign w:val="center"/>
          </w:tcPr>
          <w:p>
            <w:pPr>
              <w:pStyle w:val="3013"/>
              <w:rPr>
                <w:rFonts w:hint="eastAsia"/>
              </w:rPr>
            </w:pPr>
          </w:p>
        </w:tc>
        <w:tc>
          <w:tcPr>
            <w:tcW w:w="731" w:type="pct"/>
            <w:noWrap/>
            <w:vAlign w:val="center"/>
          </w:tcPr>
          <w:p>
            <w:pPr>
              <w:pStyle w:val="3013"/>
              <w:rPr>
                <w:rFonts w:hint="eastAsia"/>
              </w:rPr>
            </w:pPr>
            <w:r>
              <w:rPr>
                <w:rFonts w:hint="eastAsia"/>
              </w:rPr>
              <w:t>226.65</w:t>
            </w:r>
          </w:p>
        </w:tc>
        <w:tc>
          <w:tcPr>
            <w:tcW w:w="731" w:type="pct"/>
            <w:noWrap/>
            <w:vAlign w:val="center"/>
          </w:tcPr>
          <w:p>
            <w:pPr>
              <w:pStyle w:val="3013"/>
              <w:rPr>
                <w:rFonts w:hint="eastAsia"/>
              </w:rPr>
            </w:pPr>
            <w:r>
              <w:rPr>
                <w:rFonts w:hint="eastAsia"/>
              </w:rPr>
              <w:t>226.65</w:t>
            </w:r>
          </w:p>
        </w:tc>
        <w:tc>
          <w:tcPr>
            <w:tcW w:w="650" w:type="pct"/>
            <w:noWrap/>
            <w:vAlign w:val="center"/>
          </w:tcPr>
          <w:p>
            <w:pPr>
              <w:pStyle w:val="3013"/>
              <w:rPr>
                <w:rFonts w:hint="eastAsia"/>
              </w:rPr>
            </w:pPr>
            <w:r>
              <w:rPr>
                <w:rFonts w:hint="eastAsia"/>
              </w:rPr>
              <w:t>0.00</w:t>
            </w:r>
          </w:p>
        </w:tc>
        <w:tc>
          <w:tcPr>
            <w:tcW w:w="731" w:type="pct"/>
            <w:noWrap/>
            <w:vAlign w:val="center"/>
          </w:tcPr>
          <w:p>
            <w:pPr>
              <w:pStyle w:val="3013"/>
              <w:rPr>
                <w:rFonts w:hint="eastAsia"/>
              </w:rPr>
            </w:pPr>
            <w:r>
              <w:rPr>
                <w:rFonts w:hint="eastAsia"/>
              </w:rPr>
              <w:t>226.60</w:t>
            </w:r>
          </w:p>
        </w:tc>
        <w:tc>
          <w:tcPr>
            <w:tcW w:w="651" w:type="pct"/>
            <w:noWrap/>
            <w:vAlign w:val="center"/>
          </w:tcPr>
          <w:p>
            <w:pPr>
              <w:pStyle w:val="3013"/>
              <w:rPr>
                <w:rFonts w:hint="eastAsia"/>
              </w:rPr>
            </w:pPr>
            <w:r>
              <w:rPr>
                <w:rFonts w:hint="eastAsia"/>
              </w:rPr>
              <w:t>0.05</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431" w:type="pct"/>
            <w:noWrap/>
            <w:vAlign w:val="center"/>
          </w:tcPr>
          <w:p>
            <w:pPr>
              <w:pStyle w:val="3013"/>
              <w:rPr>
                <w:rFonts w:hint="eastAsia"/>
              </w:rPr>
            </w:pPr>
            <w:r>
              <w:rPr>
                <w:rFonts w:hint="eastAsia"/>
              </w:rPr>
              <w:t>3135</w:t>
            </w:r>
          </w:p>
        </w:tc>
        <w:tc>
          <w:tcPr>
            <w:tcW w:w="1071" w:type="pct"/>
            <w:noWrap/>
            <w:vAlign w:val="center"/>
          </w:tcPr>
          <w:p>
            <w:pPr>
              <w:pStyle w:val="3013"/>
              <w:rPr>
                <w:rFonts w:hint="eastAsia"/>
              </w:rPr>
            </w:pPr>
            <w:r>
              <w:rPr>
                <w:rFonts w:hint="eastAsia"/>
              </w:rPr>
              <w:t>北街小学</w:t>
            </w:r>
          </w:p>
        </w:tc>
        <w:tc>
          <w:tcPr>
            <w:tcW w:w="731" w:type="pct"/>
            <w:noWrap/>
            <w:vAlign w:val="center"/>
          </w:tcPr>
          <w:p>
            <w:pPr>
              <w:pStyle w:val="3013"/>
              <w:rPr>
                <w:rFonts w:hint="eastAsia"/>
              </w:rPr>
            </w:pPr>
            <w:r>
              <w:rPr>
                <w:rFonts w:hint="eastAsia"/>
              </w:rPr>
              <w:t>226.60</w:t>
            </w:r>
          </w:p>
        </w:tc>
        <w:tc>
          <w:tcPr>
            <w:tcW w:w="731" w:type="pct"/>
            <w:noWrap/>
            <w:vAlign w:val="center"/>
          </w:tcPr>
          <w:p>
            <w:pPr>
              <w:pStyle w:val="3013"/>
              <w:rPr>
                <w:rFonts w:hint="eastAsia"/>
              </w:rPr>
            </w:pPr>
            <w:r>
              <w:rPr>
                <w:rFonts w:hint="eastAsia"/>
              </w:rPr>
              <w:t>226.60</w:t>
            </w:r>
          </w:p>
        </w:tc>
        <w:tc>
          <w:tcPr>
            <w:tcW w:w="650" w:type="pct"/>
            <w:noWrap/>
            <w:vAlign w:val="center"/>
          </w:tcPr>
          <w:p>
            <w:pPr>
              <w:pStyle w:val="3013"/>
              <w:rPr>
                <w:rFonts w:hint="eastAsia"/>
              </w:rPr>
            </w:pPr>
            <w:r>
              <w:rPr>
                <w:rFonts w:hint="eastAsia"/>
              </w:rPr>
              <w:t>0.00</w:t>
            </w:r>
          </w:p>
        </w:tc>
        <w:tc>
          <w:tcPr>
            <w:tcW w:w="731" w:type="pct"/>
            <w:noWrap/>
            <w:vAlign w:val="center"/>
          </w:tcPr>
          <w:p>
            <w:pPr>
              <w:pStyle w:val="3013"/>
              <w:rPr>
                <w:rFonts w:hint="eastAsia"/>
              </w:rPr>
            </w:pPr>
            <w:r>
              <w:rPr>
                <w:rFonts w:hint="eastAsia"/>
              </w:rPr>
              <w:t>226.55</w:t>
            </w:r>
          </w:p>
        </w:tc>
        <w:tc>
          <w:tcPr>
            <w:tcW w:w="651" w:type="pct"/>
            <w:noWrap/>
            <w:vAlign w:val="center"/>
          </w:tcPr>
          <w:p>
            <w:pPr>
              <w:pStyle w:val="3013"/>
              <w:rPr>
                <w:rFonts w:hint="eastAsia"/>
              </w:rPr>
            </w:pPr>
            <w:r>
              <w:rPr>
                <w:rFonts w:hint="eastAsia"/>
              </w:rPr>
              <w:t>0.05</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431" w:type="pct"/>
            <w:noWrap/>
            <w:vAlign w:val="center"/>
          </w:tcPr>
          <w:p>
            <w:pPr>
              <w:pStyle w:val="3013"/>
              <w:rPr>
                <w:rFonts w:hint="eastAsia"/>
              </w:rPr>
            </w:pPr>
            <w:r>
              <w:rPr>
                <w:rFonts w:hint="eastAsia"/>
              </w:rPr>
              <w:t>3273</w:t>
            </w:r>
          </w:p>
        </w:tc>
        <w:tc>
          <w:tcPr>
            <w:tcW w:w="1071" w:type="pct"/>
            <w:noWrap/>
            <w:vAlign w:val="center"/>
          </w:tcPr>
          <w:p>
            <w:pPr>
              <w:pStyle w:val="3013"/>
              <w:rPr>
                <w:rFonts w:hint="eastAsia"/>
              </w:rPr>
            </w:pPr>
          </w:p>
        </w:tc>
        <w:tc>
          <w:tcPr>
            <w:tcW w:w="731" w:type="pct"/>
            <w:noWrap/>
            <w:vAlign w:val="center"/>
          </w:tcPr>
          <w:p>
            <w:pPr>
              <w:pStyle w:val="3013"/>
              <w:rPr>
                <w:rFonts w:hint="eastAsia"/>
              </w:rPr>
            </w:pPr>
            <w:r>
              <w:rPr>
                <w:rFonts w:hint="eastAsia"/>
              </w:rPr>
              <w:t>226.55</w:t>
            </w:r>
          </w:p>
        </w:tc>
        <w:tc>
          <w:tcPr>
            <w:tcW w:w="731" w:type="pct"/>
            <w:noWrap/>
            <w:vAlign w:val="center"/>
          </w:tcPr>
          <w:p>
            <w:pPr>
              <w:pStyle w:val="3013"/>
              <w:rPr>
                <w:rFonts w:hint="eastAsia"/>
              </w:rPr>
            </w:pPr>
            <w:r>
              <w:rPr>
                <w:rFonts w:hint="eastAsia"/>
              </w:rPr>
              <w:t>226.55</w:t>
            </w:r>
          </w:p>
        </w:tc>
        <w:tc>
          <w:tcPr>
            <w:tcW w:w="650" w:type="pct"/>
            <w:noWrap/>
            <w:vAlign w:val="center"/>
          </w:tcPr>
          <w:p>
            <w:pPr>
              <w:pStyle w:val="3013"/>
              <w:rPr>
                <w:rFonts w:hint="eastAsia"/>
              </w:rPr>
            </w:pPr>
            <w:r>
              <w:rPr>
                <w:rFonts w:hint="eastAsia"/>
              </w:rPr>
              <w:t>0.00</w:t>
            </w:r>
          </w:p>
        </w:tc>
        <w:tc>
          <w:tcPr>
            <w:tcW w:w="731" w:type="pct"/>
            <w:noWrap/>
            <w:vAlign w:val="center"/>
          </w:tcPr>
          <w:p>
            <w:pPr>
              <w:pStyle w:val="3013"/>
              <w:rPr>
                <w:rFonts w:hint="eastAsia"/>
              </w:rPr>
            </w:pPr>
            <w:r>
              <w:rPr>
                <w:rFonts w:hint="eastAsia"/>
              </w:rPr>
              <w:t>226.51</w:t>
            </w:r>
          </w:p>
        </w:tc>
        <w:tc>
          <w:tcPr>
            <w:tcW w:w="651" w:type="pct"/>
            <w:noWrap/>
            <w:vAlign w:val="center"/>
          </w:tcPr>
          <w:p>
            <w:pPr>
              <w:pStyle w:val="3013"/>
              <w:rPr>
                <w:rFonts w:hint="eastAsia"/>
              </w:rPr>
            </w:pPr>
            <w:r>
              <w:rPr>
                <w:rFonts w:hint="eastAsia"/>
              </w:rPr>
              <w:t>0.05</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431" w:type="pct"/>
            <w:noWrap/>
            <w:vAlign w:val="center"/>
          </w:tcPr>
          <w:p>
            <w:pPr>
              <w:pStyle w:val="3013"/>
              <w:rPr>
                <w:rFonts w:hint="eastAsia"/>
              </w:rPr>
            </w:pPr>
            <w:r>
              <w:rPr>
                <w:rFonts w:hint="eastAsia"/>
              </w:rPr>
              <w:t>3333</w:t>
            </w:r>
          </w:p>
        </w:tc>
        <w:tc>
          <w:tcPr>
            <w:tcW w:w="1071" w:type="pct"/>
            <w:noWrap/>
            <w:vAlign w:val="center"/>
          </w:tcPr>
          <w:p>
            <w:pPr>
              <w:pStyle w:val="3013"/>
              <w:rPr>
                <w:rFonts w:hint="eastAsia"/>
              </w:rPr>
            </w:pPr>
            <w:r>
              <w:rPr>
                <w:rFonts w:hint="eastAsia"/>
              </w:rPr>
              <w:t>重庆杭华房地产开发有限公司</w:t>
            </w:r>
          </w:p>
        </w:tc>
        <w:tc>
          <w:tcPr>
            <w:tcW w:w="731" w:type="pct"/>
            <w:noWrap/>
            <w:vAlign w:val="center"/>
          </w:tcPr>
          <w:p>
            <w:pPr>
              <w:pStyle w:val="3013"/>
              <w:rPr>
                <w:rFonts w:hint="eastAsia"/>
              </w:rPr>
            </w:pPr>
            <w:r>
              <w:rPr>
                <w:rFonts w:hint="eastAsia"/>
              </w:rPr>
              <w:t>226.50</w:t>
            </w:r>
          </w:p>
        </w:tc>
        <w:tc>
          <w:tcPr>
            <w:tcW w:w="731" w:type="pct"/>
            <w:noWrap/>
            <w:vAlign w:val="center"/>
          </w:tcPr>
          <w:p>
            <w:pPr>
              <w:pStyle w:val="3013"/>
              <w:rPr>
                <w:rFonts w:hint="eastAsia"/>
              </w:rPr>
            </w:pPr>
            <w:r>
              <w:rPr>
                <w:rFonts w:hint="eastAsia"/>
              </w:rPr>
              <w:t>226.50</w:t>
            </w:r>
          </w:p>
        </w:tc>
        <w:tc>
          <w:tcPr>
            <w:tcW w:w="650" w:type="pct"/>
            <w:noWrap/>
            <w:vAlign w:val="center"/>
          </w:tcPr>
          <w:p>
            <w:pPr>
              <w:pStyle w:val="3013"/>
              <w:rPr>
                <w:rFonts w:hint="eastAsia"/>
              </w:rPr>
            </w:pPr>
            <w:r>
              <w:rPr>
                <w:rFonts w:hint="eastAsia"/>
              </w:rPr>
              <w:t>0.00</w:t>
            </w:r>
          </w:p>
        </w:tc>
        <w:tc>
          <w:tcPr>
            <w:tcW w:w="731" w:type="pct"/>
            <w:noWrap/>
            <w:vAlign w:val="center"/>
          </w:tcPr>
          <w:p>
            <w:pPr>
              <w:pStyle w:val="3013"/>
              <w:rPr>
                <w:rFonts w:hint="eastAsia"/>
              </w:rPr>
            </w:pPr>
            <w:r>
              <w:rPr>
                <w:rFonts w:hint="eastAsia"/>
              </w:rPr>
              <w:t>226.45</w:t>
            </w:r>
          </w:p>
        </w:tc>
        <w:tc>
          <w:tcPr>
            <w:tcW w:w="651" w:type="pct"/>
            <w:noWrap/>
            <w:vAlign w:val="center"/>
          </w:tcPr>
          <w:p>
            <w:pPr>
              <w:pStyle w:val="3013"/>
              <w:rPr>
                <w:rFonts w:hint="eastAsia"/>
              </w:rPr>
            </w:pPr>
            <w:r>
              <w:rPr>
                <w:rFonts w:hint="eastAsia"/>
              </w:rPr>
              <w:t>0.05</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431" w:type="pct"/>
            <w:noWrap/>
            <w:vAlign w:val="center"/>
          </w:tcPr>
          <w:p>
            <w:pPr>
              <w:pStyle w:val="3013"/>
              <w:rPr>
                <w:rFonts w:hint="eastAsia"/>
              </w:rPr>
            </w:pPr>
            <w:r>
              <w:rPr>
                <w:rFonts w:hint="eastAsia"/>
              </w:rPr>
              <w:t>3563</w:t>
            </w:r>
          </w:p>
        </w:tc>
        <w:tc>
          <w:tcPr>
            <w:tcW w:w="1071" w:type="pct"/>
            <w:noWrap/>
            <w:vAlign w:val="center"/>
          </w:tcPr>
          <w:p>
            <w:pPr>
              <w:pStyle w:val="3013"/>
              <w:rPr>
                <w:rFonts w:hint="eastAsia"/>
              </w:rPr>
            </w:pPr>
          </w:p>
        </w:tc>
        <w:tc>
          <w:tcPr>
            <w:tcW w:w="731" w:type="pct"/>
            <w:noWrap/>
            <w:vAlign w:val="center"/>
          </w:tcPr>
          <w:p>
            <w:pPr>
              <w:pStyle w:val="3013"/>
              <w:rPr>
                <w:rFonts w:hint="eastAsia"/>
              </w:rPr>
            </w:pPr>
            <w:r>
              <w:rPr>
                <w:rFonts w:hint="eastAsia"/>
              </w:rPr>
              <w:t>226.30</w:t>
            </w:r>
          </w:p>
        </w:tc>
        <w:tc>
          <w:tcPr>
            <w:tcW w:w="731" w:type="pct"/>
            <w:noWrap/>
            <w:vAlign w:val="center"/>
          </w:tcPr>
          <w:p>
            <w:pPr>
              <w:pStyle w:val="3013"/>
              <w:rPr>
                <w:rFonts w:hint="eastAsia"/>
              </w:rPr>
            </w:pPr>
            <w:r>
              <w:rPr>
                <w:rFonts w:hint="eastAsia"/>
              </w:rPr>
              <w:t>226.30</w:t>
            </w:r>
          </w:p>
        </w:tc>
        <w:tc>
          <w:tcPr>
            <w:tcW w:w="650" w:type="pct"/>
            <w:noWrap/>
            <w:vAlign w:val="center"/>
          </w:tcPr>
          <w:p>
            <w:pPr>
              <w:pStyle w:val="3013"/>
              <w:rPr>
                <w:rFonts w:hint="eastAsia"/>
              </w:rPr>
            </w:pPr>
            <w:r>
              <w:rPr>
                <w:rFonts w:hint="eastAsia"/>
              </w:rPr>
              <w:t>0.00</w:t>
            </w:r>
          </w:p>
        </w:tc>
        <w:tc>
          <w:tcPr>
            <w:tcW w:w="731" w:type="pct"/>
            <w:noWrap/>
            <w:vAlign w:val="center"/>
          </w:tcPr>
          <w:p>
            <w:pPr>
              <w:pStyle w:val="3013"/>
              <w:rPr>
                <w:rFonts w:hint="eastAsia"/>
              </w:rPr>
            </w:pPr>
            <w:r>
              <w:rPr>
                <w:rFonts w:hint="eastAsia"/>
              </w:rPr>
              <w:t>226.25</w:t>
            </w:r>
          </w:p>
        </w:tc>
        <w:tc>
          <w:tcPr>
            <w:tcW w:w="651" w:type="pct"/>
            <w:noWrap/>
            <w:vAlign w:val="center"/>
          </w:tcPr>
          <w:p>
            <w:pPr>
              <w:pStyle w:val="3013"/>
              <w:rPr>
                <w:rFonts w:hint="eastAsia"/>
              </w:rPr>
            </w:pPr>
            <w:r>
              <w:rPr>
                <w:rFonts w:hint="eastAsia"/>
              </w:rPr>
              <w:t>0.05</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431" w:type="pct"/>
            <w:noWrap/>
            <w:vAlign w:val="center"/>
          </w:tcPr>
          <w:p>
            <w:pPr>
              <w:pStyle w:val="3013"/>
              <w:rPr>
                <w:rFonts w:hint="eastAsia"/>
              </w:rPr>
            </w:pPr>
            <w:r>
              <w:rPr>
                <w:rFonts w:hint="eastAsia"/>
              </w:rPr>
              <w:t>3763</w:t>
            </w:r>
          </w:p>
        </w:tc>
        <w:tc>
          <w:tcPr>
            <w:tcW w:w="1071" w:type="pct"/>
            <w:noWrap/>
            <w:vAlign w:val="center"/>
          </w:tcPr>
          <w:p>
            <w:pPr>
              <w:pStyle w:val="3013"/>
              <w:rPr>
                <w:rFonts w:hint="eastAsia"/>
              </w:rPr>
            </w:pPr>
            <w:r>
              <w:rPr>
                <w:rFonts w:hint="eastAsia"/>
              </w:rPr>
              <w:t>大常枢纽</w:t>
            </w:r>
          </w:p>
        </w:tc>
        <w:tc>
          <w:tcPr>
            <w:tcW w:w="731" w:type="pct"/>
            <w:noWrap/>
            <w:vAlign w:val="center"/>
          </w:tcPr>
          <w:p>
            <w:pPr>
              <w:pStyle w:val="3013"/>
              <w:rPr>
                <w:rFonts w:hint="eastAsia"/>
              </w:rPr>
            </w:pPr>
            <w:r>
              <w:rPr>
                <w:rFonts w:hint="eastAsia"/>
              </w:rPr>
              <w:t>225.81</w:t>
            </w:r>
          </w:p>
        </w:tc>
        <w:tc>
          <w:tcPr>
            <w:tcW w:w="731" w:type="pct"/>
            <w:noWrap/>
            <w:vAlign w:val="center"/>
          </w:tcPr>
          <w:p>
            <w:pPr>
              <w:pStyle w:val="3013"/>
              <w:rPr>
                <w:rFonts w:hint="eastAsia"/>
              </w:rPr>
            </w:pPr>
            <w:r>
              <w:rPr>
                <w:rFonts w:hint="eastAsia"/>
              </w:rPr>
              <w:t>225.81</w:t>
            </w:r>
          </w:p>
        </w:tc>
        <w:tc>
          <w:tcPr>
            <w:tcW w:w="650" w:type="pct"/>
            <w:noWrap/>
            <w:vAlign w:val="center"/>
          </w:tcPr>
          <w:p>
            <w:pPr>
              <w:pStyle w:val="3013"/>
              <w:rPr>
                <w:rFonts w:hint="eastAsia"/>
              </w:rPr>
            </w:pPr>
            <w:r>
              <w:rPr>
                <w:rFonts w:hint="eastAsia"/>
              </w:rPr>
              <w:t>0.00</w:t>
            </w:r>
          </w:p>
        </w:tc>
        <w:tc>
          <w:tcPr>
            <w:tcW w:w="731" w:type="pct"/>
            <w:noWrap/>
            <w:vAlign w:val="center"/>
          </w:tcPr>
          <w:p>
            <w:pPr>
              <w:pStyle w:val="3013"/>
              <w:rPr>
                <w:rFonts w:hint="eastAsia"/>
              </w:rPr>
            </w:pPr>
            <w:r>
              <w:rPr>
                <w:rFonts w:hint="eastAsia"/>
              </w:rPr>
              <w:t>225.75</w:t>
            </w:r>
          </w:p>
        </w:tc>
        <w:tc>
          <w:tcPr>
            <w:tcW w:w="651" w:type="pct"/>
            <w:noWrap/>
            <w:vAlign w:val="center"/>
          </w:tcPr>
          <w:p>
            <w:pPr>
              <w:pStyle w:val="3013"/>
              <w:rPr>
                <w:rFonts w:hint="eastAsia"/>
              </w:rPr>
            </w:pPr>
            <w:r>
              <w:rPr>
                <w:rFonts w:hint="eastAsia"/>
              </w:rPr>
              <w:t>0.06</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431" w:type="pct"/>
            <w:noWrap/>
            <w:vAlign w:val="center"/>
          </w:tcPr>
          <w:p>
            <w:pPr>
              <w:pStyle w:val="3013"/>
              <w:rPr>
                <w:rFonts w:hint="eastAsia"/>
              </w:rPr>
            </w:pPr>
            <w:r>
              <w:rPr>
                <w:rFonts w:hint="eastAsia"/>
              </w:rPr>
              <w:t>3866</w:t>
            </w:r>
          </w:p>
        </w:tc>
        <w:tc>
          <w:tcPr>
            <w:tcW w:w="1071" w:type="pct"/>
            <w:noWrap/>
            <w:vAlign w:val="center"/>
          </w:tcPr>
          <w:p>
            <w:pPr>
              <w:pStyle w:val="3013"/>
              <w:rPr>
                <w:rFonts w:hint="eastAsia"/>
              </w:rPr>
            </w:pPr>
          </w:p>
        </w:tc>
        <w:tc>
          <w:tcPr>
            <w:tcW w:w="731" w:type="pct"/>
            <w:noWrap/>
            <w:vAlign w:val="center"/>
          </w:tcPr>
          <w:p>
            <w:pPr>
              <w:pStyle w:val="3013"/>
              <w:rPr>
                <w:rFonts w:hint="eastAsia"/>
              </w:rPr>
            </w:pPr>
            <w:r>
              <w:rPr>
                <w:rFonts w:hint="eastAsia"/>
              </w:rPr>
              <w:t>225.71</w:t>
            </w:r>
          </w:p>
        </w:tc>
        <w:tc>
          <w:tcPr>
            <w:tcW w:w="731" w:type="pct"/>
            <w:noWrap/>
            <w:vAlign w:val="center"/>
          </w:tcPr>
          <w:p>
            <w:pPr>
              <w:pStyle w:val="3013"/>
              <w:rPr>
                <w:rFonts w:hint="eastAsia"/>
              </w:rPr>
            </w:pPr>
            <w:r>
              <w:rPr>
                <w:rFonts w:hint="eastAsia"/>
              </w:rPr>
              <w:t>225.71</w:t>
            </w:r>
          </w:p>
        </w:tc>
        <w:tc>
          <w:tcPr>
            <w:tcW w:w="650" w:type="pct"/>
            <w:noWrap/>
            <w:vAlign w:val="center"/>
          </w:tcPr>
          <w:p>
            <w:pPr>
              <w:pStyle w:val="3013"/>
              <w:rPr>
                <w:rFonts w:hint="eastAsia"/>
              </w:rPr>
            </w:pPr>
            <w:r>
              <w:rPr>
                <w:rFonts w:hint="eastAsia"/>
              </w:rPr>
              <w:t>0.00</w:t>
            </w:r>
          </w:p>
        </w:tc>
        <w:tc>
          <w:tcPr>
            <w:tcW w:w="731" w:type="pct"/>
            <w:noWrap/>
            <w:vAlign w:val="center"/>
          </w:tcPr>
          <w:p>
            <w:pPr>
              <w:pStyle w:val="3013"/>
              <w:rPr>
                <w:rFonts w:hint="eastAsia"/>
              </w:rPr>
            </w:pPr>
            <w:r>
              <w:rPr>
                <w:rFonts w:hint="eastAsia"/>
              </w:rPr>
              <w:t>225.65</w:t>
            </w:r>
          </w:p>
        </w:tc>
        <w:tc>
          <w:tcPr>
            <w:tcW w:w="651" w:type="pct"/>
            <w:noWrap/>
            <w:vAlign w:val="center"/>
          </w:tcPr>
          <w:p>
            <w:pPr>
              <w:pStyle w:val="3013"/>
              <w:rPr>
                <w:rFonts w:hint="eastAsia"/>
              </w:rPr>
            </w:pPr>
            <w:r>
              <w:rPr>
                <w:rFonts w:hint="eastAsia"/>
              </w:rPr>
              <w:t>0.06</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431" w:type="pct"/>
            <w:noWrap/>
            <w:vAlign w:val="center"/>
          </w:tcPr>
          <w:p>
            <w:pPr>
              <w:pStyle w:val="3013"/>
              <w:rPr>
                <w:rFonts w:hint="eastAsia"/>
              </w:rPr>
            </w:pPr>
            <w:r>
              <w:rPr>
                <w:rFonts w:hint="eastAsia"/>
              </w:rPr>
              <w:t>4063</w:t>
            </w:r>
          </w:p>
        </w:tc>
        <w:tc>
          <w:tcPr>
            <w:tcW w:w="1071" w:type="pct"/>
            <w:noWrap/>
            <w:vAlign w:val="center"/>
          </w:tcPr>
          <w:p>
            <w:pPr>
              <w:pStyle w:val="3013"/>
              <w:rPr>
                <w:rFonts w:hint="eastAsia"/>
              </w:rPr>
            </w:pPr>
          </w:p>
        </w:tc>
        <w:tc>
          <w:tcPr>
            <w:tcW w:w="731" w:type="pct"/>
            <w:noWrap/>
            <w:vAlign w:val="center"/>
          </w:tcPr>
          <w:p>
            <w:pPr>
              <w:pStyle w:val="3013"/>
              <w:rPr>
                <w:rFonts w:hint="eastAsia"/>
              </w:rPr>
            </w:pPr>
            <w:r>
              <w:rPr>
                <w:rFonts w:hint="eastAsia"/>
              </w:rPr>
              <w:t>225.53</w:t>
            </w:r>
          </w:p>
        </w:tc>
        <w:tc>
          <w:tcPr>
            <w:tcW w:w="731" w:type="pct"/>
            <w:noWrap/>
            <w:vAlign w:val="center"/>
          </w:tcPr>
          <w:p>
            <w:pPr>
              <w:pStyle w:val="3013"/>
              <w:rPr>
                <w:rFonts w:hint="eastAsia"/>
              </w:rPr>
            </w:pPr>
            <w:r>
              <w:rPr>
                <w:rFonts w:hint="eastAsia"/>
              </w:rPr>
              <w:t>225.53</w:t>
            </w:r>
          </w:p>
        </w:tc>
        <w:tc>
          <w:tcPr>
            <w:tcW w:w="650" w:type="pct"/>
            <w:noWrap/>
            <w:vAlign w:val="center"/>
          </w:tcPr>
          <w:p>
            <w:pPr>
              <w:pStyle w:val="3013"/>
              <w:rPr>
                <w:rFonts w:hint="eastAsia"/>
              </w:rPr>
            </w:pPr>
            <w:r>
              <w:rPr>
                <w:rFonts w:hint="eastAsia"/>
              </w:rPr>
              <w:t>0.00</w:t>
            </w:r>
          </w:p>
        </w:tc>
        <w:tc>
          <w:tcPr>
            <w:tcW w:w="731" w:type="pct"/>
            <w:noWrap/>
            <w:vAlign w:val="center"/>
          </w:tcPr>
          <w:p>
            <w:pPr>
              <w:pStyle w:val="3013"/>
              <w:rPr>
                <w:rFonts w:hint="eastAsia"/>
              </w:rPr>
            </w:pPr>
            <w:r>
              <w:rPr>
                <w:rFonts w:hint="eastAsia"/>
              </w:rPr>
              <w:t>225.47</w:t>
            </w:r>
          </w:p>
        </w:tc>
        <w:tc>
          <w:tcPr>
            <w:tcW w:w="651" w:type="pct"/>
            <w:noWrap/>
            <w:vAlign w:val="center"/>
          </w:tcPr>
          <w:p>
            <w:pPr>
              <w:pStyle w:val="3013"/>
              <w:rPr>
                <w:rFonts w:hint="eastAsia"/>
              </w:rPr>
            </w:pPr>
            <w:r>
              <w:rPr>
                <w:rFonts w:hint="eastAsia"/>
              </w:rPr>
              <w:t>0.06</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431" w:type="pct"/>
            <w:noWrap/>
            <w:vAlign w:val="center"/>
          </w:tcPr>
          <w:p>
            <w:pPr>
              <w:pStyle w:val="3013"/>
              <w:rPr>
                <w:rFonts w:hint="eastAsia"/>
              </w:rPr>
            </w:pPr>
            <w:r>
              <w:rPr>
                <w:rFonts w:hint="eastAsia"/>
              </w:rPr>
              <w:t>4327</w:t>
            </w:r>
          </w:p>
        </w:tc>
        <w:tc>
          <w:tcPr>
            <w:tcW w:w="1071" w:type="pct"/>
            <w:noWrap/>
            <w:vAlign w:val="center"/>
          </w:tcPr>
          <w:p>
            <w:pPr>
              <w:pStyle w:val="3013"/>
              <w:rPr>
                <w:rFonts w:hint="eastAsia"/>
              </w:rPr>
            </w:pPr>
          </w:p>
        </w:tc>
        <w:tc>
          <w:tcPr>
            <w:tcW w:w="731" w:type="pct"/>
            <w:noWrap/>
            <w:vAlign w:val="center"/>
          </w:tcPr>
          <w:p>
            <w:pPr>
              <w:pStyle w:val="3013"/>
              <w:rPr>
                <w:rFonts w:hint="eastAsia"/>
              </w:rPr>
            </w:pPr>
            <w:r>
              <w:rPr>
                <w:rFonts w:hint="eastAsia"/>
              </w:rPr>
              <w:t>225.49</w:t>
            </w:r>
          </w:p>
        </w:tc>
        <w:tc>
          <w:tcPr>
            <w:tcW w:w="731" w:type="pct"/>
            <w:noWrap/>
            <w:vAlign w:val="center"/>
          </w:tcPr>
          <w:p>
            <w:pPr>
              <w:pStyle w:val="3013"/>
              <w:rPr>
                <w:rFonts w:hint="eastAsia"/>
              </w:rPr>
            </w:pPr>
            <w:r>
              <w:rPr>
                <w:rFonts w:hint="eastAsia"/>
              </w:rPr>
              <w:t>225.49</w:t>
            </w:r>
          </w:p>
        </w:tc>
        <w:tc>
          <w:tcPr>
            <w:tcW w:w="650" w:type="pct"/>
            <w:noWrap/>
            <w:vAlign w:val="center"/>
          </w:tcPr>
          <w:p>
            <w:pPr>
              <w:pStyle w:val="3013"/>
              <w:rPr>
                <w:rFonts w:hint="eastAsia"/>
              </w:rPr>
            </w:pPr>
            <w:r>
              <w:rPr>
                <w:rFonts w:hint="eastAsia"/>
              </w:rPr>
              <w:t>0.00</w:t>
            </w:r>
          </w:p>
        </w:tc>
        <w:tc>
          <w:tcPr>
            <w:tcW w:w="731" w:type="pct"/>
            <w:noWrap/>
            <w:vAlign w:val="center"/>
          </w:tcPr>
          <w:p>
            <w:pPr>
              <w:pStyle w:val="3013"/>
              <w:rPr>
                <w:rFonts w:hint="eastAsia"/>
              </w:rPr>
            </w:pPr>
            <w:r>
              <w:rPr>
                <w:rFonts w:hint="eastAsia"/>
              </w:rPr>
              <w:t>225.42</w:t>
            </w:r>
          </w:p>
        </w:tc>
        <w:tc>
          <w:tcPr>
            <w:tcW w:w="651" w:type="pct"/>
            <w:noWrap/>
            <w:vAlign w:val="center"/>
          </w:tcPr>
          <w:p>
            <w:pPr>
              <w:pStyle w:val="3013"/>
              <w:rPr>
                <w:rFonts w:hint="eastAsia"/>
              </w:rPr>
            </w:pPr>
            <w:r>
              <w:rPr>
                <w:rFonts w:hint="eastAsia"/>
              </w:rPr>
              <w:t>0.06</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431" w:type="pct"/>
            <w:noWrap/>
            <w:vAlign w:val="center"/>
          </w:tcPr>
          <w:p>
            <w:pPr>
              <w:pStyle w:val="3013"/>
              <w:rPr>
                <w:rFonts w:hint="eastAsia"/>
              </w:rPr>
            </w:pPr>
            <w:r>
              <w:rPr>
                <w:rFonts w:hint="eastAsia"/>
              </w:rPr>
              <w:t>4518</w:t>
            </w:r>
          </w:p>
        </w:tc>
        <w:tc>
          <w:tcPr>
            <w:tcW w:w="1071" w:type="pct"/>
            <w:noWrap/>
            <w:vAlign w:val="center"/>
          </w:tcPr>
          <w:p>
            <w:pPr>
              <w:pStyle w:val="3013"/>
              <w:rPr>
                <w:rFonts w:hint="eastAsia"/>
              </w:rPr>
            </w:pPr>
          </w:p>
        </w:tc>
        <w:tc>
          <w:tcPr>
            <w:tcW w:w="731" w:type="pct"/>
            <w:noWrap/>
            <w:vAlign w:val="center"/>
          </w:tcPr>
          <w:p>
            <w:pPr>
              <w:pStyle w:val="3013"/>
              <w:rPr>
                <w:rFonts w:hint="eastAsia"/>
              </w:rPr>
            </w:pPr>
            <w:r>
              <w:rPr>
                <w:rFonts w:hint="eastAsia"/>
              </w:rPr>
              <w:t>225.42</w:t>
            </w:r>
          </w:p>
        </w:tc>
        <w:tc>
          <w:tcPr>
            <w:tcW w:w="731" w:type="pct"/>
            <w:noWrap/>
            <w:vAlign w:val="center"/>
          </w:tcPr>
          <w:p>
            <w:pPr>
              <w:pStyle w:val="3013"/>
              <w:rPr>
                <w:rFonts w:hint="eastAsia"/>
              </w:rPr>
            </w:pPr>
            <w:r>
              <w:rPr>
                <w:rFonts w:hint="eastAsia"/>
              </w:rPr>
              <w:t>225.42</w:t>
            </w:r>
          </w:p>
        </w:tc>
        <w:tc>
          <w:tcPr>
            <w:tcW w:w="650" w:type="pct"/>
            <w:noWrap/>
            <w:vAlign w:val="center"/>
          </w:tcPr>
          <w:p>
            <w:pPr>
              <w:pStyle w:val="3013"/>
              <w:rPr>
                <w:rFonts w:hint="eastAsia"/>
              </w:rPr>
            </w:pPr>
            <w:r>
              <w:rPr>
                <w:rFonts w:hint="eastAsia"/>
              </w:rPr>
              <w:t>0.00</w:t>
            </w:r>
          </w:p>
        </w:tc>
        <w:tc>
          <w:tcPr>
            <w:tcW w:w="731" w:type="pct"/>
            <w:noWrap/>
            <w:vAlign w:val="center"/>
          </w:tcPr>
          <w:p>
            <w:pPr>
              <w:pStyle w:val="3013"/>
              <w:rPr>
                <w:rFonts w:hint="eastAsia"/>
              </w:rPr>
            </w:pPr>
            <w:r>
              <w:rPr>
                <w:rFonts w:hint="eastAsia"/>
              </w:rPr>
              <w:t>225.35</w:t>
            </w:r>
          </w:p>
        </w:tc>
        <w:tc>
          <w:tcPr>
            <w:tcW w:w="651" w:type="pct"/>
            <w:noWrap/>
            <w:vAlign w:val="center"/>
          </w:tcPr>
          <w:p>
            <w:pPr>
              <w:pStyle w:val="3013"/>
              <w:rPr>
                <w:rFonts w:hint="eastAsia"/>
              </w:rPr>
            </w:pPr>
            <w:r>
              <w:rPr>
                <w:rFonts w:hint="eastAsia"/>
              </w:rPr>
              <w:t>0.07</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431" w:type="pct"/>
            <w:noWrap/>
            <w:vAlign w:val="center"/>
          </w:tcPr>
          <w:p>
            <w:pPr>
              <w:pStyle w:val="3013"/>
              <w:rPr>
                <w:rFonts w:hint="eastAsia"/>
              </w:rPr>
            </w:pPr>
            <w:r>
              <w:rPr>
                <w:rFonts w:hint="eastAsia"/>
              </w:rPr>
              <w:t>4590</w:t>
            </w:r>
          </w:p>
        </w:tc>
        <w:tc>
          <w:tcPr>
            <w:tcW w:w="1071" w:type="pct"/>
            <w:noWrap/>
            <w:vAlign w:val="center"/>
          </w:tcPr>
          <w:p>
            <w:pPr>
              <w:pStyle w:val="3013"/>
              <w:rPr>
                <w:rFonts w:hint="eastAsia"/>
              </w:rPr>
            </w:pPr>
          </w:p>
        </w:tc>
        <w:tc>
          <w:tcPr>
            <w:tcW w:w="731" w:type="pct"/>
            <w:noWrap/>
            <w:vAlign w:val="center"/>
          </w:tcPr>
          <w:p>
            <w:pPr>
              <w:pStyle w:val="3013"/>
              <w:rPr>
                <w:rFonts w:hint="eastAsia"/>
              </w:rPr>
            </w:pPr>
            <w:r>
              <w:rPr>
                <w:rFonts w:hint="eastAsia"/>
              </w:rPr>
              <w:t>225.39</w:t>
            </w:r>
          </w:p>
        </w:tc>
        <w:tc>
          <w:tcPr>
            <w:tcW w:w="731" w:type="pct"/>
            <w:noWrap/>
            <w:vAlign w:val="center"/>
          </w:tcPr>
          <w:p>
            <w:pPr>
              <w:pStyle w:val="3013"/>
              <w:rPr>
                <w:rFonts w:hint="eastAsia"/>
              </w:rPr>
            </w:pPr>
            <w:r>
              <w:rPr>
                <w:rFonts w:hint="eastAsia"/>
              </w:rPr>
              <w:t>225.39</w:t>
            </w:r>
          </w:p>
        </w:tc>
        <w:tc>
          <w:tcPr>
            <w:tcW w:w="650" w:type="pct"/>
            <w:noWrap/>
            <w:vAlign w:val="center"/>
          </w:tcPr>
          <w:p>
            <w:pPr>
              <w:pStyle w:val="3013"/>
              <w:rPr>
                <w:rFonts w:hint="eastAsia"/>
              </w:rPr>
            </w:pPr>
            <w:r>
              <w:rPr>
                <w:rFonts w:hint="eastAsia"/>
              </w:rPr>
              <w:t>0.00</w:t>
            </w:r>
          </w:p>
        </w:tc>
        <w:tc>
          <w:tcPr>
            <w:tcW w:w="731" w:type="pct"/>
            <w:noWrap/>
            <w:vAlign w:val="center"/>
          </w:tcPr>
          <w:p>
            <w:pPr>
              <w:pStyle w:val="3013"/>
              <w:rPr>
                <w:rFonts w:hint="eastAsia"/>
              </w:rPr>
            </w:pPr>
            <w:r>
              <w:rPr>
                <w:rFonts w:hint="eastAsia"/>
              </w:rPr>
              <w:t>225.32</w:t>
            </w:r>
          </w:p>
        </w:tc>
        <w:tc>
          <w:tcPr>
            <w:tcW w:w="651" w:type="pct"/>
            <w:noWrap/>
            <w:vAlign w:val="center"/>
          </w:tcPr>
          <w:p>
            <w:pPr>
              <w:pStyle w:val="3013"/>
              <w:rPr>
                <w:rFonts w:hint="eastAsia"/>
              </w:rPr>
            </w:pPr>
            <w:r>
              <w:rPr>
                <w:rFonts w:hint="eastAsia"/>
              </w:rPr>
              <w:t>0.07</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431" w:type="pct"/>
            <w:noWrap/>
            <w:vAlign w:val="center"/>
          </w:tcPr>
          <w:p>
            <w:pPr>
              <w:pStyle w:val="3013"/>
              <w:rPr>
                <w:rFonts w:hint="eastAsia"/>
              </w:rPr>
            </w:pPr>
            <w:r>
              <w:rPr>
                <w:rFonts w:hint="eastAsia"/>
              </w:rPr>
              <w:t>4973</w:t>
            </w:r>
          </w:p>
        </w:tc>
        <w:tc>
          <w:tcPr>
            <w:tcW w:w="1071" w:type="pct"/>
            <w:noWrap/>
            <w:vAlign w:val="center"/>
          </w:tcPr>
          <w:p>
            <w:pPr>
              <w:pStyle w:val="3013"/>
              <w:rPr>
                <w:rFonts w:hint="eastAsia"/>
              </w:rPr>
            </w:pPr>
          </w:p>
        </w:tc>
        <w:tc>
          <w:tcPr>
            <w:tcW w:w="731" w:type="pct"/>
            <w:noWrap/>
            <w:vAlign w:val="center"/>
          </w:tcPr>
          <w:p>
            <w:pPr>
              <w:pStyle w:val="3013"/>
              <w:rPr>
                <w:rFonts w:hint="eastAsia"/>
              </w:rPr>
            </w:pPr>
            <w:r>
              <w:rPr>
                <w:rFonts w:hint="eastAsia"/>
              </w:rPr>
              <w:t>225.12</w:t>
            </w:r>
          </w:p>
        </w:tc>
        <w:tc>
          <w:tcPr>
            <w:tcW w:w="731" w:type="pct"/>
            <w:noWrap/>
            <w:vAlign w:val="center"/>
          </w:tcPr>
          <w:p>
            <w:pPr>
              <w:pStyle w:val="3013"/>
              <w:rPr>
                <w:rFonts w:hint="eastAsia"/>
              </w:rPr>
            </w:pPr>
            <w:r>
              <w:rPr>
                <w:rFonts w:hint="eastAsia"/>
              </w:rPr>
              <w:t>225.12</w:t>
            </w:r>
          </w:p>
        </w:tc>
        <w:tc>
          <w:tcPr>
            <w:tcW w:w="650" w:type="pct"/>
            <w:noWrap/>
            <w:vAlign w:val="center"/>
          </w:tcPr>
          <w:p>
            <w:pPr>
              <w:pStyle w:val="3013"/>
              <w:rPr>
                <w:rFonts w:hint="eastAsia"/>
              </w:rPr>
            </w:pPr>
            <w:r>
              <w:rPr>
                <w:rFonts w:hint="eastAsia"/>
              </w:rPr>
              <w:t>0.00</w:t>
            </w:r>
          </w:p>
        </w:tc>
        <w:tc>
          <w:tcPr>
            <w:tcW w:w="731" w:type="pct"/>
            <w:noWrap/>
            <w:vAlign w:val="center"/>
          </w:tcPr>
          <w:p>
            <w:pPr>
              <w:pStyle w:val="3013"/>
              <w:rPr>
                <w:rFonts w:hint="eastAsia"/>
              </w:rPr>
            </w:pPr>
            <w:r>
              <w:rPr>
                <w:rFonts w:hint="eastAsia"/>
              </w:rPr>
              <w:t>225.05</w:t>
            </w:r>
          </w:p>
        </w:tc>
        <w:tc>
          <w:tcPr>
            <w:tcW w:w="651" w:type="pct"/>
            <w:noWrap/>
            <w:vAlign w:val="center"/>
          </w:tcPr>
          <w:p>
            <w:pPr>
              <w:pStyle w:val="3013"/>
              <w:rPr>
                <w:rFonts w:hint="eastAsia"/>
              </w:rPr>
            </w:pPr>
            <w:r>
              <w:rPr>
                <w:rFonts w:hint="eastAsia"/>
              </w:rPr>
              <w:t>0.07</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431" w:type="pct"/>
            <w:noWrap/>
            <w:vAlign w:val="center"/>
          </w:tcPr>
          <w:p>
            <w:pPr>
              <w:pStyle w:val="3013"/>
              <w:rPr>
                <w:rFonts w:hint="eastAsia"/>
              </w:rPr>
            </w:pPr>
            <w:r>
              <w:rPr>
                <w:rFonts w:hint="eastAsia"/>
              </w:rPr>
              <w:t>5033</w:t>
            </w:r>
          </w:p>
        </w:tc>
        <w:tc>
          <w:tcPr>
            <w:tcW w:w="1071" w:type="pct"/>
            <w:noWrap/>
            <w:vAlign w:val="center"/>
          </w:tcPr>
          <w:p>
            <w:pPr>
              <w:pStyle w:val="3013"/>
              <w:rPr>
                <w:rFonts w:hint="eastAsia"/>
              </w:rPr>
            </w:pPr>
            <w:r>
              <w:rPr>
                <w:rFonts w:hint="eastAsia"/>
              </w:rPr>
              <w:t>古南中学操场</w:t>
            </w:r>
          </w:p>
        </w:tc>
        <w:tc>
          <w:tcPr>
            <w:tcW w:w="731" w:type="pct"/>
            <w:noWrap/>
            <w:vAlign w:val="center"/>
          </w:tcPr>
          <w:p>
            <w:pPr>
              <w:pStyle w:val="3013"/>
              <w:rPr>
                <w:rFonts w:hint="eastAsia"/>
              </w:rPr>
            </w:pPr>
            <w:r>
              <w:rPr>
                <w:rFonts w:hint="eastAsia"/>
              </w:rPr>
              <w:t>225.03</w:t>
            </w:r>
          </w:p>
        </w:tc>
        <w:tc>
          <w:tcPr>
            <w:tcW w:w="731" w:type="pct"/>
            <w:noWrap/>
            <w:vAlign w:val="center"/>
          </w:tcPr>
          <w:p>
            <w:pPr>
              <w:pStyle w:val="3013"/>
              <w:rPr>
                <w:rFonts w:hint="eastAsia"/>
              </w:rPr>
            </w:pPr>
            <w:r>
              <w:rPr>
                <w:rFonts w:hint="eastAsia"/>
              </w:rPr>
              <w:t>225.03</w:t>
            </w:r>
          </w:p>
        </w:tc>
        <w:tc>
          <w:tcPr>
            <w:tcW w:w="650" w:type="pct"/>
            <w:noWrap/>
            <w:vAlign w:val="center"/>
          </w:tcPr>
          <w:p>
            <w:pPr>
              <w:pStyle w:val="3013"/>
              <w:rPr>
                <w:rFonts w:hint="eastAsia"/>
              </w:rPr>
            </w:pPr>
            <w:r>
              <w:rPr>
                <w:rFonts w:hint="eastAsia"/>
              </w:rPr>
              <w:t>0.00</w:t>
            </w:r>
          </w:p>
        </w:tc>
        <w:tc>
          <w:tcPr>
            <w:tcW w:w="731" w:type="pct"/>
            <w:noWrap/>
            <w:vAlign w:val="center"/>
          </w:tcPr>
          <w:p>
            <w:pPr>
              <w:pStyle w:val="3013"/>
              <w:rPr>
                <w:rFonts w:hint="eastAsia"/>
              </w:rPr>
            </w:pPr>
            <w:r>
              <w:rPr>
                <w:rFonts w:hint="eastAsia"/>
              </w:rPr>
              <w:t>224.98</w:t>
            </w:r>
          </w:p>
        </w:tc>
        <w:tc>
          <w:tcPr>
            <w:tcW w:w="651" w:type="pct"/>
            <w:noWrap/>
            <w:vAlign w:val="center"/>
          </w:tcPr>
          <w:p>
            <w:pPr>
              <w:pStyle w:val="3013"/>
              <w:rPr>
                <w:rFonts w:hint="eastAsia"/>
              </w:rPr>
            </w:pPr>
            <w:r>
              <w:rPr>
                <w:rFonts w:hint="eastAsia"/>
              </w:rPr>
              <w:t>0.05</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431" w:type="pct"/>
            <w:noWrap/>
            <w:vAlign w:val="center"/>
          </w:tcPr>
          <w:p>
            <w:pPr>
              <w:pStyle w:val="3013"/>
              <w:rPr>
                <w:rFonts w:hint="eastAsia"/>
              </w:rPr>
            </w:pPr>
            <w:r>
              <w:rPr>
                <w:rFonts w:hint="eastAsia"/>
              </w:rPr>
              <w:t>5123</w:t>
            </w:r>
          </w:p>
        </w:tc>
        <w:tc>
          <w:tcPr>
            <w:tcW w:w="1071" w:type="pct"/>
            <w:noWrap/>
            <w:vAlign w:val="center"/>
          </w:tcPr>
          <w:p>
            <w:pPr>
              <w:pStyle w:val="3013"/>
              <w:rPr>
                <w:rFonts w:hint="eastAsia"/>
              </w:rPr>
            </w:pPr>
          </w:p>
        </w:tc>
        <w:tc>
          <w:tcPr>
            <w:tcW w:w="731" w:type="pct"/>
            <w:noWrap/>
            <w:vAlign w:val="center"/>
          </w:tcPr>
          <w:p>
            <w:pPr>
              <w:pStyle w:val="3013"/>
              <w:rPr>
                <w:rFonts w:hint="eastAsia"/>
              </w:rPr>
            </w:pPr>
            <w:r>
              <w:rPr>
                <w:rFonts w:hint="eastAsia"/>
              </w:rPr>
              <w:t>224.90</w:t>
            </w:r>
          </w:p>
        </w:tc>
        <w:tc>
          <w:tcPr>
            <w:tcW w:w="731" w:type="pct"/>
            <w:noWrap/>
            <w:vAlign w:val="center"/>
          </w:tcPr>
          <w:p>
            <w:pPr>
              <w:pStyle w:val="3013"/>
              <w:rPr>
                <w:rFonts w:hint="eastAsia"/>
              </w:rPr>
            </w:pPr>
            <w:r>
              <w:rPr>
                <w:rFonts w:hint="eastAsia"/>
              </w:rPr>
              <w:t>224.90</w:t>
            </w:r>
          </w:p>
        </w:tc>
        <w:tc>
          <w:tcPr>
            <w:tcW w:w="650" w:type="pct"/>
            <w:noWrap/>
            <w:vAlign w:val="center"/>
          </w:tcPr>
          <w:p>
            <w:pPr>
              <w:pStyle w:val="3013"/>
              <w:rPr>
                <w:rFonts w:hint="eastAsia"/>
              </w:rPr>
            </w:pPr>
            <w:r>
              <w:rPr>
                <w:rFonts w:hint="eastAsia"/>
              </w:rPr>
              <w:t>0.00</w:t>
            </w:r>
          </w:p>
        </w:tc>
        <w:tc>
          <w:tcPr>
            <w:tcW w:w="731" w:type="pct"/>
            <w:noWrap/>
            <w:vAlign w:val="center"/>
          </w:tcPr>
          <w:p>
            <w:pPr>
              <w:pStyle w:val="3013"/>
              <w:rPr>
                <w:rFonts w:hint="eastAsia"/>
              </w:rPr>
            </w:pPr>
            <w:r>
              <w:rPr>
                <w:rFonts w:hint="eastAsia"/>
              </w:rPr>
              <w:t>224.88</w:t>
            </w:r>
          </w:p>
        </w:tc>
        <w:tc>
          <w:tcPr>
            <w:tcW w:w="651" w:type="pct"/>
            <w:noWrap/>
            <w:vAlign w:val="center"/>
          </w:tcPr>
          <w:p>
            <w:pPr>
              <w:pStyle w:val="3013"/>
              <w:rPr>
                <w:rFonts w:hint="eastAsia"/>
              </w:rPr>
            </w:pPr>
            <w:r>
              <w:rPr>
                <w:rFonts w:hint="eastAsia"/>
              </w:rPr>
              <w:t>0.02</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431" w:type="pct"/>
            <w:noWrap/>
            <w:vAlign w:val="center"/>
          </w:tcPr>
          <w:p>
            <w:pPr>
              <w:pStyle w:val="3013"/>
              <w:rPr>
                <w:rFonts w:hint="eastAsia"/>
              </w:rPr>
            </w:pPr>
            <w:r>
              <w:rPr>
                <w:rFonts w:hint="eastAsia"/>
              </w:rPr>
              <w:t>5173</w:t>
            </w:r>
          </w:p>
        </w:tc>
        <w:tc>
          <w:tcPr>
            <w:tcW w:w="1071" w:type="pct"/>
            <w:noWrap/>
            <w:vAlign w:val="center"/>
          </w:tcPr>
          <w:p>
            <w:pPr>
              <w:pStyle w:val="3013"/>
              <w:rPr>
                <w:rFonts w:hint="eastAsia"/>
              </w:rPr>
            </w:pPr>
            <w:r>
              <w:rPr>
                <w:rFonts w:hint="eastAsia"/>
              </w:rPr>
              <w:t>城北大桥</w:t>
            </w:r>
          </w:p>
        </w:tc>
        <w:tc>
          <w:tcPr>
            <w:tcW w:w="731" w:type="pct"/>
            <w:noWrap/>
            <w:vAlign w:val="center"/>
          </w:tcPr>
          <w:p>
            <w:pPr>
              <w:pStyle w:val="3013"/>
              <w:rPr>
                <w:rFonts w:hint="eastAsia"/>
              </w:rPr>
            </w:pPr>
            <w:r>
              <w:rPr>
                <w:rFonts w:hint="eastAsia"/>
              </w:rPr>
              <w:t>224.83</w:t>
            </w:r>
          </w:p>
        </w:tc>
        <w:tc>
          <w:tcPr>
            <w:tcW w:w="731" w:type="pct"/>
            <w:noWrap/>
            <w:vAlign w:val="center"/>
          </w:tcPr>
          <w:p>
            <w:pPr>
              <w:pStyle w:val="3013"/>
              <w:rPr>
                <w:rFonts w:hint="eastAsia"/>
              </w:rPr>
            </w:pPr>
            <w:r>
              <w:rPr>
                <w:rFonts w:hint="eastAsia"/>
              </w:rPr>
              <w:t>224.83</w:t>
            </w:r>
          </w:p>
        </w:tc>
        <w:tc>
          <w:tcPr>
            <w:tcW w:w="650" w:type="pct"/>
            <w:noWrap/>
            <w:vAlign w:val="center"/>
          </w:tcPr>
          <w:p>
            <w:pPr>
              <w:pStyle w:val="3013"/>
              <w:rPr>
                <w:rFonts w:hint="eastAsia"/>
              </w:rPr>
            </w:pPr>
            <w:r>
              <w:rPr>
                <w:rFonts w:hint="eastAsia"/>
              </w:rPr>
              <w:t>0.00</w:t>
            </w:r>
          </w:p>
        </w:tc>
        <w:tc>
          <w:tcPr>
            <w:tcW w:w="731" w:type="pct"/>
            <w:noWrap/>
            <w:vAlign w:val="center"/>
          </w:tcPr>
          <w:p>
            <w:pPr>
              <w:pStyle w:val="3013"/>
              <w:rPr>
                <w:rFonts w:hint="eastAsia"/>
              </w:rPr>
            </w:pPr>
            <w:r>
              <w:rPr>
                <w:rFonts w:hint="eastAsia"/>
              </w:rPr>
              <w:t>224.83</w:t>
            </w:r>
          </w:p>
        </w:tc>
        <w:tc>
          <w:tcPr>
            <w:tcW w:w="651" w:type="pct"/>
            <w:noWrap/>
            <w:vAlign w:val="center"/>
          </w:tcPr>
          <w:p>
            <w:pPr>
              <w:pStyle w:val="3013"/>
              <w:rPr>
                <w:rFonts w:hint="eastAsia"/>
              </w:rPr>
            </w:pPr>
            <w:r>
              <w:rPr>
                <w:rFonts w:hint="eastAsia"/>
              </w:rPr>
              <w:t>0.00</w:t>
            </w:r>
          </w:p>
        </w:tc>
      </w:tr>
    </w:tbl>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3.3</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en-US" w:eastAsia="zh-CN"/>
        </w:rPr>
        <w:t>成果合理性分析</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3.3.1</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en-US" w:eastAsia="zh-CN"/>
        </w:rPr>
        <w:t>綦江大桥</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綦江大桥的桥梁设计图纸如图6.1</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19所示。綦江大桥1998年（略大于20年一遇）洪痕高程为227.26m（85高程），桥梁处天然过水断面面积为1972m</w:t>
      </w:r>
      <w:r>
        <w:rPr>
          <w:rFonts w:hint="eastAsia" w:ascii="Times New Roman" w:hAnsi="Times New Roman" w:eastAsia="方正仿宋_GBK" w:cs="Times New Roman"/>
          <w:sz w:val="32"/>
          <w:szCs w:val="32"/>
          <w:vertAlign w:val="superscript"/>
          <w:lang w:val="en-US" w:eastAsia="zh-CN"/>
        </w:rPr>
        <w:t>2</w:t>
      </w:r>
      <w:r>
        <w:rPr>
          <w:rFonts w:hint="eastAsia" w:ascii="Times New Roman" w:hAnsi="Times New Roman" w:eastAsia="方正仿宋_GBK" w:cs="Times New Roman"/>
          <w:sz w:val="32"/>
          <w:szCs w:val="32"/>
          <w:lang w:val="en-US" w:eastAsia="zh-CN"/>
        </w:rPr>
        <w:t>，桥梁实际过水断面面积为1530m</w:t>
      </w:r>
      <w:r>
        <w:rPr>
          <w:rFonts w:hint="eastAsia" w:ascii="Times New Roman" w:hAnsi="Times New Roman" w:eastAsia="方正仿宋_GBK" w:cs="Times New Roman"/>
          <w:sz w:val="32"/>
          <w:szCs w:val="32"/>
          <w:vertAlign w:val="superscript"/>
          <w:lang w:val="en-US" w:eastAsia="zh-CN"/>
        </w:rPr>
        <w:t>2</w:t>
      </w:r>
      <w:r>
        <w:rPr>
          <w:rFonts w:hint="eastAsia" w:ascii="Times New Roman" w:hAnsi="Times New Roman" w:eastAsia="方正仿宋_GBK" w:cs="Times New Roman"/>
          <w:sz w:val="32"/>
          <w:szCs w:val="32"/>
          <w:lang w:val="en-US" w:eastAsia="zh-CN"/>
        </w:rPr>
        <w:t>，阻水面积约为442m</w:t>
      </w:r>
      <w:r>
        <w:rPr>
          <w:rFonts w:hint="eastAsia" w:ascii="Times New Roman" w:hAnsi="Times New Roman" w:eastAsia="方正仿宋_GBK" w:cs="Times New Roman"/>
          <w:sz w:val="32"/>
          <w:szCs w:val="32"/>
          <w:vertAlign w:val="superscript"/>
          <w:lang w:val="en-US" w:eastAsia="zh-CN"/>
        </w:rPr>
        <w:t>2</w:t>
      </w:r>
      <w:r>
        <w:rPr>
          <w:rFonts w:hint="eastAsia" w:ascii="Times New Roman" w:hAnsi="Times New Roman" w:eastAsia="方正仿宋_GBK" w:cs="Times New Roman"/>
          <w:sz w:val="32"/>
          <w:szCs w:val="32"/>
          <w:lang w:val="en-US" w:eastAsia="zh-CN"/>
        </w:rPr>
        <w:t>，阻水率占22%，綦江大桥桥上、桥址和桥下最大流速分别为2.83m/s、3.26m/s、2.32m/s。綦江大桥拆除后綦江城区水位最大降低0.21m，根据桥梁阻水面积和流速判断，本次成果较为合理，且与《綦江河防洪护岸综合治理工程可行性研究报告》（2015年）的最大降低0.27m基本一致。</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3.3.2</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en-US" w:eastAsia="zh-CN"/>
        </w:rPr>
        <w:t>城北大桥</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城北大桥的桥梁设计图纸如图6.1</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20所示。城北大桥1998年（约20年一遇）洪痕高程为225.31m（85高程），桥孔处天然过水断面面积为1780m</w:t>
      </w:r>
      <w:r>
        <w:rPr>
          <w:rFonts w:hint="eastAsia" w:ascii="Times New Roman" w:hAnsi="Times New Roman" w:eastAsia="方正仿宋_GBK" w:cs="Times New Roman"/>
          <w:sz w:val="32"/>
          <w:szCs w:val="32"/>
          <w:vertAlign w:val="superscript"/>
          <w:lang w:val="en-US" w:eastAsia="zh-CN"/>
        </w:rPr>
        <w:t>2</w:t>
      </w:r>
      <w:r>
        <w:rPr>
          <w:rFonts w:hint="eastAsia" w:ascii="Times New Roman" w:hAnsi="Times New Roman" w:eastAsia="方正仿宋_GBK" w:cs="Times New Roman"/>
          <w:sz w:val="32"/>
          <w:szCs w:val="32"/>
          <w:lang w:val="en-US" w:eastAsia="zh-CN"/>
        </w:rPr>
        <w:t>，实际过水断面面积为1637m</w:t>
      </w:r>
      <w:r>
        <w:rPr>
          <w:rFonts w:hint="eastAsia" w:ascii="Times New Roman" w:hAnsi="Times New Roman" w:eastAsia="方正仿宋_GBK" w:cs="Times New Roman"/>
          <w:sz w:val="32"/>
          <w:szCs w:val="32"/>
          <w:vertAlign w:val="superscript"/>
          <w:lang w:val="en-US" w:eastAsia="zh-CN"/>
        </w:rPr>
        <w:t>2</w:t>
      </w:r>
      <w:r>
        <w:rPr>
          <w:rFonts w:hint="eastAsia" w:ascii="Times New Roman" w:hAnsi="Times New Roman" w:eastAsia="方正仿宋_GBK" w:cs="Times New Roman"/>
          <w:sz w:val="32"/>
          <w:szCs w:val="32"/>
          <w:lang w:val="en-US" w:eastAsia="zh-CN"/>
        </w:rPr>
        <w:t>，相当于阻水面积约为143m</w:t>
      </w:r>
      <w:r>
        <w:rPr>
          <w:rFonts w:hint="eastAsia" w:ascii="Times New Roman" w:hAnsi="Times New Roman" w:eastAsia="方正仿宋_GBK" w:cs="Times New Roman"/>
          <w:sz w:val="32"/>
          <w:szCs w:val="32"/>
          <w:vertAlign w:val="superscript"/>
          <w:lang w:val="en-US" w:eastAsia="zh-CN"/>
        </w:rPr>
        <w:t>2</w:t>
      </w:r>
      <w:r>
        <w:rPr>
          <w:rFonts w:hint="eastAsia" w:ascii="Times New Roman" w:hAnsi="Times New Roman" w:eastAsia="方正仿宋_GBK" w:cs="Times New Roman"/>
          <w:sz w:val="32"/>
          <w:szCs w:val="32"/>
          <w:lang w:val="en-US" w:eastAsia="zh-CN"/>
        </w:rPr>
        <w:t>，阻水率占8%，城北大桥桥上、桥址和桥下最大流速分别为2.67m/s、3.07m/s、2.74m/s。由于城北大桥的阻水面积远小于綦江大桥，仅桥拱与桥拱上的小桥墩存在阻水，因此拆除城北大桥后防洪作用远小于綦江大桥，从桥梁的阻水面积大小和流速判断，本次计算成果较为合理。</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3.4结论</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综上分析，改造的綦江、城北两座大桥为綦江城区交通网络的重要组成部分，桥梁在拆除、重建过程中影响陆上交通和水上航运，为不影响城市交通，桥梁拆除期间需修建临时交通桥；与此同时，跨河桥梁改造的防洪作用不明显，且投资较大，綦江大桥、城北大桥改造费用分别为0.55亿元和0.68亿元。因此，目前旧桥改造的条件不成熟，不建议纳入近期实施，远期建议实施綦江大桥改造。</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sectPr>
          <w:headerReference r:id="rId30" w:type="default"/>
          <w:headerReference r:id="rId31" w:type="even"/>
          <w:pgSz w:w="11907" w:h="16840"/>
          <w:pgMar w:top="1616" w:right="1418" w:bottom="1616" w:left="1418" w:header="851" w:footer="1304" w:gutter="0"/>
          <w:pgBorders>
            <w:top w:val="none" w:sz="0" w:space="0"/>
            <w:left w:val="none" w:sz="0" w:space="0"/>
            <w:bottom w:val="none" w:sz="0" w:space="0"/>
            <w:right w:val="none" w:sz="0" w:space="0"/>
          </w:pgBorders>
          <w:pgNumType w:fmt="decimal"/>
          <w:cols w:space="720" w:num="1"/>
          <w:docGrid w:type="lines" w:linePitch="381" w:charSpace="0"/>
        </w:sectPr>
      </w:pPr>
    </w:p>
    <w:p>
      <w:pPr>
        <w:spacing w:line="0" w:lineRule="atLeast"/>
        <w:ind w:firstLine="0" w:firstLineChars="0"/>
        <w:jc w:val="center"/>
        <w:rPr>
          <w:rFonts w:hint="eastAsia"/>
          <w:sz w:val="16"/>
        </w:rPr>
      </w:pPr>
    </w:p>
    <w:p>
      <w:pPr>
        <w:spacing w:line="360" w:lineRule="auto"/>
        <w:ind w:firstLine="0" w:firstLineChars="0"/>
        <w:jc w:val="center"/>
        <w:rPr>
          <w:rFonts w:hint="eastAsia" w:ascii="Calibri" w:hAnsi="Calibri" w:eastAsia="宋体"/>
          <w:sz w:val="21"/>
          <w:szCs w:val="22"/>
        </w:rPr>
      </w:pPr>
      <w:r>
        <w:drawing>
          <wp:inline distT="0" distB="0" distL="114300" distR="114300">
            <wp:extent cx="8640445" cy="2488565"/>
            <wp:effectExtent l="0" t="0" r="8255" b="6985"/>
            <wp:docPr id="146"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6" name="图片 1"/>
                    <pic:cNvPicPr>
                      <a:picLocks noChangeAspect="true"/>
                    </pic:cNvPicPr>
                  </pic:nvPicPr>
                  <pic:blipFill>
                    <a:blip r:embed="rId186"/>
                    <a:stretch>
                      <a:fillRect/>
                    </a:stretch>
                  </pic:blipFill>
                  <pic:spPr>
                    <a:xfrm>
                      <a:off x="0" y="0"/>
                      <a:ext cx="8640445" cy="2488565"/>
                    </a:xfrm>
                    <a:prstGeom prst="rect">
                      <a:avLst/>
                    </a:prstGeom>
                    <a:noFill/>
                    <a:ln>
                      <a:noFill/>
                    </a:ln>
                  </pic:spPr>
                </pic:pic>
              </a:graphicData>
            </a:graphic>
          </wp:inline>
        </w:drawing>
      </w:r>
    </w:p>
    <w:p>
      <w:pPr>
        <w:pStyle w:val="2886"/>
        <w:rPr>
          <w:rFonts w:hint="default" w:ascii="Times New Roman" w:hAnsi="Times New Roman" w:cs="Times New Roman"/>
        </w:rPr>
      </w:pPr>
      <w:r>
        <w:rPr>
          <w:rFonts w:hint="default" w:ascii="Times New Roman" w:hAnsi="Times New Roman" w:cs="Times New Roman"/>
        </w:rPr>
        <w:t>图6.1</w:t>
      </w:r>
      <w:r>
        <w:rPr>
          <w:rFonts w:hint="default" w:ascii="Times New Roman" w:hAnsi="Times New Roman" w:cs="Times New Roman"/>
          <w:lang w:eastAsia="zh-CN"/>
        </w:rPr>
        <w:t>—</w:t>
      </w:r>
      <w:r>
        <w:rPr>
          <w:rFonts w:hint="default" w:ascii="Times New Roman" w:hAnsi="Times New Roman" w:cs="Times New Roman"/>
        </w:rPr>
        <w:t>19    綦江大桥设计图（图中高程为黄海56高程系）</w:t>
      </w:r>
    </w:p>
    <w:p>
      <w:pPr>
        <w:spacing w:line="360" w:lineRule="auto"/>
        <w:ind w:firstLine="0" w:firstLineChars="0"/>
        <w:jc w:val="center"/>
        <w:rPr>
          <w:rFonts w:hint="eastAsia"/>
        </w:rPr>
      </w:pPr>
    </w:p>
    <w:p>
      <w:pPr>
        <w:spacing w:line="360" w:lineRule="auto"/>
        <w:ind w:firstLine="0" w:firstLineChars="0"/>
        <w:jc w:val="center"/>
        <w:rPr>
          <w:rFonts w:ascii="Calibri" w:hAnsi="Calibri" w:eastAsia="宋体"/>
          <w:sz w:val="21"/>
          <w:szCs w:val="22"/>
        </w:rPr>
      </w:pPr>
      <w:r>
        <w:drawing>
          <wp:inline distT="0" distB="0" distL="114300" distR="114300">
            <wp:extent cx="8642350" cy="1643380"/>
            <wp:effectExtent l="0" t="0" r="6350" b="13970"/>
            <wp:docPr id="147"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7" name="图片 1"/>
                    <pic:cNvPicPr>
                      <a:picLocks noChangeAspect="true"/>
                    </pic:cNvPicPr>
                  </pic:nvPicPr>
                  <pic:blipFill>
                    <a:blip r:embed="rId187"/>
                    <a:stretch>
                      <a:fillRect/>
                    </a:stretch>
                  </pic:blipFill>
                  <pic:spPr>
                    <a:xfrm>
                      <a:off x="0" y="0"/>
                      <a:ext cx="8642350" cy="1643380"/>
                    </a:xfrm>
                    <a:prstGeom prst="rect">
                      <a:avLst/>
                    </a:prstGeom>
                    <a:noFill/>
                    <a:ln>
                      <a:noFill/>
                    </a:ln>
                  </pic:spPr>
                </pic:pic>
              </a:graphicData>
            </a:graphic>
          </wp:inline>
        </w:drawing>
      </w:r>
    </w:p>
    <w:p>
      <w:pPr>
        <w:pStyle w:val="2886"/>
        <w:rPr>
          <w:rFonts w:hint="default" w:ascii="Times New Roman" w:hAnsi="Times New Roman" w:eastAsia="宋体" w:cs="Times New Roman"/>
          <w:sz w:val="21"/>
          <w:szCs w:val="22"/>
        </w:rPr>
      </w:pPr>
      <w:r>
        <w:rPr>
          <w:rFonts w:hint="default" w:ascii="Times New Roman" w:hAnsi="Times New Roman" w:cs="Times New Roman"/>
        </w:rPr>
        <w:t>图6.1</w:t>
      </w:r>
      <w:r>
        <w:rPr>
          <w:rFonts w:hint="default" w:ascii="Times New Roman" w:hAnsi="Times New Roman" w:cs="Times New Roman"/>
          <w:lang w:eastAsia="zh-CN"/>
        </w:rPr>
        <w:t>—</w:t>
      </w:r>
      <w:r>
        <w:rPr>
          <w:rFonts w:hint="default" w:ascii="Times New Roman" w:hAnsi="Times New Roman" w:cs="Times New Roman"/>
        </w:rPr>
        <w:t>20    城北大桥设计图（图中高程为黄海56高程系）</w:t>
      </w:r>
    </w:p>
    <w:p>
      <w:pPr>
        <w:spacing w:line="360" w:lineRule="auto"/>
        <w:ind w:firstLine="0" w:firstLineChars="0"/>
        <w:jc w:val="center"/>
        <w:rPr>
          <w:rFonts w:hint="default" w:ascii="Times New Roman" w:hAnsi="Times New Roman" w:eastAsia="宋体" w:cs="Times New Roman"/>
          <w:sz w:val="21"/>
          <w:szCs w:val="22"/>
        </w:rPr>
        <w:sectPr>
          <w:headerReference r:id="rId32" w:type="default"/>
          <w:headerReference r:id="rId33" w:type="even"/>
          <w:pgSz w:w="16840" w:h="11907" w:orient="landscape"/>
          <w:pgMar w:top="1418" w:right="1616" w:bottom="1418" w:left="1616" w:header="851" w:footer="1304" w:gutter="0"/>
          <w:pgBorders>
            <w:top w:val="none" w:sz="0" w:space="0"/>
            <w:left w:val="none" w:sz="0" w:space="0"/>
            <w:bottom w:val="none" w:sz="0" w:space="0"/>
            <w:right w:val="none" w:sz="0" w:space="0"/>
          </w:pgBorders>
          <w:pgNumType w:fmt="decimal"/>
          <w:cols w:space="720" w:num="1"/>
          <w:docGrid w:type="lines" w:linePitch="381" w:charSpace="0"/>
        </w:sectPr>
      </w:pP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4</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推荐方案</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在梯级优化改建、河道整治与桥梁改造3种方案中，河道整治的防洪作用最为明显，其次为梯级优化改建，桥梁改造的防洪作用最差。在河道整治方案中，河道疏浚方案实施条件较好，河道拓宽方案需经过交通部门批准且采取安全防护措施才能实施；在桥梁改造方案中，綦江大桥改建的防洪效果较为明显，但会影响城市交通，目前实施较为困难，城北大桥改建对提升城区防洪作用不大。其中，河道疏浚效果需配合梯级优化改建和河道管理才能长期维持。因此，本次推荐采用河道疏浚+大常、石溪口、桥溪口、桥河枢纽改造方案，条件成熟时可考虑实施河道拓宽与綦江大桥改造。</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通过数学模型计算，河道疏浚+大常枢纽改造+石溪口枢纽改造+桥溪口枢纽改造+桥河枢纽改造后，綦江主城区防洪控制水位见图6.1</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21和表6.1</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6，可以看出，彩虹桥的20年一遇设计洪水位较现状分别降低了0.95m，彩虹桥的泄流能力将由现状的2340m</w:t>
      </w:r>
      <w:r>
        <w:rPr>
          <w:rFonts w:hint="eastAsia" w:ascii="Times New Roman" w:hAnsi="Times New Roman" w:eastAsia="方正仿宋_GBK" w:cs="Times New Roman"/>
          <w:sz w:val="32"/>
          <w:szCs w:val="32"/>
          <w:vertAlign w:val="superscript"/>
          <w:lang w:val="en-US" w:eastAsia="zh-CN"/>
        </w:rPr>
        <w:t>3</w:t>
      </w:r>
      <w:r>
        <w:rPr>
          <w:rFonts w:hint="eastAsia" w:ascii="Times New Roman" w:hAnsi="Times New Roman" w:eastAsia="方正仿宋_GBK" w:cs="Times New Roman"/>
          <w:sz w:val="32"/>
          <w:szCs w:val="32"/>
          <w:lang w:val="en-US" w:eastAsia="zh-CN"/>
        </w:rPr>
        <w:t>/s增至2860m</w:t>
      </w:r>
      <w:r>
        <w:rPr>
          <w:rFonts w:hint="eastAsia" w:ascii="Times New Roman" w:hAnsi="Times New Roman" w:eastAsia="方正仿宋_GBK" w:cs="Times New Roman"/>
          <w:sz w:val="32"/>
          <w:szCs w:val="32"/>
          <w:vertAlign w:val="superscript"/>
          <w:lang w:val="en-US" w:eastAsia="zh-CN"/>
        </w:rPr>
        <w:t>3</w:t>
      </w:r>
      <w:r>
        <w:rPr>
          <w:rFonts w:hint="eastAsia" w:ascii="Times New Roman" w:hAnsi="Times New Roman" w:eastAsia="方正仿宋_GBK" w:cs="Times New Roman"/>
          <w:sz w:val="32"/>
          <w:szCs w:val="32"/>
          <w:lang w:val="en-US" w:eastAsia="zh-CN"/>
        </w:rPr>
        <w:t>/s，增加了520m</w:t>
      </w:r>
      <w:r>
        <w:rPr>
          <w:rFonts w:hint="eastAsia" w:ascii="Times New Roman" w:hAnsi="Times New Roman" w:eastAsia="方正仿宋_GBK" w:cs="Times New Roman"/>
          <w:sz w:val="32"/>
          <w:szCs w:val="32"/>
          <w:vertAlign w:val="superscript"/>
          <w:lang w:val="en-US" w:eastAsia="zh-CN"/>
        </w:rPr>
        <w:t>3</w:t>
      </w:r>
      <w:r>
        <w:rPr>
          <w:rFonts w:hint="eastAsia" w:ascii="Times New Roman" w:hAnsi="Times New Roman" w:eastAsia="方正仿宋_GBK" w:cs="Times New Roman"/>
          <w:sz w:val="32"/>
          <w:szCs w:val="32"/>
          <w:lang w:val="en-US" w:eastAsia="zh-CN"/>
        </w:rPr>
        <w:t>/s；达到20年一遇防洪标准河段长度由3.46km增至3.58km，不足5年一遇的河段长度由5.09km减至3.68km，减少了1.41km，见表6.1</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7。綦江主城区</w:t>
      </w:r>
      <w:r>
        <w:rPr>
          <w:rFonts w:hint="eastAsia" w:ascii="Times New Roman" w:hAnsi="Times New Roman" w:eastAsia="方正仿宋_GBK" w:cs="Times New Roman"/>
          <w:sz w:val="32"/>
          <w:szCs w:val="32"/>
          <w:lang w:val="zh-CN" w:eastAsia="zh-CN"/>
        </w:rPr>
        <w:t>防洪形势</w:t>
      </w:r>
      <w:r>
        <w:rPr>
          <w:rFonts w:hint="eastAsia" w:ascii="Times New Roman" w:hAnsi="Times New Roman" w:eastAsia="方正仿宋_GBK" w:cs="Times New Roman"/>
          <w:sz w:val="32"/>
          <w:szCs w:val="32"/>
          <w:lang w:val="en-US" w:eastAsia="zh-CN"/>
        </w:rPr>
        <w:t>见图6.1</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22。</w:t>
      </w:r>
    </w:p>
    <w:p>
      <w:pPr>
        <w:pStyle w:val="2886"/>
        <w:outlineLvl w:val="9"/>
      </w:pPr>
      <w:r>
        <w:drawing>
          <wp:inline distT="0" distB="0" distL="114300" distR="114300">
            <wp:extent cx="5543550" cy="3195955"/>
            <wp:effectExtent l="0" t="0" r="0" b="4445"/>
            <wp:docPr id="148" name="图片 2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8" name="图片 22"/>
                    <pic:cNvPicPr>
                      <a:picLocks noChangeAspect="true"/>
                    </pic:cNvPicPr>
                  </pic:nvPicPr>
                  <pic:blipFill>
                    <a:blip r:embed="rId188"/>
                    <a:stretch>
                      <a:fillRect/>
                    </a:stretch>
                  </pic:blipFill>
                  <pic:spPr>
                    <a:xfrm>
                      <a:off x="0" y="0"/>
                      <a:ext cx="5543550" cy="3195955"/>
                    </a:xfrm>
                    <a:prstGeom prst="rect">
                      <a:avLst/>
                    </a:prstGeom>
                    <a:noFill/>
                    <a:ln>
                      <a:noFill/>
                    </a:ln>
                  </pic:spPr>
                </pic:pic>
              </a:graphicData>
            </a:graphic>
          </wp:inline>
        </w:drawing>
      </w:r>
    </w:p>
    <w:p>
      <w:pPr>
        <w:pStyle w:val="2886"/>
        <w:rPr>
          <w:rFonts w:hint="default" w:ascii="Times New Roman" w:hAnsi="Times New Roman" w:cs="Times New Roman"/>
        </w:rPr>
      </w:pPr>
      <w:r>
        <w:rPr>
          <w:rFonts w:hint="default" w:ascii="Times New Roman" w:hAnsi="Times New Roman" w:cs="Times New Roman"/>
        </w:rPr>
        <w:t>图6.1</w:t>
      </w:r>
      <w:r>
        <w:rPr>
          <w:rFonts w:hint="default" w:ascii="Times New Roman" w:hAnsi="Times New Roman" w:cs="Times New Roman"/>
          <w:lang w:eastAsia="zh-CN"/>
        </w:rPr>
        <w:t>—</w:t>
      </w:r>
      <w:r>
        <w:rPr>
          <w:rFonts w:hint="default" w:ascii="Times New Roman" w:hAnsi="Times New Roman" w:cs="Times New Roman"/>
        </w:rPr>
        <w:t>21    组合方案的实施效果</w:t>
      </w:r>
    </w:p>
    <w:p>
      <w:pPr>
        <w:pStyle w:val="2312"/>
        <w:spacing w:line="240" w:lineRule="exact"/>
        <w:ind w:firstLine="240"/>
        <w:rPr>
          <w:rFonts w:hint="eastAsia"/>
        </w:rPr>
      </w:pPr>
    </w:p>
    <w:p>
      <w:pPr>
        <w:pStyle w:val="2312"/>
        <w:spacing w:line="240" w:lineRule="exact"/>
        <w:ind w:firstLine="240"/>
        <w:rPr>
          <w:rFonts w:hint="default" w:ascii="Times New Roman" w:hAnsi="Times New Roman" w:cs="Times New Roman"/>
        </w:rPr>
      </w:pPr>
      <w:r>
        <w:rPr>
          <w:rFonts w:hint="default" w:ascii="Times New Roman" w:hAnsi="Times New Roman" w:cs="Times New Roman"/>
        </w:rPr>
        <w:t>表6.1</w:t>
      </w:r>
      <w:r>
        <w:rPr>
          <w:rFonts w:hint="default" w:ascii="Times New Roman" w:hAnsi="Times New Roman" w:cs="Times New Roman"/>
          <w:lang w:eastAsia="zh-CN"/>
        </w:rPr>
        <w:t>—</w:t>
      </w:r>
      <w:r>
        <w:rPr>
          <w:rFonts w:hint="default" w:ascii="Times New Roman" w:hAnsi="Times New Roman" w:cs="Times New Roman"/>
        </w:rPr>
        <w:t xml:space="preserve">6      组合方案实施后城区20年一遇防洪控制水位变化表        </w:t>
      </w:r>
      <w:r>
        <w:rPr>
          <w:rFonts w:hint="default" w:ascii="Times New Roman" w:hAnsi="Times New Roman" w:cs="Times New Roman"/>
          <w:sz w:val="21"/>
          <w:szCs w:val="21"/>
        </w:rPr>
        <w:t>单位：m</w:t>
      </w:r>
    </w:p>
    <w:tbl>
      <w:tblPr>
        <w:tblStyle w:val="88"/>
        <w:tblW w:w="5000"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108" w:type="dxa"/>
          <w:bottom w:w="0" w:type="dxa"/>
          <w:right w:w="108" w:type="dxa"/>
        </w:tblCellMar>
      </w:tblPr>
      <w:tblGrid>
        <w:gridCol w:w="670"/>
        <w:gridCol w:w="1566"/>
        <w:gridCol w:w="1133"/>
        <w:gridCol w:w="1135"/>
        <w:gridCol w:w="2953"/>
        <w:gridCol w:w="1830"/>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4" w:hRule="atLeast"/>
          <w:jc w:val="center"/>
        </w:trPr>
        <w:tc>
          <w:tcPr>
            <w:tcW w:w="361" w:type="pct"/>
            <w:vMerge w:val="restart"/>
            <w:noWrap w:val="0"/>
            <w:vAlign w:val="center"/>
          </w:tcPr>
          <w:p>
            <w:pPr>
              <w:pStyle w:val="3013"/>
              <w:spacing w:line="240" w:lineRule="exact"/>
              <w:rPr>
                <w:rFonts w:hint="eastAsia"/>
                <w:snapToGrid w:val="0"/>
              </w:rPr>
            </w:pPr>
            <w:r>
              <w:rPr>
                <w:rFonts w:hint="eastAsia"/>
                <w:snapToGrid w:val="0"/>
              </w:rPr>
              <w:t>序号</w:t>
            </w:r>
          </w:p>
        </w:tc>
        <w:tc>
          <w:tcPr>
            <w:tcW w:w="843" w:type="pct"/>
            <w:vMerge w:val="restart"/>
            <w:noWrap w:val="0"/>
            <w:vAlign w:val="center"/>
          </w:tcPr>
          <w:p>
            <w:pPr>
              <w:pStyle w:val="3013"/>
              <w:spacing w:line="240" w:lineRule="exact"/>
              <w:rPr>
                <w:rFonts w:hint="eastAsia"/>
                <w:snapToGrid w:val="0"/>
              </w:rPr>
            </w:pPr>
            <w:r>
              <w:rPr>
                <w:rFonts w:hint="eastAsia"/>
                <w:snapToGrid w:val="0"/>
              </w:rPr>
              <w:t>地名</w:t>
            </w:r>
          </w:p>
        </w:tc>
        <w:tc>
          <w:tcPr>
            <w:tcW w:w="610" w:type="pct"/>
            <w:vMerge w:val="restart"/>
            <w:noWrap w:val="0"/>
            <w:vAlign w:val="center"/>
          </w:tcPr>
          <w:p>
            <w:pPr>
              <w:pStyle w:val="3013"/>
              <w:spacing w:line="240" w:lineRule="exact"/>
              <w:rPr>
                <w:rFonts w:hint="eastAsia"/>
                <w:snapToGrid w:val="0"/>
              </w:rPr>
            </w:pPr>
            <w:r>
              <w:rPr>
                <w:rFonts w:hint="eastAsia"/>
                <w:snapToGrid w:val="0"/>
              </w:rPr>
              <w:t>桩号（m）</w:t>
            </w:r>
          </w:p>
        </w:tc>
        <w:tc>
          <w:tcPr>
            <w:tcW w:w="611" w:type="pct"/>
            <w:vMerge w:val="restart"/>
            <w:noWrap w:val="0"/>
            <w:vAlign w:val="center"/>
          </w:tcPr>
          <w:p>
            <w:pPr>
              <w:pStyle w:val="3013"/>
              <w:spacing w:line="240" w:lineRule="exact"/>
              <w:rPr>
                <w:rFonts w:hint="eastAsia"/>
                <w:snapToGrid w:val="0"/>
              </w:rPr>
            </w:pPr>
            <w:r>
              <w:rPr>
                <w:rFonts w:hint="eastAsia"/>
              </w:rPr>
              <w:t>工程前水位</w:t>
            </w:r>
          </w:p>
        </w:tc>
        <w:tc>
          <w:tcPr>
            <w:tcW w:w="2576" w:type="pct"/>
            <w:gridSpan w:val="2"/>
            <w:tcBorders>
              <w:right w:val="single" w:color="auto" w:sz="4" w:space="0"/>
            </w:tcBorders>
            <w:noWrap w:val="0"/>
            <w:vAlign w:val="center"/>
          </w:tcPr>
          <w:p>
            <w:pPr>
              <w:pStyle w:val="3013"/>
              <w:spacing w:line="240" w:lineRule="exact"/>
              <w:rPr>
                <w:rFonts w:hint="eastAsia"/>
                <w:snapToGrid w:val="0"/>
              </w:rPr>
            </w:pPr>
            <w:r>
              <w:rPr>
                <w:rFonts w:hint="eastAsia"/>
                <w:snapToGrid w:val="0"/>
              </w:rPr>
              <w:t>河道疏浚+大常、石溪口、桥溪口、桥河枢纽改造</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4" w:hRule="atLeast"/>
          <w:jc w:val="center"/>
        </w:trPr>
        <w:tc>
          <w:tcPr>
            <w:tcW w:w="361" w:type="pct"/>
            <w:vMerge w:val="continue"/>
            <w:noWrap w:val="0"/>
            <w:vAlign w:val="center"/>
          </w:tcPr>
          <w:p>
            <w:pPr>
              <w:pStyle w:val="3013"/>
              <w:spacing w:line="240" w:lineRule="exact"/>
              <w:rPr>
                <w:rFonts w:hint="eastAsia"/>
                <w:snapToGrid w:val="0"/>
              </w:rPr>
            </w:pPr>
          </w:p>
        </w:tc>
        <w:tc>
          <w:tcPr>
            <w:tcW w:w="843" w:type="pct"/>
            <w:vMerge w:val="continue"/>
            <w:noWrap w:val="0"/>
            <w:vAlign w:val="center"/>
          </w:tcPr>
          <w:p>
            <w:pPr>
              <w:pStyle w:val="3013"/>
              <w:spacing w:line="240" w:lineRule="exact"/>
              <w:rPr>
                <w:rFonts w:hint="eastAsia"/>
                <w:snapToGrid w:val="0"/>
              </w:rPr>
            </w:pPr>
          </w:p>
        </w:tc>
        <w:tc>
          <w:tcPr>
            <w:tcW w:w="610" w:type="pct"/>
            <w:vMerge w:val="continue"/>
            <w:noWrap w:val="0"/>
            <w:vAlign w:val="center"/>
          </w:tcPr>
          <w:p>
            <w:pPr>
              <w:pStyle w:val="3013"/>
              <w:spacing w:line="240" w:lineRule="exact"/>
              <w:rPr>
                <w:rFonts w:hint="eastAsia"/>
                <w:snapToGrid w:val="0"/>
              </w:rPr>
            </w:pPr>
          </w:p>
        </w:tc>
        <w:tc>
          <w:tcPr>
            <w:tcW w:w="611" w:type="pct"/>
            <w:vMerge w:val="continue"/>
            <w:noWrap w:val="0"/>
            <w:vAlign w:val="center"/>
          </w:tcPr>
          <w:p>
            <w:pPr>
              <w:pStyle w:val="3013"/>
              <w:spacing w:line="240" w:lineRule="exact"/>
              <w:rPr>
                <w:rFonts w:hint="eastAsia"/>
                <w:snapToGrid w:val="0"/>
              </w:rPr>
            </w:pPr>
          </w:p>
        </w:tc>
        <w:tc>
          <w:tcPr>
            <w:tcW w:w="1590" w:type="pct"/>
            <w:noWrap w:val="0"/>
            <w:vAlign w:val="center"/>
          </w:tcPr>
          <w:p>
            <w:pPr>
              <w:pStyle w:val="3013"/>
              <w:spacing w:line="240" w:lineRule="exact"/>
              <w:rPr>
                <w:rFonts w:hint="eastAsia"/>
                <w:snapToGrid w:val="0"/>
              </w:rPr>
            </w:pPr>
            <w:r>
              <w:rPr>
                <w:rFonts w:hint="eastAsia"/>
              </w:rPr>
              <w:t>工程后水位</w:t>
            </w:r>
          </w:p>
        </w:tc>
        <w:tc>
          <w:tcPr>
            <w:tcW w:w="985" w:type="pct"/>
            <w:noWrap w:val="0"/>
            <w:vAlign w:val="center"/>
          </w:tcPr>
          <w:p>
            <w:pPr>
              <w:pStyle w:val="3013"/>
              <w:spacing w:line="240" w:lineRule="exact"/>
              <w:rPr>
                <w:rFonts w:hint="eastAsia"/>
                <w:snapToGrid w:val="0"/>
              </w:rPr>
            </w:pPr>
            <w:r>
              <w:rPr>
                <w:rFonts w:hint="eastAsia"/>
              </w:rPr>
              <w:t>水位降低</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4" w:hRule="atLeast"/>
          <w:jc w:val="center"/>
        </w:trPr>
        <w:tc>
          <w:tcPr>
            <w:tcW w:w="361" w:type="pct"/>
            <w:noWrap w:val="0"/>
            <w:vAlign w:val="center"/>
          </w:tcPr>
          <w:p>
            <w:pPr>
              <w:pStyle w:val="3013"/>
              <w:spacing w:line="240" w:lineRule="exact"/>
              <w:rPr>
                <w:rFonts w:hint="eastAsia"/>
                <w:snapToGrid w:val="0"/>
              </w:rPr>
            </w:pPr>
            <w:r>
              <w:rPr>
                <w:rFonts w:hint="eastAsia"/>
                <w:snapToGrid w:val="0"/>
              </w:rPr>
              <w:t>1</w:t>
            </w:r>
          </w:p>
        </w:tc>
        <w:tc>
          <w:tcPr>
            <w:tcW w:w="843" w:type="pct"/>
            <w:noWrap w:val="0"/>
            <w:vAlign w:val="center"/>
          </w:tcPr>
          <w:p>
            <w:pPr>
              <w:pStyle w:val="3013"/>
              <w:spacing w:line="240" w:lineRule="exact"/>
              <w:rPr>
                <w:rFonts w:hint="eastAsia"/>
                <w:snapToGrid w:val="0"/>
              </w:rPr>
            </w:pPr>
            <w:r>
              <w:rPr>
                <w:rFonts w:hint="eastAsia"/>
                <w:snapToGrid w:val="0"/>
              </w:rPr>
              <w:t>蒲河口</w:t>
            </w:r>
          </w:p>
        </w:tc>
        <w:tc>
          <w:tcPr>
            <w:tcW w:w="610" w:type="pct"/>
            <w:noWrap w:val="0"/>
            <w:vAlign w:val="center"/>
          </w:tcPr>
          <w:p>
            <w:pPr>
              <w:pStyle w:val="3013"/>
              <w:spacing w:line="240" w:lineRule="exact"/>
              <w:rPr>
                <w:rFonts w:hint="eastAsia"/>
                <w:snapToGrid w:val="0"/>
              </w:rPr>
            </w:pPr>
            <w:r>
              <w:rPr>
                <w:rFonts w:hint="eastAsia"/>
                <w:snapToGrid w:val="0"/>
              </w:rPr>
              <w:t>33+491</w:t>
            </w:r>
          </w:p>
        </w:tc>
        <w:tc>
          <w:tcPr>
            <w:tcW w:w="611" w:type="pct"/>
            <w:noWrap w:val="0"/>
            <w:vAlign w:val="center"/>
          </w:tcPr>
          <w:p>
            <w:pPr>
              <w:pStyle w:val="3013"/>
              <w:spacing w:line="240" w:lineRule="exact"/>
              <w:rPr>
                <w:rFonts w:hint="eastAsia"/>
                <w:snapToGrid w:val="0"/>
              </w:rPr>
            </w:pPr>
            <w:r>
              <w:rPr>
                <w:rFonts w:hint="eastAsia"/>
                <w:snapToGrid w:val="0"/>
              </w:rPr>
              <w:t>239.21</w:t>
            </w:r>
          </w:p>
        </w:tc>
        <w:tc>
          <w:tcPr>
            <w:tcW w:w="1590" w:type="pct"/>
            <w:noWrap w:val="0"/>
            <w:vAlign w:val="center"/>
          </w:tcPr>
          <w:p>
            <w:pPr>
              <w:pStyle w:val="3013"/>
              <w:spacing w:line="240" w:lineRule="exact"/>
              <w:rPr>
                <w:rFonts w:hint="eastAsia"/>
                <w:snapToGrid w:val="0"/>
              </w:rPr>
            </w:pPr>
            <w:r>
              <w:rPr>
                <w:rFonts w:hint="eastAsia"/>
                <w:snapToGrid w:val="0"/>
              </w:rPr>
              <w:t>239.0</w:t>
            </w:r>
            <w:r>
              <w:rPr>
                <w:snapToGrid w:val="0"/>
              </w:rPr>
              <w:t>6</w:t>
            </w:r>
          </w:p>
        </w:tc>
        <w:tc>
          <w:tcPr>
            <w:tcW w:w="985" w:type="pct"/>
            <w:noWrap w:val="0"/>
            <w:vAlign w:val="center"/>
          </w:tcPr>
          <w:p>
            <w:pPr>
              <w:pStyle w:val="3013"/>
              <w:spacing w:line="240" w:lineRule="exact"/>
              <w:rPr>
                <w:rFonts w:hint="eastAsia"/>
                <w:snapToGrid w:val="0"/>
              </w:rPr>
            </w:pPr>
            <w:r>
              <w:rPr>
                <w:rFonts w:hint="eastAsia"/>
                <w:snapToGrid w:val="0"/>
              </w:rPr>
              <w:t>0.1</w:t>
            </w:r>
            <w:r>
              <w:rPr>
                <w:snapToGrid w:val="0"/>
              </w:rPr>
              <w:t>5</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4" w:hRule="atLeast"/>
          <w:jc w:val="center"/>
        </w:trPr>
        <w:tc>
          <w:tcPr>
            <w:tcW w:w="361" w:type="pct"/>
            <w:noWrap w:val="0"/>
            <w:vAlign w:val="center"/>
          </w:tcPr>
          <w:p>
            <w:pPr>
              <w:pStyle w:val="3013"/>
              <w:spacing w:line="240" w:lineRule="exact"/>
              <w:rPr>
                <w:rFonts w:hint="eastAsia"/>
                <w:snapToGrid w:val="0"/>
              </w:rPr>
            </w:pPr>
            <w:r>
              <w:rPr>
                <w:rFonts w:hint="eastAsia"/>
                <w:snapToGrid w:val="0"/>
              </w:rPr>
              <w:t>2</w:t>
            </w:r>
          </w:p>
        </w:tc>
        <w:tc>
          <w:tcPr>
            <w:tcW w:w="843" w:type="pct"/>
            <w:noWrap w:val="0"/>
            <w:vAlign w:val="center"/>
          </w:tcPr>
          <w:p>
            <w:pPr>
              <w:pStyle w:val="3013"/>
              <w:spacing w:line="240" w:lineRule="exact"/>
              <w:rPr>
                <w:rFonts w:hint="eastAsia"/>
                <w:snapToGrid w:val="0"/>
              </w:rPr>
            </w:pPr>
          </w:p>
        </w:tc>
        <w:tc>
          <w:tcPr>
            <w:tcW w:w="610" w:type="pct"/>
            <w:noWrap w:val="0"/>
            <w:vAlign w:val="center"/>
          </w:tcPr>
          <w:p>
            <w:pPr>
              <w:pStyle w:val="3013"/>
              <w:spacing w:line="240" w:lineRule="exact"/>
              <w:rPr>
                <w:rFonts w:hint="eastAsia"/>
                <w:snapToGrid w:val="0"/>
              </w:rPr>
            </w:pPr>
            <w:r>
              <w:rPr>
                <w:rFonts w:hint="eastAsia"/>
                <w:snapToGrid w:val="0"/>
              </w:rPr>
              <w:t>35+722</w:t>
            </w:r>
          </w:p>
        </w:tc>
        <w:tc>
          <w:tcPr>
            <w:tcW w:w="611" w:type="pct"/>
            <w:noWrap w:val="0"/>
            <w:vAlign w:val="center"/>
          </w:tcPr>
          <w:p>
            <w:pPr>
              <w:pStyle w:val="3013"/>
              <w:spacing w:line="240" w:lineRule="exact"/>
              <w:rPr>
                <w:rFonts w:hint="eastAsia"/>
                <w:snapToGrid w:val="0"/>
              </w:rPr>
            </w:pPr>
            <w:r>
              <w:rPr>
                <w:rFonts w:hint="eastAsia"/>
                <w:snapToGrid w:val="0"/>
              </w:rPr>
              <w:t>237.20</w:t>
            </w:r>
          </w:p>
        </w:tc>
        <w:tc>
          <w:tcPr>
            <w:tcW w:w="1590" w:type="pct"/>
            <w:noWrap w:val="0"/>
            <w:vAlign w:val="center"/>
          </w:tcPr>
          <w:p>
            <w:pPr>
              <w:pStyle w:val="3013"/>
              <w:spacing w:line="240" w:lineRule="exact"/>
              <w:rPr>
                <w:rFonts w:hint="eastAsia"/>
                <w:snapToGrid w:val="0"/>
              </w:rPr>
            </w:pPr>
            <w:r>
              <w:rPr>
                <w:rFonts w:hint="eastAsia"/>
                <w:snapToGrid w:val="0"/>
              </w:rPr>
              <w:t>236.9</w:t>
            </w:r>
            <w:r>
              <w:rPr>
                <w:snapToGrid w:val="0"/>
              </w:rPr>
              <w:t>0</w:t>
            </w:r>
          </w:p>
        </w:tc>
        <w:tc>
          <w:tcPr>
            <w:tcW w:w="985" w:type="pct"/>
            <w:noWrap w:val="0"/>
            <w:vAlign w:val="center"/>
          </w:tcPr>
          <w:p>
            <w:pPr>
              <w:pStyle w:val="3013"/>
              <w:spacing w:line="240" w:lineRule="exact"/>
              <w:rPr>
                <w:rFonts w:hint="eastAsia"/>
                <w:snapToGrid w:val="0"/>
              </w:rPr>
            </w:pPr>
            <w:r>
              <w:rPr>
                <w:rFonts w:hint="eastAsia"/>
                <w:snapToGrid w:val="0"/>
              </w:rPr>
              <w:t>0.2</w:t>
            </w:r>
            <w:r>
              <w:rPr>
                <w:snapToGrid w:val="0"/>
              </w:rPr>
              <w:t>9</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4" w:hRule="atLeast"/>
          <w:jc w:val="center"/>
        </w:trPr>
        <w:tc>
          <w:tcPr>
            <w:tcW w:w="361" w:type="pct"/>
            <w:noWrap w:val="0"/>
            <w:vAlign w:val="center"/>
          </w:tcPr>
          <w:p>
            <w:pPr>
              <w:pStyle w:val="3013"/>
              <w:spacing w:line="240" w:lineRule="exact"/>
              <w:rPr>
                <w:rFonts w:hint="eastAsia"/>
                <w:snapToGrid w:val="0"/>
              </w:rPr>
            </w:pPr>
            <w:r>
              <w:rPr>
                <w:rFonts w:hint="eastAsia"/>
                <w:snapToGrid w:val="0"/>
              </w:rPr>
              <w:t>3</w:t>
            </w:r>
          </w:p>
        </w:tc>
        <w:tc>
          <w:tcPr>
            <w:tcW w:w="843" w:type="pct"/>
            <w:noWrap w:val="0"/>
            <w:vAlign w:val="center"/>
          </w:tcPr>
          <w:p>
            <w:pPr>
              <w:pStyle w:val="3013"/>
              <w:spacing w:line="240" w:lineRule="exact"/>
              <w:rPr>
                <w:rFonts w:hint="eastAsia"/>
                <w:snapToGrid w:val="0"/>
              </w:rPr>
            </w:pPr>
          </w:p>
        </w:tc>
        <w:tc>
          <w:tcPr>
            <w:tcW w:w="610" w:type="pct"/>
            <w:noWrap w:val="0"/>
            <w:vAlign w:val="center"/>
          </w:tcPr>
          <w:p>
            <w:pPr>
              <w:pStyle w:val="3013"/>
              <w:spacing w:line="240" w:lineRule="exact"/>
              <w:rPr>
                <w:rFonts w:hint="eastAsia"/>
                <w:snapToGrid w:val="0"/>
              </w:rPr>
            </w:pPr>
            <w:r>
              <w:rPr>
                <w:rFonts w:hint="eastAsia"/>
                <w:snapToGrid w:val="0"/>
              </w:rPr>
              <w:t>38+222</w:t>
            </w:r>
          </w:p>
        </w:tc>
        <w:tc>
          <w:tcPr>
            <w:tcW w:w="611" w:type="pct"/>
            <w:noWrap w:val="0"/>
            <w:vAlign w:val="center"/>
          </w:tcPr>
          <w:p>
            <w:pPr>
              <w:pStyle w:val="3013"/>
              <w:spacing w:line="240" w:lineRule="exact"/>
              <w:rPr>
                <w:rFonts w:hint="eastAsia"/>
                <w:snapToGrid w:val="0"/>
              </w:rPr>
            </w:pPr>
            <w:r>
              <w:rPr>
                <w:rFonts w:hint="eastAsia"/>
                <w:snapToGrid w:val="0"/>
              </w:rPr>
              <w:t>234.73</w:t>
            </w:r>
          </w:p>
        </w:tc>
        <w:tc>
          <w:tcPr>
            <w:tcW w:w="1590" w:type="pct"/>
            <w:noWrap w:val="0"/>
            <w:vAlign w:val="center"/>
          </w:tcPr>
          <w:p>
            <w:pPr>
              <w:pStyle w:val="3013"/>
              <w:spacing w:line="240" w:lineRule="exact"/>
              <w:rPr>
                <w:rFonts w:hint="eastAsia"/>
                <w:snapToGrid w:val="0"/>
              </w:rPr>
            </w:pPr>
            <w:r>
              <w:rPr>
                <w:rFonts w:hint="eastAsia"/>
                <w:snapToGrid w:val="0"/>
              </w:rPr>
              <w:t>234.</w:t>
            </w:r>
            <w:r>
              <w:rPr>
                <w:snapToGrid w:val="0"/>
              </w:rPr>
              <w:t>55</w:t>
            </w:r>
          </w:p>
        </w:tc>
        <w:tc>
          <w:tcPr>
            <w:tcW w:w="985" w:type="pct"/>
            <w:noWrap w:val="0"/>
            <w:vAlign w:val="center"/>
          </w:tcPr>
          <w:p>
            <w:pPr>
              <w:pStyle w:val="3013"/>
              <w:spacing w:line="240" w:lineRule="exact"/>
              <w:rPr>
                <w:rFonts w:hint="eastAsia"/>
                <w:snapToGrid w:val="0"/>
              </w:rPr>
            </w:pPr>
            <w:r>
              <w:rPr>
                <w:rFonts w:hint="eastAsia"/>
                <w:snapToGrid w:val="0"/>
              </w:rPr>
              <w:t>0.1</w:t>
            </w:r>
            <w:r>
              <w:rPr>
                <w:snapToGrid w:val="0"/>
              </w:rPr>
              <w:t>8</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4" w:hRule="atLeast"/>
          <w:jc w:val="center"/>
        </w:trPr>
        <w:tc>
          <w:tcPr>
            <w:tcW w:w="361" w:type="pct"/>
            <w:noWrap w:val="0"/>
            <w:vAlign w:val="center"/>
          </w:tcPr>
          <w:p>
            <w:pPr>
              <w:pStyle w:val="3013"/>
              <w:spacing w:line="240" w:lineRule="exact"/>
              <w:rPr>
                <w:rFonts w:hint="eastAsia"/>
                <w:snapToGrid w:val="0"/>
              </w:rPr>
            </w:pPr>
            <w:r>
              <w:rPr>
                <w:rFonts w:hint="eastAsia"/>
                <w:snapToGrid w:val="0"/>
              </w:rPr>
              <w:t>4</w:t>
            </w:r>
          </w:p>
        </w:tc>
        <w:tc>
          <w:tcPr>
            <w:tcW w:w="843" w:type="pct"/>
            <w:noWrap w:val="0"/>
            <w:vAlign w:val="center"/>
          </w:tcPr>
          <w:p>
            <w:pPr>
              <w:pStyle w:val="3013"/>
              <w:spacing w:line="240" w:lineRule="exact"/>
              <w:rPr>
                <w:rFonts w:hint="eastAsia"/>
                <w:snapToGrid w:val="0"/>
              </w:rPr>
            </w:pPr>
          </w:p>
        </w:tc>
        <w:tc>
          <w:tcPr>
            <w:tcW w:w="610" w:type="pct"/>
            <w:noWrap w:val="0"/>
            <w:vAlign w:val="center"/>
          </w:tcPr>
          <w:p>
            <w:pPr>
              <w:pStyle w:val="3013"/>
              <w:spacing w:line="240" w:lineRule="exact"/>
              <w:rPr>
                <w:rFonts w:hint="eastAsia"/>
                <w:snapToGrid w:val="0"/>
              </w:rPr>
            </w:pPr>
            <w:r>
              <w:rPr>
                <w:rFonts w:hint="eastAsia"/>
                <w:snapToGrid w:val="0"/>
              </w:rPr>
              <w:t>41+526</w:t>
            </w:r>
          </w:p>
        </w:tc>
        <w:tc>
          <w:tcPr>
            <w:tcW w:w="611" w:type="pct"/>
            <w:noWrap w:val="0"/>
            <w:vAlign w:val="center"/>
          </w:tcPr>
          <w:p>
            <w:pPr>
              <w:pStyle w:val="3013"/>
              <w:spacing w:line="240" w:lineRule="exact"/>
              <w:rPr>
                <w:rFonts w:hint="eastAsia"/>
                <w:snapToGrid w:val="0"/>
              </w:rPr>
            </w:pPr>
            <w:r>
              <w:rPr>
                <w:rFonts w:hint="eastAsia"/>
                <w:snapToGrid w:val="0"/>
              </w:rPr>
              <w:t>233.32</w:t>
            </w:r>
          </w:p>
        </w:tc>
        <w:tc>
          <w:tcPr>
            <w:tcW w:w="1590" w:type="pct"/>
            <w:noWrap w:val="0"/>
            <w:vAlign w:val="center"/>
          </w:tcPr>
          <w:p>
            <w:pPr>
              <w:pStyle w:val="3013"/>
              <w:spacing w:line="240" w:lineRule="exact"/>
              <w:rPr>
                <w:rFonts w:hint="eastAsia"/>
                <w:snapToGrid w:val="0"/>
              </w:rPr>
            </w:pPr>
            <w:r>
              <w:rPr>
                <w:rFonts w:hint="eastAsia"/>
                <w:snapToGrid w:val="0"/>
              </w:rPr>
              <w:t>233.</w:t>
            </w:r>
            <w:r>
              <w:rPr>
                <w:snapToGrid w:val="0"/>
              </w:rPr>
              <w:t>06</w:t>
            </w:r>
          </w:p>
        </w:tc>
        <w:tc>
          <w:tcPr>
            <w:tcW w:w="985" w:type="pct"/>
            <w:noWrap w:val="0"/>
            <w:vAlign w:val="center"/>
          </w:tcPr>
          <w:p>
            <w:pPr>
              <w:pStyle w:val="3013"/>
              <w:spacing w:line="240" w:lineRule="exact"/>
              <w:rPr>
                <w:rFonts w:hint="eastAsia"/>
                <w:snapToGrid w:val="0"/>
              </w:rPr>
            </w:pPr>
            <w:r>
              <w:rPr>
                <w:rFonts w:hint="eastAsia"/>
                <w:snapToGrid w:val="0"/>
              </w:rPr>
              <w:t>0.</w:t>
            </w:r>
            <w:r>
              <w:rPr>
                <w:snapToGrid w:val="0"/>
              </w:rPr>
              <w:t>2</w:t>
            </w:r>
            <w:r>
              <w:rPr>
                <w:rFonts w:hint="eastAsia"/>
                <w:snapToGrid w:val="0"/>
              </w:rPr>
              <w:t>7</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4" w:hRule="atLeast"/>
          <w:jc w:val="center"/>
        </w:trPr>
        <w:tc>
          <w:tcPr>
            <w:tcW w:w="361" w:type="pct"/>
            <w:noWrap w:val="0"/>
            <w:vAlign w:val="center"/>
          </w:tcPr>
          <w:p>
            <w:pPr>
              <w:pStyle w:val="3013"/>
              <w:spacing w:line="240" w:lineRule="exact"/>
              <w:rPr>
                <w:rFonts w:hint="eastAsia"/>
                <w:snapToGrid w:val="0"/>
              </w:rPr>
            </w:pPr>
            <w:r>
              <w:rPr>
                <w:rFonts w:hint="eastAsia"/>
                <w:snapToGrid w:val="0"/>
              </w:rPr>
              <w:t>5</w:t>
            </w:r>
          </w:p>
        </w:tc>
        <w:tc>
          <w:tcPr>
            <w:tcW w:w="843" w:type="pct"/>
            <w:noWrap w:val="0"/>
            <w:vAlign w:val="center"/>
          </w:tcPr>
          <w:p>
            <w:pPr>
              <w:pStyle w:val="3013"/>
              <w:spacing w:line="240" w:lineRule="exact"/>
              <w:rPr>
                <w:rFonts w:hint="eastAsia"/>
                <w:snapToGrid w:val="0"/>
              </w:rPr>
            </w:pPr>
            <w:r>
              <w:rPr>
                <w:rFonts w:hint="eastAsia"/>
                <w:snapToGrid w:val="0"/>
              </w:rPr>
              <w:t>桥河枢纽</w:t>
            </w:r>
          </w:p>
        </w:tc>
        <w:tc>
          <w:tcPr>
            <w:tcW w:w="610" w:type="pct"/>
            <w:noWrap w:val="0"/>
            <w:vAlign w:val="center"/>
          </w:tcPr>
          <w:p>
            <w:pPr>
              <w:pStyle w:val="3013"/>
              <w:spacing w:line="240" w:lineRule="exact"/>
              <w:rPr>
                <w:rFonts w:hint="eastAsia"/>
                <w:snapToGrid w:val="0"/>
              </w:rPr>
            </w:pPr>
            <w:r>
              <w:rPr>
                <w:rFonts w:hint="eastAsia"/>
                <w:snapToGrid w:val="0"/>
              </w:rPr>
              <w:t>46+692</w:t>
            </w:r>
          </w:p>
        </w:tc>
        <w:tc>
          <w:tcPr>
            <w:tcW w:w="611" w:type="pct"/>
            <w:noWrap w:val="0"/>
            <w:vAlign w:val="center"/>
          </w:tcPr>
          <w:p>
            <w:pPr>
              <w:pStyle w:val="3013"/>
              <w:spacing w:line="240" w:lineRule="exact"/>
              <w:rPr>
                <w:rFonts w:hint="eastAsia"/>
                <w:snapToGrid w:val="0"/>
              </w:rPr>
            </w:pPr>
            <w:r>
              <w:rPr>
                <w:rFonts w:hint="eastAsia"/>
                <w:snapToGrid w:val="0"/>
              </w:rPr>
              <w:t>230.00</w:t>
            </w:r>
          </w:p>
        </w:tc>
        <w:tc>
          <w:tcPr>
            <w:tcW w:w="1590" w:type="pct"/>
            <w:noWrap w:val="0"/>
            <w:vAlign w:val="center"/>
          </w:tcPr>
          <w:p>
            <w:pPr>
              <w:pStyle w:val="3013"/>
              <w:spacing w:line="240" w:lineRule="exact"/>
              <w:rPr>
                <w:rFonts w:hint="eastAsia"/>
                <w:snapToGrid w:val="0"/>
              </w:rPr>
            </w:pPr>
            <w:r>
              <w:rPr>
                <w:rFonts w:hint="eastAsia"/>
                <w:snapToGrid w:val="0"/>
              </w:rPr>
              <w:t>22</w:t>
            </w:r>
            <w:r>
              <w:rPr>
                <w:snapToGrid w:val="0"/>
              </w:rPr>
              <w:t>8</w:t>
            </w:r>
            <w:r>
              <w:rPr>
                <w:rFonts w:hint="eastAsia"/>
                <w:snapToGrid w:val="0"/>
              </w:rPr>
              <w:t>.</w:t>
            </w:r>
            <w:r>
              <w:rPr>
                <w:snapToGrid w:val="0"/>
              </w:rPr>
              <w:t>8</w:t>
            </w:r>
            <w:r>
              <w:rPr>
                <w:rFonts w:hint="eastAsia"/>
                <w:snapToGrid w:val="0"/>
              </w:rPr>
              <w:t>4</w:t>
            </w:r>
          </w:p>
        </w:tc>
        <w:tc>
          <w:tcPr>
            <w:tcW w:w="985" w:type="pct"/>
            <w:noWrap w:val="0"/>
            <w:vAlign w:val="center"/>
          </w:tcPr>
          <w:p>
            <w:pPr>
              <w:pStyle w:val="3013"/>
              <w:spacing w:line="240" w:lineRule="exact"/>
              <w:rPr>
                <w:rFonts w:hint="eastAsia"/>
                <w:snapToGrid w:val="0"/>
              </w:rPr>
            </w:pPr>
            <w:r>
              <w:rPr>
                <w:snapToGrid w:val="0"/>
              </w:rPr>
              <w:t>1.1</w:t>
            </w:r>
            <w:r>
              <w:rPr>
                <w:rFonts w:hint="eastAsia"/>
                <w:snapToGrid w:val="0"/>
              </w:rPr>
              <w:t>6</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4" w:hRule="atLeast"/>
          <w:jc w:val="center"/>
        </w:trPr>
        <w:tc>
          <w:tcPr>
            <w:tcW w:w="361" w:type="pct"/>
            <w:noWrap/>
            <w:vAlign w:val="center"/>
          </w:tcPr>
          <w:p>
            <w:pPr>
              <w:pStyle w:val="3013"/>
              <w:spacing w:line="240" w:lineRule="exact"/>
              <w:rPr>
                <w:rFonts w:hint="eastAsia"/>
                <w:snapToGrid w:val="0"/>
              </w:rPr>
            </w:pPr>
            <w:r>
              <w:rPr>
                <w:rFonts w:hint="eastAsia"/>
                <w:snapToGrid w:val="0"/>
              </w:rPr>
              <w:t>6</w:t>
            </w:r>
          </w:p>
        </w:tc>
        <w:tc>
          <w:tcPr>
            <w:tcW w:w="843" w:type="pct"/>
            <w:noWrap/>
            <w:vAlign w:val="center"/>
          </w:tcPr>
          <w:p>
            <w:pPr>
              <w:pStyle w:val="3013"/>
              <w:spacing w:line="240" w:lineRule="exact"/>
              <w:rPr>
                <w:rFonts w:hint="eastAsia"/>
                <w:snapToGrid w:val="0"/>
              </w:rPr>
            </w:pPr>
            <w:r>
              <w:rPr>
                <w:rFonts w:hint="eastAsia"/>
                <w:snapToGrid w:val="0"/>
              </w:rPr>
              <w:t>綦江火车站</w:t>
            </w:r>
          </w:p>
        </w:tc>
        <w:tc>
          <w:tcPr>
            <w:tcW w:w="610" w:type="pct"/>
            <w:noWrap/>
            <w:vAlign w:val="center"/>
          </w:tcPr>
          <w:p>
            <w:pPr>
              <w:pStyle w:val="3013"/>
              <w:spacing w:line="240" w:lineRule="exact"/>
              <w:rPr>
                <w:rFonts w:hint="eastAsia"/>
                <w:snapToGrid w:val="0"/>
              </w:rPr>
            </w:pPr>
            <w:r>
              <w:rPr>
                <w:rFonts w:hint="eastAsia"/>
                <w:snapToGrid w:val="0"/>
              </w:rPr>
              <w:t>49+857</w:t>
            </w:r>
          </w:p>
        </w:tc>
        <w:tc>
          <w:tcPr>
            <w:tcW w:w="611" w:type="pct"/>
            <w:noWrap w:val="0"/>
            <w:vAlign w:val="center"/>
          </w:tcPr>
          <w:p>
            <w:pPr>
              <w:pStyle w:val="3013"/>
              <w:spacing w:line="240" w:lineRule="exact"/>
              <w:rPr>
                <w:rFonts w:hint="eastAsia"/>
                <w:snapToGrid w:val="0"/>
              </w:rPr>
            </w:pPr>
            <w:r>
              <w:rPr>
                <w:rFonts w:hint="eastAsia"/>
                <w:snapToGrid w:val="0"/>
              </w:rPr>
              <w:t>228.38</w:t>
            </w:r>
          </w:p>
        </w:tc>
        <w:tc>
          <w:tcPr>
            <w:tcW w:w="1590" w:type="pct"/>
            <w:noWrap w:val="0"/>
            <w:vAlign w:val="center"/>
          </w:tcPr>
          <w:p>
            <w:pPr>
              <w:pStyle w:val="3013"/>
              <w:spacing w:line="240" w:lineRule="exact"/>
              <w:rPr>
                <w:rFonts w:hint="eastAsia"/>
                <w:snapToGrid w:val="0"/>
              </w:rPr>
            </w:pPr>
            <w:r>
              <w:rPr>
                <w:rFonts w:hint="eastAsia"/>
                <w:snapToGrid w:val="0"/>
              </w:rPr>
              <w:t>227.5</w:t>
            </w:r>
            <w:r>
              <w:rPr>
                <w:snapToGrid w:val="0"/>
              </w:rPr>
              <w:t>0</w:t>
            </w:r>
          </w:p>
        </w:tc>
        <w:tc>
          <w:tcPr>
            <w:tcW w:w="985" w:type="pct"/>
            <w:noWrap w:val="0"/>
            <w:vAlign w:val="center"/>
          </w:tcPr>
          <w:p>
            <w:pPr>
              <w:pStyle w:val="3013"/>
              <w:spacing w:line="240" w:lineRule="exact"/>
              <w:rPr>
                <w:rFonts w:hint="eastAsia"/>
                <w:snapToGrid w:val="0"/>
              </w:rPr>
            </w:pPr>
            <w:r>
              <w:rPr>
                <w:rFonts w:hint="eastAsia"/>
                <w:snapToGrid w:val="0"/>
              </w:rPr>
              <w:t>0.8</w:t>
            </w:r>
            <w:r>
              <w:rPr>
                <w:snapToGrid w:val="0"/>
              </w:rPr>
              <w:t>8</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4" w:hRule="atLeast"/>
          <w:jc w:val="center"/>
        </w:trPr>
        <w:tc>
          <w:tcPr>
            <w:tcW w:w="361" w:type="pct"/>
            <w:noWrap/>
            <w:vAlign w:val="center"/>
          </w:tcPr>
          <w:p>
            <w:pPr>
              <w:pStyle w:val="3013"/>
              <w:spacing w:line="240" w:lineRule="exact"/>
              <w:rPr>
                <w:rFonts w:hint="eastAsia"/>
                <w:snapToGrid w:val="0"/>
              </w:rPr>
            </w:pPr>
            <w:r>
              <w:rPr>
                <w:rFonts w:hint="eastAsia"/>
                <w:snapToGrid w:val="0"/>
              </w:rPr>
              <w:t>7</w:t>
            </w:r>
          </w:p>
        </w:tc>
        <w:tc>
          <w:tcPr>
            <w:tcW w:w="843" w:type="pct"/>
            <w:noWrap/>
            <w:vAlign w:val="center"/>
          </w:tcPr>
          <w:p>
            <w:pPr>
              <w:pStyle w:val="3013"/>
              <w:spacing w:line="240" w:lineRule="exact"/>
              <w:rPr>
                <w:rFonts w:hint="eastAsia"/>
                <w:snapToGrid w:val="0"/>
              </w:rPr>
            </w:pPr>
            <w:r>
              <w:rPr>
                <w:rFonts w:hint="eastAsia"/>
                <w:snapToGrid w:val="0"/>
              </w:rPr>
              <w:t>沱湾大桥</w:t>
            </w:r>
          </w:p>
        </w:tc>
        <w:tc>
          <w:tcPr>
            <w:tcW w:w="610" w:type="pct"/>
            <w:noWrap/>
            <w:vAlign w:val="center"/>
          </w:tcPr>
          <w:p>
            <w:pPr>
              <w:pStyle w:val="3013"/>
              <w:spacing w:line="240" w:lineRule="exact"/>
              <w:rPr>
                <w:rFonts w:hint="eastAsia"/>
                <w:snapToGrid w:val="0"/>
              </w:rPr>
            </w:pPr>
            <w:r>
              <w:rPr>
                <w:rFonts w:hint="eastAsia"/>
                <w:snapToGrid w:val="0"/>
              </w:rPr>
              <w:t>50+551</w:t>
            </w:r>
          </w:p>
        </w:tc>
        <w:tc>
          <w:tcPr>
            <w:tcW w:w="611" w:type="pct"/>
            <w:noWrap w:val="0"/>
            <w:vAlign w:val="center"/>
          </w:tcPr>
          <w:p>
            <w:pPr>
              <w:pStyle w:val="3013"/>
              <w:spacing w:line="240" w:lineRule="exact"/>
              <w:rPr>
                <w:rFonts w:hint="eastAsia"/>
                <w:snapToGrid w:val="0"/>
              </w:rPr>
            </w:pPr>
            <w:r>
              <w:rPr>
                <w:rFonts w:hint="eastAsia"/>
                <w:snapToGrid w:val="0"/>
              </w:rPr>
              <w:t>227.63</w:t>
            </w:r>
          </w:p>
        </w:tc>
        <w:tc>
          <w:tcPr>
            <w:tcW w:w="1590" w:type="pct"/>
            <w:noWrap w:val="0"/>
            <w:vAlign w:val="center"/>
          </w:tcPr>
          <w:p>
            <w:pPr>
              <w:pStyle w:val="3013"/>
              <w:spacing w:line="240" w:lineRule="exact"/>
              <w:rPr>
                <w:rFonts w:hint="eastAsia"/>
                <w:snapToGrid w:val="0"/>
              </w:rPr>
            </w:pPr>
            <w:r>
              <w:rPr>
                <w:rFonts w:hint="eastAsia"/>
                <w:snapToGrid w:val="0"/>
              </w:rPr>
              <w:t>226.</w:t>
            </w:r>
            <w:r>
              <w:rPr>
                <w:snapToGrid w:val="0"/>
              </w:rPr>
              <w:t>56</w:t>
            </w:r>
          </w:p>
        </w:tc>
        <w:tc>
          <w:tcPr>
            <w:tcW w:w="985" w:type="pct"/>
            <w:noWrap w:val="0"/>
            <w:vAlign w:val="center"/>
          </w:tcPr>
          <w:p>
            <w:pPr>
              <w:pStyle w:val="3013"/>
              <w:spacing w:line="240" w:lineRule="exact"/>
              <w:rPr>
                <w:rFonts w:hint="eastAsia"/>
                <w:snapToGrid w:val="0"/>
              </w:rPr>
            </w:pPr>
            <w:r>
              <w:rPr>
                <w:snapToGrid w:val="0"/>
              </w:rPr>
              <w:t>1.07</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4" w:hRule="atLeast"/>
          <w:jc w:val="center"/>
        </w:trPr>
        <w:tc>
          <w:tcPr>
            <w:tcW w:w="361" w:type="pct"/>
            <w:noWrap/>
            <w:vAlign w:val="center"/>
          </w:tcPr>
          <w:p>
            <w:pPr>
              <w:pStyle w:val="3013"/>
              <w:spacing w:line="240" w:lineRule="exact"/>
              <w:rPr>
                <w:rFonts w:hint="eastAsia"/>
                <w:snapToGrid w:val="0"/>
              </w:rPr>
            </w:pPr>
            <w:r>
              <w:rPr>
                <w:rFonts w:hint="eastAsia"/>
                <w:snapToGrid w:val="0"/>
              </w:rPr>
              <w:t>8</w:t>
            </w:r>
          </w:p>
        </w:tc>
        <w:tc>
          <w:tcPr>
            <w:tcW w:w="843" w:type="pct"/>
            <w:noWrap/>
            <w:vAlign w:val="center"/>
          </w:tcPr>
          <w:p>
            <w:pPr>
              <w:pStyle w:val="3013"/>
              <w:spacing w:line="240" w:lineRule="exact"/>
              <w:rPr>
                <w:rFonts w:hint="eastAsia"/>
                <w:snapToGrid w:val="0"/>
              </w:rPr>
            </w:pPr>
            <w:r>
              <w:rPr>
                <w:rFonts w:hint="eastAsia"/>
                <w:snapToGrid w:val="0"/>
              </w:rPr>
              <w:t>彩虹桥</w:t>
            </w:r>
          </w:p>
        </w:tc>
        <w:tc>
          <w:tcPr>
            <w:tcW w:w="610" w:type="pct"/>
            <w:noWrap/>
            <w:vAlign w:val="center"/>
          </w:tcPr>
          <w:p>
            <w:pPr>
              <w:pStyle w:val="3013"/>
              <w:spacing w:line="240" w:lineRule="exact"/>
              <w:rPr>
                <w:rFonts w:hint="eastAsia"/>
                <w:snapToGrid w:val="0"/>
              </w:rPr>
            </w:pPr>
            <w:r>
              <w:rPr>
                <w:rFonts w:hint="eastAsia"/>
                <w:snapToGrid w:val="0"/>
              </w:rPr>
              <w:t>51+378</w:t>
            </w:r>
          </w:p>
        </w:tc>
        <w:tc>
          <w:tcPr>
            <w:tcW w:w="611" w:type="pct"/>
            <w:noWrap w:val="0"/>
            <w:vAlign w:val="center"/>
          </w:tcPr>
          <w:p>
            <w:pPr>
              <w:pStyle w:val="3013"/>
              <w:spacing w:line="240" w:lineRule="exact"/>
              <w:rPr>
                <w:rFonts w:hint="eastAsia"/>
                <w:snapToGrid w:val="0"/>
              </w:rPr>
            </w:pPr>
            <w:r>
              <w:rPr>
                <w:rFonts w:hint="eastAsia"/>
                <w:snapToGrid w:val="0"/>
              </w:rPr>
              <w:t>227.19</w:t>
            </w:r>
          </w:p>
        </w:tc>
        <w:tc>
          <w:tcPr>
            <w:tcW w:w="1590" w:type="pct"/>
            <w:noWrap w:val="0"/>
            <w:vAlign w:val="center"/>
          </w:tcPr>
          <w:p>
            <w:pPr>
              <w:pStyle w:val="3013"/>
              <w:spacing w:line="240" w:lineRule="exact"/>
              <w:rPr>
                <w:rFonts w:hint="eastAsia"/>
                <w:snapToGrid w:val="0"/>
              </w:rPr>
            </w:pPr>
            <w:r>
              <w:rPr>
                <w:rFonts w:hint="eastAsia"/>
                <w:snapToGrid w:val="0"/>
              </w:rPr>
              <w:t>226.</w:t>
            </w:r>
            <w:r>
              <w:rPr>
                <w:snapToGrid w:val="0"/>
              </w:rPr>
              <w:t>24</w:t>
            </w:r>
          </w:p>
        </w:tc>
        <w:tc>
          <w:tcPr>
            <w:tcW w:w="985" w:type="pct"/>
            <w:noWrap w:val="0"/>
            <w:vAlign w:val="center"/>
          </w:tcPr>
          <w:p>
            <w:pPr>
              <w:pStyle w:val="3013"/>
              <w:spacing w:line="240" w:lineRule="exact"/>
              <w:rPr>
                <w:rFonts w:hint="eastAsia"/>
                <w:snapToGrid w:val="0"/>
              </w:rPr>
            </w:pPr>
            <w:r>
              <w:rPr>
                <w:rFonts w:hint="eastAsia"/>
                <w:snapToGrid w:val="0"/>
              </w:rPr>
              <w:t>0.</w:t>
            </w:r>
            <w:r>
              <w:rPr>
                <w:snapToGrid w:val="0"/>
              </w:rPr>
              <w:t>95</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4" w:hRule="atLeast"/>
          <w:jc w:val="center"/>
        </w:trPr>
        <w:tc>
          <w:tcPr>
            <w:tcW w:w="361" w:type="pct"/>
            <w:noWrap/>
            <w:vAlign w:val="center"/>
          </w:tcPr>
          <w:p>
            <w:pPr>
              <w:pStyle w:val="3013"/>
              <w:spacing w:line="240" w:lineRule="exact"/>
              <w:rPr>
                <w:rFonts w:hint="eastAsia"/>
                <w:snapToGrid w:val="0"/>
              </w:rPr>
            </w:pPr>
            <w:r>
              <w:rPr>
                <w:rFonts w:hint="eastAsia"/>
                <w:snapToGrid w:val="0"/>
              </w:rPr>
              <w:t>9</w:t>
            </w:r>
          </w:p>
        </w:tc>
        <w:tc>
          <w:tcPr>
            <w:tcW w:w="843" w:type="pct"/>
            <w:noWrap/>
            <w:vAlign w:val="center"/>
          </w:tcPr>
          <w:p>
            <w:pPr>
              <w:pStyle w:val="3013"/>
              <w:spacing w:line="240" w:lineRule="exact"/>
              <w:rPr>
                <w:rFonts w:hint="eastAsia"/>
                <w:snapToGrid w:val="0"/>
              </w:rPr>
            </w:pPr>
            <w:r>
              <w:rPr>
                <w:rFonts w:hint="eastAsia"/>
                <w:snapToGrid w:val="0"/>
              </w:rPr>
              <w:t>綦江大桥</w:t>
            </w:r>
          </w:p>
        </w:tc>
        <w:tc>
          <w:tcPr>
            <w:tcW w:w="610" w:type="pct"/>
            <w:noWrap/>
            <w:vAlign w:val="center"/>
          </w:tcPr>
          <w:p>
            <w:pPr>
              <w:pStyle w:val="3013"/>
              <w:spacing w:line="240" w:lineRule="exact"/>
              <w:rPr>
                <w:rFonts w:hint="eastAsia"/>
                <w:snapToGrid w:val="0"/>
              </w:rPr>
            </w:pPr>
            <w:r>
              <w:rPr>
                <w:rFonts w:hint="eastAsia"/>
                <w:snapToGrid w:val="0"/>
              </w:rPr>
              <w:t>51+916</w:t>
            </w:r>
          </w:p>
        </w:tc>
        <w:tc>
          <w:tcPr>
            <w:tcW w:w="611" w:type="pct"/>
            <w:noWrap w:val="0"/>
            <w:vAlign w:val="center"/>
          </w:tcPr>
          <w:p>
            <w:pPr>
              <w:pStyle w:val="3013"/>
              <w:spacing w:line="240" w:lineRule="exact"/>
              <w:rPr>
                <w:rFonts w:hint="eastAsia"/>
                <w:snapToGrid w:val="0"/>
              </w:rPr>
            </w:pPr>
            <w:r>
              <w:rPr>
                <w:rFonts w:hint="eastAsia"/>
                <w:snapToGrid w:val="0"/>
              </w:rPr>
              <w:t>226.71</w:t>
            </w:r>
          </w:p>
        </w:tc>
        <w:tc>
          <w:tcPr>
            <w:tcW w:w="1590" w:type="pct"/>
            <w:noWrap w:val="0"/>
            <w:vAlign w:val="center"/>
          </w:tcPr>
          <w:p>
            <w:pPr>
              <w:pStyle w:val="3013"/>
              <w:spacing w:line="240" w:lineRule="exact"/>
              <w:rPr>
                <w:rFonts w:hint="eastAsia"/>
                <w:snapToGrid w:val="0"/>
              </w:rPr>
            </w:pPr>
            <w:r>
              <w:rPr>
                <w:rFonts w:hint="eastAsia"/>
                <w:snapToGrid w:val="0"/>
              </w:rPr>
              <w:t>225.</w:t>
            </w:r>
            <w:r>
              <w:rPr>
                <w:snapToGrid w:val="0"/>
              </w:rPr>
              <w:t>74</w:t>
            </w:r>
          </w:p>
        </w:tc>
        <w:tc>
          <w:tcPr>
            <w:tcW w:w="985" w:type="pct"/>
            <w:noWrap w:val="0"/>
            <w:vAlign w:val="center"/>
          </w:tcPr>
          <w:p>
            <w:pPr>
              <w:pStyle w:val="3013"/>
              <w:spacing w:line="240" w:lineRule="exact"/>
              <w:rPr>
                <w:rFonts w:hint="eastAsia"/>
                <w:snapToGrid w:val="0"/>
              </w:rPr>
            </w:pPr>
            <w:r>
              <w:rPr>
                <w:rFonts w:hint="eastAsia"/>
                <w:snapToGrid w:val="0"/>
              </w:rPr>
              <w:t>0.</w:t>
            </w:r>
            <w:r>
              <w:rPr>
                <w:snapToGrid w:val="0"/>
              </w:rPr>
              <w:t>97</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4" w:hRule="atLeast"/>
          <w:jc w:val="center"/>
        </w:trPr>
        <w:tc>
          <w:tcPr>
            <w:tcW w:w="361" w:type="pct"/>
            <w:noWrap/>
            <w:vAlign w:val="center"/>
          </w:tcPr>
          <w:p>
            <w:pPr>
              <w:pStyle w:val="3013"/>
              <w:spacing w:line="240" w:lineRule="exact"/>
              <w:rPr>
                <w:rFonts w:hint="eastAsia"/>
                <w:snapToGrid w:val="0"/>
              </w:rPr>
            </w:pPr>
            <w:r>
              <w:rPr>
                <w:rFonts w:hint="eastAsia"/>
                <w:snapToGrid w:val="0"/>
              </w:rPr>
              <w:t>10</w:t>
            </w:r>
          </w:p>
        </w:tc>
        <w:tc>
          <w:tcPr>
            <w:tcW w:w="843" w:type="pct"/>
            <w:noWrap/>
            <w:vAlign w:val="center"/>
          </w:tcPr>
          <w:p>
            <w:pPr>
              <w:pStyle w:val="3013"/>
              <w:spacing w:line="240" w:lineRule="exact"/>
              <w:rPr>
                <w:rFonts w:hint="eastAsia"/>
                <w:snapToGrid w:val="0"/>
              </w:rPr>
            </w:pPr>
          </w:p>
        </w:tc>
        <w:tc>
          <w:tcPr>
            <w:tcW w:w="610" w:type="pct"/>
            <w:noWrap/>
            <w:vAlign w:val="center"/>
          </w:tcPr>
          <w:p>
            <w:pPr>
              <w:pStyle w:val="3013"/>
              <w:spacing w:line="240" w:lineRule="exact"/>
              <w:rPr>
                <w:rFonts w:hint="eastAsia"/>
                <w:snapToGrid w:val="0"/>
              </w:rPr>
            </w:pPr>
            <w:r>
              <w:rPr>
                <w:rFonts w:hint="eastAsia"/>
                <w:snapToGrid w:val="0"/>
              </w:rPr>
              <w:t>52+210</w:t>
            </w:r>
          </w:p>
        </w:tc>
        <w:tc>
          <w:tcPr>
            <w:tcW w:w="611" w:type="pct"/>
            <w:noWrap w:val="0"/>
            <w:vAlign w:val="center"/>
          </w:tcPr>
          <w:p>
            <w:pPr>
              <w:pStyle w:val="3013"/>
              <w:spacing w:line="240" w:lineRule="exact"/>
              <w:rPr>
                <w:rFonts w:hint="eastAsia"/>
                <w:snapToGrid w:val="0"/>
              </w:rPr>
            </w:pPr>
            <w:r>
              <w:rPr>
                <w:rFonts w:hint="eastAsia"/>
                <w:snapToGrid w:val="0"/>
              </w:rPr>
              <w:t>226.65</w:t>
            </w:r>
          </w:p>
        </w:tc>
        <w:tc>
          <w:tcPr>
            <w:tcW w:w="1590" w:type="pct"/>
            <w:noWrap w:val="0"/>
            <w:vAlign w:val="center"/>
          </w:tcPr>
          <w:p>
            <w:pPr>
              <w:pStyle w:val="3013"/>
              <w:spacing w:line="240" w:lineRule="exact"/>
              <w:rPr>
                <w:rFonts w:hint="eastAsia"/>
                <w:snapToGrid w:val="0"/>
              </w:rPr>
            </w:pPr>
            <w:r>
              <w:rPr>
                <w:rFonts w:hint="eastAsia"/>
                <w:snapToGrid w:val="0"/>
              </w:rPr>
              <w:t>225.</w:t>
            </w:r>
            <w:r>
              <w:rPr>
                <w:snapToGrid w:val="0"/>
              </w:rPr>
              <w:t>56</w:t>
            </w:r>
          </w:p>
        </w:tc>
        <w:tc>
          <w:tcPr>
            <w:tcW w:w="985" w:type="pct"/>
            <w:noWrap w:val="0"/>
            <w:vAlign w:val="center"/>
          </w:tcPr>
          <w:p>
            <w:pPr>
              <w:pStyle w:val="3013"/>
              <w:spacing w:line="240" w:lineRule="exact"/>
              <w:rPr>
                <w:rFonts w:hint="eastAsia"/>
                <w:snapToGrid w:val="0"/>
              </w:rPr>
            </w:pPr>
            <w:r>
              <w:rPr>
                <w:snapToGrid w:val="0"/>
              </w:rPr>
              <w:t>1.08</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4" w:hRule="atLeast"/>
          <w:jc w:val="center"/>
        </w:trPr>
        <w:tc>
          <w:tcPr>
            <w:tcW w:w="361" w:type="pct"/>
            <w:noWrap/>
            <w:vAlign w:val="center"/>
          </w:tcPr>
          <w:p>
            <w:pPr>
              <w:pStyle w:val="3013"/>
              <w:spacing w:line="240" w:lineRule="exact"/>
              <w:rPr>
                <w:rFonts w:hint="eastAsia"/>
                <w:snapToGrid w:val="0"/>
              </w:rPr>
            </w:pPr>
            <w:r>
              <w:rPr>
                <w:rFonts w:hint="eastAsia"/>
                <w:snapToGrid w:val="0"/>
              </w:rPr>
              <w:t>11</w:t>
            </w:r>
          </w:p>
        </w:tc>
        <w:tc>
          <w:tcPr>
            <w:tcW w:w="843" w:type="pct"/>
            <w:noWrap/>
            <w:vAlign w:val="center"/>
          </w:tcPr>
          <w:p>
            <w:pPr>
              <w:pStyle w:val="3013"/>
              <w:spacing w:line="240" w:lineRule="exact"/>
              <w:rPr>
                <w:rFonts w:hint="eastAsia"/>
                <w:snapToGrid w:val="0"/>
              </w:rPr>
            </w:pPr>
            <w:r>
              <w:rPr>
                <w:rFonts w:hint="eastAsia"/>
                <w:snapToGrid w:val="0"/>
              </w:rPr>
              <w:t>大常枢纽</w:t>
            </w:r>
          </w:p>
        </w:tc>
        <w:tc>
          <w:tcPr>
            <w:tcW w:w="610" w:type="pct"/>
            <w:noWrap/>
            <w:vAlign w:val="center"/>
          </w:tcPr>
          <w:p>
            <w:pPr>
              <w:pStyle w:val="3013"/>
              <w:spacing w:line="240" w:lineRule="exact"/>
              <w:rPr>
                <w:rFonts w:hint="eastAsia"/>
                <w:snapToGrid w:val="0"/>
              </w:rPr>
            </w:pPr>
            <w:r>
              <w:rPr>
                <w:rFonts w:hint="eastAsia"/>
                <w:snapToGrid w:val="0"/>
              </w:rPr>
              <w:t>52+990</w:t>
            </w:r>
          </w:p>
        </w:tc>
        <w:tc>
          <w:tcPr>
            <w:tcW w:w="611" w:type="pct"/>
            <w:noWrap w:val="0"/>
            <w:vAlign w:val="center"/>
          </w:tcPr>
          <w:p>
            <w:pPr>
              <w:pStyle w:val="3013"/>
              <w:spacing w:line="240" w:lineRule="exact"/>
              <w:rPr>
                <w:rFonts w:hint="eastAsia"/>
                <w:snapToGrid w:val="0"/>
              </w:rPr>
            </w:pPr>
            <w:r>
              <w:rPr>
                <w:rFonts w:hint="eastAsia"/>
                <w:snapToGrid w:val="0"/>
              </w:rPr>
              <w:t>225.81</w:t>
            </w:r>
          </w:p>
        </w:tc>
        <w:tc>
          <w:tcPr>
            <w:tcW w:w="1590" w:type="pct"/>
            <w:noWrap w:val="0"/>
            <w:vAlign w:val="center"/>
          </w:tcPr>
          <w:p>
            <w:pPr>
              <w:pStyle w:val="3013"/>
              <w:spacing w:line="240" w:lineRule="exact"/>
              <w:rPr>
                <w:rFonts w:hint="eastAsia"/>
                <w:snapToGrid w:val="0"/>
              </w:rPr>
            </w:pPr>
            <w:r>
              <w:rPr>
                <w:rFonts w:hint="eastAsia"/>
                <w:snapToGrid w:val="0"/>
              </w:rPr>
              <w:t>225.</w:t>
            </w:r>
            <w:r>
              <w:rPr>
                <w:snapToGrid w:val="0"/>
              </w:rPr>
              <w:t>18</w:t>
            </w:r>
          </w:p>
        </w:tc>
        <w:tc>
          <w:tcPr>
            <w:tcW w:w="985" w:type="pct"/>
            <w:noWrap w:val="0"/>
            <w:vAlign w:val="center"/>
          </w:tcPr>
          <w:p>
            <w:pPr>
              <w:pStyle w:val="3013"/>
              <w:spacing w:line="240" w:lineRule="exact"/>
              <w:rPr>
                <w:rFonts w:hint="eastAsia"/>
                <w:snapToGrid w:val="0"/>
              </w:rPr>
            </w:pPr>
            <w:r>
              <w:rPr>
                <w:rFonts w:hint="eastAsia"/>
                <w:snapToGrid w:val="0"/>
              </w:rPr>
              <w:t>0.</w:t>
            </w:r>
            <w:r>
              <w:rPr>
                <w:snapToGrid w:val="0"/>
              </w:rPr>
              <w:t>63</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4" w:hRule="atLeast"/>
          <w:jc w:val="center"/>
        </w:trPr>
        <w:tc>
          <w:tcPr>
            <w:tcW w:w="361" w:type="pct"/>
            <w:noWrap/>
            <w:vAlign w:val="center"/>
          </w:tcPr>
          <w:p>
            <w:pPr>
              <w:pStyle w:val="3013"/>
              <w:spacing w:line="240" w:lineRule="exact"/>
              <w:rPr>
                <w:rFonts w:hint="eastAsia"/>
                <w:snapToGrid w:val="0"/>
              </w:rPr>
            </w:pPr>
            <w:r>
              <w:rPr>
                <w:rFonts w:hint="eastAsia"/>
                <w:snapToGrid w:val="0"/>
              </w:rPr>
              <w:t>12</w:t>
            </w:r>
          </w:p>
        </w:tc>
        <w:tc>
          <w:tcPr>
            <w:tcW w:w="843" w:type="pct"/>
            <w:noWrap/>
            <w:vAlign w:val="center"/>
          </w:tcPr>
          <w:p>
            <w:pPr>
              <w:pStyle w:val="3013"/>
              <w:spacing w:line="240" w:lineRule="exact"/>
              <w:rPr>
                <w:rFonts w:hint="eastAsia"/>
                <w:snapToGrid w:val="0"/>
              </w:rPr>
            </w:pPr>
            <w:r>
              <w:rPr>
                <w:rFonts w:hint="eastAsia"/>
                <w:snapToGrid w:val="0"/>
              </w:rPr>
              <w:t>沙溪河口</w:t>
            </w:r>
          </w:p>
        </w:tc>
        <w:tc>
          <w:tcPr>
            <w:tcW w:w="610" w:type="pct"/>
            <w:noWrap/>
            <w:vAlign w:val="center"/>
          </w:tcPr>
          <w:p>
            <w:pPr>
              <w:pStyle w:val="3013"/>
              <w:spacing w:line="240" w:lineRule="exact"/>
              <w:rPr>
                <w:rFonts w:hint="eastAsia"/>
                <w:snapToGrid w:val="0"/>
              </w:rPr>
            </w:pPr>
            <w:r>
              <w:rPr>
                <w:rFonts w:hint="eastAsia"/>
                <w:snapToGrid w:val="0"/>
              </w:rPr>
              <w:t>53+817</w:t>
            </w:r>
          </w:p>
        </w:tc>
        <w:tc>
          <w:tcPr>
            <w:tcW w:w="611" w:type="pct"/>
            <w:noWrap w:val="0"/>
            <w:vAlign w:val="center"/>
          </w:tcPr>
          <w:p>
            <w:pPr>
              <w:pStyle w:val="3013"/>
              <w:spacing w:line="240" w:lineRule="exact"/>
              <w:rPr>
                <w:rFonts w:hint="eastAsia"/>
                <w:snapToGrid w:val="0"/>
              </w:rPr>
            </w:pPr>
            <w:r>
              <w:rPr>
                <w:rFonts w:hint="eastAsia"/>
                <w:snapToGrid w:val="0"/>
              </w:rPr>
              <w:t>225.39</w:t>
            </w:r>
          </w:p>
        </w:tc>
        <w:tc>
          <w:tcPr>
            <w:tcW w:w="1590" w:type="pct"/>
            <w:noWrap w:val="0"/>
            <w:vAlign w:val="center"/>
          </w:tcPr>
          <w:p>
            <w:pPr>
              <w:pStyle w:val="3013"/>
              <w:spacing w:line="240" w:lineRule="exact"/>
              <w:rPr>
                <w:rFonts w:hint="eastAsia"/>
                <w:snapToGrid w:val="0"/>
              </w:rPr>
            </w:pPr>
            <w:r>
              <w:rPr>
                <w:rFonts w:hint="eastAsia"/>
                <w:snapToGrid w:val="0"/>
              </w:rPr>
              <w:t>224.</w:t>
            </w:r>
            <w:r>
              <w:rPr>
                <w:snapToGrid w:val="0"/>
              </w:rPr>
              <w:t>81</w:t>
            </w:r>
          </w:p>
        </w:tc>
        <w:tc>
          <w:tcPr>
            <w:tcW w:w="985" w:type="pct"/>
            <w:noWrap w:val="0"/>
            <w:vAlign w:val="center"/>
          </w:tcPr>
          <w:p>
            <w:pPr>
              <w:pStyle w:val="3013"/>
              <w:spacing w:line="240" w:lineRule="exact"/>
              <w:rPr>
                <w:rFonts w:hint="eastAsia"/>
                <w:snapToGrid w:val="0"/>
              </w:rPr>
            </w:pPr>
            <w:r>
              <w:rPr>
                <w:rFonts w:hint="eastAsia"/>
                <w:snapToGrid w:val="0"/>
              </w:rPr>
              <w:t>0.</w:t>
            </w:r>
            <w:r>
              <w:rPr>
                <w:snapToGrid w:val="0"/>
              </w:rPr>
              <w:t>58</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284" w:hRule="atLeast"/>
          <w:jc w:val="center"/>
        </w:trPr>
        <w:tc>
          <w:tcPr>
            <w:tcW w:w="361" w:type="pct"/>
            <w:noWrap/>
            <w:vAlign w:val="center"/>
          </w:tcPr>
          <w:p>
            <w:pPr>
              <w:pStyle w:val="3013"/>
              <w:spacing w:line="240" w:lineRule="exact"/>
              <w:rPr>
                <w:rFonts w:hint="eastAsia"/>
                <w:snapToGrid w:val="0"/>
              </w:rPr>
            </w:pPr>
            <w:r>
              <w:rPr>
                <w:rFonts w:hint="eastAsia"/>
                <w:snapToGrid w:val="0"/>
              </w:rPr>
              <w:t>13</w:t>
            </w:r>
          </w:p>
        </w:tc>
        <w:tc>
          <w:tcPr>
            <w:tcW w:w="843" w:type="pct"/>
            <w:noWrap/>
            <w:vAlign w:val="center"/>
          </w:tcPr>
          <w:p>
            <w:pPr>
              <w:pStyle w:val="3013"/>
              <w:spacing w:line="240" w:lineRule="exact"/>
              <w:rPr>
                <w:rFonts w:hint="eastAsia"/>
                <w:snapToGrid w:val="0"/>
              </w:rPr>
            </w:pPr>
            <w:r>
              <w:rPr>
                <w:rFonts w:hint="eastAsia"/>
                <w:snapToGrid w:val="0"/>
              </w:rPr>
              <w:t>城北大桥</w:t>
            </w:r>
          </w:p>
        </w:tc>
        <w:tc>
          <w:tcPr>
            <w:tcW w:w="610" w:type="pct"/>
            <w:noWrap/>
            <w:vAlign w:val="center"/>
          </w:tcPr>
          <w:p>
            <w:pPr>
              <w:pStyle w:val="3013"/>
              <w:spacing w:line="240" w:lineRule="exact"/>
              <w:rPr>
                <w:rFonts w:hint="eastAsia"/>
                <w:snapToGrid w:val="0"/>
              </w:rPr>
            </w:pPr>
            <w:r>
              <w:rPr>
                <w:rFonts w:hint="eastAsia"/>
                <w:snapToGrid w:val="0"/>
              </w:rPr>
              <w:t>54+400</w:t>
            </w:r>
          </w:p>
        </w:tc>
        <w:tc>
          <w:tcPr>
            <w:tcW w:w="611" w:type="pct"/>
            <w:noWrap w:val="0"/>
            <w:vAlign w:val="center"/>
          </w:tcPr>
          <w:p>
            <w:pPr>
              <w:pStyle w:val="3013"/>
              <w:spacing w:line="240" w:lineRule="exact"/>
              <w:rPr>
                <w:rFonts w:hint="eastAsia"/>
                <w:snapToGrid w:val="0"/>
              </w:rPr>
            </w:pPr>
            <w:r>
              <w:rPr>
                <w:rFonts w:hint="eastAsia"/>
                <w:snapToGrid w:val="0"/>
              </w:rPr>
              <w:t>224.83</w:t>
            </w:r>
          </w:p>
        </w:tc>
        <w:tc>
          <w:tcPr>
            <w:tcW w:w="1590" w:type="pct"/>
            <w:noWrap w:val="0"/>
            <w:vAlign w:val="center"/>
          </w:tcPr>
          <w:p>
            <w:pPr>
              <w:pStyle w:val="3013"/>
              <w:spacing w:line="240" w:lineRule="exact"/>
              <w:rPr>
                <w:rFonts w:hint="eastAsia"/>
                <w:snapToGrid w:val="0"/>
              </w:rPr>
            </w:pPr>
            <w:r>
              <w:rPr>
                <w:rFonts w:hint="eastAsia"/>
                <w:snapToGrid w:val="0"/>
              </w:rPr>
              <w:t>224.</w:t>
            </w:r>
            <w:r>
              <w:rPr>
                <w:snapToGrid w:val="0"/>
              </w:rPr>
              <w:t>24</w:t>
            </w:r>
          </w:p>
        </w:tc>
        <w:tc>
          <w:tcPr>
            <w:tcW w:w="985" w:type="pct"/>
            <w:noWrap w:val="0"/>
            <w:vAlign w:val="center"/>
          </w:tcPr>
          <w:p>
            <w:pPr>
              <w:pStyle w:val="3013"/>
              <w:spacing w:line="240" w:lineRule="exact"/>
              <w:rPr>
                <w:rFonts w:hint="eastAsia"/>
                <w:snapToGrid w:val="0"/>
              </w:rPr>
            </w:pPr>
            <w:r>
              <w:rPr>
                <w:rFonts w:hint="eastAsia"/>
                <w:snapToGrid w:val="0"/>
              </w:rPr>
              <w:t>0.</w:t>
            </w:r>
            <w:r>
              <w:rPr>
                <w:snapToGrid w:val="0"/>
              </w:rPr>
              <w:t>59</w:t>
            </w:r>
          </w:p>
        </w:tc>
      </w:tr>
    </w:tbl>
    <w:p>
      <w:pPr>
        <w:pStyle w:val="2312"/>
        <w:ind w:firstLine="240"/>
        <w:rPr>
          <w:rFonts w:hint="default" w:ascii="Times New Roman" w:hAnsi="Times New Roman" w:cs="Times New Roman"/>
        </w:rPr>
      </w:pPr>
      <w:r>
        <w:rPr>
          <w:rFonts w:hint="default" w:ascii="Times New Roman" w:hAnsi="Times New Roman" w:cs="Times New Roman"/>
        </w:rPr>
        <w:t>表6.1</w:t>
      </w:r>
      <w:r>
        <w:rPr>
          <w:rFonts w:hint="default" w:ascii="Times New Roman" w:hAnsi="Times New Roman" w:cs="Times New Roman"/>
          <w:lang w:eastAsia="zh-CN"/>
        </w:rPr>
        <w:t>—</w:t>
      </w:r>
      <w:r>
        <w:rPr>
          <w:rFonts w:hint="default" w:ascii="Times New Roman" w:hAnsi="Times New Roman" w:cs="Times New Roman"/>
        </w:rPr>
        <w:t xml:space="preserve">7        组合方案实施后綦江城区各河段防洪能力变化表         </w:t>
      </w:r>
      <w:r>
        <w:rPr>
          <w:rFonts w:hint="default" w:ascii="Times New Roman" w:hAnsi="Times New Roman" w:cs="Times New Roman"/>
          <w:sz w:val="21"/>
          <w:szCs w:val="21"/>
        </w:rPr>
        <w:t>单位：m</w:t>
      </w:r>
    </w:p>
    <w:tbl>
      <w:tblPr>
        <w:tblStyle w:val="88"/>
        <w:tblW w:w="5110"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0" w:type="dxa"/>
          <w:bottom w:w="0" w:type="dxa"/>
          <w:right w:w="0" w:type="dxa"/>
        </w:tblCellMar>
      </w:tblPr>
      <w:tblGrid>
        <w:gridCol w:w="693"/>
        <w:gridCol w:w="561"/>
        <w:gridCol w:w="831"/>
        <w:gridCol w:w="565"/>
        <w:gridCol w:w="565"/>
        <w:gridCol w:w="832"/>
        <w:gridCol w:w="565"/>
        <w:gridCol w:w="565"/>
        <w:gridCol w:w="832"/>
        <w:gridCol w:w="565"/>
        <w:gridCol w:w="565"/>
        <w:gridCol w:w="832"/>
        <w:gridCol w:w="697"/>
        <w:gridCol w:w="623"/>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373" w:type="pct"/>
            <w:vMerge w:val="restart"/>
            <w:noWrap w:val="0"/>
            <w:tcMar>
              <w:top w:w="10" w:type="dxa"/>
              <w:left w:w="10" w:type="dxa"/>
              <w:bottom w:w="0" w:type="dxa"/>
              <w:right w:w="10" w:type="dxa"/>
            </w:tcMar>
            <w:vAlign w:val="center"/>
          </w:tcPr>
          <w:p>
            <w:pPr>
              <w:pStyle w:val="3013"/>
              <w:rPr>
                <w:rFonts w:hint="eastAsia"/>
              </w:rPr>
            </w:pPr>
            <w:r>
              <w:rPr>
                <w:rFonts w:hint="eastAsia"/>
              </w:rPr>
              <w:t>岸别</w:t>
            </w:r>
          </w:p>
        </w:tc>
        <w:tc>
          <w:tcPr>
            <w:tcW w:w="1053" w:type="pct"/>
            <w:gridSpan w:val="3"/>
            <w:noWrap w:val="0"/>
            <w:tcMar>
              <w:top w:w="10" w:type="dxa"/>
              <w:left w:w="10" w:type="dxa"/>
              <w:bottom w:w="0" w:type="dxa"/>
              <w:right w:w="10" w:type="dxa"/>
            </w:tcMar>
            <w:vAlign w:val="center"/>
          </w:tcPr>
          <w:p>
            <w:pPr>
              <w:pStyle w:val="3013"/>
              <w:rPr>
                <w:rFonts w:hint="eastAsia"/>
              </w:rPr>
            </w:pPr>
            <w:r>
              <w:rPr>
                <w:rFonts w:hint="eastAsia"/>
              </w:rPr>
              <w:t>20年一遇</w:t>
            </w:r>
          </w:p>
        </w:tc>
        <w:tc>
          <w:tcPr>
            <w:tcW w:w="1056" w:type="pct"/>
            <w:gridSpan w:val="3"/>
            <w:noWrap w:val="0"/>
            <w:tcMar>
              <w:top w:w="10" w:type="dxa"/>
              <w:left w:w="10" w:type="dxa"/>
              <w:bottom w:w="0" w:type="dxa"/>
              <w:right w:w="10" w:type="dxa"/>
            </w:tcMar>
            <w:vAlign w:val="center"/>
          </w:tcPr>
          <w:p>
            <w:pPr>
              <w:pStyle w:val="3013"/>
              <w:rPr>
                <w:rFonts w:hint="eastAsia"/>
              </w:rPr>
            </w:pPr>
            <w:r>
              <w:rPr>
                <w:rFonts w:hint="eastAsia"/>
              </w:rPr>
              <w:t>10年一遇</w:t>
            </w:r>
          </w:p>
        </w:tc>
        <w:tc>
          <w:tcPr>
            <w:tcW w:w="1056" w:type="pct"/>
            <w:gridSpan w:val="3"/>
            <w:noWrap w:val="0"/>
            <w:tcMar>
              <w:top w:w="10" w:type="dxa"/>
              <w:left w:w="10" w:type="dxa"/>
              <w:bottom w:w="0" w:type="dxa"/>
              <w:right w:w="10" w:type="dxa"/>
            </w:tcMar>
            <w:vAlign w:val="center"/>
          </w:tcPr>
          <w:p>
            <w:pPr>
              <w:pStyle w:val="3013"/>
              <w:rPr>
                <w:rFonts w:hint="eastAsia"/>
              </w:rPr>
            </w:pPr>
            <w:r>
              <w:rPr>
                <w:rFonts w:hint="eastAsia"/>
              </w:rPr>
              <w:t>5年一遇</w:t>
            </w:r>
          </w:p>
        </w:tc>
        <w:tc>
          <w:tcPr>
            <w:tcW w:w="1127" w:type="pct"/>
            <w:gridSpan w:val="3"/>
            <w:noWrap w:val="0"/>
            <w:tcMar>
              <w:top w:w="10" w:type="dxa"/>
              <w:left w:w="10" w:type="dxa"/>
              <w:bottom w:w="0" w:type="dxa"/>
              <w:right w:w="10" w:type="dxa"/>
            </w:tcMar>
            <w:vAlign w:val="center"/>
          </w:tcPr>
          <w:p>
            <w:pPr>
              <w:pStyle w:val="3013"/>
              <w:rPr>
                <w:rFonts w:hint="eastAsia"/>
              </w:rPr>
            </w:pPr>
            <w:r>
              <w:rPr>
                <w:rFonts w:hint="eastAsia"/>
              </w:rPr>
              <w:t>不足5年一遇</w:t>
            </w:r>
          </w:p>
        </w:tc>
        <w:tc>
          <w:tcPr>
            <w:tcW w:w="335" w:type="pct"/>
            <w:vMerge w:val="restart"/>
            <w:noWrap w:val="0"/>
            <w:tcMar>
              <w:top w:w="10" w:type="dxa"/>
              <w:left w:w="10" w:type="dxa"/>
              <w:bottom w:w="0" w:type="dxa"/>
              <w:right w:w="10" w:type="dxa"/>
            </w:tcMar>
            <w:vAlign w:val="center"/>
          </w:tcPr>
          <w:p>
            <w:pPr>
              <w:pStyle w:val="3013"/>
              <w:rPr>
                <w:rFonts w:hint="eastAsia"/>
              </w:rPr>
            </w:pPr>
            <w:r>
              <w:rPr>
                <w:rFonts w:hint="eastAsia"/>
              </w:rPr>
              <w:t>小计</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373" w:type="pct"/>
            <w:vMerge w:val="continue"/>
            <w:noWrap w:val="0"/>
            <w:vAlign w:val="center"/>
          </w:tcPr>
          <w:p>
            <w:pPr>
              <w:pStyle w:val="3013"/>
              <w:rPr>
                <w:rFonts w:hint="eastAsia"/>
              </w:rPr>
            </w:pPr>
          </w:p>
        </w:tc>
        <w:tc>
          <w:tcPr>
            <w:tcW w:w="302" w:type="pct"/>
            <w:noWrap w:val="0"/>
            <w:tcMar>
              <w:top w:w="10" w:type="dxa"/>
              <w:left w:w="10" w:type="dxa"/>
              <w:bottom w:w="0" w:type="dxa"/>
              <w:right w:w="10" w:type="dxa"/>
            </w:tcMar>
            <w:vAlign w:val="center"/>
          </w:tcPr>
          <w:p>
            <w:pPr>
              <w:pStyle w:val="3013"/>
              <w:rPr>
                <w:rFonts w:hint="eastAsia"/>
              </w:rPr>
            </w:pPr>
            <w:r>
              <w:rPr>
                <w:rFonts w:hint="eastAsia"/>
              </w:rPr>
              <w:t>现状</w:t>
            </w:r>
          </w:p>
        </w:tc>
        <w:tc>
          <w:tcPr>
            <w:tcW w:w="447" w:type="pct"/>
            <w:noWrap w:val="0"/>
            <w:tcMar>
              <w:top w:w="10" w:type="dxa"/>
              <w:left w:w="10" w:type="dxa"/>
              <w:bottom w:w="0" w:type="dxa"/>
              <w:right w:w="10" w:type="dxa"/>
            </w:tcMar>
            <w:vAlign w:val="center"/>
          </w:tcPr>
          <w:p>
            <w:pPr>
              <w:pStyle w:val="3013"/>
              <w:rPr>
                <w:rFonts w:hint="eastAsia"/>
              </w:rPr>
            </w:pPr>
            <w:r>
              <w:rPr>
                <w:rFonts w:hint="eastAsia"/>
              </w:rPr>
              <w:t>工程后</w:t>
            </w:r>
          </w:p>
        </w:tc>
        <w:tc>
          <w:tcPr>
            <w:tcW w:w="304" w:type="pct"/>
            <w:noWrap w:val="0"/>
            <w:tcMar>
              <w:top w:w="10" w:type="dxa"/>
              <w:left w:w="10" w:type="dxa"/>
              <w:bottom w:w="0" w:type="dxa"/>
              <w:right w:w="10" w:type="dxa"/>
            </w:tcMar>
            <w:vAlign w:val="center"/>
          </w:tcPr>
          <w:p>
            <w:pPr>
              <w:pStyle w:val="3013"/>
              <w:rPr>
                <w:rFonts w:hint="eastAsia"/>
              </w:rPr>
            </w:pPr>
            <w:r>
              <w:rPr>
                <w:rFonts w:hint="eastAsia"/>
              </w:rPr>
              <w:t>变化</w:t>
            </w:r>
          </w:p>
        </w:tc>
        <w:tc>
          <w:tcPr>
            <w:tcW w:w="304" w:type="pct"/>
            <w:noWrap w:val="0"/>
            <w:tcMar>
              <w:top w:w="10" w:type="dxa"/>
              <w:left w:w="10" w:type="dxa"/>
              <w:bottom w:w="0" w:type="dxa"/>
              <w:right w:w="10" w:type="dxa"/>
            </w:tcMar>
            <w:vAlign w:val="center"/>
          </w:tcPr>
          <w:p>
            <w:pPr>
              <w:pStyle w:val="3013"/>
              <w:rPr>
                <w:rFonts w:hint="eastAsia"/>
              </w:rPr>
            </w:pPr>
            <w:r>
              <w:rPr>
                <w:rFonts w:hint="eastAsia"/>
              </w:rPr>
              <w:t>现状</w:t>
            </w:r>
          </w:p>
        </w:tc>
        <w:tc>
          <w:tcPr>
            <w:tcW w:w="448" w:type="pct"/>
            <w:noWrap w:val="0"/>
            <w:tcMar>
              <w:top w:w="10" w:type="dxa"/>
              <w:left w:w="10" w:type="dxa"/>
              <w:bottom w:w="0" w:type="dxa"/>
              <w:right w:w="10" w:type="dxa"/>
            </w:tcMar>
            <w:vAlign w:val="center"/>
          </w:tcPr>
          <w:p>
            <w:pPr>
              <w:pStyle w:val="3013"/>
              <w:rPr>
                <w:rFonts w:hint="eastAsia"/>
              </w:rPr>
            </w:pPr>
            <w:r>
              <w:rPr>
                <w:rFonts w:hint="eastAsia"/>
              </w:rPr>
              <w:t>工程后</w:t>
            </w:r>
          </w:p>
        </w:tc>
        <w:tc>
          <w:tcPr>
            <w:tcW w:w="304" w:type="pct"/>
            <w:noWrap w:val="0"/>
            <w:tcMar>
              <w:top w:w="10" w:type="dxa"/>
              <w:left w:w="10" w:type="dxa"/>
              <w:bottom w:w="0" w:type="dxa"/>
              <w:right w:w="10" w:type="dxa"/>
            </w:tcMar>
            <w:vAlign w:val="center"/>
          </w:tcPr>
          <w:p>
            <w:pPr>
              <w:pStyle w:val="3013"/>
              <w:rPr>
                <w:rFonts w:hint="eastAsia"/>
              </w:rPr>
            </w:pPr>
            <w:r>
              <w:rPr>
                <w:rFonts w:hint="eastAsia"/>
              </w:rPr>
              <w:t>变化</w:t>
            </w:r>
          </w:p>
        </w:tc>
        <w:tc>
          <w:tcPr>
            <w:tcW w:w="304" w:type="pct"/>
            <w:noWrap w:val="0"/>
            <w:tcMar>
              <w:top w:w="10" w:type="dxa"/>
              <w:left w:w="10" w:type="dxa"/>
              <w:bottom w:w="0" w:type="dxa"/>
              <w:right w:w="10" w:type="dxa"/>
            </w:tcMar>
            <w:vAlign w:val="center"/>
          </w:tcPr>
          <w:p>
            <w:pPr>
              <w:pStyle w:val="3013"/>
              <w:rPr>
                <w:rFonts w:hint="eastAsia"/>
              </w:rPr>
            </w:pPr>
            <w:r>
              <w:rPr>
                <w:rFonts w:hint="eastAsia"/>
              </w:rPr>
              <w:t>现状</w:t>
            </w:r>
          </w:p>
        </w:tc>
        <w:tc>
          <w:tcPr>
            <w:tcW w:w="448" w:type="pct"/>
            <w:noWrap w:val="0"/>
            <w:tcMar>
              <w:top w:w="10" w:type="dxa"/>
              <w:left w:w="10" w:type="dxa"/>
              <w:bottom w:w="0" w:type="dxa"/>
              <w:right w:w="10" w:type="dxa"/>
            </w:tcMar>
            <w:vAlign w:val="center"/>
          </w:tcPr>
          <w:p>
            <w:pPr>
              <w:pStyle w:val="3013"/>
              <w:rPr>
                <w:rFonts w:hint="eastAsia"/>
              </w:rPr>
            </w:pPr>
            <w:r>
              <w:rPr>
                <w:rFonts w:hint="eastAsia"/>
              </w:rPr>
              <w:t>工程后</w:t>
            </w:r>
          </w:p>
        </w:tc>
        <w:tc>
          <w:tcPr>
            <w:tcW w:w="304" w:type="pct"/>
            <w:noWrap w:val="0"/>
            <w:tcMar>
              <w:top w:w="10" w:type="dxa"/>
              <w:left w:w="10" w:type="dxa"/>
              <w:bottom w:w="0" w:type="dxa"/>
              <w:right w:w="10" w:type="dxa"/>
            </w:tcMar>
            <w:vAlign w:val="center"/>
          </w:tcPr>
          <w:p>
            <w:pPr>
              <w:pStyle w:val="3013"/>
              <w:rPr>
                <w:rFonts w:hint="eastAsia"/>
              </w:rPr>
            </w:pPr>
            <w:r>
              <w:rPr>
                <w:rFonts w:hint="eastAsia"/>
              </w:rPr>
              <w:t>变化</w:t>
            </w:r>
          </w:p>
        </w:tc>
        <w:tc>
          <w:tcPr>
            <w:tcW w:w="304" w:type="pct"/>
            <w:noWrap w:val="0"/>
            <w:tcMar>
              <w:top w:w="10" w:type="dxa"/>
              <w:left w:w="10" w:type="dxa"/>
              <w:bottom w:w="0" w:type="dxa"/>
              <w:right w:w="10" w:type="dxa"/>
            </w:tcMar>
            <w:vAlign w:val="center"/>
          </w:tcPr>
          <w:p>
            <w:pPr>
              <w:pStyle w:val="3013"/>
              <w:rPr>
                <w:rFonts w:hint="eastAsia"/>
              </w:rPr>
            </w:pPr>
            <w:r>
              <w:rPr>
                <w:rFonts w:hint="eastAsia"/>
              </w:rPr>
              <w:t>现状</w:t>
            </w:r>
          </w:p>
        </w:tc>
        <w:tc>
          <w:tcPr>
            <w:tcW w:w="448" w:type="pct"/>
            <w:noWrap w:val="0"/>
            <w:tcMar>
              <w:top w:w="10" w:type="dxa"/>
              <w:left w:w="10" w:type="dxa"/>
              <w:bottom w:w="0" w:type="dxa"/>
              <w:right w:w="10" w:type="dxa"/>
            </w:tcMar>
            <w:vAlign w:val="center"/>
          </w:tcPr>
          <w:p>
            <w:pPr>
              <w:pStyle w:val="3013"/>
              <w:rPr>
                <w:rFonts w:hint="eastAsia"/>
              </w:rPr>
            </w:pPr>
            <w:r>
              <w:rPr>
                <w:rFonts w:hint="eastAsia"/>
              </w:rPr>
              <w:t>工程后</w:t>
            </w:r>
          </w:p>
        </w:tc>
        <w:tc>
          <w:tcPr>
            <w:tcW w:w="375" w:type="pct"/>
            <w:noWrap w:val="0"/>
            <w:tcMar>
              <w:top w:w="10" w:type="dxa"/>
              <w:left w:w="10" w:type="dxa"/>
              <w:bottom w:w="0" w:type="dxa"/>
              <w:right w:w="10" w:type="dxa"/>
            </w:tcMar>
            <w:vAlign w:val="center"/>
          </w:tcPr>
          <w:p>
            <w:pPr>
              <w:pStyle w:val="3013"/>
              <w:rPr>
                <w:rFonts w:hint="eastAsia"/>
              </w:rPr>
            </w:pPr>
            <w:r>
              <w:rPr>
                <w:rFonts w:hint="eastAsia"/>
              </w:rPr>
              <w:t>变化</w:t>
            </w:r>
          </w:p>
        </w:tc>
        <w:tc>
          <w:tcPr>
            <w:tcW w:w="335" w:type="pct"/>
            <w:vMerge w:val="continue"/>
            <w:noWrap w:val="0"/>
            <w:vAlign w:val="center"/>
          </w:tcPr>
          <w:p>
            <w:pPr>
              <w:pStyle w:val="3013"/>
              <w:rPr>
                <w:rFonts w:hint="eastAsia"/>
              </w:rPr>
            </w:pP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373" w:type="pct"/>
            <w:noWrap w:val="0"/>
            <w:tcMar>
              <w:top w:w="10" w:type="dxa"/>
              <w:left w:w="10" w:type="dxa"/>
              <w:bottom w:w="0" w:type="dxa"/>
              <w:right w:w="10" w:type="dxa"/>
            </w:tcMar>
            <w:vAlign w:val="center"/>
          </w:tcPr>
          <w:p>
            <w:pPr>
              <w:pStyle w:val="3013"/>
              <w:rPr>
                <w:rFonts w:hint="eastAsia"/>
              </w:rPr>
            </w:pPr>
            <w:r>
              <w:rPr>
                <w:rFonts w:hint="eastAsia"/>
              </w:rPr>
              <w:t>左岸</w:t>
            </w:r>
          </w:p>
        </w:tc>
        <w:tc>
          <w:tcPr>
            <w:tcW w:w="302" w:type="pct"/>
            <w:noWrap w:val="0"/>
            <w:tcMar>
              <w:top w:w="10" w:type="dxa"/>
              <w:left w:w="10" w:type="dxa"/>
              <w:bottom w:w="0" w:type="dxa"/>
              <w:right w:w="10" w:type="dxa"/>
            </w:tcMar>
            <w:vAlign w:val="center"/>
          </w:tcPr>
          <w:p>
            <w:pPr>
              <w:pStyle w:val="3013"/>
              <w:rPr>
                <w:rFonts w:hint="eastAsia"/>
              </w:rPr>
            </w:pPr>
            <w:r>
              <w:rPr>
                <w:rFonts w:hint="eastAsia"/>
              </w:rPr>
              <w:t>895</w:t>
            </w:r>
          </w:p>
        </w:tc>
        <w:tc>
          <w:tcPr>
            <w:tcW w:w="447" w:type="pct"/>
            <w:noWrap w:val="0"/>
            <w:tcMar>
              <w:top w:w="10" w:type="dxa"/>
              <w:left w:w="10" w:type="dxa"/>
              <w:bottom w:w="0" w:type="dxa"/>
              <w:right w:w="10" w:type="dxa"/>
            </w:tcMar>
            <w:vAlign w:val="center"/>
          </w:tcPr>
          <w:p>
            <w:pPr>
              <w:widowControl/>
              <w:spacing w:line="0" w:lineRule="atLeast"/>
              <w:ind w:firstLine="0" w:firstLineChars="0"/>
              <w:jc w:val="center"/>
              <w:rPr>
                <w:rFonts w:hint="eastAsia" w:ascii="楷体_GB2312" w:eastAsia="楷体_GB2312"/>
                <w:kern w:val="0"/>
                <w:sz w:val="21"/>
                <w:szCs w:val="21"/>
              </w:rPr>
            </w:pPr>
            <w:r>
              <w:rPr>
                <w:rFonts w:hint="eastAsia" w:ascii="楷体_GB2312" w:eastAsia="楷体_GB2312"/>
                <w:kern w:val="0"/>
                <w:sz w:val="21"/>
                <w:szCs w:val="21"/>
              </w:rPr>
              <w:t>1011</w:t>
            </w:r>
          </w:p>
        </w:tc>
        <w:tc>
          <w:tcPr>
            <w:tcW w:w="304" w:type="pct"/>
            <w:noWrap w:val="0"/>
            <w:tcMar>
              <w:top w:w="10" w:type="dxa"/>
              <w:left w:w="10" w:type="dxa"/>
              <w:bottom w:w="0" w:type="dxa"/>
              <w:right w:w="10" w:type="dxa"/>
            </w:tcMar>
            <w:vAlign w:val="center"/>
          </w:tcPr>
          <w:p>
            <w:pPr>
              <w:pStyle w:val="3013"/>
              <w:rPr>
                <w:rFonts w:hint="eastAsia"/>
              </w:rPr>
            </w:pPr>
            <w:r>
              <w:rPr>
                <w:rFonts w:hint="eastAsia"/>
              </w:rPr>
              <w:t>116</w:t>
            </w:r>
          </w:p>
        </w:tc>
        <w:tc>
          <w:tcPr>
            <w:tcW w:w="304" w:type="pct"/>
            <w:noWrap w:val="0"/>
            <w:tcMar>
              <w:top w:w="10" w:type="dxa"/>
              <w:left w:w="10" w:type="dxa"/>
              <w:bottom w:w="0" w:type="dxa"/>
              <w:right w:w="10" w:type="dxa"/>
            </w:tcMar>
            <w:vAlign w:val="center"/>
          </w:tcPr>
          <w:p>
            <w:pPr>
              <w:pStyle w:val="3013"/>
              <w:rPr>
                <w:rFonts w:hint="eastAsia"/>
              </w:rPr>
            </w:pPr>
            <w:r>
              <w:rPr>
                <w:rFonts w:hint="eastAsia"/>
              </w:rPr>
              <w:t>374</w:t>
            </w:r>
          </w:p>
        </w:tc>
        <w:tc>
          <w:tcPr>
            <w:tcW w:w="448" w:type="pct"/>
            <w:noWrap w:val="0"/>
            <w:tcMar>
              <w:top w:w="10" w:type="dxa"/>
              <w:left w:w="10" w:type="dxa"/>
              <w:bottom w:w="0" w:type="dxa"/>
              <w:right w:w="10" w:type="dxa"/>
            </w:tcMar>
            <w:vAlign w:val="center"/>
          </w:tcPr>
          <w:p>
            <w:pPr>
              <w:widowControl/>
              <w:spacing w:line="0" w:lineRule="atLeast"/>
              <w:ind w:firstLine="0" w:firstLineChars="0"/>
              <w:jc w:val="center"/>
              <w:rPr>
                <w:rFonts w:hint="eastAsia" w:ascii="楷体_GB2312" w:eastAsia="楷体_GB2312"/>
                <w:kern w:val="0"/>
                <w:sz w:val="21"/>
                <w:szCs w:val="21"/>
              </w:rPr>
            </w:pPr>
            <w:r>
              <w:rPr>
                <w:rFonts w:hint="eastAsia" w:ascii="楷体_GB2312" w:eastAsia="楷体_GB2312"/>
                <w:kern w:val="0"/>
                <w:sz w:val="21"/>
                <w:szCs w:val="21"/>
              </w:rPr>
              <w:t>798</w:t>
            </w:r>
          </w:p>
        </w:tc>
        <w:tc>
          <w:tcPr>
            <w:tcW w:w="304" w:type="pct"/>
            <w:noWrap w:val="0"/>
            <w:tcMar>
              <w:top w:w="10" w:type="dxa"/>
              <w:left w:w="10" w:type="dxa"/>
              <w:bottom w:w="0" w:type="dxa"/>
              <w:right w:w="10" w:type="dxa"/>
            </w:tcMar>
            <w:vAlign w:val="center"/>
          </w:tcPr>
          <w:p>
            <w:pPr>
              <w:pStyle w:val="3013"/>
              <w:rPr>
                <w:rFonts w:hint="eastAsia"/>
              </w:rPr>
            </w:pPr>
            <w:r>
              <w:rPr>
                <w:rFonts w:hint="eastAsia"/>
              </w:rPr>
              <w:t>424</w:t>
            </w:r>
          </w:p>
        </w:tc>
        <w:tc>
          <w:tcPr>
            <w:tcW w:w="304" w:type="pct"/>
            <w:noWrap w:val="0"/>
            <w:tcMar>
              <w:top w:w="10" w:type="dxa"/>
              <w:left w:w="10" w:type="dxa"/>
              <w:bottom w:w="0" w:type="dxa"/>
              <w:right w:w="10" w:type="dxa"/>
            </w:tcMar>
            <w:vAlign w:val="center"/>
          </w:tcPr>
          <w:p>
            <w:pPr>
              <w:pStyle w:val="3013"/>
              <w:rPr>
                <w:rFonts w:hint="eastAsia"/>
              </w:rPr>
            </w:pPr>
            <w:r>
              <w:rPr>
                <w:rFonts w:hint="eastAsia"/>
              </w:rPr>
              <w:t>800</w:t>
            </w:r>
          </w:p>
        </w:tc>
        <w:tc>
          <w:tcPr>
            <w:tcW w:w="448" w:type="pct"/>
            <w:noWrap w:val="0"/>
            <w:tcMar>
              <w:top w:w="10" w:type="dxa"/>
              <w:left w:w="10" w:type="dxa"/>
              <w:bottom w:w="0" w:type="dxa"/>
              <w:right w:w="10" w:type="dxa"/>
            </w:tcMar>
            <w:vAlign w:val="center"/>
          </w:tcPr>
          <w:p>
            <w:pPr>
              <w:pStyle w:val="3013"/>
              <w:rPr>
                <w:rFonts w:hint="eastAsia"/>
              </w:rPr>
            </w:pPr>
            <w:r>
              <w:rPr>
                <w:rFonts w:hint="eastAsia"/>
              </w:rPr>
              <w:t>1232</w:t>
            </w:r>
          </w:p>
        </w:tc>
        <w:tc>
          <w:tcPr>
            <w:tcW w:w="304" w:type="pct"/>
            <w:noWrap w:val="0"/>
            <w:tcMar>
              <w:top w:w="10" w:type="dxa"/>
              <w:left w:w="10" w:type="dxa"/>
              <w:bottom w:w="0" w:type="dxa"/>
              <w:right w:w="10" w:type="dxa"/>
            </w:tcMar>
            <w:vAlign w:val="center"/>
          </w:tcPr>
          <w:p>
            <w:pPr>
              <w:pStyle w:val="3013"/>
              <w:rPr>
                <w:rFonts w:hint="eastAsia"/>
              </w:rPr>
            </w:pPr>
            <w:r>
              <w:rPr>
                <w:rFonts w:hint="eastAsia"/>
              </w:rPr>
              <w:t>432</w:t>
            </w:r>
          </w:p>
        </w:tc>
        <w:tc>
          <w:tcPr>
            <w:tcW w:w="304" w:type="pct"/>
            <w:noWrap w:val="0"/>
            <w:tcMar>
              <w:top w:w="10" w:type="dxa"/>
              <w:left w:w="10" w:type="dxa"/>
              <w:bottom w:w="0" w:type="dxa"/>
              <w:right w:w="10" w:type="dxa"/>
            </w:tcMar>
            <w:vAlign w:val="center"/>
          </w:tcPr>
          <w:p>
            <w:pPr>
              <w:pStyle w:val="3013"/>
              <w:rPr>
                <w:rFonts w:hint="eastAsia"/>
              </w:rPr>
            </w:pPr>
            <w:r>
              <w:rPr>
                <w:rFonts w:hint="eastAsia"/>
              </w:rPr>
              <w:t>2844</w:t>
            </w:r>
          </w:p>
        </w:tc>
        <w:tc>
          <w:tcPr>
            <w:tcW w:w="448" w:type="pct"/>
            <w:noWrap w:val="0"/>
            <w:tcMar>
              <w:top w:w="10" w:type="dxa"/>
              <w:left w:w="10" w:type="dxa"/>
              <w:bottom w:w="0" w:type="dxa"/>
              <w:right w:w="10" w:type="dxa"/>
            </w:tcMar>
            <w:vAlign w:val="center"/>
          </w:tcPr>
          <w:p>
            <w:pPr>
              <w:pStyle w:val="3013"/>
              <w:rPr>
                <w:rFonts w:hint="eastAsia"/>
              </w:rPr>
            </w:pPr>
            <w:r>
              <w:rPr>
                <w:rFonts w:hint="eastAsia"/>
              </w:rPr>
              <w:t>1872</w:t>
            </w:r>
          </w:p>
        </w:tc>
        <w:tc>
          <w:tcPr>
            <w:tcW w:w="375" w:type="pct"/>
            <w:noWrap w:val="0"/>
            <w:tcMar>
              <w:top w:w="10" w:type="dxa"/>
              <w:left w:w="10" w:type="dxa"/>
              <w:bottom w:w="0" w:type="dxa"/>
              <w:right w:w="10" w:type="dxa"/>
            </w:tcMar>
            <w:vAlign w:val="center"/>
          </w:tcPr>
          <w:p>
            <w:pPr>
              <w:pStyle w:val="3013"/>
              <w:rPr>
                <w:rFonts w:hint="eastAsia"/>
              </w:rPr>
            </w:pPr>
            <w:r>
              <w:rPr>
                <w:rFonts w:hint="eastAsia"/>
                <w:lang w:eastAsia="zh-CN"/>
              </w:rPr>
              <w:t>—</w:t>
            </w:r>
            <w:r>
              <w:rPr>
                <w:rFonts w:hint="eastAsia"/>
              </w:rPr>
              <w:t>972</w:t>
            </w:r>
          </w:p>
        </w:tc>
        <w:tc>
          <w:tcPr>
            <w:tcW w:w="335" w:type="pct"/>
            <w:noWrap w:val="0"/>
            <w:tcMar>
              <w:top w:w="10" w:type="dxa"/>
              <w:left w:w="10" w:type="dxa"/>
              <w:bottom w:w="0" w:type="dxa"/>
              <w:right w:w="10" w:type="dxa"/>
            </w:tcMar>
            <w:vAlign w:val="center"/>
          </w:tcPr>
          <w:p>
            <w:pPr>
              <w:pStyle w:val="3013"/>
              <w:rPr>
                <w:rFonts w:hint="eastAsia"/>
              </w:rPr>
            </w:pPr>
            <w:r>
              <w:rPr>
                <w:rFonts w:hint="eastAsia"/>
              </w:rPr>
              <w:t>4913</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373" w:type="pct"/>
            <w:noWrap w:val="0"/>
            <w:tcMar>
              <w:top w:w="10" w:type="dxa"/>
              <w:left w:w="10" w:type="dxa"/>
              <w:bottom w:w="0" w:type="dxa"/>
              <w:right w:w="10" w:type="dxa"/>
            </w:tcMar>
            <w:vAlign w:val="center"/>
          </w:tcPr>
          <w:p>
            <w:pPr>
              <w:pStyle w:val="3013"/>
              <w:rPr>
                <w:rFonts w:hint="eastAsia"/>
              </w:rPr>
            </w:pPr>
            <w:r>
              <w:rPr>
                <w:rFonts w:hint="eastAsia"/>
              </w:rPr>
              <w:t>右岸</w:t>
            </w:r>
          </w:p>
        </w:tc>
        <w:tc>
          <w:tcPr>
            <w:tcW w:w="302" w:type="pct"/>
            <w:noWrap w:val="0"/>
            <w:tcMar>
              <w:top w:w="10" w:type="dxa"/>
              <w:left w:w="10" w:type="dxa"/>
              <w:bottom w:w="0" w:type="dxa"/>
              <w:right w:w="10" w:type="dxa"/>
            </w:tcMar>
            <w:vAlign w:val="center"/>
          </w:tcPr>
          <w:p>
            <w:pPr>
              <w:pStyle w:val="3013"/>
              <w:rPr>
                <w:rFonts w:hint="eastAsia"/>
              </w:rPr>
            </w:pPr>
            <w:r>
              <w:rPr>
                <w:rFonts w:hint="eastAsia"/>
              </w:rPr>
              <w:t>2568</w:t>
            </w:r>
          </w:p>
        </w:tc>
        <w:tc>
          <w:tcPr>
            <w:tcW w:w="447" w:type="pct"/>
            <w:noWrap w:val="0"/>
            <w:tcMar>
              <w:top w:w="10" w:type="dxa"/>
              <w:left w:w="10" w:type="dxa"/>
              <w:bottom w:w="0" w:type="dxa"/>
              <w:right w:w="10" w:type="dxa"/>
            </w:tcMar>
            <w:vAlign w:val="center"/>
          </w:tcPr>
          <w:p>
            <w:pPr>
              <w:spacing w:line="0" w:lineRule="atLeast"/>
              <w:ind w:firstLine="0" w:firstLineChars="0"/>
              <w:jc w:val="center"/>
              <w:rPr>
                <w:rFonts w:hint="eastAsia" w:ascii="楷体_GB2312" w:eastAsia="楷体_GB2312"/>
                <w:kern w:val="0"/>
                <w:sz w:val="21"/>
                <w:szCs w:val="21"/>
              </w:rPr>
            </w:pPr>
            <w:r>
              <w:rPr>
                <w:rFonts w:hint="eastAsia" w:ascii="楷体_GB2312" w:eastAsia="楷体_GB2312"/>
                <w:kern w:val="0"/>
                <w:sz w:val="21"/>
                <w:szCs w:val="21"/>
              </w:rPr>
              <w:t>2568</w:t>
            </w:r>
          </w:p>
        </w:tc>
        <w:tc>
          <w:tcPr>
            <w:tcW w:w="304" w:type="pct"/>
            <w:noWrap w:val="0"/>
            <w:tcMar>
              <w:top w:w="10" w:type="dxa"/>
              <w:left w:w="10" w:type="dxa"/>
              <w:bottom w:w="0" w:type="dxa"/>
              <w:right w:w="10" w:type="dxa"/>
            </w:tcMar>
            <w:vAlign w:val="center"/>
          </w:tcPr>
          <w:p>
            <w:pPr>
              <w:pStyle w:val="3013"/>
              <w:rPr>
                <w:rFonts w:hint="eastAsia"/>
              </w:rPr>
            </w:pPr>
            <w:r>
              <w:rPr>
                <w:rFonts w:hint="eastAsia"/>
              </w:rPr>
              <w:t>0</w:t>
            </w:r>
          </w:p>
        </w:tc>
        <w:tc>
          <w:tcPr>
            <w:tcW w:w="304" w:type="pct"/>
            <w:noWrap w:val="0"/>
            <w:tcMar>
              <w:top w:w="10" w:type="dxa"/>
              <w:left w:w="10" w:type="dxa"/>
              <w:bottom w:w="0" w:type="dxa"/>
              <w:right w:w="10" w:type="dxa"/>
            </w:tcMar>
            <w:vAlign w:val="center"/>
          </w:tcPr>
          <w:p>
            <w:pPr>
              <w:pStyle w:val="3013"/>
              <w:rPr>
                <w:rFonts w:hint="eastAsia"/>
              </w:rPr>
            </w:pPr>
          </w:p>
        </w:tc>
        <w:tc>
          <w:tcPr>
            <w:tcW w:w="448" w:type="pct"/>
            <w:noWrap w:val="0"/>
            <w:tcMar>
              <w:top w:w="10" w:type="dxa"/>
              <w:left w:w="10" w:type="dxa"/>
              <w:bottom w:w="0" w:type="dxa"/>
              <w:right w:w="10" w:type="dxa"/>
            </w:tcMar>
            <w:vAlign w:val="center"/>
          </w:tcPr>
          <w:p>
            <w:pPr>
              <w:spacing w:line="0" w:lineRule="atLeast"/>
              <w:ind w:firstLine="0" w:firstLineChars="0"/>
              <w:jc w:val="center"/>
              <w:rPr>
                <w:rFonts w:hint="eastAsia" w:ascii="楷体_GB2312" w:eastAsia="楷体_GB2312"/>
                <w:kern w:val="0"/>
                <w:sz w:val="21"/>
                <w:szCs w:val="21"/>
              </w:rPr>
            </w:pPr>
            <w:r>
              <w:rPr>
                <w:rFonts w:hint="eastAsia" w:ascii="楷体_GB2312" w:eastAsia="楷体_GB2312"/>
                <w:kern w:val="0"/>
                <w:sz w:val="21"/>
                <w:szCs w:val="21"/>
              </w:rPr>
              <w:t>128</w:t>
            </w:r>
          </w:p>
        </w:tc>
        <w:tc>
          <w:tcPr>
            <w:tcW w:w="304" w:type="pct"/>
            <w:noWrap w:val="0"/>
            <w:tcMar>
              <w:top w:w="10" w:type="dxa"/>
              <w:left w:w="10" w:type="dxa"/>
              <w:bottom w:w="0" w:type="dxa"/>
              <w:right w:w="10" w:type="dxa"/>
            </w:tcMar>
            <w:vAlign w:val="center"/>
          </w:tcPr>
          <w:p>
            <w:pPr>
              <w:pStyle w:val="3013"/>
              <w:rPr>
                <w:rFonts w:hint="eastAsia"/>
              </w:rPr>
            </w:pPr>
            <w:r>
              <w:rPr>
                <w:rFonts w:hint="eastAsia"/>
              </w:rPr>
              <w:t>128</w:t>
            </w:r>
          </w:p>
        </w:tc>
        <w:tc>
          <w:tcPr>
            <w:tcW w:w="304" w:type="pct"/>
            <w:noWrap w:val="0"/>
            <w:tcMar>
              <w:top w:w="10" w:type="dxa"/>
              <w:left w:w="10" w:type="dxa"/>
              <w:bottom w:w="0" w:type="dxa"/>
              <w:right w:w="10" w:type="dxa"/>
            </w:tcMar>
            <w:vAlign w:val="center"/>
          </w:tcPr>
          <w:p>
            <w:pPr>
              <w:pStyle w:val="3013"/>
              <w:rPr>
                <w:rFonts w:hint="eastAsia"/>
              </w:rPr>
            </w:pPr>
            <w:r>
              <w:rPr>
                <w:rFonts w:hint="eastAsia"/>
              </w:rPr>
              <w:t>232</w:t>
            </w:r>
          </w:p>
        </w:tc>
        <w:tc>
          <w:tcPr>
            <w:tcW w:w="448" w:type="pct"/>
            <w:noWrap w:val="0"/>
            <w:tcMar>
              <w:top w:w="10" w:type="dxa"/>
              <w:left w:w="10" w:type="dxa"/>
              <w:bottom w:w="0" w:type="dxa"/>
              <w:right w:w="10" w:type="dxa"/>
            </w:tcMar>
            <w:vAlign w:val="center"/>
          </w:tcPr>
          <w:p>
            <w:pPr>
              <w:pStyle w:val="3013"/>
              <w:rPr>
                <w:rFonts w:hint="eastAsia"/>
              </w:rPr>
            </w:pPr>
            <w:r>
              <w:rPr>
                <w:rFonts w:hint="eastAsia"/>
              </w:rPr>
              <w:t>540</w:t>
            </w:r>
          </w:p>
        </w:tc>
        <w:tc>
          <w:tcPr>
            <w:tcW w:w="304" w:type="pct"/>
            <w:noWrap w:val="0"/>
            <w:tcMar>
              <w:top w:w="10" w:type="dxa"/>
              <w:left w:w="10" w:type="dxa"/>
              <w:bottom w:w="0" w:type="dxa"/>
              <w:right w:w="10" w:type="dxa"/>
            </w:tcMar>
            <w:vAlign w:val="center"/>
          </w:tcPr>
          <w:p>
            <w:pPr>
              <w:pStyle w:val="3013"/>
              <w:rPr>
                <w:rFonts w:hint="eastAsia"/>
              </w:rPr>
            </w:pPr>
            <w:r>
              <w:rPr>
                <w:rFonts w:hint="eastAsia"/>
              </w:rPr>
              <w:t>308</w:t>
            </w:r>
          </w:p>
        </w:tc>
        <w:tc>
          <w:tcPr>
            <w:tcW w:w="304" w:type="pct"/>
            <w:noWrap w:val="0"/>
            <w:tcMar>
              <w:top w:w="10" w:type="dxa"/>
              <w:left w:w="10" w:type="dxa"/>
              <w:bottom w:w="0" w:type="dxa"/>
              <w:right w:w="10" w:type="dxa"/>
            </w:tcMar>
            <w:vAlign w:val="center"/>
          </w:tcPr>
          <w:p>
            <w:pPr>
              <w:pStyle w:val="3013"/>
              <w:rPr>
                <w:rFonts w:hint="eastAsia"/>
              </w:rPr>
            </w:pPr>
            <w:r>
              <w:rPr>
                <w:rFonts w:hint="eastAsia"/>
              </w:rPr>
              <w:t>2249</w:t>
            </w:r>
          </w:p>
        </w:tc>
        <w:tc>
          <w:tcPr>
            <w:tcW w:w="448" w:type="pct"/>
            <w:noWrap w:val="0"/>
            <w:tcMar>
              <w:top w:w="10" w:type="dxa"/>
              <w:left w:w="10" w:type="dxa"/>
              <w:bottom w:w="0" w:type="dxa"/>
              <w:right w:w="10" w:type="dxa"/>
            </w:tcMar>
            <w:vAlign w:val="center"/>
          </w:tcPr>
          <w:p>
            <w:pPr>
              <w:pStyle w:val="3013"/>
              <w:rPr>
                <w:rFonts w:hint="eastAsia"/>
              </w:rPr>
            </w:pPr>
            <w:r>
              <w:rPr>
                <w:rFonts w:hint="eastAsia"/>
              </w:rPr>
              <w:t>1813</w:t>
            </w:r>
          </w:p>
        </w:tc>
        <w:tc>
          <w:tcPr>
            <w:tcW w:w="375" w:type="pct"/>
            <w:noWrap w:val="0"/>
            <w:tcMar>
              <w:top w:w="10" w:type="dxa"/>
              <w:left w:w="10" w:type="dxa"/>
              <w:bottom w:w="0" w:type="dxa"/>
              <w:right w:w="10" w:type="dxa"/>
            </w:tcMar>
            <w:vAlign w:val="center"/>
          </w:tcPr>
          <w:p>
            <w:pPr>
              <w:pStyle w:val="3013"/>
              <w:rPr>
                <w:rFonts w:hint="eastAsia"/>
              </w:rPr>
            </w:pPr>
            <w:r>
              <w:rPr>
                <w:rFonts w:hint="eastAsia"/>
                <w:lang w:eastAsia="zh-CN"/>
              </w:rPr>
              <w:t>—</w:t>
            </w:r>
            <w:r>
              <w:rPr>
                <w:rFonts w:hint="eastAsia"/>
              </w:rPr>
              <w:t>436</w:t>
            </w:r>
          </w:p>
        </w:tc>
        <w:tc>
          <w:tcPr>
            <w:tcW w:w="335" w:type="pct"/>
            <w:noWrap w:val="0"/>
            <w:tcMar>
              <w:top w:w="10" w:type="dxa"/>
              <w:left w:w="10" w:type="dxa"/>
              <w:bottom w:w="0" w:type="dxa"/>
              <w:right w:w="10" w:type="dxa"/>
            </w:tcMar>
            <w:vAlign w:val="center"/>
          </w:tcPr>
          <w:p>
            <w:pPr>
              <w:pStyle w:val="3013"/>
              <w:rPr>
                <w:rFonts w:hint="eastAsia"/>
              </w:rPr>
            </w:pPr>
            <w:r>
              <w:rPr>
                <w:rFonts w:hint="eastAsia"/>
              </w:rPr>
              <w:t>5049</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373" w:type="pct"/>
            <w:noWrap w:val="0"/>
            <w:tcMar>
              <w:top w:w="10" w:type="dxa"/>
              <w:left w:w="10" w:type="dxa"/>
              <w:bottom w:w="0" w:type="dxa"/>
              <w:right w:w="10" w:type="dxa"/>
            </w:tcMar>
            <w:vAlign w:val="center"/>
          </w:tcPr>
          <w:p>
            <w:pPr>
              <w:pStyle w:val="3013"/>
              <w:rPr>
                <w:rFonts w:hint="eastAsia"/>
              </w:rPr>
            </w:pPr>
            <w:r>
              <w:rPr>
                <w:rFonts w:hint="eastAsia"/>
              </w:rPr>
              <w:t>合计</w:t>
            </w:r>
          </w:p>
        </w:tc>
        <w:tc>
          <w:tcPr>
            <w:tcW w:w="302" w:type="pct"/>
            <w:noWrap w:val="0"/>
            <w:tcMar>
              <w:top w:w="10" w:type="dxa"/>
              <w:left w:w="10" w:type="dxa"/>
              <w:bottom w:w="0" w:type="dxa"/>
              <w:right w:w="10" w:type="dxa"/>
            </w:tcMar>
            <w:vAlign w:val="center"/>
          </w:tcPr>
          <w:p>
            <w:pPr>
              <w:pStyle w:val="3013"/>
              <w:rPr>
                <w:rFonts w:hint="eastAsia"/>
              </w:rPr>
            </w:pPr>
            <w:r>
              <w:rPr>
                <w:rFonts w:hint="eastAsia"/>
              </w:rPr>
              <w:t>3463</w:t>
            </w:r>
          </w:p>
        </w:tc>
        <w:tc>
          <w:tcPr>
            <w:tcW w:w="447" w:type="pct"/>
            <w:noWrap w:val="0"/>
            <w:tcMar>
              <w:top w:w="10" w:type="dxa"/>
              <w:left w:w="10" w:type="dxa"/>
              <w:bottom w:w="0" w:type="dxa"/>
              <w:right w:w="10" w:type="dxa"/>
            </w:tcMar>
            <w:vAlign w:val="center"/>
          </w:tcPr>
          <w:p>
            <w:pPr>
              <w:spacing w:line="0" w:lineRule="atLeast"/>
              <w:ind w:firstLine="0" w:firstLineChars="0"/>
              <w:jc w:val="center"/>
              <w:rPr>
                <w:rFonts w:hint="eastAsia" w:ascii="楷体_GB2312" w:eastAsia="楷体_GB2312"/>
                <w:kern w:val="0"/>
                <w:sz w:val="21"/>
                <w:szCs w:val="21"/>
              </w:rPr>
            </w:pPr>
            <w:r>
              <w:rPr>
                <w:rFonts w:hint="eastAsia" w:ascii="楷体_GB2312" w:eastAsia="楷体_GB2312"/>
                <w:kern w:val="0"/>
                <w:sz w:val="21"/>
                <w:szCs w:val="21"/>
              </w:rPr>
              <w:t>3579</w:t>
            </w:r>
          </w:p>
        </w:tc>
        <w:tc>
          <w:tcPr>
            <w:tcW w:w="304" w:type="pct"/>
            <w:noWrap w:val="0"/>
            <w:tcMar>
              <w:top w:w="10" w:type="dxa"/>
              <w:left w:w="10" w:type="dxa"/>
              <w:bottom w:w="0" w:type="dxa"/>
              <w:right w:w="10" w:type="dxa"/>
            </w:tcMar>
            <w:vAlign w:val="center"/>
          </w:tcPr>
          <w:p>
            <w:pPr>
              <w:pStyle w:val="3013"/>
              <w:rPr>
                <w:rFonts w:hint="eastAsia"/>
              </w:rPr>
            </w:pPr>
            <w:r>
              <w:rPr>
                <w:rFonts w:hint="eastAsia"/>
              </w:rPr>
              <w:t>116</w:t>
            </w:r>
          </w:p>
        </w:tc>
        <w:tc>
          <w:tcPr>
            <w:tcW w:w="304" w:type="pct"/>
            <w:noWrap w:val="0"/>
            <w:tcMar>
              <w:top w:w="10" w:type="dxa"/>
              <w:left w:w="10" w:type="dxa"/>
              <w:bottom w:w="0" w:type="dxa"/>
              <w:right w:w="10" w:type="dxa"/>
            </w:tcMar>
            <w:vAlign w:val="center"/>
          </w:tcPr>
          <w:p>
            <w:pPr>
              <w:pStyle w:val="3013"/>
              <w:rPr>
                <w:rFonts w:hint="eastAsia"/>
              </w:rPr>
            </w:pPr>
            <w:r>
              <w:rPr>
                <w:rFonts w:hint="eastAsia"/>
              </w:rPr>
              <w:t>374</w:t>
            </w:r>
          </w:p>
        </w:tc>
        <w:tc>
          <w:tcPr>
            <w:tcW w:w="448" w:type="pct"/>
            <w:noWrap w:val="0"/>
            <w:tcMar>
              <w:top w:w="10" w:type="dxa"/>
              <w:left w:w="10" w:type="dxa"/>
              <w:bottom w:w="0" w:type="dxa"/>
              <w:right w:w="10" w:type="dxa"/>
            </w:tcMar>
            <w:vAlign w:val="center"/>
          </w:tcPr>
          <w:p>
            <w:pPr>
              <w:spacing w:line="0" w:lineRule="atLeast"/>
              <w:ind w:firstLine="0" w:firstLineChars="0"/>
              <w:jc w:val="center"/>
              <w:rPr>
                <w:rFonts w:hint="eastAsia" w:ascii="楷体_GB2312" w:eastAsia="楷体_GB2312"/>
                <w:kern w:val="0"/>
                <w:sz w:val="21"/>
                <w:szCs w:val="21"/>
              </w:rPr>
            </w:pPr>
            <w:r>
              <w:rPr>
                <w:rFonts w:hint="eastAsia" w:ascii="楷体_GB2312" w:eastAsia="楷体_GB2312"/>
                <w:kern w:val="0"/>
                <w:sz w:val="21"/>
                <w:szCs w:val="21"/>
              </w:rPr>
              <w:t>926</w:t>
            </w:r>
          </w:p>
        </w:tc>
        <w:tc>
          <w:tcPr>
            <w:tcW w:w="304" w:type="pct"/>
            <w:noWrap w:val="0"/>
            <w:tcMar>
              <w:top w:w="10" w:type="dxa"/>
              <w:left w:w="10" w:type="dxa"/>
              <w:bottom w:w="0" w:type="dxa"/>
              <w:right w:w="10" w:type="dxa"/>
            </w:tcMar>
            <w:vAlign w:val="center"/>
          </w:tcPr>
          <w:p>
            <w:pPr>
              <w:pStyle w:val="3013"/>
              <w:rPr>
                <w:rFonts w:hint="eastAsia"/>
              </w:rPr>
            </w:pPr>
            <w:r>
              <w:rPr>
                <w:rFonts w:hint="eastAsia"/>
              </w:rPr>
              <w:t>552</w:t>
            </w:r>
          </w:p>
        </w:tc>
        <w:tc>
          <w:tcPr>
            <w:tcW w:w="304" w:type="pct"/>
            <w:noWrap w:val="0"/>
            <w:tcMar>
              <w:top w:w="10" w:type="dxa"/>
              <w:left w:w="10" w:type="dxa"/>
              <w:bottom w:w="0" w:type="dxa"/>
              <w:right w:w="10" w:type="dxa"/>
            </w:tcMar>
            <w:vAlign w:val="center"/>
          </w:tcPr>
          <w:p>
            <w:pPr>
              <w:pStyle w:val="3013"/>
              <w:rPr>
                <w:rFonts w:hint="eastAsia"/>
              </w:rPr>
            </w:pPr>
            <w:r>
              <w:rPr>
                <w:rFonts w:hint="eastAsia"/>
              </w:rPr>
              <w:t>1032</w:t>
            </w:r>
          </w:p>
        </w:tc>
        <w:tc>
          <w:tcPr>
            <w:tcW w:w="448" w:type="pct"/>
            <w:noWrap w:val="0"/>
            <w:tcMar>
              <w:top w:w="10" w:type="dxa"/>
              <w:left w:w="10" w:type="dxa"/>
              <w:bottom w:w="0" w:type="dxa"/>
              <w:right w:w="10" w:type="dxa"/>
            </w:tcMar>
            <w:vAlign w:val="center"/>
          </w:tcPr>
          <w:p>
            <w:pPr>
              <w:pStyle w:val="3013"/>
              <w:rPr>
                <w:rFonts w:hint="eastAsia"/>
              </w:rPr>
            </w:pPr>
            <w:r>
              <w:rPr>
                <w:rFonts w:hint="eastAsia"/>
              </w:rPr>
              <w:t>1772</w:t>
            </w:r>
          </w:p>
        </w:tc>
        <w:tc>
          <w:tcPr>
            <w:tcW w:w="304" w:type="pct"/>
            <w:noWrap w:val="0"/>
            <w:tcMar>
              <w:top w:w="10" w:type="dxa"/>
              <w:left w:w="10" w:type="dxa"/>
              <w:bottom w:w="0" w:type="dxa"/>
              <w:right w:w="10" w:type="dxa"/>
            </w:tcMar>
            <w:vAlign w:val="center"/>
          </w:tcPr>
          <w:p>
            <w:pPr>
              <w:pStyle w:val="3013"/>
              <w:rPr>
                <w:rFonts w:hint="eastAsia"/>
              </w:rPr>
            </w:pPr>
            <w:r>
              <w:rPr>
                <w:rFonts w:hint="eastAsia"/>
              </w:rPr>
              <w:t>740</w:t>
            </w:r>
          </w:p>
        </w:tc>
        <w:tc>
          <w:tcPr>
            <w:tcW w:w="304" w:type="pct"/>
            <w:noWrap w:val="0"/>
            <w:tcMar>
              <w:top w:w="10" w:type="dxa"/>
              <w:left w:w="10" w:type="dxa"/>
              <w:bottom w:w="0" w:type="dxa"/>
              <w:right w:w="10" w:type="dxa"/>
            </w:tcMar>
            <w:vAlign w:val="center"/>
          </w:tcPr>
          <w:p>
            <w:pPr>
              <w:pStyle w:val="3013"/>
              <w:rPr>
                <w:rFonts w:hint="eastAsia"/>
              </w:rPr>
            </w:pPr>
            <w:r>
              <w:rPr>
                <w:rFonts w:hint="eastAsia"/>
              </w:rPr>
              <w:t>5093</w:t>
            </w:r>
          </w:p>
        </w:tc>
        <w:tc>
          <w:tcPr>
            <w:tcW w:w="448" w:type="pct"/>
            <w:noWrap w:val="0"/>
            <w:tcMar>
              <w:top w:w="10" w:type="dxa"/>
              <w:left w:w="10" w:type="dxa"/>
              <w:bottom w:w="0" w:type="dxa"/>
              <w:right w:w="10" w:type="dxa"/>
            </w:tcMar>
            <w:vAlign w:val="center"/>
          </w:tcPr>
          <w:p>
            <w:pPr>
              <w:pStyle w:val="3013"/>
              <w:rPr>
                <w:rFonts w:hint="eastAsia"/>
              </w:rPr>
            </w:pPr>
            <w:r>
              <w:rPr>
                <w:rFonts w:hint="eastAsia"/>
              </w:rPr>
              <w:t>3685</w:t>
            </w:r>
          </w:p>
        </w:tc>
        <w:tc>
          <w:tcPr>
            <w:tcW w:w="375" w:type="pct"/>
            <w:noWrap w:val="0"/>
            <w:tcMar>
              <w:top w:w="10" w:type="dxa"/>
              <w:left w:w="10" w:type="dxa"/>
              <w:bottom w:w="0" w:type="dxa"/>
              <w:right w:w="10" w:type="dxa"/>
            </w:tcMar>
            <w:vAlign w:val="center"/>
          </w:tcPr>
          <w:p>
            <w:pPr>
              <w:pStyle w:val="3013"/>
              <w:rPr>
                <w:rFonts w:hint="eastAsia"/>
              </w:rPr>
            </w:pPr>
            <w:r>
              <w:rPr>
                <w:rFonts w:hint="eastAsia"/>
                <w:lang w:eastAsia="zh-CN"/>
              </w:rPr>
              <w:t>—</w:t>
            </w:r>
            <w:r>
              <w:rPr>
                <w:rFonts w:hint="eastAsia"/>
              </w:rPr>
              <w:t>1408</w:t>
            </w:r>
          </w:p>
        </w:tc>
        <w:tc>
          <w:tcPr>
            <w:tcW w:w="335" w:type="pct"/>
            <w:noWrap w:val="0"/>
            <w:tcMar>
              <w:top w:w="10" w:type="dxa"/>
              <w:left w:w="10" w:type="dxa"/>
              <w:bottom w:w="0" w:type="dxa"/>
              <w:right w:w="10" w:type="dxa"/>
            </w:tcMar>
            <w:vAlign w:val="center"/>
          </w:tcPr>
          <w:p>
            <w:pPr>
              <w:pStyle w:val="3013"/>
              <w:rPr>
                <w:rFonts w:hint="eastAsia"/>
              </w:rPr>
            </w:pPr>
            <w:r>
              <w:rPr>
                <w:rFonts w:hint="eastAsia"/>
              </w:rPr>
              <w:t>9962</w:t>
            </w:r>
          </w:p>
        </w:tc>
      </w:tr>
    </w:tbl>
    <w:p>
      <w:pPr>
        <w:pStyle w:val="2886"/>
        <w:jc w:val="both"/>
        <w:outlineLvl w:val="9"/>
        <w:rPr>
          <w:rFonts w:hint="eastAsia" w:ascii="仿宋_GB2312" w:eastAsia="仿宋_GB2312"/>
        </w:rPr>
      </w:pPr>
    </w:p>
    <w:p>
      <w:pPr>
        <w:pStyle w:val="2886"/>
        <w:outlineLvl w:val="9"/>
        <w:rPr>
          <w:rFonts w:ascii="仿宋_GB2312" w:eastAsia="仿宋_GB2312"/>
        </w:rPr>
        <w:sectPr>
          <w:headerReference r:id="rId34" w:type="default"/>
          <w:headerReference r:id="rId35" w:type="even"/>
          <w:pgSz w:w="11907" w:h="16840"/>
          <w:pgMar w:top="1616" w:right="1418" w:bottom="1616" w:left="1418" w:header="851" w:footer="1304" w:gutter="0"/>
          <w:pgBorders>
            <w:top w:val="none" w:sz="0" w:space="0"/>
            <w:left w:val="none" w:sz="0" w:space="0"/>
            <w:bottom w:val="none" w:sz="0" w:space="0"/>
            <w:right w:val="none" w:sz="0" w:space="0"/>
          </w:pgBorders>
          <w:pgNumType w:fmt="decimal"/>
          <w:cols w:space="720" w:num="1"/>
          <w:docGrid w:type="lines" w:linePitch="381" w:charSpace="0"/>
        </w:sectPr>
      </w:pPr>
    </w:p>
    <w:p>
      <w:pPr>
        <w:pStyle w:val="2886"/>
        <w:outlineLvl w:val="9"/>
        <w:rPr>
          <w:rFonts w:ascii="仿宋_GB2312" w:eastAsia="仿宋_GB2312"/>
        </w:rPr>
      </w:pPr>
      <w:r>
        <w:rPr>
          <w:rFonts w:ascii="仿宋_GB2312" w:eastAsia="仿宋_GB2312"/>
        </w:rPr>
        <w:drawing>
          <wp:inline distT="0" distB="0" distL="114300" distR="114300">
            <wp:extent cx="11551920" cy="8174355"/>
            <wp:effectExtent l="0" t="0" r="11430" b="17145"/>
            <wp:docPr id="149" name="图片 248" descr="图6.1-20    河道疏浚+大常枢纽改造后綦江主城区防洪能力分段描述示意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9" name="图片 248" descr="图6.1-20    河道疏浚+大常枢纽改造后綦江主城区防洪能力分段描述示意图"/>
                    <pic:cNvPicPr>
                      <a:picLocks noChangeAspect="true"/>
                    </pic:cNvPicPr>
                  </pic:nvPicPr>
                  <pic:blipFill>
                    <a:blip r:embed="rId189"/>
                    <a:stretch>
                      <a:fillRect/>
                    </a:stretch>
                  </pic:blipFill>
                  <pic:spPr>
                    <a:xfrm>
                      <a:off x="0" y="0"/>
                      <a:ext cx="11551920" cy="8174355"/>
                    </a:xfrm>
                    <a:prstGeom prst="rect">
                      <a:avLst/>
                    </a:prstGeom>
                    <a:noFill/>
                    <a:ln>
                      <a:noFill/>
                    </a:ln>
                  </pic:spPr>
                </pic:pic>
              </a:graphicData>
            </a:graphic>
          </wp:inline>
        </w:drawing>
      </w:r>
    </w:p>
    <w:p>
      <w:pPr>
        <w:pStyle w:val="2886"/>
      </w:pPr>
      <w:r>
        <w:rPr>
          <w:rFonts w:hint="eastAsia"/>
        </w:rPr>
        <w:t>图</w:t>
      </w:r>
      <w:r>
        <w:t>6.1</w:t>
      </w:r>
      <w:r>
        <w:rPr>
          <w:rFonts w:hint="eastAsia"/>
          <w:lang w:eastAsia="zh-CN"/>
        </w:rPr>
        <w:t>—</w:t>
      </w:r>
      <w:r>
        <w:t>2</w:t>
      </w:r>
      <w:r>
        <w:rPr>
          <w:rFonts w:hint="eastAsia"/>
        </w:rPr>
        <w:t>2    组合方案实施后綦江</w:t>
      </w:r>
      <w:r>
        <w:t>主</w:t>
      </w:r>
      <w:r>
        <w:rPr>
          <w:rFonts w:hint="eastAsia"/>
        </w:rPr>
        <w:t>城区防洪能力分段描述示意图</w:t>
      </w:r>
    </w:p>
    <w:p>
      <w:pPr>
        <w:pStyle w:val="2953"/>
        <w:ind w:firstLine="560"/>
        <w:sectPr>
          <w:headerReference r:id="rId36" w:type="default"/>
          <w:headerReference r:id="rId37" w:type="even"/>
          <w:pgSz w:w="23814" w:h="16839" w:orient="landscape"/>
          <w:pgMar w:top="1418" w:right="1616" w:bottom="1418" w:left="1616" w:header="851" w:footer="1304" w:gutter="0"/>
          <w:pgBorders>
            <w:top w:val="none" w:sz="0" w:space="0"/>
            <w:left w:val="none" w:sz="0" w:space="0"/>
            <w:bottom w:val="none" w:sz="0" w:space="0"/>
            <w:right w:val="none" w:sz="0" w:space="0"/>
          </w:pgBorders>
          <w:pgNumType w:fmt="decimal"/>
          <w:cols w:space="720" w:num="1"/>
          <w:docGrid w:type="lines" w:linePitch="381" w:charSpace="0"/>
        </w:sectPr>
      </w:pPr>
    </w:p>
    <w:p>
      <w:pPr>
        <w:pStyle w:val="1795"/>
        <w:keepNext w:val="0"/>
        <w:keepLines w:val="0"/>
        <w:pageBreakBefore w:val="0"/>
        <w:widowControl w:val="0"/>
        <w:kinsoku/>
        <w:wordWrap/>
        <w:overflowPunct/>
        <w:topLinePunct w:val="0"/>
        <w:autoSpaceDE/>
        <w:autoSpaceDN/>
        <w:bidi w:val="0"/>
        <w:adjustRightInd/>
        <w:snapToGrid/>
        <w:spacing w:before="0" w:after="0"/>
        <w:ind w:firstLine="640" w:firstLineChars="200"/>
        <w:textAlignment w:val="auto"/>
        <w:rPr>
          <w:rFonts w:hint="eastAsia" w:ascii="方正楷体_GBK" w:hAnsi="方正楷体_GBK" w:eastAsia="方正楷体_GBK" w:cs="方正楷体_GBK"/>
        </w:rPr>
      </w:pPr>
      <w:bookmarkStart w:id="133" w:name="_Toc440526270"/>
      <w:bookmarkEnd w:id="133"/>
      <w:bookmarkStart w:id="134" w:name="_Toc440526242"/>
      <w:bookmarkEnd w:id="134"/>
      <w:bookmarkStart w:id="135" w:name="_Toc440526214"/>
      <w:bookmarkEnd w:id="135"/>
      <w:bookmarkStart w:id="136" w:name="_Toc71665875"/>
      <w:bookmarkStart w:id="137" w:name="_Toc13873"/>
      <w:bookmarkStart w:id="138" w:name="_Toc20115"/>
      <w:bookmarkStart w:id="139" w:name="_Toc71782090"/>
      <w:r>
        <w:rPr>
          <w:rFonts w:hint="eastAsia" w:ascii="方正楷体_GBK" w:hAnsi="方正楷体_GBK" w:eastAsia="方正楷体_GBK" w:cs="方正楷体_GBK"/>
          <w:lang w:eastAsia="zh-CN"/>
        </w:rPr>
        <w:t>（</w:t>
      </w:r>
      <w:r>
        <w:rPr>
          <w:rFonts w:hint="eastAsia" w:ascii="方正楷体_GBK" w:hAnsi="方正楷体_GBK" w:eastAsia="方正楷体_GBK" w:cs="方正楷体_GBK"/>
          <w:lang w:val="en-US" w:eastAsia="zh-CN"/>
        </w:rPr>
        <w:t>二</w:t>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rPr>
        <w:t>堤防工程规划</w:t>
      </w:r>
      <w:bookmarkEnd w:id="136"/>
      <w:bookmarkEnd w:id="137"/>
      <w:bookmarkEnd w:id="138"/>
      <w:bookmarkEnd w:id="139"/>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1</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rPr>
        <w:t>堤防工程建设的任务及作用</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堤防工程建设任务以城市防洪为主，兼顾岸坡整治、美化城市环境等。对防洪能力未达20年一遇的河段进行加高加固堤防，使其具备防御大洪水的运用条件，以生态韧性城市为长远建设目标，结合国家生态文明建设理念，谋划长远解决对策，推动生态治水工程和堤防护岸生态化改造，打造水系统治理的“綦江模式”，为綦江城区经济发展提供良好的基础条件。</w:t>
      </w:r>
    </w:p>
    <w:p>
      <w:pPr>
        <w:keepNext w:val="0"/>
        <w:keepLines w:val="0"/>
        <w:pageBreakBefore w:val="0"/>
        <w:widowControl w:val="0"/>
        <w:kinsoku/>
        <w:wordWrap/>
        <w:overflowPunct/>
        <w:topLinePunct w:val="0"/>
        <w:autoSpaceDE/>
        <w:autoSpaceDN/>
        <w:bidi w:val="0"/>
        <w:adjustRightInd/>
        <w:snapToGrid/>
        <w:ind w:firstLine="640" w:firstLineChars="200"/>
        <w:textAlignment w:val="auto"/>
        <w:outlineLvl w:val="4"/>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1.1</w:t>
      </w:r>
      <w:r>
        <w:rPr>
          <w:rFonts w:hint="eastAsia" w:ascii="Times New Roman" w:eastAsia="方正仿宋_GBK" w:cs="Times New Roman"/>
          <w:sz w:val="32"/>
          <w:szCs w:val="32"/>
          <w:lang w:val="en-US" w:eastAsia="zh-CN"/>
        </w:rPr>
        <w:t xml:space="preserve"> </w:t>
      </w:r>
      <w:r>
        <w:rPr>
          <w:rFonts w:hint="default" w:ascii="Times New Roman" w:hAnsi="Times New Roman" w:eastAsia="方正仿宋_GBK" w:cs="Times New Roman"/>
          <w:sz w:val="32"/>
          <w:szCs w:val="32"/>
        </w:rPr>
        <w:t>城市防洪</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按20年一遇防洪标准兴建堤防工程。</w:t>
      </w:r>
    </w:p>
    <w:p>
      <w:pPr>
        <w:keepNext w:val="0"/>
        <w:keepLines w:val="0"/>
        <w:pageBreakBefore w:val="0"/>
        <w:widowControl w:val="0"/>
        <w:kinsoku/>
        <w:wordWrap/>
        <w:overflowPunct/>
        <w:topLinePunct w:val="0"/>
        <w:autoSpaceDE/>
        <w:autoSpaceDN/>
        <w:bidi w:val="0"/>
        <w:adjustRightInd/>
        <w:snapToGrid/>
        <w:ind w:firstLine="640" w:firstLineChars="200"/>
        <w:textAlignment w:val="auto"/>
        <w:outlineLvl w:val="4"/>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1.2</w:t>
      </w:r>
      <w:r>
        <w:rPr>
          <w:rFonts w:hint="eastAsia" w:ascii="Times New Roman" w:eastAsia="方正仿宋_GBK" w:cs="Times New Roman"/>
          <w:sz w:val="32"/>
          <w:szCs w:val="32"/>
          <w:lang w:val="en-US" w:eastAsia="zh-CN"/>
        </w:rPr>
        <w:t xml:space="preserve"> </w:t>
      </w:r>
      <w:r>
        <w:rPr>
          <w:rFonts w:hint="default" w:ascii="Times New Roman" w:hAnsi="Times New Roman" w:eastAsia="方正仿宋_GBK" w:cs="Times New Roman"/>
          <w:sz w:val="32"/>
          <w:szCs w:val="32"/>
        </w:rPr>
        <w:t>岸坡整治</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綦江城区沿綦江干流两岸多为土质岸坡，受山区河流水位陡长陡落的影响，部分地段出现崩塌现象。目前，大部分城区河段已实施护岸工程。本次规划将进一步完善岸坡整治，从根本上治理工程沿线岸坡，消除滑坡、岸坡垮塌等地质灾害隐患，同时防止水土流失。</w:t>
      </w:r>
    </w:p>
    <w:p>
      <w:pPr>
        <w:keepNext w:val="0"/>
        <w:keepLines w:val="0"/>
        <w:pageBreakBefore w:val="0"/>
        <w:widowControl w:val="0"/>
        <w:kinsoku/>
        <w:wordWrap/>
        <w:overflowPunct/>
        <w:topLinePunct w:val="0"/>
        <w:autoSpaceDE/>
        <w:autoSpaceDN/>
        <w:bidi w:val="0"/>
        <w:adjustRightInd/>
        <w:snapToGrid/>
        <w:ind w:firstLine="640" w:firstLineChars="200"/>
        <w:textAlignment w:val="auto"/>
        <w:outlineLvl w:val="4"/>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1.3</w:t>
      </w:r>
      <w:r>
        <w:rPr>
          <w:rFonts w:hint="eastAsia" w:ascii="Times New Roman" w:eastAsia="方正仿宋_GBK" w:cs="Times New Roman"/>
          <w:sz w:val="32"/>
          <w:szCs w:val="32"/>
          <w:lang w:val="en-US" w:eastAsia="zh-CN"/>
        </w:rPr>
        <w:t xml:space="preserve"> </w:t>
      </w:r>
      <w:r>
        <w:rPr>
          <w:rFonts w:hint="default" w:ascii="Times New Roman" w:hAnsi="Times New Roman" w:eastAsia="方正仿宋_GBK" w:cs="Times New Roman"/>
          <w:sz w:val="32"/>
          <w:szCs w:val="32"/>
        </w:rPr>
        <w:t>美化城市环境</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结合城市景观需求建设堤防工程。根据《綦江片区城乡总体规划（2012</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2020年）》，河流两侧岸线开辟30</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100m宽度不等的滨水绿化带，种植花草、树木，兴建各种亲水性建筑，形成城市的“风廊”和绿轴，强化城市的亲水性；保护和恢复沿岸生态环境，逐步搬迁改造现有河流沿岸影响风貌景观的建筑，集中建设绿色开放空间，成为市民休闲、旅游、观光的胜地，体现滨水城市的景观风貌。</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2</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rPr>
        <w:t>堤线拟定原则</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綦江城区位置特殊，地形条件复杂，堤线布置主要根据城区的地形条件、河道变迁，结合现有及拟建建筑物的位置、施工条件以及征地拆迁等因素。堤线布置遵循的主要原则如下：</w:t>
      </w:r>
    </w:p>
    <w:p>
      <w:pPr>
        <w:pStyle w:val="1916"/>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①堤线选择应与地形、地质条件和城市发展相结合，尽可能利用有利地形，布置在土质较好、比较稳定的地基上，尽可能避开软弱地基，同时留有适当宽度的河滩地。</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②按天然河势因势利导，堤线应与河势流向相适应，并与大洪水主流线大致平行。</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③堤线应力求平顺，各堤段平缓连接，不得采用折线或急弯。</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④堤线应尽量布置在拆迁房屋少的地带，并利于防洪抢险和工程管理。</w:t>
      </w:r>
    </w:p>
    <w:p>
      <w:pPr>
        <w:pStyle w:val="1916"/>
        <w:keepNext w:val="0"/>
        <w:keepLines w:val="0"/>
        <w:pageBreakBefore w:val="0"/>
        <w:widowControl w:val="0"/>
        <w:kinsoku/>
        <w:wordWrap/>
        <w:overflowPunct/>
        <w:topLinePunct w:val="0"/>
        <w:autoSpaceDE/>
        <w:autoSpaceDN/>
        <w:bidi w:val="0"/>
        <w:adjustRightInd/>
        <w:snapToGrid/>
        <w:ind w:firstLine="624"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pacing w:val="-4"/>
          <w:sz w:val="32"/>
          <w:szCs w:val="32"/>
        </w:rPr>
        <w:t>⑤</w:t>
      </w:r>
      <w:r>
        <w:rPr>
          <w:rFonts w:hint="default" w:ascii="Times New Roman" w:hAnsi="Times New Roman" w:eastAsia="方正仿宋_GBK" w:cs="Times New Roman"/>
          <w:sz w:val="32"/>
          <w:szCs w:val="32"/>
        </w:rPr>
        <w:t>全面考虑防洪、航运、路上交通、沿江绿化等工程要求，发挥工程综合效益，避免相互干扰和矛盾，增强工程实施的可能性和经济性。</w:t>
      </w:r>
    </w:p>
    <w:p>
      <w:pPr>
        <w:pStyle w:val="1916"/>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考虑堤防加高空间、城市景观需求等，本次规划堤防布置基本沿现有堤线，綦江左岸下北街、大常枢纽</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沙溪河口、綦江右岸菜坝等局部狭窄堤段堤线适当后退。经综合分析，綦江干流主城区河段堤线按20年一遇洪水条件下平均水面宽度不小于150m进行控制。</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3</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rPr>
        <w:t>工程等级及标准</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依据《重庆市綦江区城乡总体规划（2012</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2020年）》和《綦江县县城防洪规划方案报告》（2007年）等有关规划及防洪保护区重要性拟定綦江城区防洪标准为50年一遇。</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依据《堤防工程设计规范》（GB50286</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2013）第3.1.3条，綦江城区防洪标准为50年一遇，堤防级别为2级。</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4</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rPr>
        <w:t>堤顶超高</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根据《堤防工程设计规范》（GB50286</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2013），堤顶超高按下式计算：</w:t>
      </w:r>
    </w:p>
    <w:p>
      <w:pPr>
        <w:ind w:firstLine="560"/>
        <w:jc w:val="center"/>
        <w:rPr>
          <w:rFonts w:hint="default" w:ascii="Times New Roman" w:hAnsi="Times New Roman" w:eastAsia="宋体" w:cs="Times New Roman"/>
          <w:kern w:val="0"/>
          <w:sz w:val="24"/>
          <w:szCs w:val="24"/>
        </w:rPr>
      </w:pPr>
      <w:bookmarkStart w:id="140" w:name="_Toc398194274"/>
      <w:bookmarkStart w:id="141" w:name="_Toc398193895"/>
      <w:r>
        <w:rPr>
          <w:rFonts w:hint="default" w:ascii="Times New Roman" w:hAnsi="Times New Roman" w:cs="Times New Roman"/>
          <w:szCs w:val="20"/>
        </w:rPr>
        <w:t>Y=R+e+A</w:t>
      </w:r>
      <w:bookmarkEnd w:id="140"/>
      <w:bookmarkEnd w:id="141"/>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lang w:val="en-US" w:eastAsia="zh-CN"/>
        </w:rPr>
      </w:pPr>
      <w:bookmarkStart w:id="142" w:name="_Toc398194275"/>
      <w:bookmarkStart w:id="143" w:name="_Toc398193896"/>
      <w:r>
        <w:rPr>
          <w:rFonts w:hint="eastAsia" w:ascii="Times New Roman" w:hAnsi="Times New Roman" w:eastAsia="方正仿宋_GBK" w:cs="Times New Roman"/>
          <w:sz w:val="32"/>
          <w:szCs w:val="32"/>
          <w:lang w:val="en-US" w:eastAsia="zh-CN"/>
        </w:rPr>
        <w:t>Y</w:t>
      </w:r>
      <w:r>
        <w:rPr>
          <w:rFonts w:hint="default" w:ascii="Times New Roman" w:hAns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堤顶超高（m）</w:t>
      </w:r>
      <w:bookmarkEnd w:id="142"/>
      <w:bookmarkEnd w:id="143"/>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e</w:t>
      </w:r>
      <w:r>
        <w:rPr>
          <w:rFonts w:hint="default" w:ascii="Times New Roman" w:hAns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设计风壅水面高度（m）</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R</w:t>
      </w:r>
      <w:r>
        <w:rPr>
          <w:rFonts w:hint="default" w:ascii="Times New Roman" w:hAns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设计波浪爬高（m）</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A</w:t>
      </w:r>
      <w:r>
        <w:rPr>
          <w:rFonts w:hint="default" w:ascii="Times New Roman" w:hAns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安全加高值（m）。</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对于安全加高，规范规定有不允许越浪和允许越浪两种情况。针对本工程堤防堤顶高程，由于属于山区河道，两岸地面高程除局部稍低于设计洪水位外，其余地面均高于设计洪水位或设计堤顶高程，且河道堤防大部分为护岸结构，因此堤顶有部分越浪不影响保护对象的防洪安全，对堤防（护岸）影响也不大，因此本工程堤顶高程计算时安全加高采用允许越浪取值。根据《堤防工程设计规范》（GB50286—2013），綦江城区堤防安全超高取</w:t>
      </w:r>
      <w:r>
        <w:rPr>
          <w:rFonts w:hint="default" w:ascii="Times New Roman" w:hAnsi="Times New Roman" w:eastAsia="方正仿宋_GBK" w:cs="Times New Roman"/>
          <w:sz w:val="32"/>
          <w:szCs w:val="32"/>
          <w:lang w:val="en-US" w:eastAsia="zh-CN"/>
        </w:rPr>
        <w:t>0.4</w:t>
      </w:r>
      <w:r>
        <w:rPr>
          <w:rFonts w:hint="eastAsia" w:ascii="Times New Roman" w:hAnsi="Times New Roman" w:eastAsia="方正仿宋_GBK" w:cs="Times New Roman"/>
          <w:sz w:val="32"/>
          <w:szCs w:val="32"/>
          <w:lang w:val="en-US" w:eastAsia="zh-CN"/>
        </w:rPr>
        <w:t>m（允许越浪）。</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lang w:val="en-US" w:eastAsia="zh-CN"/>
        </w:rPr>
      </w:pPr>
      <w:r>
        <w:rPr>
          <w:rFonts w:hint="default" w:ascii="Times New Roman" w:hAnsi="Times New Roman" w:eastAsia="方正仿宋_GBK" w:cs="Times New Roman"/>
          <w:sz w:val="32"/>
          <w:szCs w:val="32"/>
          <w:lang w:val="en-US" w:eastAsia="zh-CN"/>
        </w:rPr>
        <w:t>根据</w:t>
      </w:r>
      <w:r>
        <w:rPr>
          <w:rFonts w:hint="eastAsia" w:ascii="Times New Roman" w:hAnsi="Times New Roman" w:eastAsia="方正仿宋_GBK" w:cs="Times New Roman"/>
          <w:sz w:val="32"/>
          <w:szCs w:val="32"/>
          <w:lang w:val="en-US" w:eastAsia="zh-CN"/>
        </w:rPr>
        <w:t>《重庆市綦江城区防洪护岸综合整治工程初步设计报告》（2</w:t>
      </w:r>
      <w:r>
        <w:rPr>
          <w:rFonts w:hint="default" w:ascii="Times New Roman" w:hAnsi="Times New Roman" w:eastAsia="方正仿宋_GBK" w:cs="Times New Roman"/>
          <w:sz w:val="32"/>
          <w:szCs w:val="32"/>
          <w:lang w:val="en-US" w:eastAsia="zh-CN"/>
        </w:rPr>
        <w:t>008年</w:t>
      </w:r>
      <w:r>
        <w:rPr>
          <w:rFonts w:hint="eastAsia" w:ascii="Times New Roman" w:hAnsi="Times New Roman" w:eastAsia="方正仿宋_GBK" w:cs="Times New Roman"/>
          <w:sz w:val="32"/>
          <w:szCs w:val="32"/>
          <w:lang w:val="en-US" w:eastAsia="zh-CN"/>
        </w:rPr>
        <w:t>），綦江城区堤防设计波浪爬高为0.53m，风壅水面高度为0.001m，则堤顶超高为0.93m。本次规划綦江城区堤顶超高采用值为1m。</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5．綦江干流</w:t>
      </w:r>
      <w:r>
        <w:rPr>
          <w:rFonts w:hint="default" w:ascii="Times New Roman" w:hAnsi="Times New Roman" w:eastAsia="方正仿宋_GBK" w:cs="Times New Roman"/>
          <w:sz w:val="32"/>
          <w:szCs w:val="32"/>
          <w:lang w:val="en-US" w:eastAsia="zh-CN"/>
        </w:rPr>
        <w:t>主城区</w:t>
      </w:r>
      <w:r>
        <w:rPr>
          <w:rFonts w:hint="eastAsia" w:ascii="Times New Roman" w:hAnsi="Times New Roman" w:eastAsia="方正仿宋_GBK" w:cs="Times New Roman"/>
          <w:sz w:val="32"/>
          <w:szCs w:val="32"/>
          <w:lang w:val="en-US" w:eastAsia="zh-CN"/>
        </w:rPr>
        <w:t>段</w:t>
      </w:r>
      <w:r>
        <w:rPr>
          <w:rFonts w:hint="default" w:ascii="Times New Roman" w:hAnsi="Times New Roman" w:eastAsia="方正仿宋_GBK" w:cs="Times New Roman"/>
          <w:sz w:val="32"/>
          <w:szCs w:val="32"/>
          <w:lang w:val="en-US" w:eastAsia="zh-CN"/>
        </w:rPr>
        <w:t>堤防</w:t>
      </w:r>
      <w:r>
        <w:rPr>
          <w:rFonts w:hint="eastAsia" w:ascii="Times New Roman" w:hAnsi="Times New Roman" w:eastAsia="方正仿宋_GBK" w:cs="Times New Roman"/>
          <w:sz w:val="32"/>
          <w:szCs w:val="32"/>
          <w:lang w:val="en-US" w:eastAsia="zh-CN"/>
        </w:rPr>
        <w:t>工程</w:t>
      </w:r>
      <w:r>
        <w:rPr>
          <w:rFonts w:hint="default" w:ascii="Times New Roman" w:hAnsi="Times New Roman" w:eastAsia="方正仿宋_GBK" w:cs="Times New Roman"/>
          <w:sz w:val="32"/>
          <w:szCs w:val="32"/>
          <w:lang w:val="en-US" w:eastAsia="zh-CN"/>
        </w:rPr>
        <w:t>方案</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5.1 堤防建设总体思路</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河道疏浚、大常枢纽改造、石溪口枢纽改造后，綦江主城区沿线堤防欠高情况（考虑1</w:t>
      </w:r>
      <w:r>
        <w:rPr>
          <w:rFonts w:hint="default" w:ascii="Times New Roman" w:hAnsi="Times New Roman" w:eastAsia="方正仿宋_GBK" w:cs="Times New Roman"/>
          <w:sz w:val="32"/>
          <w:szCs w:val="32"/>
          <w:lang w:val="en-US" w:eastAsia="zh-CN"/>
        </w:rPr>
        <w:t>m</w:t>
      </w:r>
      <w:r>
        <w:rPr>
          <w:rFonts w:hint="eastAsia" w:ascii="Times New Roman" w:hAnsi="Times New Roman" w:eastAsia="方正仿宋_GBK" w:cs="Times New Roman"/>
          <w:sz w:val="32"/>
          <w:szCs w:val="32"/>
          <w:lang w:val="en-US" w:eastAsia="zh-CN"/>
        </w:rPr>
        <w:t>的堤顶超高）见图</w:t>
      </w:r>
      <w:r>
        <w:rPr>
          <w:rFonts w:hint="default" w:ascii="Times New Roman" w:hAnsi="Times New Roman" w:eastAsia="方正仿宋_GBK" w:cs="Times New Roman"/>
          <w:sz w:val="32"/>
          <w:szCs w:val="32"/>
          <w:lang w:val="en-US" w:eastAsia="zh-CN"/>
        </w:rPr>
        <w:t>6.2</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lang w:val="en-US" w:eastAsia="zh-CN"/>
        </w:rPr>
        <w:t>1</w:t>
      </w:r>
      <w:r>
        <w:rPr>
          <w:rFonts w:hint="eastAsia" w:ascii="Times New Roman" w:hAnsi="Times New Roman" w:eastAsia="方正仿宋_GBK" w:cs="Times New Roman"/>
          <w:sz w:val="32"/>
          <w:szCs w:val="32"/>
          <w:lang w:val="en-US" w:eastAsia="zh-CN"/>
        </w:rPr>
        <w:t>。綦江干流左岸欠高较大的区域主要位于华诺世口腔—沱湾半山公寓公交站段（欠高</w:t>
      </w:r>
      <w:r>
        <w:rPr>
          <w:rFonts w:hint="default" w:ascii="Times New Roman" w:hAnsi="Times New Roman" w:eastAsia="方正仿宋_GBK" w:cs="Times New Roman"/>
          <w:sz w:val="32"/>
          <w:szCs w:val="32"/>
          <w:lang w:val="en-US" w:eastAsia="zh-CN"/>
        </w:rPr>
        <w:t>1.81</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lang w:val="en-US" w:eastAsia="zh-CN"/>
        </w:rPr>
        <w:t>4.52m</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lang w:val="en-US" w:eastAsia="zh-CN"/>
        </w:rPr>
        <w:t>平均3.30m</w:t>
      </w:r>
      <w:r>
        <w:rPr>
          <w:rFonts w:hint="eastAsia" w:ascii="Times New Roman" w:hAnsi="Times New Roman" w:eastAsia="方正仿宋_GBK" w:cs="Times New Roman"/>
          <w:sz w:val="32"/>
          <w:szCs w:val="32"/>
          <w:lang w:val="en-US" w:eastAsia="zh-CN"/>
        </w:rPr>
        <w:t>）、南门办公楼—政府下滨江路公厕段（欠高</w:t>
      </w:r>
      <w:r>
        <w:rPr>
          <w:rFonts w:hint="default" w:ascii="Times New Roman" w:hAnsi="Times New Roman" w:eastAsia="方正仿宋_GBK" w:cs="Times New Roman"/>
          <w:sz w:val="32"/>
          <w:szCs w:val="32"/>
          <w:lang w:val="en-US" w:eastAsia="zh-CN"/>
        </w:rPr>
        <w:t>2.37</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lang w:val="en-US" w:eastAsia="zh-CN"/>
        </w:rPr>
        <w:t>5.31m</w:t>
      </w:r>
      <w:r>
        <w:rPr>
          <w:rFonts w:hint="eastAsia" w:ascii="Times New Roman" w:hAnsi="Times New Roman" w:eastAsia="方正仿宋_GBK" w:cs="Times New Roman"/>
          <w:sz w:val="32"/>
          <w:szCs w:val="32"/>
          <w:lang w:val="en-US" w:eastAsia="zh-CN"/>
        </w:rPr>
        <w:t>，平均</w:t>
      </w:r>
      <w:r>
        <w:rPr>
          <w:rFonts w:hint="default" w:ascii="Times New Roman" w:hAnsi="Times New Roman" w:eastAsia="方正仿宋_GBK" w:cs="Times New Roman"/>
          <w:sz w:val="32"/>
          <w:szCs w:val="32"/>
          <w:lang w:val="en-US" w:eastAsia="zh-CN"/>
        </w:rPr>
        <w:t>4.26m</w:t>
      </w:r>
      <w:r>
        <w:rPr>
          <w:rFonts w:hint="eastAsia" w:ascii="Times New Roman" w:hAnsi="Times New Roman" w:eastAsia="方正仿宋_GBK" w:cs="Times New Roman"/>
          <w:sz w:val="32"/>
          <w:szCs w:val="32"/>
          <w:lang w:val="en-US" w:eastAsia="zh-CN"/>
        </w:rPr>
        <w:t>）、北街小学附设幼儿园—大常枢纽段（欠高</w:t>
      </w:r>
      <w:r>
        <w:rPr>
          <w:rFonts w:hint="default" w:ascii="Times New Roman" w:hAnsi="Times New Roman" w:eastAsia="方正仿宋_GBK" w:cs="Times New Roman"/>
          <w:sz w:val="32"/>
          <w:szCs w:val="32"/>
          <w:lang w:val="en-US" w:eastAsia="zh-CN"/>
        </w:rPr>
        <w:t>2.54</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lang w:val="en-US" w:eastAsia="zh-CN"/>
        </w:rPr>
        <w:t>6.53m</w:t>
      </w:r>
      <w:r>
        <w:rPr>
          <w:rFonts w:hint="eastAsia" w:ascii="Times New Roman" w:hAnsi="Times New Roman" w:eastAsia="方正仿宋_GBK" w:cs="Times New Roman"/>
          <w:sz w:val="32"/>
          <w:szCs w:val="32"/>
          <w:lang w:val="en-US" w:eastAsia="zh-CN"/>
        </w:rPr>
        <w:t>，平均</w:t>
      </w:r>
      <w:r>
        <w:rPr>
          <w:rFonts w:hint="default" w:ascii="Times New Roman" w:hAnsi="Times New Roman" w:eastAsia="方正仿宋_GBK" w:cs="Times New Roman"/>
          <w:sz w:val="32"/>
          <w:szCs w:val="32"/>
          <w:lang w:val="en-US" w:eastAsia="zh-CN"/>
        </w:rPr>
        <w:t>4.25m</w:t>
      </w:r>
      <w:r>
        <w:rPr>
          <w:rFonts w:hint="eastAsia" w:ascii="Times New Roman" w:hAnsi="Times New Roman" w:eastAsia="方正仿宋_GBK" w:cs="Times New Roman"/>
          <w:sz w:val="32"/>
          <w:szCs w:val="32"/>
          <w:lang w:val="en-US" w:eastAsia="zh-CN"/>
        </w:rPr>
        <w:t>）、铝厂职工医院—綦江区第二建筑工程公司（欠高</w:t>
      </w:r>
      <w:r>
        <w:rPr>
          <w:rFonts w:hint="default" w:ascii="Times New Roman" w:hAnsi="Times New Roman" w:eastAsia="方正仿宋_GBK" w:cs="Times New Roman"/>
          <w:sz w:val="32"/>
          <w:szCs w:val="32"/>
          <w:lang w:val="en-US" w:eastAsia="zh-CN"/>
        </w:rPr>
        <w:t>3.19</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lang w:val="en-US" w:eastAsia="zh-CN"/>
        </w:rPr>
        <w:t>6.55m</w:t>
      </w:r>
      <w:r>
        <w:rPr>
          <w:rFonts w:hint="eastAsia" w:ascii="Times New Roman" w:hAnsi="Times New Roman" w:eastAsia="方正仿宋_GBK" w:cs="Times New Roman"/>
          <w:sz w:val="32"/>
          <w:szCs w:val="32"/>
          <w:lang w:val="en-US" w:eastAsia="zh-CN"/>
        </w:rPr>
        <w:t>，平均</w:t>
      </w:r>
      <w:r>
        <w:rPr>
          <w:rFonts w:hint="default" w:ascii="Times New Roman" w:hAnsi="Times New Roman" w:eastAsia="方正仿宋_GBK" w:cs="Times New Roman"/>
          <w:sz w:val="32"/>
          <w:szCs w:val="32"/>
          <w:lang w:val="en-US" w:eastAsia="zh-CN"/>
        </w:rPr>
        <w:t>5.37m</w:t>
      </w:r>
      <w:r>
        <w:rPr>
          <w:rFonts w:hint="eastAsia" w:ascii="Times New Roman" w:hAnsi="Times New Roman" w:eastAsia="方正仿宋_GBK" w:cs="Times New Roman"/>
          <w:sz w:val="32"/>
          <w:szCs w:val="32"/>
          <w:lang w:val="en-US" w:eastAsia="zh-CN"/>
        </w:rPr>
        <w:t>）；右岸欠高较大的区域主要位于黄木湾路公厕—綦江久平汽车售后服务部段（欠高</w:t>
      </w:r>
      <w:r>
        <w:rPr>
          <w:rFonts w:hint="default" w:ascii="Times New Roman" w:hAnsi="Times New Roman" w:eastAsia="方正仿宋_GBK" w:cs="Times New Roman"/>
          <w:sz w:val="32"/>
          <w:szCs w:val="32"/>
          <w:lang w:val="en-US" w:eastAsia="zh-CN"/>
        </w:rPr>
        <w:t>4.16</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lang w:val="en-US" w:eastAsia="zh-CN"/>
        </w:rPr>
        <w:t>5.53m</w:t>
      </w:r>
      <w:r>
        <w:rPr>
          <w:rFonts w:hint="eastAsia" w:ascii="Times New Roman" w:hAnsi="Times New Roman" w:eastAsia="方正仿宋_GBK" w:cs="Times New Roman"/>
          <w:sz w:val="32"/>
          <w:szCs w:val="32"/>
          <w:lang w:val="en-US" w:eastAsia="zh-CN"/>
        </w:rPr>
        <w:t>，平均</w:t>
      </w:r>
      <w:r>
        <w:rPr>
          <w:rFonts w:hint="default" w:ascii="Times New Roman" w:hAnsi="Times New Roman" w:eastAsia="方正仿宋_GBK" w:cs="Times New Roman"/>
          <w:sz w:val="32"/>
          <w:szCs w:val="32"/>
          <w:lang w:val="en-US" w:eastAsia="zh-CN"/>
        </w:rPr>
        <w:t>4.80m</w:t>
      </w:r>
      <w:r>
        <w:rPr>
          <w:rFonts w:hint="eastAsia" w:ascii="Times New Roman" w:hAnsi="Times New Roman" w:eastAsia="方正仿宋_GBK" w:cs="Times New Roman"/>
          <w:sz w:val="32"/>
          <w:szCs w:val="32"/>
          <w:lang w:val="en-US" w:eastAsia="zh-CN"/>
        </w:rPr>
        <w:t>）、交警大队—通惠河口段（欠高</w:t>
      </w:r>
      <w:r>
        <w:rPr>
          <w:rFonts w:hint="default" w:ascii="Times New Roman" w:hAnsi="Times New Roman" w:eastAsia="方正仿宋_GBK" w:cs="Times New Roman"/>
          <w:sz w:val="32"/>
          <w:szCs w:val="32"/>
          <w:lang w:val="en-US" w:eastAsia="zh-CN"/>
        </w:rPr>
        <w:t>3.23</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lang w:val="en-US" w:eastAsia="zh-CN"/>
        </w:rPr>
        <w:t>5.29m</w:t>
      </w:r>
      <w:r>
        <w:rPr>
          <w:rFonts w:hint="eastAsia" w:ascii="Times New Roman" w:hAnsi="Times New Roman" w:eastAsia="方正仿宋_GBK" w:cs="Times New Roman"/>
          <w:sz w:val="32"/>
          <w:szCs w:val="32"/>
          <w:lang w:val="en-US" w:eastAsia="zh-CN"/>
        </w:rPr>
        <w:t>，平均</w:t>
      </w:r>
      <w:r>
        <w:rPr>
          <w:rFonts w:hint="default" w:ascii="Times New Roman" w:hAnsi="Times New Roman" w:eastAsia="方正仿宋_GBK" w:cs="Times New Roman"/>
          <w:sz w:val="32"/>
          <w:szCs w:val="32"/>
          <w:lang w:val="en-US" w:eastAsia="zh-CN"/>
        </w:rPr>
        <w:t>4.34m</w:t>
      </w:r>
      <w:r>
        <w:rPr>
          <w:rFonts w:hint="eastAsia" w:ascii="Times New Roman" w:hAnsi="Times New Roman" w:eastAsia="方正仿宋_GBK" w:cs="Times New Roman"/>
          <w:sz w:val="32"/>
          <w:szCs w:val="32"/>
          <w:lang w:val="en-US" w:eastAsia="zh-CN"/>
        </w:rPr>
        <w:t>）、通惠河口—人民医院急救中心（欠高</w:t>
      </w:r>
      <w:r>
        <w:rPr>
          <w:rFonts w:hint="default" w:ascii="Times New Roman" w:hAnsi="Times New Roman" w:eastAsia="方正仿宋_GBK" w:cs="Times New Roman"/>
          <w:sz w:val="32"/>
          <w:szCs w:val="32"/>
          <w:lang w:val="en-US" w:eastAsia="zh-CN"/>
        </w:rPr>
        <w:t>3.00</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lang w:val="en-US" w:eastAsia="zh-CN"/>
        </w:rPr>
        <w:t>6.91m</w:t>
      </w:r>
      <w:r>
        <w:rPr>
          <w:rFonts w:hint="eastAsia" w:ascii="Times New Roman" w:hAnsi="Times New Roman" w:eastAsia="方正仿宋_GBK" w:cs="Times New Roman"/>
          <w:sz w:val="32"/>
          <w:szCs w:val="32"/>
          <w:lang w:val="en-US" w:eastAsia="zh-CN"/>
        </w:rPr>
        <w:t>，平均</w:t>
      </w:r>
      <w:r>
        <w:rPr>
          <w:rFonts w:hint="default" w:ascii="Times New Roman" w:hAnsi="Times New Roman" w:eastAsia="方正仿宋_GBK" w:cs="Times New Roman"/>
          <w:sz w:val="32"/>
          <w:szCs w:val="32"/>
          <w:lang w:val="en-US" w:eastAsia="zh-CN"/>
        </w:rPr>
        <w:t>5.37m</w:t>
      </w:r>
      <w:r>
        <w:rPr>
          <w:rFonts w:hint="eastAsia" w:ascii="Times New Roman" w:hAnsi="Times New Roman" w:eastAsia="方正仿宋_GBK" w:cs="Times New Roman"/>
          <w:sz w:val="32"/>
          <w:szCs w:val="32"/>
          <w:lang w:val="en-US" w:eastAsia="zh-CN"/>
        </w:rPr>
        <w:t>）。</w:t>
      </w:r>
    </w:p>
    <w:p>
      <w:pPr>
        <w:pStyle w:val="2886"/>
        <w:outlineLvl w:val="9"/>
        <w:rPr>
          <w:rFonts w:hint="eastAsia" w:ascii="仿宋_GB2312" w:eastAsia="仿宋_GB2312"/>
        </w:rPr>
      </w:pPr>
      <w:r>
        <w:rPr>
          <w:rFonts w:hint="eastAsia" w:ascii="仿宋_GB2312" w:eastAsia="仿宋_GB2312"/>
        </w:rPr>
        <w:drawing>
          <wp:inline distT="0" distB="0" distL="114300" distR="114300">
            <wp:extent cx="5758815" cy="6799580"/>
            <wp:effectExtent l="0" t="0" r="13335" b="1270"/>
            <wp:docPr id="150" name="图片 344" descr="图6.2-1    大常枢纽拆除+河道疏浚后綦江城区左右岸堤顶欠高分布示意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0" name="图片 344" descr="图6.2-1    大常枢纽拆除+河道疏浚后綦江城区左右岸堤顶欠高分布示意图"/>
                    <pic:cNvPicPr>
                      <a:picLocks noChangeAspect="true"/>
                    </pic:cNvPicPr>
                  </pic:nvPicPr>
                  <pic:blipFill>
                    <a:blip r:embed="rId190"/>
                    <a:stretch>
                      <a:fillRect/>
                    </a:stretch>
                  </pic:blipFill>
                  <pic:spPr>
                    <a:xfrm>
                      <a:off x="0" y="0"/>
                      <a:ext cx="5758815" cy="6799580"/>
                    </a:xfrm>
                    <a:prstGeom prst="rect">
                      <a:avLst/>
                    </a:prstGeom>
                    <a:noFill/>
                    <a:ln>
                      <a:noFill/>
                    </a:ln>
                  </pic:spPr>
                </pic:pic>
              </a:graphicData>
            </a:graphic>
          </wp:inline>
        </w:drawing>
      </w:r>
    </w:p>
    <w:p>
      <w:pPr>
        <w:pStyle w:val="2886"/>
        <w:rPr>
          <w:rFonts w:hint="default" w:ascii="Times New Roman" w:hAnsi="Times New Roman" w:cs="Times New Roman"/>
          <w:kern w:val="0"/>
        </w:rPr>
      </w:pPr>
      <w:r>
        <w:rPr>
          <w:rFonts w:hint="default" w:ascii="Times New Roman" w:hAnsi="Times New Roman" w:cs="Times New Roman"/>
        </w:rPr>
        <w:t>图6.2</w:t>
      </w:r>
      <w:r>
        <w:rPr>
          <w:rFonts w:hint="default" w:ascii="Times New Roman" w:hAnsi="Times New Roman" w:cs="Times New Roman"/>
          <w:lang w:eastAsia="zh-CN"/>
        </w:rPr>
        <w:t>—</w:t>
      </w:r>
      <w:r>
        <w:rPr>
          <w:rFonts w:hint="default" w:ascii="Times New Roman" w:hAnsi="Times New Roman" w:cs="Times New Roman"/>
        </w:rPr>
        <w:t>1  河道疏浚+航电梯级优化改造后綦江城区堤顶欠高分布示意图</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由于綦江主城区地少人多，尤其是菜坝和下北街低洼片区，如沿水边线建堤将缩窄行洪断面，增高洪水位，同时过高的堤防将严重影响城市景观；如堤线后移，则会涉及大量房屋的拆迁；如采用目前最新流行的装配式防洪墙，虽可同时解决防洪和景观问题，但由于綦江属山区性河流，洪水传播速度快，洪峰经东溪水文站到达綦江主城区的时间仅为4—5h，考虑一定预报误差和时效性问题，难以保证装配式防洪墙及时安装到位，且局部河段房屋密集，无法安装装配式防洪墙。综合考虑防洪效果、城市景观、城市交通、征地拆迁、工程投资等因素，本次规划采用“退滩还河”、低洼地回填及其组合方案等方式布置在各堤段。</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5.1.1 “退滩还河”方案</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退滩还河”方案堤线沿拆迁外边界布置。搬迁改造现有河流沿岸影响防洪和风貌景观的建筑，拆迁区域开敞空间实施河滩综合利用，并与堤防建设相结合，形成生态化滨河系统，用于岸线复绿和岸坡整治，河流两侧岸线开辟宽度不等的滨水绿化带，种植花草、树木，兴建各种亲水性建筑，形成城市的“风廊”和绿轴，强化城市的亲水性，实现“河清、水畅、岸绿、景美”的生态目标，满足市民和游客堤内外双向观景和亲水的要求；集中建设绿色开放空间，体现滨水城市的景观风貌，给市民提供更多的休闲游憩场所，营造亲切宜人的滨江亲水生态环境，改善城市面貌，成为市民休闲、旅游、观光的胜地，满足綦江主城区都市休闲旅游度假区、现代山水田园城市的战略定位。宽阔的河道漫滩不仅可以减轻洪水危害，也有利于扩大沿岸的开放水域，促进水生植物的生长，以及对地表水的净化。</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5.1.2 低洼地回填方案</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綦江区属山丘城市，土地宝贵，为减少土地资源浪费，堤线沿水边线布置，先进行两岸护岸保护，对征地拆迁区域结合今后的城市规划需要，实施旧城改造，回填低洼地带至防洪高程。</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5.1.3 组合方案</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为契合綦江主城区发展需要，因地制宜的实施“退滩还河”和低洼地回填方案。重点保留菜坝、下北街等大面积低洼地的现状土地属性，结合国道、滨河路等拓宽形势考虑火车站至沱湾大</w:t>
      </w:r>
      <w:r>
        <w:rPr>
          <w:rFonts w:hint="eastAsia" w:ascii="Times New Roman" w:hAnsi="Times New Roman" w:eastAsia="方正仿宋_GBK" w:cs="Times New Roman"/>
          <w:bCs/>
          <w:spacing w:val="-6"/>
          <w:sz w:val="32"/>
          <w:szCs w:val="32"/>
          <w:lang w:val="en-US" w:eastAsia="zh-CN"/>
        </w:rPr>
        <w:t>桥等河段的防洪需求，对大常枢纽以下河段河道狭窄区域实施拓</w:t>
      </w:r>
      <w:r>
        <w:rPr>
          <w:rFonts w:hint="eastAsia" w:ascii="Times New Roman" w:hAnsi="Times New Roman" w:eastAsia="方正仿宋_GBK" w:cs="Times New Roman"/>
          <w:sz w:val="32"/>
          <w:szCs w:val="32"/>
          <w:lang w:val="en-US" w:eastAsia="zh-CN"/>
        </w:rPr>
        <w:t>宽。</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比选了不同的“退滩还河”、低洼地回填及其组合方案。可以看出：</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①征地拆迁区域越大，拆迁费用越高，拆迁区域回填或堤线后靠后，建堤高度降低，建堤费用随之下降，但由于拆迁费用增幅远大于堤防建设，使得工程总投资增加、实施难度加大。</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②“退滩还河”方案堤线后靠至自然高地，拆迁区域按江滩公园建设，提升了城市景观价值，拓宽了行洪通道，但浪费了城市土地资源；低洼地回填方案堤线沿水边线布置，节约了城市土地资源，但增加了回填费用，降低了城市亲水性，减少了过洪断面面积；组合方案综合考虑了“退滩还河”方案和低洼地回填方案的优劣点，以最低的工程投入达到最大的土地使用价值和防洪效益。</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5.2 推荐方案</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考虑綦江主城区社会经济水平，为使主城尽快达到规划拟定的防洪标准，避免近期再次受灾，同时兼顾城市景观、交通等需求，应利用有限的资金优先安排易实施的项目。规划在河道疏浚+大常枢纽改造+石溪口枢纽改造+桥河枢纽改造+桥溪口枢纽改造的基础上，仅对严重碍洪的房屋实施拆迁，拆迁房屋面积29.05万m</w:t>
      </w:r>
      <w:r>
        <w:rPr>
          <w:rFonts w:hint="eastAsia" w:ascii="Times New Roman" w:hAnsi="Times New Roman" w:eastAsia="方正仿宋_GBK" w:cs="Times New Roman"/>
          <w:sz w:val="32"/>
          <w:szCs w:val="32"/>
          <w:vertAlign w:val="superscript"/>
          <w:lang w:val="en-US" w:eastAsia="zh-CN"/>
        </w:rPr>
        <w:t>2</w:t>
      </w:r>
      <w:r>
        <w:rPr>
          <w:rFonts w:hint="eastAsia" w:ascii="Times New Roman" w:hAnsi="Times New Roman" w:eastAsia="方正仿宋_GBK" w:cs="Times New Roman"/>
          <w:sz w:val="32"/>
          <w:szCs w:val="32"/>
          <w:lang w:val="en-US" w:eastAsia="zh-CN"/>
        </w:rPr>
        <w:t>（含各楼层面积），拆迁区域集中于左岸滨江路至下北街片区和右岸菜坝片区；在此基础上修建堤防4.77km，堤身高度为0.07—6.53m，见图6.2—6和表6.2—3。建堤区域</w:t>
      </w:r>
      <w:r>
        <w:rPr>
          <w:rFonts w:hint="eastAsia" w:ascii="Times New Roman" w:hAnsi="Times New Roman" w:eastAsia="方正仿宋_GBK" w:cs="Times New Roman"/>
          <w:sz w:val="32"/>
          <w:szCs w:val="32"/>
          <w:lang w:val="zh-CN" w:eastAsia="zh-CN"/>
        </w:rPr>
        <w:t>采取微地形改造舒缓措施，把对城市景观的影响减小到最</w:t>
      </w:r>
      <w:r>
        <w:rPr>
          <w:rFonts w:hint="eastAsia" w:ascii="Times New Roman" w:hAnsi="Times New Roman" w:eastAsia="方正仿宋_GBK" w:cs="Times New Roman"/>
          <w:sz w:val="32"/>
          <w:szCs w:val="32"/>
          <w:lang w:val="en-US" w:eastAsia="zh-CN"/>
        </w:rPr>
        <w:t>低。该方案拆迁量较小，工程投资较省，对提升主城区品味和实现绿色高质量发展具有重要作用，对后续高风险区房屋拆迁工程具有示范价值。</w:t>
      </w:r>
    </w:p>
    <w:p>
      <w:pPr>
        <w:pStyle w:val="1916"/>
        <w:ind w:firstLine="560"/>
      </w:pPr>
    </w:p>
    <w:p>
      <w:pPr>
        <w:pStyle w:val="1916"/>
        <w:ind w:firstLine="560"/>
        <w:rPr>
          <w:rFonts w:hint="eastAsia"/>
        </w:rPr>
        <w:sectPr>
          <w:headerReference r:id="rId38" w:type="default"/>
          <w:headerReference r:id="rId39" w:type="even"/>
          <w:pgSz w:w="11906" w:h="16838"/>
          <w:pgMar w:top="1616" w:right="1418" w:bottom="1616" w:left="1418" w:header="851" w:footer="1304" w:gutter="0"/>
          <w:pgBorders>
            <w:top w:val="none" w:sz="0" w:space="0"/>
            <w:left w:val="none" w:sz="0" w:space="0"/>
            <w:bottom w:val="none" w:sz="0" w:space="0"/>
            <w:right w:val="none" w:sz="0" w:space="0"/>
          </w:pgBorders>
          <w:pgNumType w:fmt="decimal"/>
          <w:cols w:space="720" w:num="1"/>
          <w:docGrid w:type="lines" w:linePitch="381" w:charSpace="0"/>
        </w:sectPr>
      </w:pPr>
    </w:p>
    <w:p>
      <w:pPr>
        <w:pStyle w:val="399"/>
        <w:spacing w:beforeLines="0"/>
        <w:rPr>
          <w:rFonts w:ascii="仿宋_GB2312"/>
          <w:lang w:eastAsia="zh-CN"/>
        </w:rPr>
      </w:pPr>
      <w:r>
        <w:drawing>
          <wp:inline distT="0" distB="0" distL="114300" distR="114300">
            <wp:extent cx="11920220" cy="8427720"/>
            <wp:effectExtent l="0" t="0" r="5080" b="11430"/>
            <wp:docPr id="151" name="图片 13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1" name="图片 132"/>
                    <pic:cNvPicPr>
                      <a:picLocks noChangeAspect="true"/>
                    </pic:cNvPicPr>
                  </pic:nvPicPr>
                  <pic:blipFill>
                    <a:blip r:embed="rId191"/>
                    <a:stretch>
                      <a:fillRect/>
                    </a:stretch>
                  </pic:blipFill>
                  <pic:spPr>
                    <a:xfrm>
                      <a:off x="0" y="0"/>
                      <a:ext cx="11920220" cy="8427720"/>
                    </a:xfrm>
                    <a:prstGeom prst="rect">
                      <a:avLst/>
                    </a:prstGeom>
                    <a:noFill/>
                    <a:ln>
                      <a:noFill/>
                    </a:ln>
                  </pic:spPr>
                </pic:pic>
              </a:graphicData>
            </a:graphic>
          </wp:inline>
        </w:drawing>
      </w:r>
    </w:p>
    <w:p>
      <w:pPr>
        <w:pStyle w:val="2886"/>
        <w:rPr>
          <w:rFonts w:hint="default" w:ascii="Times New Roman" w:hAnsi="Times New Roman" w:cs="Times New Roman"/>
        </w:rPr>
      </w:pPr>
      <w:r>
        <w:rPr>
          <w:rFonts w:hint="default" w:ascii="Times New Roman" w:hAnsi="Times New Roman" w:cs="Times New Roman"/>
        </w:rPr>
        <w:t>图6.2</w:t>
      </w:r>
      <w:r>
        <w:rPr>
          <w:rFonts w:hint="default" w:ascii="Times New Roman" w:hAnsi="Times New Roman" w:cs="Times New Roman"/>
          <w:lang w:eastAsia="zh-CN"/>
        </w:rPr>
        <w:t>—</w:t>
      </w:r>
      <w:r>
        <w:rPr>
          <w:rFonts w:hint="default" w:ascii="Times New Roman" w:hAnsi="Times New Roman" w:cs="Times New Roman"/>
          <w:lang w:val="en-US" w:eastAsia="zh-CN"/>
        </w:rPr>
        <w:t>2</w:t>
      </w:r>
      <w:r>
        <w:rPr>
          <w:rFonts w:hint="default" w:ascii="Times New Roman" w:hAnsi="Times New Roman" w:cs="Times New Roman"/>
        </w:rPr>
        <w:t xml:space="preserve">  </w:t>
      </w:r>
      <w:r>
        <w:rPr>
          <w:rFonts w:hint="default" w:ascii="Times New Roman" w:hAnsi="Times New Roman" w:cs="Times New Roman"/>
          <w:lang w:val="en-US" w:eastAsia="zh-CN"/>
        </w:rPr>
        <w:t>推荐</w:t>
      </w:r>
      <w:r>
        <w:rPr>
          <w:rFonts w:hint="default" w:ascii="Times New Roman" w:hAnsi="Times New Roman" w:cs="Times New Roman"/>
        </w:rPr>
        <w:t>方案建堤及征地拆迁区域位置示意图</w:t>
      </w:r>
    </w:p>
    <w:p>
      <w:pPr>
        <w:pStyle w:val="399"/>
        <w:spacing w:beforeLines="0"/>
        <w:rPr>
          <w:rFonts w:hint="default" w:ascii="Times New Roman" w:hAnsi="Times New Roman" w:cs="Times New Roman"/>
        </w:rPr>
        <w:sectPr>
          <w:headerReference r:id="rId40" w:type="default"/>
          <w:headerReference r:id="rId41" w:type="even"/>
          <w:pgSz w:w="23811" w:h="16838" w:orient="landscape"/>
          <w:pgMar w:top="1418" w:right="1616" w:bottom="1418" w:left="1616" w:header="851" w:footer="1304" w:gutter="0"/>
          <w:pgBorders>
            <w:top w:val="none" w:sz="0" w:space="0"/>
            <w:left w:val="none" w:sz="0" w:space="0"/>
            <w:bottom w:val="none" w:sz="0" w:space="0"/>
            <w:right w:val="none" w:sz="0" w:space="0"/>
          </w:pgBorders>
          <w:pgNumType w:fmt="decimal"/>
          <w:cols w:space="720" w:num="1"/>
          <w:docGrid w:type="lines" w:linePitch="381" w:charSpace="0"/>
        </w:sectPr>
      </w:pPr>
    </w:p>
    <w:p>
      <w:pPr>
        <w:pStyle w:val="2260"/>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eastAsia="方正仿宋_GBK" w:cs="Times New Roman"/>
          <w:sz w:val="32"/>
          <w:szCs w:val="32"/>
          <w:lang w:val="en-US" w:eastAsia="zh-CN"/>
        </w:rPr>
      </w:pPr>
      <w:r>
        <w:rPr>
          <w:rFonts w:hint="eastAsia"/>
        </w:rPr>
        <w:t xml:space="preserve"> </w:t>
      </w:r>
      <w:r>
        <w:rPr>
          <w:rFonts w:hint="eastAsia" w:ascii="Times New Roman" w:hAnsi="Times New Roman" w:eastAsia="方正仿宋_GBK" w:cs="Times New Roman"/>
          <w:sz w:val="32"/>
          <w:szCs w:val="32"/>
          <w:lang w:val="en-US" w:eastAsia="zh-CN"/>
        </w:rPr>
        <w:t>将綦江城区防洪与綦江沿线景观打造相结合，为綦江人民提供水清、河畅、岸绿、景美的景观平台。本次规划暂定各堤段堤防建设方案如下，在后续勘察设计和建设实施时可结合綦江城区防洪面临的新形势以及经济社会进步、城市空间拓展、生活品质提升、应急意识增强、生态宜居环境需求对防洪保障能力、防洪区划布局以及防洪管理建设提出的新要求，在治水新思路和防洪减灾新理念的指导下，在保证綦江城区防洪安全的前提下提出各堤段堤防的建设方案。</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5.2.1 綦江干流右岸古南水文站至区经济信息委片区</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右岸古南水文站至区经济信息委段长1.58km，位置见图6.2—7。根据区域地形情况，如沿原堤线实施堤防加高，则加高高度较大；考虑到堤后为滨河路，而滨河路后侧多为自然高地，房屋建基面普遍较高，故规划采用堤路结合方案，对滨河路实施局部加高，路旁采用植草斜坡塑造景观带。</w:t>
      </w:r>
    </w:p>
    <w:p>
      <w:pPr>
        <w:pStyle w:val="2886"/>
        <w:spacing w:line="360" w:lineRule="auto"/>
        <w:outlineLvl w:val="9"/>
      </w:pPr>
      <w:r>
        <w:drawing>
          <wp:inline distT="0" distB="0" distL="114300" distR="114300">
            <wp:extent cx="5788025" cy="3018155"/>
            <wp:effectExtent l="0" t="0" r="3175" b="10795"/>
            <wp:docPr id="152" name="图片 284" descr="图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2" name="图片 284" descr="图5"/>
                    <pic:cNvPicPr>
                      <a:picLocks noChangeAspect="true"/>
                    </pic:cNvPicPr>
                  </pic:nvPicPr>
                  <pic:blipFill>
                    <a:blip r:embed="rId192"/>
                    <a:stretch>
                      <a:fillRect/>
                    </a:stretch>
                  </pic:blipFill>
                  <pic:spPr>
                    <a:xfrm>
                      <a:off x="0" y="0"/>
                      <a:ext cx="5788025" cy="3018155"/>
                    </a:xfrm>
                    <a:prstGeom prst="rect">
                      <a:avLst/>
                    </a:prstGeom>
                    <a:noFill/>
                    <a:ln>
                      <a:noFill/>
                    </a:ln>
                  </pic:spPr>
                </pic:pic>
              </a:graphicData>
            </a:graphic>
          </wp:inline>
        </w:drawing>
      </w:r>
    </w:p>
    <w:p>
      <w:pPr>
        <w:pStyle w:val="2886"/>
      </w:pPr>
      <w:r>
        <w:rPr>
          <w:rFonts w:hint="default" w:ascii="Times New Roman" w:hAnsi="Times New Roman" w:cs="Times New Roman"/>
        </w:rPr>
        <w:t>图6.2</w:t>
      </w:r>
      <w:r>
        <w:rPr>
          <w:rFonts w:hint="default" w:ascii="Times New Roman" w:hAnsi="Times New Roman" w:cs="Times New Roman"/>
          <w:lang w:eastAsia="zh-CN"/>
        </w:rPr>
        <w:t>—</w:t>
      </w:r>
      <w:r>
        <w:rPr>
          <w:rFonts w:hint="default" w:ascii="Times New Roman" w:hAnsi="Times New Roman" w:cs="Times New Roman"/>
          <w:lang w:val="en-US" w:eastAsia="zh-CN"/>
        </w:rPr>
        <w:t>3</w:t>
      </w:r>
      <w:r>
        <w:rPr>
          <w:rFonts w:hint="default" w:ascii="Times New Roman" w:hAnsi="Times New Roman" w:cs="Times New Roman"/>
        </w:rPr>
        <w:t xml:space="preserve">  綦江右岸古南水文站</w:t>
      </w:r>
      <w:r>
        <w:rPr>
          <w:rFonts w:hint="default" w:ascii="Times New Roman" w:hAnsi="Times New Roman" w:cs="Times New Roman"/>
          <w:lang w:eastAsia="zh-CN"/>
        </w:rPr>
        <w:t>—</w:t>
      </w:r>
      <w:r>
        <w:rPr>
          <w:rFonts w:hint="eastAsia"/>
        </w:rPr>
        <w:t>区城市管理局段位置示意图</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①古南水文站至碧水蓝湾片区</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右岸古南水文站至碧水蓝湾片区地理景观见图6.2—8。受20年一遇洪水淹没威胁的人口不多，如果采取抬高公路路面高程或加高堤防，一方面大幅缩窄了河道行洪断面，另一方面造成该片区房屋受到一定程度遮挡，规划采取退滩还河或应急避险转移措施，同时将该片区纳入洪水风险管控区域，限制社会经济活动。同时，对该片区房屋进行改造，打造老城记忆，建设以步道为主的观光带、生态廊道、生态体验区、湿地公园和人文景观带，形成城市绿色生态网络，打造多层台阶、戏水广场、水中剧场，作为老百姓的休闲场所和慢行步道。</w:t>
      </w:r>
    </w:p>
    <w:p>
      <w:pPr>
        <w:pStyle w:val="2886"/>
        <w:spacing w:line="360" w:lineRule="auto"/>
        <w:outlineLvl w:val="9"/>
      </w:pPr>
      <w:r>
        <w:rPr>
          <w:rFonts w:hint="eastAsia"/>
        </w:rPr>
        <w:drawing>
          <wp:inline distT="0" distB="0" distL="114300" distR="114300">
            <wp:extent cx="5604510" cy="5848985"/>
            <wp:effectExtent l="0" t="0" r="15240" b="18415"/>
            <wp:docPr id="153" name="图片 365" descr="加油站到沱湾大桥全景_副本"/>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3" name="图片 365" descr="加油站到沱湾大桥全景_副本"/>
                    <pic:cNvPicPr>
                      <a:picLocks noChangeAspect="true"/>
                    </pic:cNvPicPr>
                  </pic:nvPicPr>
                  <pic:blipFill>
                    <a:blip r:embed="rId193"/>
                    <a:stretch>
                      <a:fillRect/>
                    </a:stretch>
                  </pic:blipFill>
                  <pic:spPr>
                    <a:xfrm>
                      <a:off x="0" y="0"/>
                      <a:ext cx="5604510" cy="5848985"/>
                    </a:xfrm>
                    <a:prstGeom prst="rect">
                      <a:avLst/>
                    </a:prstGeom>
                    <a:noFill/>
                    <a:ln>
                      <a:noFill/>
                    </a:ln>
                  </pic:spPr>
                </pic:pic>
              </a:graphicData>
            </a:graphic>
          </wp:inline>
        </w:drawing>
      </w:r>
    </w:p>
    <w:p>
      <w:pPr>
        <w:pStyle w:val="2886"/>
        <w:spacing w:line="360" w:lineRule="auto"/>
        <w:outlineLvl w:val="9"/>
      </w:pPr>
      <w:r>
        <w:drawing>
          <wp:inline distT="0" distB="0" distL="114300" distR="114300">
            <wp:extent cx="4256405" cy="2310765"/>
            <wp:effectExtent l="0" t="0" r="10795" b="13335"/>
            <wp:docPr id="154" name="图片 19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4" name="图片 194"/>
                    <pic:cNvPicPr>
                      <a:picLocks noChangeAspect="true"/>
                    </pic:cNvPicPr>
                  </pic:nvPicPr>
                  <pic:blipFill>
                    <a:blip r:embed="rId194"/>
                    <a:srcRect t="18045" b="6015"/>
                    <a:stretch>
                      <a:fillRect/>
                    </a:stretch>
                  </pic:blipFill>
                  <pic:spPr>
                    <a:xfrm>
                      <a:off x="0" y="0"/>
                      <a:ext cx="4256405" cy="2310765"/>
                    </a:xfrm>
                    <a:prstGeom prst="rect">
                      <a:avLst/>
                    </a:prstGeom>
                    <a:noFill/>
                    <a:ln>
                      <a:noFill/>
                    </a:ln>
                  </pic:spPr>
                </pic:pic>
              </a:graphicData>
            </a:graphic>
          </wp:inline>
        </w:drawing>
      </w:r>
    </w:p>
    <w:p>
      <w:pPr>
        <w:pStyle w:val="2886"/>
        <w:spacing w:line="240" w:lineRule="exact"/>
        <w:outlineLvl w:val="9"/>
        <w:rPr>
          <w:sz w:val="21"/>
          <w:szCs w:val="16"/>
        </w:rPr>
      </w:pPr>
      <w:r>
        <w:rPr>
          <w:rFonts w:hint="eastAsia"/>
          <w:sz w:val="21"/>
          <w:szCs w:val="16"/>
        </w:rPr>
        <w:t>古南水文站</w:t>
      </w:r>
      <w:r>
        <w:rPr>
          <w:rFonts w:hint="eastAsia"/>
          <w:sz w:val="21"/>
          <w:szCs w:val="16"/>
          <w:lang w:eastAsia="zh-CN"/>
        </w:rPr>
        <w:t>—</w:t>
      </w:r>
      <w:r>
        <w:rPr>
          <w:rFonts w:hint="eastAsia"/>
          <w:sz w:val="21"/>
          <w:szCs w:val="16"/>
        </w:rPr>
        <w:t>碧水蓝湾</w:t>
      </w:r>
    </w:p>
    <w:p>
      <w:pPr>
        <w:pStyle w:val="2886"/>
        <w:spacing w:line="360" w:lineRule="auto"/>
        <w:outlineLvl w:val="9"/>
        <w:rPr>
          <w:rFonts w:hint="eastAsia"/>
        </w:rPr>
      </w:pPr>
      <w:r>
        <w:rPr>
          <w:rFonts w:hint="eastAsia"/>
        </w:rPr>
        <w:drawing>
          <wp:inline distT="0" distB="0" distL="114300" distR="114300">
            <wp:extent cx="4317365" cy="2550160"/>
            <wp:effectExtent l="0" t="0" r="6985" b="2540"/>
            <wp:docPr id="155" name="图片 299" descr="公测-久平"/>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5" name="图片 299" descr="公测-久平"/>
                    <pic:cNvPicPr>
                      <a:picLocks noChangeAspect="true"/>
                    </pic:cNvPicPr>
                  </pic:nvPicPr>
                  <pic:blipFill>
                    <a:blip r:embed="rId195"/>
                    <a:stretch>
                      <a:fillRect/>
                    </a:stretch>
                  </pic:blipFill>
                  <pic:spPr>
                    <a:xfrm>
                      <a:off x="0" y="0"/>
                      <a:ext cx="4317365" cy="2550160"/>
                    </a:xfrm>
                    <a:prstGeom prst="rect">
                      <a:avLst/>
                    </a:prstGeom>
                    <a:noFill/>
                    <a:ln>
                      <a:noFill/>
                    </a:ln>
                  </pic:spPr>
                </pic:pic>
              </a:graphicData>
            </a:graphic>
          </wp:inline>
        </w:drawing>
      </w:r>
    </w:p>
    <w:p>
      <w:pPr>
        <w:pStyle w:val="2886"/>
        <w:spacing w:line="240" w:lineRule="exact"/>
        <w:outlineLvl w:val="9"/>
        <w:rPr>
          <w:rFonts w:hint="eastAsia"/>
          <w:sz w:val="21"/>
          <w:szCs w:val="16"/>
        </w:rPr>
      </w:pPr>
      <w:r>
        <w:rPr>
          <w:rFonts w:hint="eastAsia"/>
          <w:sz w:val="21"/>
          <w:szCs w:val="16"/>
        </w:rPr>
        <w:t>新街子便民服务中心</w:t>
      </w:r>
      <w:r>
        <w:rPr>
          <w:rFonts w:hint="eastAsia"/>
          <w:sz w:val="21"/>
          <w:szCs w:val="16"/>
          <w:lang w:eastAsia="zh-CN"/>
        </w:rPr>
        <w:t>—</w:t>
      </w:r>
      <w:r>
        <w:rPr>
          <w:rFonts w:hint="eastAsia"/>
          <w:sz w:val="21"/>
          <w:szCs w:val="16"/>
        </w:rPr>
        <w:t>綦江久平汽车售后服务部</w:t>
      </w:r>
    </w:p>
    <w:p>
      <w:pPr>
        <w:pStyle w:val="2886"/>
        <w:spacing w:line="360" w:lineRule="auto"/>
        <w:outlineLvl w:val="9"/>
        <w:rPr>
          <w:rFonts w:hint="eastAsia"/>
        </w:rPr>
      </w:pPr>
      <w:r>
        <w:rPr>
          <w:rFonts w:hint="eastAsia"/>
        </w:rPr>
        <w:drawing>
          <wp:inline distT="0" distB="0" distL="114300" distR="114300">
            <wp:extent cx="4319905" cy="2566035"/>
            <wp:effectExtent l="0" t="0" r="4445" b="5715"/>
            <wp:docPr id="156" name="图片 300" descr="久平-气象站"/>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6" name="图片 300" descr="久平-气象站"/>
                    <pic:cNvPicPr>
                      <a:picLocks noChangeAspect="true"/>
                    </pic:cNvPicPr>
                  </pic:nvPicPr>
                  <pic:blipFill>
                    <a:blip r:embed="rId196"/>
                    <a:stretch>
                      <a:fillRect/>
                    </a:stretch>
                  </pic:blipFill>
                  <pic:spPr>
                    <a:xfrm>
                      <a:off x="0" y="0"/>
                      <a:ext cx="4319905" cy="2566035"/>
                    </a:xfrm>
                    <a:prstGeom prst="rect">
                      <a:avLst/>
                    </a:prstGeom>
                    <a:noFill/>
                    <a:ln>
                      <a:noFill/>
                    </a:ln>
                  </pic:spPr>
                </pic:pic>
              </a:graphicData>
            </a:graphic>
          </wp:inline>
        </w:drawing>
      </w:r>
    </w:p>
    <w:p>
      <w:pPr>
        <w:pStyle w:val="2886"/>
        <w:spacing w:line="240" w:lineRule="exact"/>
        <w:outlineLvl w:val="9"/>
        <w:rPr>
          <w:rFonts w:hint="eastAsia"/>
          <w:sz w:val="21"/>
          <w:szCs w:val="16"/>
        </w:rPr>
      </w:pPr>
      <w:r>
        <w:rPr>
          <w:rFonts w:hint="eastAsia"/>
          <w:sz w:val="21"/>
          <w:szCs w:val="16"/>
        </w:rPr>
        <w:t>綦江久平汽车售后服务部</w:t>
      </w:r>
      <w:r>
        <w:rPr>
          <w:rFonts w:hint="eastAsia"/>
          <w:sz w:val="21"/>
          <w:szCs w:val="16"/>
          <w:lang w:eastAsia="zh-CN"/>
        </w:rPr>
        <w:t>—</w:t>
      </w:r>
      <w:r>
        <w:rPr>
          <w:rFonts w:hint="eastAsia"/>
          <w:sz w:val="21"/>
          <w:szCs w:val="16"/>
        </w:rPr>
        <w:t>碧水蓝湾</w:t>
      </w:r>
    </w:p>
    <w:p>
      <w:pPr>
        <w:pStyle w:val="2886"/>
        <w:rPr>
          <w:rFonts w:hint="default" w:ascii="Times New Roman" w:hAnsi="Times New Roman" w:cs="Times New Roman"/>
        </w:rPr>
      </w:pPr>
      <w:r>
        <w:rPr>
          <w:rFonts w:hint="default" w:ascii="Times New Roman" w:hAnsi="Times New Roman" w:cs="Times New Roman"/>
        </w:rPr>
        <w:t>图6.2</w:t>
      </w:r>
      <w:r>
        <w:rPr>
          <w:rFonts w:hint="default" w:ascii="Times New Roman" w:hAnsi="Times New Roman" w:cs="Times New Roman"/>
          <w:lang w:eastAsia="zh-CN"/>
        </w:rPr>
        <w:t>—</w:t>
      </w:r>
      <w:r>
        <w:rPr>
          <w:rFonts w:hint="default" w:ascii="Times New Roman" w:hAnsi="Times New Roman" w:cs="Times New Roman"/>
          <w:lang w:val="en-US" w:eastAsia="zh-CN"/>
        </w:rPr>
        <w:t>4</w:t>
      </w:r>
      <w:r>
        <w:rPr>
          <w:rFonts w:hint="default" w:ascii="Times New Roman" w:hAnsi="Times New Roman" w:cs="Times New Roman"/>
        </w:rPr>
        <w:t xml:space="preserve">  綦江右岸古南水文站</w:t>
      </w:r>
      <w:r>
        <w:rPr>
          <w:rFonts w:hint="default" w:ascii="Times New Roman" w:hAnsi="Times New Roman" w:cs="Times New Roman"/>
          <w:lang w:eastAsia="zh-CN"/>
        </w:rPr>
        <w:t>—</w:t>
      </w:r>
      <w:r>
        <w:rPr>
          <w:rFonts w:hint="default" w:ascii="Times New Roman" w:hAnsi="Times New Roman" w:cs="Times New Roman"/>
        </w:rPr>
        <w:t>碧水蓝湾段地理景观图</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②碧水蓝湾至经信委片区</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rPr>
      </w:pPr>
      <w:r>
        <w:rPr>
          <w:rFonts w:hint="eastAsia" w:ascii="Times New Roman" w:hAnsi="Times New Roman" w:eastAsia="方正仿宋_GBK" w:cs="Times New Roman"/>
          <w:sz w:val="32"/>
          <w:szCs w:val="32"/>
          <w:lang w:val="en-US" w:eastAsia="zh-CN"/>
        </w:rPr>
        <w:t>綦江右岸火车站至交警队片区长0.67km，主要堤段地理景观见图6.2—9。规划采用堤路结合方案，加高虹桥路至20年一遇洪水高程，滨河路临河侧建设慢行步道。其中，碧水蓝湾至沱湾大桥段适当抬高虹桥路路面高程至20年一遇洪水位，堤顶超高部分采用公路围栏挡水，一楼房屋平时多为地下车库，维持其现有功能，并采取局部缓坡的形式连结虹桥路；沱湾大桥至经信委20年一遇水面线以下区域实施封堵，抬高建基面，避免产生内涝。各堤段沿程平均加高高度如下：碧水蓝湾—沱湾大桥0.17km堤段约0.86m；沱湾大桥至华诺世口腔0.06km堤段约0.87m，华诺世口腔至雨亭·淞江水岸大门0.06km堤段约1.48m，雨亭·淞江水岸大门至千山阳光水岸后门底商0.11km堤段约2.81m，千山阳光水岸后门底商至党校支路0.08km堤段约3.18m，党校支路至经信委0.19km堤段约4.17m。</w:t>
      </w:r>
    </w:p>
    <w:p>
      <w:pPr>
        <w:pStyle w:val="2886"/>
        <w:spacing w:line="360" w:lineRule="auto"/>
        <w:outlineLvl w:val="9"/>
        <w:rPr>
          <w:rFonts w:hint="eastAsia"/>
        </w:rPr>
      </w:pPr>
      <w:r>
        <w:rPr>
          <w:rFonts w:hint="eastAsia"/>
        </w:rPr>
        <w:drawing>
          <wp:inline distT="0" distB="0" distL="114300" distR="114300">
            <wp:extent cx="4319905" cy="1807845"/>
            <wp:effectExtent l="0" t="0" r="4445" b="1905"/>
            <wp:docPr id="157" name="图片 301" descr="城铁货运入口"/>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7" name="图片 301" descr="城铁货运入口"/>
                    <pic:cNvPicPr>
                      <a:picLocks noChangeAspect="true"/>
                    </pic:cNvPicPr>
                  </pic:nvPicPr>
                  <pic:blipFill>
                    <a:blip r:embed="rId197"/>
                    <a:stretch>
                      <a:fillRect/>
                    </a:stretch>
                  </pic:blipFill>
                  <pic:spPr>
                    <a:xfrm>
                      <a:off x="0" y="0"/>
                      <a:ext cx="4319905" cy="1807845"/>
                    </a:xfrm>
                    <a:prstGeom prst="rect">
                      <a:avLst/>
                    </a:prstGeom>
                    <a:noFill/>
                    <a:ln>
                      <a:noFill/>
                    </a:ln>
                  </pic:spPr>
                </pic:pic>
              </a:graphicData>
            </a:graphic>
          </wp:inline>
        </w:drawing>
      </w:r>
    </w:p>
    <w:p>
      <w:pPr>
        <w:pStyle w:val="2886"/>
        <w:spacing w:line="240" w:lineRule="exact"/>
        <w:outlineLvl w:val="9"/>
        <w:rPr>
          <w:rFonts w:hint="eastAsia"/>
          <w:sz w:val="21"/>
          <w:szCs w:val="16"/>
        </w:rPr>
      </w:pPr>
      <w:r>
        <w:rPr>
          <w:rFonts w:hint="eastAsia"/>
          <w:sz w:val="21"/>
          <w:szCs w:val="16"/>
        </w:rPr>
        <w:t>碧水蓝湾</w:t>
      </w:r>
    </w:p>
    <w:p>
      <w:pPr>
        <w:pStyle w:val="2886"/>
        <w:spacing w:line="360" w:lineRule="auto"/>
        <w:outlineLvl w:val="9"/>
        <w:rPr>
          <w:rFonts w:hint="eastAsia"/>
        </w:rPr>
      </w:pPr>
      <w:r>
        <w:rPr>
          <w:rFonts w:hint="eastAsia"/>
        </w:rPr>
        <w:drawing>
          <wp:inline distT="0" distB="0" distL="114300" distR="114300">
            <wp:extent cx="4322445" cy="1886585"/>
            <wp:effectExtent l="0" t="0" r="1905" b="18415"/>
            <wp:docPr id="158" name="图片 302" descr="入口-沱湾大桥"/>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8" name="图片 302" descr="入口-沱湾大桥"/>
                    <pic:cNvPicPr>
                      <a:picLocks noChangeAspect="true"/>
                    </pic:cNvPicPr>
                  </pic:nvPicPr>
                  <pic:blipFill>
                    <a:blip r:embed="rId198"/>
                    <a:stretch>
                      <a:fillRect/>
                    </a:stretch>
                  </pic:blipFill>
                  <pic:spPr>
                    <a:xfrm>
                      <a:off x="0" y="0"/>
                      <a:ext cx="4322445" cy="1886585"/>
                    </a:xfrm>
                    <a:prstGeom prst="rect">
                      <a:avLst/>
                    </a:prstGeom>
                    <a:noFill/>
                    <a:ln>
                      <a:noFill/>
                    </a:ln>
                  </pic:spPr>
                </pic:pic>
              </a:graphicData>
            </a:graphic>
          </wp:inline>
        </w:drawing>
      </w:r>
    </w:p>
    <w:p>
      <w:pPr>
        <w:pStyle w:val="2886"/>
        <w:spacing w:line="240" w:lineRule="exact"/>
        <w:outlineLvl w:val="9"/>
        <w:rPr>
          <w:rFonts w:hint="eastAsia"/>
          <w:sz w:val="21"/>
          <w:szCs w:val="16"/>
        </w:rPr>
      </w:pPr>
      <w:r>
        <w:rPr>
          <w:rFonts w:hint="eastAsia"/>
          <w:sz w:val="21"/>
          <w:szCs w:val="16"/>
        </w:rPr>
        <w:t>碧水蓝湾</w:t>
      </w:r>
      <w:r>
        <w:rPr>
          <w:rFonts w:hint="eastAsia"/>
          <w:sz w:val="21"/>
          <w:szCs w:val="16"/>
          <w:lang w:eastAsia="zh-CN"/>
        </w:rPr>
        <w:t>—</w:t>
      </w:r>
      <w:r>
        <w:rPr>
          <w:rFonts w:hint="eastAsia"/>
          <w:sz w:val="21"/>
          <w:szCs w:val="16"/>
        </w:rPr>
        <w:t>沱湾大桥</w:t>
      </w:r>
    </w:p>
    <w:p>
      <w:pPr>
        <w:pStyle w:val="2886"/>
        <w:spacing w:line="360" w:lineRule="auto"/>
        <w:outlineLvl w:val="9"/>
        <w:rPr>
          <w:rFonts w:hint="eastAsia"/>
        </w:rPr>
      </w:pPr>
      <w:r>
        <w:rPr>
          <w:rFonts w:hint="eastAsia"/>
        </w:rPr>
        <w:drawing>
          <wp:inline distT="0" distB="0" distL="114300" distR="114300">
            <wp:extent cx="4324985" cy="1706245"/>
            <wp:effectExtent l="0" t="0" r="18415" b="8255"/>
            <wp:docPr id="159" name="图片 303" descr="沱湾大桥-口腔"/>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9" name="图片 303" descr="沱湾大桥-口腔"/>
                    <pic:cNvPicPr>
                      <a:picLocks noChangeAspect="true"/>
                    </pic:cNvPicPr>
                  </pic:nvPicPr>
                  <pic:blipFill>
                    <a:blip r:embed="rId199"/>
                    <a:stretch>
                      <a:fillRect/>
                    </a:stretch>
                  </pic:blipFill>
                  <pic:spPr>
                    <a:xfrm>
                      <a:off x="0" y="0"/>
                      <a:ext cx="4324985" cy="1706245"/>
                    </a:xfrm>
                    <a:prstGeom prst="rect">
                      <a:avLst/>
                    </a:prstGeom>
                    <a:noFill/>
                    <a:ln>
                      <a:noFill/>
                    </a:ln>
                  </pic:spPr>
                </pic:pic>
              </a:graphicData>
            </a:graphic>
          </wp:inline>
        </w:drawing>
      </w:r>
    </w:p>
    <w:p>
      <w:pPr>
        <w:pStyle w:val="2886"/>
        <w:spacing w:line="240" w:lineRule="exact"/>
        <w:outlineLvl w:val="9"/>
        <w:rPr>
          <w:rFonts w:hint="eastAsia"/>
          <w:sz w:val="21"/>
          <w:szCs w:val="16"/>
        </w:rPr>
      </w:pPr>
      <w:r>
        <w:rPr>
          <w:rFonts w:hint="eastAsia"/>
          <w:sz w:val="21"/>
          <w:szCs w:val="16"/>
        </w:rPr>
        <w:t>沱湾大桥</w:t>
      </w:r>
      <w:r>
        <w:rPr>
          <w:rFonts w:hint="eastAsia"/>
          <w:sz w:val="21"/>
          <w:szCs w:val="16"/>
          <w:lang w:eastAsia="zh-CN"/>
        </w:rPr>
        <w:t>—</w:t>
      </w:r>
      <w:r>
        <w:rPr>
          <w:rFonts w:hint="eastAsia"/>
          <w:sz w:val="21"/>
          <w:szCs w:val="16"/>
        </w:rPr>
        <w:t>华诺世口腔</w:t>
      </w:r>
    </w:p>
    <w:p>
      <w:pPr>
        <w:pStyle w:val="2886"/>
        <w:spacing w:line="360" w:lineRule="auto"/>
        <w:outlineLvl w:val="9"/>
        <w:rPr>
          <w:rFonts w:hint="eastAsia"/>
        </w:rPr>
      </w:pPr>
      <w:r>
        <w:rPr>
          <w:rFonts w:hint="eastAsia"/>
        </w:rPr>
        <w:drawing>
          <wp:inline distT="0" distB="0" distL="114300" distR="114300">
            <wp:extent cx="4319905" cy="2007235"/>
            <wp:effectExtent l="0" t="0" r="4445" b="12065"/>
            <wp:docPr id="160" name="图片 304" descr="口腔-水岸"/>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0" name="图片 304" descr="口腔-水岸"/>
                    <pic:cNvPicPr>
                      <a:picLocks noChangeAspect="true"/>
                    </pic:cNvPicPr>
                  </pic:nvPicPr>
                  <pic:blipFill>
                    <a:blip r:embed="rId200"/>
                    <a:stretch>
                      <a:fillRect/>
                    </a:stretch>
                  </pic:blipFill>
                  <pic:spPr>
                    <a:xfrm>
                      <a:off x="0" y="0"/>
                      <a:ext cx="4319905" cy="2007235"/>
                    </a:xfrm>
                    <a:prstGeom prst="rect">
                      <a:avLst/>
                    </a:prstGeom>
                    <a:noFill/>
                    <a:ln>
                      <a:noFill/>
                    </a:ln>
                  </pic:spPr>
                </pic:pic>
              </a:graphicData>
            </a:graphic>
          </wp:inline>
        </w:drawing>
      </w:r>
    </w:p>
    <w:p>
      <w:pPr>
        <w:pStyle w:val="2886"/>
        <w:spacing w:line="240" w:lineRule="exact"/>
        <w:outlineLvl w:val="9"/>
        <w:rPr>
          <w:rFonts w:hint="eastAsia"/>
          <w:sz w:val="21"/>
          <w:szCs w:val="16"/>
        </w:rPr>
      </w:pPr>
      <w:r>
        <w:rPr>
          <w:rFonts w:hint="eastAsia"/>
          <w:sz w:val="21"/>
          <w:szCs w:val="16"/>
        </w:rPr>
        <w:t>华诺世口腔</w:t>
      </w:r>
      <w:r>
        <w:rPr>
          <w:rFonts w:hint="eastAsia"/>
          <w:sz w:val="21"/>
          <w:szCs w:val="16"/>
          <w:lang w:eastAsia="zh-CN"/>
        </w:rPr>
        <w:t>—</w:t>
      </w:r>
      <w:r>
        <w:rPr>
          <w:rFonts w:hint="eastAsia"/>
          <w:sz w:val="21"/>
          <w:szCs w:val="16"/>
        </w:rPr>
        <w:t>雨亭·淞江水岸大门</w:t>
      </w:r>
    </w:p>
    <w:p>
      <w:pPr>
        <w:pStyle w:val="2886"/>
        <w:spacing w:line="360" w:lineRule="auto"/>
        <w:outlineLvl w:val="9"/>
        <w:rPr>
          <w:rFonts w:hint="eastAsia"/>
        </w:rPr>
      </w:pPr>
      <w:r>
        <w:rPr>
          <w:rFonts w:hint="eastAsia"/>
        </w:rPr>
        <w:drawing>
          <wp:inline distT="0" distB="0" distL="114300" distR="114300">
            <wp:extent cx="4319905" cy="1885950"/>
            <wp:effectExtent l="0" t="0" r="4445" b="0"/>
            <wp:docPr id="161" name="图片 305" descr="水岸-党校支路"/>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1" name="图片 305" descr="水岸-党校支路"/>
                    <pic:cNvPicPr>
                      <a:picLocks noChangeAspect="true"/>
                    </pic:cNvPicPr>
                  </pic:nvPicPr>
                  <pic:blipFill>
                    <a:blip r:embed="rId201"/>
                    <a:stretch>
                      <a:fillRect/>
                    </a:stretch>
                  </pic:blipFill>
                  <pic:spPr>
                    <a:xfrm>
                      <a:off x="0" y="0"/>
                      <a:ext cx="4319905" cy="1885950"/>
                    </a:xfrm>
                    <a:prstGeom prst="rect">
                      <a:avLst/>
                    </a:prstGeom>
                    <a:noFill/>
                    <a:ln>
                      <a:noFill/>
                    </a:ln>
                  </pic:spPr>
                </pic:pic>
              </a:graphicData>
            </a:graphic>
          </wp:inline>
        </w:drawing>
      </w:r>
    </w:p>
    <w:p>
      <w:pPr>
        <w:pStyle w:val="2886"/>
        <w:spacing w:line="240" w:lineRule="exact"/>
        <w:outlineLvl w:val="9"/>
        <w:rPr>
          <w:rFonts w:hint="eastAsia"/>
          <w:sz w:val="21"/>
          <w:szCs w:val="16"/>
        </w:rPr>
      </w:pPr>
      <w:r>
        <w:rPr>
          <w:rFonts w:hint="eastAsia"/>
          <w:sz w:val="21"/>
          <w:szCs w:val="16"/>
        </w:rPr>
        <w:t>雨亭·淞江水岸大门</w:t>
      </w:r>
      <w:r>
        <w:rPr>
          <w:rFonts w:hint="eastAsia"/>
          <w:sz w:val="21"/>
          <w:szCs w:val="16"/>
          <w:lang w:eastAsia="zh-CN"/>
        </w:rPr>
        <w:t>—</w:t>
      </w:r>
      <w:r>
        <w:rPr>
          <w:rFonts w:hint="eastAsia"/>
          <w:sz w:val="21"/>
          <w:szCs w:val="16"/>
        </w:rPr>
        <w:t>党校支路</w:t>
      </w:r>
    </w:p>
    <w:p>
      <w:pPr>
        <w:pStyle w:val="2886"/>
        <w:spacing w:line="360" w:lineRule="auto"/>
        <w:outlineLvl w:val="9"/>
        <w:rPr>
          <w:rFonts w:hint="eastAsia"/>
        </w:rPr>
      </w:pPr>
      <w:r>
        <w:rPr>
          <w:rFonts w:hint="eastAsia"/>
        </w:rPr>
        <w:drawing>
          <wp:inline distT="0" distB="0" distL="114300" distR="114300">
            <wp:extent cx="4327525" cy="1660525"/>
            <wp:effectExtent l="0" t="0" r="15875" b="15875"/>
            <wp:docPr id="162" name="图片 306" descr="党校支路-园林场"/>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2" name="图片 306" descr="党校支路-园林场"/>
                    <pic:cNvPicPr>
                      <a:picLocks noChangeAspect="true"/>
                    </pic:cNvPicPr>
                  </pic:nvPicPr>
                  <pic:blipFill>
                    <a:blip r:embed="rId202"/>
                    <a:stretch>
                      <a:fillRect/>
                    </a:stretch>
                  </pic:blipFill>
                  <pic:spPr>
                    <a:xfrm>
                      <a:off x="0" y="0"/>
                      <a:ext cx="4327525" cy="1660525"/>
                    </a:xfrm>
                    <a:prstGeom prst="rect">
                      <a:avLst/>
                    </a:prstGeom>
                    <a:noFill/>
                    <a:ln>
                      <a:noFill/>
                    </a:ln>
                  </pic:spPr>
                </pic:pic>
              </a:graphicData>
            </a:graphic>
          </wp:inline>
        </w:drawing>
      </w:r>
    </w:p>
    <w:p>
      <w:pPr>
        <w:pStyle w:val="2886"/>
        <w:spacing w:line="240" w:lineRule="exact"/>
        <w:outlineLvl w:val="9"/>
        <w:rPr>
          <w:rFonts w:hint="eastAsia"/>
          <w:sz w:val="21"/>
          <w:szCs w:val="16"/>
        </w:rPr>
      </w:pPr>
      <w:r>
        <w:rPr>
          <w:rFonts w:hint="eastAsia"/>
          <w:sz w:val="21"/>
          <w:szCs w:val="16"/>
        </w:rPr>
        <w:t>党校支路</w:t>
      </w:r>
      <w:bookmarkStart w:id="144" w:name="_Hlk81742896"/>
      <w:r>
        <w:rPr>
          <w:rFonts w:hint="eastAsia"/>
          <w:sz w:val="21"/>
          <w:szCs w:val="16"/>
          <w:lang w:eastAsia="zh-CN"/>
        </w:rPr>
        <w:t>—</w:t>
      </w:r>
      <w:r>
        <w:rPr>
          <w:rFonts w:hint="eastAsia"/>
          <w:sz w:val="21"/>
          <w:szCs w:val="16"/>
        </w:rPr>
        <w:t>经信委</w:t>
      </w:r>
      <w:bookmarkEnd w:id="144"/>
    </w:p>
    <w:p>
      <w:pPr>
        <w:pStyle w:val="2886"/>
      </w:pPr>
      <w:r>
        <w:rPr>
          <w:rFonts w:hint="default" w:ascii="Times New Roman" w:hAnsi="Times New Roman" w:cs="Times New Roman"/>
        </w:rPr>
        <w:t>图6.2</w:t>
      </w:r>
      <w:r>
        <w:rPr>
          <w:rFonts w:hint="default" w:ascii="Times New Roman" w:hAnsi="Times New Roman" w:cs="Times New Roman"/>
          <w:lang w:eastAsia="zh-CN"/>
        </w:rPr>
        <w:t>—</w:t>
      </w:r>
      <w:r>
        <w:rPr>
          <w:rFonts w:hint="default" w:ascii="Times New Roman" w:hAnsi="Times New Roman" w:cs="Times New Roman"/>
          <w:lang w:val="en-US" w:eastAsia="zh-CN"/>
        </w:rPr>
        <w:t>5</w:t>
      </w:r>
      <w:r>
        <w:rPr>
          <w:rFonts w:hint="default" w:ascii="Times New Roman" w:hAnsi="Times New Roman" w:cs="Times New Roman"/>
        </w:rPr>
        <w:t xml:space="preserve">  綦</w:t>
      </w:r>
      <w:r>
        <w:rPr>
          <w:rFonts w:hint="eastAsia"/>
        </w:rPr>
        <w:t>江右岸火车站至交警队片区地理景观图</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5.2.2 綦江干流右岸菜坝片区</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綦江右岸菜坝片区起于区经信委，止于通惠河口，长0.64km，主要堤段地理景观见图6.2—10。</w:t>
      </w:r>
    </w:p>
    <w:p>
      <w:pPr>
        <w:pStyle w:val="2886"/>
        <w:spacing w:line="360" w:lineRule="auto"/>
        <w:outlineLvl w:val="9"/>
        <w:rPr>
          <w:rFonts w:hint="eastAsia"/>
        </w:rPr>
      </w:pPr>
      <w:r>
        <w:rPr>
          <w:rFonts w:hint="eastAsia"/>
        </w:rPr>
        <w:drawing>
          <wp:inline distT="0" distB="0" distL="114300" distR="114300">
            <wp:extent cx="5579745" cy="2008505"/>
            <wp:effectExtent l="0" t="0" r="1905" b="10795"/>
            <wp:docPr id="163" name="图片 366" descr="园林场-办公楼"/>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3" name="图片 366" descr="园林场-办公楼"/>
                    <pic:cNvPicPr>
                      <a:picLocks noChangeAspect="true"/>
                    </pic:cNvPicPr>
                  </pic:nvPicPr>
                  <pic:blipFill>
                    <a:blip r:embed="rId203"/>
                    <a:stretch>
                      <a:fillRect/>
                    </a:stretch>
                  </pic:blipFill>
                  <pic:spPr>
                    <a:xfrm>
                      <a:off x="0" y="0"/>
                      <a:ext cx="5579745" cy="2008505"/>
                    </a:xfrm>
                    <a:prstGeom prst="rect">
                      <a:avLst/>
                    </a:prstGeom>
                    <a:noFill/>
                    <a:ln>
                      <a:noFill/>
                    </a:ln>
                  </pic:spPr>
                </pic:pic>
              </a:graphicData>
            </a:graphic>
          </wp:inline>
        </w:drawing>
      </w:r>
    </w:p>
    <w:p>
      <w:pPr>
        <w:pStyle w:val="2886"/>
        <w:spacing w:line="240" w:lineRule="exact"/>
        <w:outlineLvl w:val="9"/>
        <w:rPr>
          <w:rFonts w:hint="eastAsia"/>
          <w:sz w:val="21"/>
          <w:szCs w:val="16"/>
        </w:rPr>
      </w:pPr>
      <w:r>
        <w:rPr>
          <w:rFonts w:hint="eastAsia"/>
          <w:sz w:val="21"/>
          <w:szCs w:val="16"/>
        </w:rPr>
        <w:t>园林场</w:t>
      </w:r>
      <w:r>
        <w:rPr>
          <w:rFonts w:hint="eastAsia"/>
          <w:sz w:val="21"/>
          <w:szCs w:val="16"/>
          <w:lang w:eastAsia="zh-CN"/>
        </w:rPr>
        <w:t>—</w:t>
      </w:r>
      <w:r>
        <w:rPr>
          <w:rFonts w:hint="eastAsia"/>
          <w:sz w:val="21"/>
          <w:szCs w:val="16"/>
        </w:rPr>
        <w:t>南门办公楼</w:t>
      </w:r>
    </w:p>
    <w:p>
      <w:pPr>
        <w:pStyle w:val="2886"/>
        <w:spacing w:line="360" w:lineRule="auto"/>
        <w:outlineLvl w:val="9"/>
        <w:rPr>
          <w:rFonts w:hint="eastAsia"/>
        </w:rPr>
      </w:pPr>
      <w:r>
        <w:rPr>
          <w:rFonts w:hint="eastAsia"/>
        </w:rPr>
        <w:drawing>
          <wp:inline distT="0" distB="0" distL="114300" distR="114300">
            <wp:extent cx="5579745" cy="1832610"/>
            <wp:effectExtent l="0" t="0" r="1905" b="15240"/>
            <wp:docPr id="164" name="图片 367" descr="办公楼-通惠河口"/>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4" name="图片 367" descr="办公楼-通惠河口"/>
                    <pic:cNvPicPr>
                      <a:picLocks noChangeAspect="true"/>
                    </pic:cNvPicPr>
                  </pic:nvPicPr>
                  <pic:blipFill>
                    <a:blip r:embed="rId204"/>
                    <a:stretch>
                      <a:fillRect/>
                    </a:stretch>
                  </pic:blipFill>
                  <pic:spPr>
                    <a:xfrm>
                      <a:off x="0" y="0"/>
                      <a:ext cx="5579745" cy="1832610"/>
                    </a:xfrm>
                    <a:prstGeom prst="rect">
                      <a:avLst/>
                    </a:prstGeom>
                    <a:noFill/>
                    <a:ln>
                      <a:noFill/>
                    </a:ln>
                  </pic:spPr>
                </pic:pic>
              </a:graphicData>
            </a:graphic>
          </wp:inline>
        </w:drawing>
      </w:r>
    </w:p>
    <w:p>
      <w:pPr>
        <w:pStyle w:val="2886"/>
        <w:spacing w:line="240" w:lineRule="exact"/>
        <w:outlineLvl w:val="9"/>
        <w:rPr>
          <w:rFonts w:hint="eastAsia"/>
          <w:sz w:val="21"/>
          <w:szCs w:val="16"/>
        </w:rPr>
      </w:pPr>
      <w:r>
        <w:rPr>
          <w:rFonts w:hint="eastAsia"/>
          <w:sz w:val="21"/>
          <w:szCs w:val="16"/>
        </w:rPr>
        <w:t>南门办公楼</w:t>
      </w:r>
      <w:r>
        <w:rPr>
          <w:rFonts w:hint="eastAsia"/>
          <w:sz w:val="21"/>
          <w:szCs w:val="16"/>
          <w:lang w:eastAsia="zh-CN"/>
        </w:rPr>
        <w:t>—</w:t>
      </w:r>
      <w:r>
        <w:rPr>
          <w:rFonts w:hint="eastAsia"/>
          <w:sz w:val="21"/>
          <w:szCs w:val="16"/>
        </w:rPr>
        <w:t>通惠河口</w:t>
      </w:r>
    </w:p>
    <w:p>
      <w:pPr>
        <w:pStyle w:val="2886"/>
        <w:spacing w:line="360" w:lineRule="auto"/>
        <w:outlineLvl w:val="9"/>
        <w:rPr>
          <w:rFonts w:hint="eastAsia"/>
        </w:rPr>
      </w:pPr>
      <w:r>
        <w:rPr>
          <w:rFonts w:hint="eastAsia"/>
        </w:rPr>
        <w:drawing>
          <wp:inline distT="0" distB="0" distL="114300" distR="114300">
            <wp:extent cx="5579745" cy="2444115"/>
            <wp:effectExtent l="0" t="0" r="1905" b="13335"/>
            <wp:docPr id="165" name="图片 369" descr="菜坝到綦江大桥全景"/>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5" name="图片 369" descr="菜坝到綦江大桥全景"/>
                    <pic:cNvPicPr>
                      <a:picLocks noChangeAspect="true"/>
                    </pic:cNvPicPr>
                  </pic:nvPicPr>
                  <pic:blipFill>
                    <a:blip r:embed="rId205"/>
                    <a:stretch>
                      <a:fillRect/>
                    </a:stretch>
                  </pic:blipFill>
                  <pic:spPr>
                    <a:xfrm>
                      <a:off x="0" y="0"/>
                      <a:ext cx="5579745" cy="2444115"/>
                    </a:xfrm>
                    <a:prstGeom prst="rect">
                      <a:avLst/>
                    </a:prstGeom>
                    <a:noFill/>
                    <a:ln>
                      <a:noFill/>
                    </a:ln>
                  </pic:spPr>
                </pic:pic>
              </a:graphicData>
            </a:graphic>
          </wp:inline>
        </w:drawing>
      </w:r>
    </w:p>
    <w:p>
      <w:pPr>
        <w:pStyle w:val="2886"/>
        <w:spacing w:line="240" w:lineRule="exact"/>
        <w:outlineLvl w:val="9"/>
        <w:rPr>
          <w:rFonts w:hint="eastAsia"/>
          <w:sz w:val="21"/>
          <w:szCs w:val="16"/>
        </w:rPr>
      </w:pPr>
      <w:r>
        <w:rPr>
          <w:rFonts w:hint="eastAsia"/>
          <w:sz w:val="21"/>
          <w:szCs w:val="16"/>
        </w:rPr>
        <w:t>菜坝片区全景</w:t>
      </w:r>
    </w:p>
    <w:p>
      <w:pPr>
        <w:pStyle w:val="2886"/>
      </w:pPr>
      <w:r>
        <w:rPr>
          <w:rFonts w:hint="default" w:ascii="Times New Roman" w:hAnsi="Times New Roman" w:cs="Times New Roman"/>
        </w:rPr>
        <w:t>图6.2</w:t>
      </w:r>
      <w:r>
        <w:rPr>
          <w:rFonts w:hint="default" w:ascii="Times New Roman" w:hAnsi="Times New Roman" w:cs="Times New Roman"/>
          <w:lang w:eastAsia="zh-CN"/>
        </w:rPr>
        <w:t>—</w:t>
      </w:r>
      <w:r>
        <w:rPr>
          <w:rFonts w:hint="default" w:ascii="Times New Roman" w:hAnsi="Times New Roman" w:cs="Times New Roman"/>
          <w:lang w:val="en-US" w:eastAsia="zh-CN"/>
        </w:rPr>
        <w:t>6</w:t>
      </w:r>
      <w:r>
        <w:rPr>
          <w:rFonts w:hint="default" w:ascii="Times New Roman" w:hAnsi="Times New Roman" w:cs="Times New Roman"/>
        </w:rPr>
        <w:t xml:space="preserve">  </w:t>
      </w:r>
      <w:r>
        <w:rPr>
          <w:rFonts w:hint="eastAsia"/>
        </w:rPr>
        <w:t>綦江右岸菜坝片区地理景观图</w:t>
      </w:r>
    </w:p>
    <w:p>
      <w:pPr>
        <w:pStyle w:val="2953"/>
        <w:ind w:firstLine="560"/>
      </w:pPr>
      <w:r>
        <w:rPr>
          <w:rFonts w:hint="eastAsia" w:ascii="Times New Roman" w:hAnsi="Times New Roman" w:eastAsia="方正仿宋_GBK" w:cs="Times New Roman"/>
          <w:bCs/>
          <w:kern w:val="2"/>
          <w:sz w:val="32"/>
          <w:szCs w:val="32"/>
          <w:lang w:val="en-US" w:eastAsia="zh-CN" w:bidi="ar-SA"/>
        </w:rPr>
        <w:t>菜坝片区地势平坦，5年、10年、20年一遇洪水水面线以下房屋面积相差不大，均约为11.29万m</w:t>
      </w:r>
      <w:r>
        <w:rPr>
          <w:rFonts w:hint="eastAsia" w:ascii="Times New Roman" w:hAnsi="Times New Roman" w:eastAsia="方正仿宋_GBK" w:cs="Times New Roman"/>
          <w:bCs/>
          <w:kern w:val="2"/>
          <w:sz w:val="32"/>
          <w:szCs w:val="32"/>
          <w:vertAlign w:val="superscript"/>
          <w:lang w:val="en-US" w:eastAsia="zh-CN" w:bidi="ar-SA"/>
        </w:rPr>
        <w:t>2</w:t>
      </w:r>
      <w:r>
        <w:rPr>
          <w:rFonts w:hint="eastAsia" w:ascii="Times New Roman" w:hAnsi="Times New Roman" w:eastAsia="方正仿宋_GBK" w:cs="Times New Roman"/>
          <w:bCs/>
          <w:kern w:val="2"/>
          <w:sz w:val="32"/>
          <w:szCs w:val="32"/>
          <w:lang w:val="en-US" w:eastAsia="zh-CN" w:bidi="ar-SA"/>
        </w:rPr>
        <w:t>，如结合旧城改造实施征地拆迁，则拆迁工作基本需要一次性完成。综合考虑防洪、排涝和城市景观需求，规划对滨河路适当后退并实施加高拓宽，抬高拆迁区域建基面高程至20年一遇洪水位；开展商业步行街和体育文化公园建设，以体育文化为核心，主要建设停车场、儿童活动区、青年健身区、老年活动区、景观观赏区、健身环道等。各堤段抬高路面高度如下：区经信委至园林场0.11km堤段平均约4.15m，园林场至南门办公楼0.23km堤段平均约4.96m，南门办公楼至通惠河口0.30km堤段平均约3.91m。工程实施后可提升滨河路沿线的滨水景观和商业活跃度，带动经济高质量发展。菜坝片区建堤前后对比效果见图6.2</w:t>
      </w:r>
      <w:r>
        <w:rPr>
          <w:rFonts w:hint="eastAsia" w:ascii="Times New Roman" w:eastAsia="方正仿宋_GBK" w:cs="Times New Roman"/>
          <w:bCs/>
          <w:kern w:val="2"/>
          <w:sz w:val="32"/>
          <w:szCs w:val="32"/>
          <w:lang w:val="en-US" w:eastAsia="zh-CN" w:bidi="ar-SA"/>
        </w:rPr>
        <w:t>—</w:t>
      </w:r>
      <w:r>
        <w:rPr>
          <w:rFonts w:hint="eastAsia" w:ascii="Times New Roman" w:hAnsi="Times New Roman" w:eastAsia="方正仿宋_GBK" w:cs="Times New Roman"/>
          <w:bCs/>
          <w:kern w:val="2"/>
          <w:sz w:val="32"/>
          <w:szCs w:val="32"/>
          <w:lang w:val="en-US" w:eastAsia="zh-CN" w:bidi="ar-SA"/>
        </w:rPr>
        <w:t>11。</w:t>
      </w:r>
    </w:p>
    <w:p>
      <w:pPr>
        <w:pStyle w:val="2886"/>
        <w:outlineLvl w:val="9"/>
      </w:pPr>
      <w:r>
        <w:drawing>
          <wp:inline distT="0" distB="0" distL="114300" distR="114300">
            <wp:extent cx="5036820" cy="3679825"/>
            <wp:effectExtent l="0" t="0" r="11430" b="15875"/>
            <wp:docPr id="166" name="图片 167" descr="图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6" name="图片 167" descr="图5"/>
                    <pic:cNvPicPr>
                      <a:picLocks noChangeAspect="true"/>
                    </pic:cNvPicPr>
                  </pic:nvPicPr>
                  <pic:blipFill>
                    <a:blip r:embed="rId206"/>
                    <a:stretch>
                      <a:fillRect/>
                    </a:stretch>
                  </pic:blipFill>
                  <pic:spPr>
                    <a:xfrm>
                      <a:off x="0" y="0"/>
                      <a:ext cx="5036820" cy="3679825"/>
                    </a:xfrm>
                    <a:prstGeom prst="rect">
                      <a:avLst/>
                    </a:prstGeom>
                    <a:noFill/>
                    <a:ln>
                      <a:noFill/>
                    </a:ln>
                  </pic:spPr>
                </pic:pic>
              </a:graphicData>
            </a:graphic>
          </wp:inline>
        </w:drawing>
      </w:r>
    </w:p>
    <w:p>
      <w:pPr>
        <w:pStyle w:val="2886"/>
      </w:pPr>
      <w:r>
        <w:rPr>
          <w:rFonts w:hint="default" w:ascii="Times New Roman" w:hAnsi="Times New Roman" w:cs="Times New Roman"/>
        </w:rPr>
        <w:t>图6.2</w:t>
      </w:r>
      <w:r>
        <w:rPr>
          <w:rFonts w:hint="default" w:ascii="Times New Roman" w:hAnsi="Times New Roman" w:cs="Times New Roman"/>
          <w:lang w:eastAsia="zh-CN"/>
        </w:rPr>
        <w:t>—</w:t>
      </w:r>
      <w:r>
        <w:rPr>
          <w:rFonts w:hint="default" w:ascii="Times New Roman" w:hAnsi="Times New Roman" w:cs="Times New Roman"/>
          <w:lang w:val="en-US" w:eastAsia="zh-CN"/>
        </w:rPr>
        <w:t>7</w:t>
      </w:r>
      <w:r>
        <w:rPr>
          <w:rFonts w:hint="default" w:ascii="Times New Roman" w:hAnsi="Times New Roman" w:cs="Times New Roman"/>
        </w:rPr>
        <w:t xml:space="preserve">  </w:t>
      </w:r>
      <w:r>
        <w:t xml:space="preserve"> </w:t>
      </w:r>
      <w:r>
        <w:rPr>
          <w:rFonts w:hint="eastAsia"/>
        </w:rPr>
        <w:t>菜坝片区堤防建设效果图</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5.2.3 綦江干流右岸通惠河口至綦江大桥片区</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右岸通惠河口至綦江大桥段长0.23km，堤顶欠高3.00—6.91m，平均5.37m。考虑该堤段房屋靠近水边线，建堤空间较小，见图6.2—8和图6.2—9，本次规划对綦河右岸建设银行至通惠河口（农行除外）临河所有建筑进行整体拆迁，实施生态堤防建设，并加强防洪空间管控与保护。</w:t>
      </w:r>
    </w:p>
    <w:p>
      <w:pPr>
        <w:pStyle w:val="2886"/>
        <w:outlineLvl w:val="9"/>
      </w:pPr>
      <w:r>
        <w:drawing>
          <wp:inline distT="0" distB="0" distL="114300" distR="114300">
            <wp:extent cx="5734050" cy="2972435"/>
            <wp:effectExtent l="0" t="0" r="0" b="18415"/>
            <wp:docPr id="167" name="图片 168" descr="通惠河口至綦江大桥段"/>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7" name="图片 168" descr="通惠河口至綦江大桥段"/>
                    <pic:cNvPicPr>
                      <a:picLocks noChangeAspect="true"/>
                    </pic:cNvPicPr>
                  </pic:nvPicPr>
                  <pic:blipFill>
                    <a:blip r:embed="rId207"/>
                    <a:stretch>
                      <a:fillRect/>
                    </a:stretch>
                  </pic:blipFill>
                  <pic:spPr>
                    <a:xfrm>
                      <a:off x="0" y="0"/>
                      <a:ext cx="5734050" cy="2972435"/>
                    </a:xfrm>
                    <a:prstGeom prst="rect">
                      <a:avLst/>
                    </a:prstGeom>
                    <a:noFill/>
                    <a:ln>
                      <a:noFill/>
                    </a:ln>
                  </pic:spPr>
                </pic:pic>
              </a:graphicData>
            </a:graphic>
          </wp:inline>
        </w:drawing>
      </w:r>
    </w:p>
    <w:p>
      <w:pPr>
        <w:pStyle w:val="2886"/>
        <w:spacing w:line="240" w:lineRule="exact"/>
      </w:pPr>
      <w:r>
        <w:rPr>
          <w:rFonts w:hint="default" w:ascii="Times New Roman" w:hAnsi="Times New Roman" w:cs="Times New Roman"/>
        </w:rPr>
        <w:t>图6.2</w:t>
      </w:r>
      <w:r>
        <w:rPr>
          <w:rFonts w:hint="default" w:ascii="Times New Roman" w:hAnsi="Times New Roman" w:cs="Times New Roman"/>
          <w:lang w:eastAsia="zh-CN"/>
        </w:rPr>
        <w:t>—</w:t>
      </w:r>
      <w:r>
        <w:rPr>
          <w:rFonts w:hint="default" w:ascii="Times New Roman" w:hAnsi="Times New Roman" w:cs="Times New Roman"/>
          <w:lang w:val="en-US" w:eastAsia="zh-CN"/>
        </w:rPr>
        <w:t>8</w:t>
      </w:r>
      <w:r>
        <w:rPr>
          <w:rFonts w:hint="default" w:ascii="Times New Roman" w:hAnsi="Times New Roman" w:cs="Times New Roman"/>
        </w:rPr>
        <w:t xml:space="preserve">    綦江右岸通惠河</w:t>
      </w:r>
      <w:r>
        <w:rPr>
          <w:rFonts w:hint="eastAsia"/>
        </w:rPr>
        <w:t>口至綦江大桥段位置示意图</w:t>
      </w:r>
    </w:p>
    <w:p>
      <w:pPr>
        <w:pStyle w:val="2886"/>
        <w:spacing w:line="360" w:lineRule="auto"/>
        <w:outlineLvl w:val="9"/>
        <w:rPr>
          <w:rFonts w:hint="eastAsia"/>
        </w:rPr>
      </w:pPr>
      <w:r>
        <w:rPr>
          <w:rFonts w:hint="eastAsia"/>
        </w:rPr>
        <w:drawing>
          <wp:inline distT="0" distB="0" distL="114300" distR="114300">
            <wp:extent cx="5746115" cy="1390650"/>
            <wp:effectExtent l="0" t="0" r="6985" b="0"/>
            <wp:docPr id="168" name="图片 313" descr="通惠河口-綦江大桥"/>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8" name="图片 313" descr="通惠河口-綦江大桥"/>
                    <pic:cNvPicPr>
                      <a:picLocks noChangeAspect="true"/>
                    </pic:cNvPicPr>
                  </pic:nvPicPr>
                  <pic:blipFill>
                    <a:blip r:embed="rId208"/>
                    <a:stretch>
                      <a:fillRect/>
                    </a:stretch>
                  </pic:blipFill>
                  <pic:spPr>
                    <a:xfrm>
                      <a:off x="0" y="0"/>
                      <a:ext cx="5746115" cy="1390650"/>
                    </a:xfrm>
                    <a:prstGeom prst="rect">
                      <a:avLst/>
                    </a:prstGeom>
                    <a:noFill/>
                    <a:ln>
                      <a:noFill/>
                    </a:ln>
                  </pic:spPr>
                </pic:pic>
              </a:graphicData>
            </a:graphic>
          </wp:inline>
        </w:drawing>
      </w:r>
    </w:p>
    <w:p>
      <w:pPr>
        <w:pStyle w:val="2886"/>
        <w:spacing w:line="240" w:lineRule="exact"/>
      </w:pPr>
      <w:r>
        <w:rPr>
          <w:rFonts w:hint="default" w:ascii="Times New Roman" w:hAnsi="Times New Roman" w:cs="Times New Roman"/>
        </w:rPr>
        <w:t>图6.2</w:t>
      </w:r>
      <w:r>
        <w:rPr>
          <w:rFonts w:hint="default" w:ascii="Times New Roman" w:hAnsi="Times New Roman" w:cs="Times New Roman"/>
          <w:lang w:eastAsia="zh-CN"/>
        </w:rPr>
        <w:t>—</w:t>
      </w:r>
      <w:r>
        <w:rPr>
          <w:rFonts w:hint="default" w:ascii="Times New Roman" w:hAnsi="Times New Roman" w:cs="Times New Roman"/>
          <w:lang w:val="en-US" w:eastAsia="zh-CN"/>
        </w:rPr>
        <w:t>9</w:t>
      </w:r>
      <w:r>
        <w:rPr>
          <w:rFonts w:hint="default" w:ascii="Times New Roman" w:hAnsi="Times New Roman" w:cs="Times New Roman"/>
        </w:rPr>
        <w:t xml:space="preserve">  </w:t>
      </w:r>
      <w:r>
        <w:rPr>
          <w:rFonts w:hint="eastAsia"/>
        </w:rPr>
        <w:t>綦江右岸通惠河口</w:t>
      </w:r>
      <w:r>
        <w:rPr>
          <w:rFonts w:hint="eastAsia"/>
          <w:lang w:eastAsia="zh-CN"/>
        </w:rPr>
        <w:t>—</w:t>
      </w:r>
      <w:r>
        <w:rPr>
          <w:rFonts w:hint="eastAsia"/>
        </w:rPr>
        <w:t>綦江大桥地理景观图</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5.2.4 綦江干流左岸中国石化—沱湾大桥片区</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左岸中国石化—沱湾大桥不达标堤段长0.81km，位置见图6.2—10。根据区域地形情况，规划采用防洪墙方案，将堤线后靠至210国道，并沿国道实施临水侧帮宽加高+U型种植槽或将围栏改造为实体文化艺术墙，达到20年一遇防洪标准。</w:t>
      </w:r>
    </w:p>
    <w:p>
      <w:pPr>
        <w:pStyle w:val="2886"/>
        <w:outlineLvl w:val="9"/>
      </w:pPr>
      <w:r>
        <w:drawing>
          <wp:inline distT="0" distB="0" distL="114300" distR="114300">
            <wp:extent cx="4709160" cy="2410460"/>
            <wp:effectExtent l="0" t="0" r="15240" b="8890"/>
            <wp:docPr id="169" name="图片 285" descr="图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9" name="图片 285" descr="图5"/>
                    <pic:cNvPicPr>
                      <a:picLocks noChangeAspect="true"/>
                    </pic:cNvPicPr>
                  </pic:nvPicPr>
                  <pic:blipFill>
                    <a:blip r:embed="rId209"/>
                    <a:stretch>
                      <a:fillRect/>
                    </a:stretch>
                  </pic:blipFill>
                  <pic:spPr>
                    <a:xfrm>
                      <a:off x="0" y="0"/>
                      <a:ext cx="4709160" cy="2410460"/>
                    </a:xfrm>
                    <a:prstGeom prst="rect">
                      <a:avLst/>
                    </a:prstGeom>
                    <a:noFill/>
                    <a:ln>
                      <a:noFill/>
                    </a:ln>
                  </pic:spPr>
                </pic:pic>
              </a:graphicData>
            </a:graphic>
          </wp:inline>
        </w:drawing>
      </w:r>
    </w:p>
    <w:p>
      <w:pPr>
        <w:pStyle w:val="2886"/>
        <w:spacing w:line="240" w:lineRule="exact"/>
        <w:rPr>
          <w:rFonts w:hint="default" w:ascii="Times New Roman" w:hAnsi="Times New Roman" w:cs="Times New Roman"/>
        </w:rPr>
      </w:pPr>
      <w:r>
        <w:rPr>
          <w:rFonts w:hint="default" w:ascii="Times New Roman" w:hAnsi="Times New Roman" w:cs="Times New Roman"/>
        </w:rPr>
        <w:t>图6.2</w:t>
      </w:r>
      <w:r>
        <w:rPr>
          <w:rFonts w:hint="default" w:ascii="Times New Roman" w:hAnsi="Times New Roman" w:cs="Times New Roman"/>
          <w:lang w:eastAsia="zh-CN"/>
        </w:rPr>
        <w:t>—</w:t>
      </w:r>
      <w:r>
        <w:rPr>
          <w:rFonts w:hint="default" w:ascii="Times New Roman" w:hAnsi="Times New Roman" w:cs="Times New Roman"/>
          <w:lang w:val="en-US" w:eastAsia="zh-CN"/>
        </w:rPr>
        <w:t>10</w:t>
      </w:r>
      <w:r>
        <w:rPr>
          <w:rFonts w:hint="default" w:ascii="Times New Roman" w:hAnsi="Times New Roman" w:cs="Times New Roman"/>
        </w:rPr>
        <w:t xml:space="preserve">    綦江左岸中国石化</w:t>
      </w:r>
      <w:r>
        <w:rPr>
          <w:rFonts w:hint="default" w:ascii="Times New Roman" w:hAnsi="Times New Roman" w:cs="Times New Roman"/>
          <w:lang w:eastAsia="zh-CN"/>
        </w:rPr>
        <w:t>—</w:t>
      </w:r>
      <w:r>
        <w:rPr>
          <w:rFonts w:hint="default" w:ascii="Times New Roman" w:hAnsi="Times New Roman" w:cs="Times New Roman"/>
        </w:rPr>
        <w:t>沱湾大桥片区位置示意图</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default" w:ascii="Times New Roman" w:hAnsi="Times New Roman" w:eastAsia="方正仿宋_GBK" w:cs="Times New Roman"/>
          <w:sz w:val="32"/>
          <w:szCs w:val="32"/>
          <w:lang w:val="en-US" w:eastAsia="zh-CN"/>
        </w:rPr>
        <w:t>中国石化—黄</w:t>
      </w:r>
      <w:r>
        <w:rPr>
          <w:rFonts w:hint="eastAsia" w:ascii="Times New Roman" w:hAnsi="Times New Roman" w:eastAsia="方正仿宋_GBK" w:cs="Times New Roman"/>
          <w:sz w:val="32"/>
          <w:szCs w:val="32"/>
          <w:lang w:val="en-US" w:eastAsia="zh-CN"/>
        </w:rPr>
        <w:t>木湾路公厕段主要堤段地理景观见图6.2—11和图6.2—12。结合景观需求，塑造植草斜坡景观带和亲水步道，便于观景，堤防加高改造的范围在现有绿化带范围内进行，尽量避免对现状道路的影响。加高高度如下：左岸中国石化—重庆石化黄木湾加油站0.47km堤段平均约2.16m，重庆石化黄木湾加油站—黄木湾路公厕0.15km堤段平均约1.65m。</w:t>
      </w:r>
    </w:p>
    <w:p>
      <w:pPr>
        <w:pStyle w:val="2886"/>
        <w:outlineLvl w:val="9"/>
        <w:rPr>
          <w:rFonts w:hint="eastAsia"/>
        </w:rPr>
      </w:pPr>
      <w:r>
        <w:rPr>
          <w:rFonts w:hint="eastAsia"/>
        </w:rPr>
        <w:drawing>
          <wp:inline distT="0" distB="0" distL="114300" distR="114300">
            <wp:extent cx="5044440" cy="1645920"/>
            <wp:effectExtent l="0" t="0" r="3810" b="11430"/>
            <wp:docPr id="170" name="图片 371" descr="中石化-加油站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0" name="图片 371" descr="中石化-加油站2"/>
                    <pic:cNvPicPr>
                      <a:picLocks noChangeAspect="true"/>
                    </pic:cNvPicPr>
                  </pic:nvPicPr>
                  <pic:blipFill>
                    <a:blip r:embed="rId210"/>
                    <a:stretch>
                      <a:fillRect/>
                    </a:stretch>
                  </pic:blipFill>
                  <pic:spPr>
                    <a:xfrm>
                      <a:off x="0" y="0"/>
                      <a:ext cx="5044440" cy="1645920"/>
                    </a:xfrm>
                    <a:prstGeom prst="rect">
                      <a:avLst/>
                    </a:prstGeom>
                    <a:noFill/>
                    <a:ln>
                      <a:noFill/>
                    </a:ln>
                  </pic:spPr>
                </pic:pic>
              </a:graphicData>
            </a:graphic>
          </wp:inline>
        </w:drawing>
      </w:r>
    </w:p>
    <w:p>
      <w:pPr>
        <w:pStyle w:val="2886"/>
      </w:pPr>
      <w:r>
        <w:rPr>
          <w:rFonts w:hint="default" w:ascii="Times New Roman" w:hAnsi="Times New Roman" w:cs="Times New Roman"/>
        </w:rPr>
        <w:t>图6.2</w:t>
      </w:r>
      <w:r>
        <w:rPr>
          <w:rFonts w:hint="default" w:ascii="Times New Roman" w:hAnsi="Times New Roman" w:cs="Times New Roman"/>
          <w:lang w:eastAsia="zh-CN"/>
        </w:rPr>
        <w:t>—</w:t>
      </w:r>
      <w:r>
        <w:rPr>
          <w:rFonts w:hint="default" w:ascii="Times New Roman" w:hAnsi="Times New Roman" w:cs="Times New Roman"/>
          <w:lang w:val="en-US" w:eastAsia="zh-CN"/>
        </w:rPr>
        <w:t>11</w:t>
      </w:r>
      <w:r>
        <w:rPr>
          <w:rFonts w:hint="default" w:ascii="Times New Roman" w:hAnsi="Times New Roman" w:cs="Times New Roman"/>
        </w:rPr>
        <w:t xml:space="preserve">  </w:t>
      </w:r>
      <w:r>
        <w:rPr>
          <w:rFonts w:hint="eastAsia"/>
        </w:rPr>
        <w:t>綦江左岸中国石化</w:t>
      </w:r>
      <w:r>
        <w:rPr>
          <w:rFonts w:hint="eastAsia"/>
          <w:lang w:eastAsia="zh-CN"/>
        </w:rPr>
        <w:t>—</w:t>
      </w:r>
      <w:r>
        <w:rPr>
          <w:rFonts w:hint="eastAsia"/>
        </w:rPr>
        <w:t>重庆石化黄木湾加油站地理景观图</w:t>
      </w:r>
    </w:p>
    <w:p>
      <w:pPr>
        <w:pStyle w:val="2886"/>
        <w:spacing w:line="360" w:lineRule="auto"/>
        <w:outlineLvl w:val="9"/>
        <w:rPr>
          <w:rFonts w:hint="eastAsia"/>
        </w:rPr>
      </w:pPr>
      <w:r>
        <w:rPr>
          <w:rFonts w:hint="eastAsia"/>
        </w:rPr>
        <w:drawing>
          <wp:inline distT="0" distB="0" distL="114300" distR="114300">
            <wp:extent cx="5045710" cy="1094740"/>
            <wp:effectExtent l="0" t="0" r="2540" b="10160"/>
            <wp:docPr id="171" name="图片 373" descr="加油站-公测"/>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1" name="图片 373" descr="加油站-公测"/>
                    <pic:cNvPicPr>
                      <a:picLocks noChangeAspect="true"/>
                    </pic:cNvPicPr>
                  </pic:nvPicPr>
                  <pic:blipFill>
                    <a:blip r:embed="rId211"/>
                    <a:stretch>
                      <a:fillRect/>
                    </a:stretch>
                  </pic:blipFill>
                  <pic:spPr>
                    <a:xfrm>
                      <a:off x="0" y="0"/>
                      <a:ext cx="5045710" cy="1094740"/>
                    </a:xfrm>
                    <a:prstGeom prst="rect">
                      <a:avLst/>
                    </a:prstGeom>
                    <a:noFill/>
                    <a:ln>
                      <a:noFill/>
                    </a:ln>
                  </pic:spPr>
                </pic:pic>
              </a:graphicData>
            </a:graphic>
          </wp:inline>
        </w:drawing>
      </w:r>
    </w:p>
    <w:p>
      <w:pPr>
        <w:pStyle w:val="2886"/>
      </w:pPr>
      <w:r>
        <w:rPr>
          <w:rFonts w:hint="default" w:ascii="Times New Roman" w:hAnsi="Times New Roman" w:cs="Times New Roman"/>
        </w:rPr>
        <w:t>图6.2</w:t>
      </w:r>
      <w:r>
        <w:rPr>
          <w:rFonts w:hint="default" w:ascii="Times New Roman" w:hAnsi="Times New Roman" w:cs="Times New Roman"/>
          <w:lang w:eastAsia="zh-CN"/>
        </w:rPr>
        <w:t>—</w:t>
      </w:r>
      <w:r>
        <w:rPr>
          <w:rFonts w:hint="default" w:ascii="Times New Roman" w:hAnsi="Times New Roman" w:cs="Times New Roman"/>
        </w:rPr>
        <w:t>1</w:t>
      </w:r>
      <w:r>
        <w:rPr>
          <w:rFonts w:hint="default" w:ascii="Times New Roman" w:hAnsi="Times New Roman" w:cs="Times New Roman"/>
          <w:lang w:val="en-US" w:eastAsia="zh-CN"/>
        </w:rPr>
        <w:t>2</w:t>
      </w:r>
      <w:r>
        <w:rPr>
          <w:rFonts w:hint="eastAsia"/>
        </w:rPr>
        <w:t xml:space="preserve"> 綦江左岸重庆石化黄木湾加油站</w:t>
      </w:r>
      <w:r>
        <w:rPr>
          <w:rFonts w:hint="eastAsia"/>
          <w:lang w:eastAsia="zh-CN"/>
        </w:rPr>
        <w:t>—</w:t>
      </w:r>
      <w:r>
        <w:rPr>
          <w:rFonts w:hint="eastAsia"/>
        </w:rPr>
        <w:t>黄木湾路公厕地理景观图</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黄木湾路公厕—华上新天居民区段长0.06km，堤顶欠高平均约1.19m；华上新天居民区—綦江久平汽车售后服务部段长0.13km，堤顶欠高平均约0.36m，主要堤段地理景观见图6.2—13。规划采用防浪墙方案，将210国道围栏改造为实体防浪墙，设置文化艺术墙。</w:t>
      </w:r>
    </w:p>
    <w:p>
      <w:pPr>
        <w:pStyle w:val="2886"/>
        <w:spacing w:line="360" w:lineRule="auto"/>
        <w:outlineLvl w:val="9"/>
        <w:rPr>
          <w:rFonts w:hint="eastAsia"/>
        </w:rPr>
      </w:pPr>
      <w:r>
        <w:rPr>
          <w:rFonts w:hint="eastAsia"/>
        </w:rPr>
        <w:drawing>
          <wp:inline distT="0" distB="0" distL="114300" distR="114300">
            <wp:extent cx="5042535" cy="1562735"/>
            <wp:effectExtent l="0" t="0" r="5715" b="18415"/>
            <wp:docPr id="172" name="图片 319" descr="公测-久平"/>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2" name="图片 319" descr="公测-久平"/>
                    <pic:cNvPicPr>
                      <a:picLocks noChangeAspect="true"/>
                    </pic:cNvPicPr>
                  </pic:nvPicPr>
                  <pic:blipFill>
                    <a:blip r:embed="rId212"/>
                    <a:stretch>
                      <a:fillRect/>
                    </a:stretch>
                  </pic:blipFill>
                  <pic:spPr>
                    <a:xfrm>
                      <a:off x="0" y="0"/>
                      <a:ext cx="5042535" cy="1562735"/>
                    </a:xfrm>
                    <a:prstGeom prst="rect">
                      <a:avLst/>
                    </a:prstGeom>
                    <a:noFill/>
                    <a:ln>
                      <a:noFill/>
                    </a:ln>
                  </pic:spPr>
                </pic:pic>
              </a:graphicData>
            </a:graphic>
          </wp:inline>
        </w:drawing>
      </w:r>
    </w:p>
    <w:p>
      <w:pPr>
        <w:pStyle w:val="2886"/>
        <w:spacing w:line="240" w:lineRule="exact"/>
        <w:outlineLvl w:val="9"/>
        <w:rPr>
          <w:rFonts w:hint="eastAsia"/>
          <w:sz w:val="21"/>
          <w:szCs w:val="16"/>
        </w:rPr>
      </w:pPr>
      <w:r>
        <w:rPr>
          <w:rFonts w:hint="eastAsia"/>
          <w:sz w:val="21"/>
          <w:szCs w:val="16"/>
        </w:rPr>
        <w:t>黄木湾路公厕</w:t>
      </w:r>
      <w:r>
        <w:rPr>
          <w:rFonts w:hint="eastAsia"/>
          <w:sz w:val="21"/>
          <w:szCs w:val="16"/>
          <w:lang w:eastAsia="zh-CN"/>
        </w:rPr>
        <w:t>—</w:t>
      </w:r>
      <w:r>
        <w:rPr>
          <w:rFonts w:hint="eastAsia"/>
          <w:sz w:val="21"/>
          <w:szCs w:val="16"/>
        </w:rPr>
        <w:t>綦江久平汽车售后服务部</w:t>
      </w:r>
    </w:p>
    <w:p>
      <w:pPr>
        <w:pStyle w:val="2886"/>
        <w:spacing w:line="360" w:lineRule="auto"/>
        <w:outlineLvl w:val="9"/>
        <w:rPr>
          <w:rFonts w:hint="eastAsia"/>
        </w:rPr>
      </w:pPr>
      <w:r>
        <w:rPr>
          <w:rFonts w:hint="eastAsia"/>
        </w:rPr>
        <w:drawing>
          <wp:inline distT="0" distB="0" distL="114300" distR="114300">
            <wp:extent cx="5044440" cy="1053465"/>
            <wp:effectExtent l="0" t="0" r="3810" b="13335"/>
            <wp:docPr id="173" name="图片 320" descr="久平-沱湾大桥"/>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3" name="图片 320" descr="久平-沱湾大桥"/>
                    <pic:cNvPicPr>
                      <a:picLocks noChangeAspect="true"/>
                    </pic:cNvPicPr>
                  </pic:nvPicPr>
                  <pic:blipFill>
                    <a:blip r:embed="rId213"/>
                    <a:stretch>
                      <a:fillRect/>
                    </a:stretch>
                  </pic:blipFill>
                  <pic:spPr>
                    <a:xfrm>
                      <a:off x="0" y="0"/>
                      <a:ext cx="5044440" cy="1053465"/>
                    </a:xfrm>
                    <a:prstGeom prst="rect">
                      <a:avLst/>
                    </a:prstGeom>
                    <a:noFill/>
                    <a:ln>
                      <a:noFill/>
                    </a:ln>
                  </pic:spPr>
                </pic:pic>
              </a:graphicData>
            </a:graphic>
          </wp:inline>
        </w:drawing>
      </w:r>
    </w:p>
    <w:p>
      <w:pPr>
        <w:pStyle w:val="2886"/>
        <w:spacing w:line="240" w:lineRule="exact"/>
        <w:outlineLvl w:val="9"/>
        <w:rPr>
          <w:rFonts w:hint="eastAsia"/>
          <w:sz w:val="21"/>
          <w:szCs w:val="16"/>
        </w:rPr>
      </w:pPr>
      <w:r>
        <w:rPr>
          <w:rFonts w:hint="eastAsia"/>
          <w:sz w:val="21"/>
          <w:szCs w:val="16"/>
        </w:rPr>
        <w:t>綦江久平汽车售后服务部</w:t>
      </w:r>
      <w:r>
        <w:rPr>
          <w:rFonts w:hint="eastAsia"/>
          <w:sz w:val="21"/>
          <w:szCs w:val="16"/>
          <w:lang w:eastAsia="zh-CN"/>
        </w:rPr>
        <w:t>—</w:t>
      </w:r>
      <w:r>
        <w:rPr>
          <w:rFonts w:hint="eastAsia"/>
          <w:sz w:val="21"/>
          <w:szCs w:val="16"/>
        </w:rPr>
        <w:t>沱湾大桥</w:t>
      </w:r>
    </w:p>
    <w:p>
      <w:pPr>
        <w:pStyle w:val="2886"/>
      </w:pPr>
      <w:r>
        <w:rPr>
          <w:rFonts w:hint="default" w:ascii="Times New Roman" w:hAnsi="Times New Roman" w:cs="Times New Roman"/>
        </w:rPr>
        <w:t>图6.2</w:t>
      </w:r>
      <w:r>
        <w:rPr>
          <w:rFonts w:hint="default" w:ascii="Times New Roman" w:hAnsi="Times New Roman" w:cs="Times New Roman"/>
          <w:lang w:eastAsia="zh-CN"/>
        </w:rPr>
        <w:t>—</w:t>
      </w:r>
      <w:r>
        <w:rPr>
          <w:rFonts w:hint="default" w:ascii="Times New Roman" w:hAnsi="Times New Roman" w:cs="Times New Roman"/>
        </w:rPr>
        <w:t>1</w:t>
      </w:r>
      <w:r>
        <w:rPr>
          <w:rFonts w:hint="default" w:ascii="Times New Roman" w:hAnsi="Times New Roman" w:cs="Times New Roman"/>
          <w:lang w:val="en-US" w:eastAsia="zh-CN"/>
        </w:rPr>
        <w:t>3</w:t>
      </w:r>
      <w:r>
        <w:rPr>
          <w:rFonts w:hint="default" w:ascii="Times New Roman" w:hAnsi="Times New Roman" w:cs="Times New Roman"/>
        </w:rPr>
        <w:t xml:space="preserve">  </w:t>
      </w:r>
      <w:r>
        <w:rPr>
          <w:rFonts w:hint="eastAsia"/>
        </w:rPr>
        <w:t>綦江左岸黄木湾路公厕</w:t>
      </w:r>
      <w:r>
        <w:rPr>
          <w:rFonts w:hint="eastAsia"/>
          <w:lang w:eastAsia="zh-CN"/>
        </w:rPr>
        <w:t>—</w:t>
      </w:r>
      <w:r>
        <w:rPr>
          <w:rFonts w:hint="eastAsia"/>
        </w:rPr>
        <w:t>沱湾大桥段地理景观图</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5.2.5 綦江干流左岸沱湾大桥片区</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綦江左岸沱湾大桥—沱湾半山公寓公交站地理景观见图6.2—14。其中，华诺世口腔—雨亭</w:t>
      </w:r>
      <w:r>
        <w:rPr>
          <w:rFonts w:hint="eastAsia" w:ascii="微软雅黑" w:hAnsi="微软雅黑" w:eastAsia="微软雅黑" w:cs="微软雅黑"/>
          <w:sz w:val="32"/>
          <w:szCs w:val="32"/>
          <w:lang w:val="en-US" w:eastAsia="zh-CN"/>
        </w:rPr>
        <w:t>·</w:t>
      </w:r>
      <w:r>
        <w:rPr>
          <w:rFonts w:hint="eastAsia" w:ascii="Times New Roman" w:hAnsi="Times New Roman" w:eastAsia="方正仿宋_GBK" w:cs="Times New Roman"/>
          <w:sz w:val="32"/>
          <w:szCs w:val="32"/>
          <w:lang w:val="en-US" w:eastAsia="zh-CN"/>
        </w:rPr>
        <w:t>淞江水岸大门长0.07km，堤顶欠高平均约2.35m，雨亭</w:t>
      </w:r>
      <w:r>
        <w:rPr>
          <w:rFonts w:hint="eastAsia" w:ascii="微软雅黑" w:hAnsi="微软雅黑" w:eastAsia="微软雅黑" w:cs="微软雅黑"/>
          <w:sz w:val="32"/>
          <w:szCs w:val="32"/>
          <w:lang w:val="en-US" w:eastAsia="zh-CN"/>
        </w:rPr>
        <w:t>·</w:t>
      </w:r>
      <w:r>
        <w:rPr>
          <w:rFonts w:hint="eastAsia" w:ascii="Times New Roman" w:hAnsi="Times New Roman" w:eastAsia="方正仿宋_GBK" w:cs="Times New Roman"/>
          <w:sz w:val="32"/>
          <w:szCs w:val="32"/>
          <w:lang w:val="en-US" w:eastAsia="zh-CN"/>
        </w:rPr>
        <w:t>淞江水岸大门—鸿福洞藏酒窖长0.23km，堤顶欠高平均约3.93m；鸿福洞藏酒窖—沱湾半山公寓公交站长0.10km，堤顶平均欠高2.36m。该段仅淹没局部临河侧房屋，且堤顶欠高较大，建堤空间狭小，加之该河段行洪宽度相对较窄，因此采取洪水风险管控及应急避险转移措施。</w:t>
      </w:r>
    </w:p>
    <w:p>
      <w:pPr>
        <w:pStyle w:val="2886"/>
        <w:spacing w:line="360" w:lineRule="auto"/>
        <w:outlineLvl w:val="9"/>
        <w:rPr>
          <w:rFonts w:hint="eastAsia"/>
        </w:rPr>
      </w:pPr>
      <w:r>
        <w:rPr>
          <w:rFonts w:hint="eastAsia"/>
        </w:rPr>
        <w:drawing>
          <wp:inline distT="0" distB="0" distL="114300" distR="114300">
            <wp:extent cx="5039360" cy="1544955"/>
            <wp:effectExtent l="0" t="0" r="8890" b="17145"/>
            <wp:docPr id="174" name="图片 345" descr="沱湾大桥-口腔"/>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4" name="图片 345" descr="沱湾大桥-口腔"/>
                    <pic:cNvPicPr>
                      <a:picLocks noChangeAspect="true"/>
                    </pic:cNvPicPr>
                  </pic:nvPicPr>
                  <pic:blipFill>
                    <a:blip r:embed="rId214"/>
                    <a:stretch>
                      <a:fillRect/>
                    </a:stretch>
                  </pic:blipFill>
                  <pic:spPr>
                    <a:xfrm>
                      <a:off x="0" y="0"/>
                      <a:ext cx="5039360" cy="1544955"/>
                    </a:xfrm>
                    <a:prstGeom prst="rect">
                      <a:avLst/>
                    </a:prstGeom>
                    <a:noFill/>
                    <a:ln>
                      <a:noFill/>
                    </a:ln>
                  </pic:spPr>
                </pic:pic>
              </a:graphicData>
            </a:graphic>
          </wp:inline>
        </w:drawing>
      </w:r>
    </w:p>
    <w:p>
      <w:pPr>
        <w:pStyle w:val="2886"/>
        <w:spacing w:line="240" w:lineRule="exact"/>
        <w:outlineLvl w:val="9"/>
        <w:rPr>
          <w:sz w:val="21"/>
          <w:szCs w:val="16"/>
        </w:rPr>
      </w:pPr>
      <w:r>
        <w:rPr>
          <w:rFonts w:hint="eastAsia"/>
          <w:sz w:val="21"/>
          <w:szCs w:val="16"/>
        </w:rPr>
        <w:t>沱湾大桥</w:t>
      </w:r>
      <w:r>
        <w:rPr>
          <w:rFonts w:hint="eastAsia"/>
          <w:sz w:val="21"/>
          <w:szCs w:val="16"/>
          <w:lang w:eastAsia="zh-CN"/>
        </w:rPr>
        <w:t>—</w:t>
      </w:r>
      <w:r>
        <w:rPr>
          <w:rFonts w:hint="eastAsia"/>
          <w:sz w:val="21"/>
          <w:szCs w:val="16"/>
        </w:rPr>
        <w:t>华诺世口腔段地理景观图</w:t>
      </w:r>
    </w:p>
    <w:p>
      <w:pPr>
        <w:pStyle w:val="2886"/>
        <w:spacing w:line="360" w:lineRule="auto"/>
        <w:outlineLvl w:val="9"/>
        <w:rPr>
          <w:rFonts w:hint="eastAsia"/>
        </w:rPr>
      </w:pPr>
      <w:r>
        <w:rPr>
          <w:rFonts w:hint="eastAsia"/>
        </w:rPr>
        <w:drawing>
          <wp:inline distT="0" distB="0" distL="114300" distR="114300">
            <wp:extent cx="4666615" cy="1685925"/>
            <wp:effectExtent l="0" t="0" r="635" b="9525"/>
            <wp:docPr id="175" name="图片 323" descr="口腔-酒窖"/>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5" name="图片 323" descr="口腔-酒窖"/>
                    <pic:cNvPicPr>
                      <a:picLocks noChangeAspect="true"/>
                    </pic:cNvPicPr>
                  </pic:nvPicPr>
                  <pic:blipFill>
                    <a:blip r:embed="rId215"/>
                    <a:stretch>
                      <a:fillRect/>
                    </a:stretch>
                  </pic:blipFill>
                  <pic:spPr>
                    <a:xfrm>
                      <a:off x="0" y="0"/>
                      <a:ext cx="4666615" cy="1685925"/>
                    </a:xfrm>
                    <a:prstGeom prst="rect">
                      <a:avLst/>
                    </a:prstGeom>
                    <a:noFill/>
                    <a:ln>
                      <a:noFill/>
                    </a:ln>
                  </pic:spPr>
                </pic:pic>
              </a:graphicData>
            </a:graphic>
          </wp:inline>
        </w:drawing>
      </w:r>
    </w:p>
    <w:p>
      <w:pPr>
        <w:pStyle w:val="2886"/>
        <w:spacing w:line="240" w:lineRule="exact"/>
        <w:outlineLvl w:val="9"/>
        <w:rPr>
          <w:rFonts w:hint="eastAsia"/>
          <w:sz w:val="21"/>
          <w:szCs w:val="16"/>
        </w:rPr>
      </w:pPr>
      <w:r>
        <w:rPr>
          <w:rFonts w:hint="eastAsia"/>
          <w:sz w:val="21"/>
          <w:szCs w:val="16"/>
        </w:rPr>
        <w:t>华诺世口腔</w:t>
      </w:r>
      <w:r>
        <w:rPr>
          <w:rFonts w:hint="eastAsia"/>
          <w:sz w:val="21"/>
          <w:szCs w:val="16"/>
          <w:lang w:eastAsia="zh-CN"/>
        </w:rPr>
        <w:t>—</w:t>
      </w:r>
      <w:r>
        <w:rPr>
          <w:rFonts w:hint="eastAsia"/>
          <w:sz w:val="21"/>
          <w:szCs w:val="16"/>
        </w:rPr>
        <w:t>鸿福洞藏酒窖</w:t>
      </w:r>
    </w:p>
    <w:p>
      <w:pPr>
        <w:pStyle w:val="2886"/>
        <w:spacing w:line="360" w:lineRule="auto"/>
        <w:outlineLvl w:val="9"/>
        <w:rPr>
          <w:rFonts w:hint="eastAsia"/>
        </w:rPr>
      </w:pPr>
      <w:r>
        <w:rPr>
          <w:rFonts w:hint="eastAsia"/>
        </w:rPr>
        <w:drawing>
          <wp:inline distT="0" distB="0" distL="114300" distR="114300">
            <wp:extent cx="4678045" cy="1459230"/>
            <wp:effectExtent l="0" t="0" r="8255" b="7620"/>
            <wp:docPr id="176" name="图片 324" descr="酒窖-半山公寓"/>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6" name="图片 324" descr="酒窖-半山公寓"/>
                    <pic:cNvPicPr>
                      <a:picLocks noChangeAspect="true"/>
                    </pic:cNvPicPr>
                  </pic:nvPicPr>
                  <pic:blipFill>
                    <a:blip r:embed="rId216"/>
                    <a:stretch>
                      <a:fillRect/>
                    </a:stretch>
                  </pic:blipFill>
                  <pic:spPr>
                    <a:xfrm>
                      <a:off x="0" y="0"/>
                      <a:ext cx="4678045" cy="1459230"/>
                    </a:xfrm>
                    <a:prstGeom prst="rect">
                      <a:avLst/>
                    </a:prstGeom>
                    <a:noFill/>
                    <a:ln>
                      <a:noFill/>
                    </a:ln>
                  </pic:spPr>
                </pic:pic>
              </a:graphicData>
            </a:graphic>
          </wp:inline>
        </w:drawing>
      </w:r>
    </w:p>
    <w:p>
      <w:pPr>
        <w:pStyle w:val="2886"/>
        <w:spacing w:line="240" w:lineRule="exact"/>
        <w:outlineLvl w:val="9"/>
        <w:rPr>
          <w:rFonts w:hint="eastAsia"/>
          <w:sz w:val="21"/>
          <w:szCs w:val="16"/>
        </w:rPr>
      </w:pPr>
      <w:r>
        <w:rPr>
          <w:rFonts w:hint="eastAsia"/>
          <w:sz w:val="21"/>
          <w:szCs w:val="16"/>
        </w:rPr>
        <w:t>鸿福洞藏酒窖</w:t>
      </w:r>
      <w:r>
        <w:rPr>
          <w:rFonts w:hint="eastAsia"/>
          <w:sz w:val="21"/>
          <w:szCs w:val="16"/>
          <w:lang w:eastAsia="zh-CN"/>
        </w:rPr>
        <w:t>—</w:t>
      </w:r>
      <w:r>
        <w:rPr>
          <w:rFonts w:hint="eastAsia"/>
          <w:sz w:val="21"/>
          <w:szCs w:val="16"/>
        </w:rPr>
        <w:t>沱湾半山公寓</w:t>
      </w:r>
    </w:p>
    <w:p>
      <w:pPr>
        <w:pStyle w:val="2886"/>
      </w:pPr>
      <w:r>
        <w:rPr>
          <w:rFonts w:hint="default" w:ascii="Times New Roman" w:hAnsi="Times New Roman" w:cs="Times New Roman"/>
        </w:rPr>
        <w:t>图6.2</w:t>
      </w:r>
      <w:r>
        <w:rPr>
          <w:rFonts w:hint="default" w:ascii="Times New Roman" w:hAnsi="Times New Roman" w:cs="Times New Roman"/>
          <w:lang w:eastAsia="zh-CN"/>
        </w:rPr>
        <w:t>—</w:t>
      </w:r>
      <w:r>
        <w:rPr>
          <w:rFonts w:hint="default" w:ascii="Times New Roman" w:hAnsi="Times New Roman" w:cs="Times New Roman"/>
        </w:rPr>
        <w:t>1</w:t>
      </w:r>
      <w:r>
        <w:rPr>
          <w:rFonts w:hint="default" w:ascii="Times New Roman" w:hAnsi="Times New Roman" w:cs="Times New Roman"/>
          <w:lang w:val="en-US" w:eastAsia="zh-CN"/>
        </w:rPr>
        <w:t>4</w:t>
      </w:r>
      <w:r>
        <w:rPr>
          <w:rFonts w:hint="default" w:ascii="Times New Roman" w:hAnsi="Times New Roman" w:cs="Times New Roman"/>
        </w:rPr>
        <w:t xml:space="preserve">  </w:t>
      </w:r>
      <w:r>
        <w:rPr>
          <w:rFonts w:hint="eastAsia"/>
        </w:rPr>
        <w:t>綦江左岸华诺世口腔</w:t>
      </w:r>
      <w:r>
        <w:rPr>
          <w:rFonts w:hint="eastAsia"/>
          <w:lang w:eastAsia="zh-CN"/>
        </w:rPr>
        <w:t>—</w:t>
      </w:r>
      <w:r>
        <w:rPr>
          <w:rFonts w:hint="eastAsia"/>
        </w:rPr>
        <w:t>沱湾半山公寓公交站段地理景观图</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5.2.6 綦江干流左岸下北街片区</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①彩虹桥至綦江大桥段</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左岸彩虹桥防洪亭至綦江大桥段长0.47km，主要堤段地理景观见图6.2—15。考虑地形地质条件及沿河居民设施分布情况，无法直接实施堤防加高加固。规划通过抬高滨江路路面高程达到20年一遇防洪标准，平均加高高度为：防洪亭—南门办公楼2.10m，区粮食局—古南街道政府5.20m，古南街道政府—綦江大桥4.49m。</w:t>
      </w:r>
    </w:p>
    <w:p>
      <w:pPr>
        <w:pStyle w:val="2886"/>
        <w:spacing w:line="360" w:lineRule="auto"/>
        <w:outlineLvl w:val="9"/>
        <w:rPr>
          <w:rFonts w:hint="eastAsia"/>
        </w:rPr>
      </w:pPr>
      <w:r>
        <w:rPr>
          <w:rFonts w:hint="eastAsia"/>
        </w:rPr>
        <w:drawing>
          <wp:inline distT="0" distB="0" distL="114300" distR="114300">
            <wp:extent cx="4319905" cy="1685290"/>
            <wp:effectExtent l="0" t="0" r="4445" b="10160"/>
            <wp:docPr id="177" name="图片 379" descr="南门-防洪亭"/>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7" name="图片 379" descr="南门-防洪亭"/>
                    <pic:cNvPicPr>
                      <a:picLocks noChangeAspect="true"/>
                    </pic:cNvPicPr>
                  </pic:nvPicPr>
                  <pic:blipFill>
                    <a:blip r:embed="rId217"/>
                    <a:stretch>
                      <a:fillRect/>
                    </a:stretch>
                  </pic:blipFill>
                  <pic:spPr>
                    <a:xfrm>
                      <a:off x="0" y="0"/>
                      <a:ext cx="4319905" cy="1685290"/>
                    </a:xfrm>
                    <a:prstGeom prst="rect">
                      <a:avLst/>
                    </a:prstGeom>
                    <a:noFill/>
                    <a:ln>
                      <a:noFill/>
                    </a:ln>
                  </pic:spPr>
                </pic:pic>
              </a:graphicData>
            </a:graphic>
          </wp:inline>
        </w:drawing>
      </w:r>
    </w:p>
    <w:p>
      <w:pPr>
        <w:pStyle w:val="2886"/>
        <w:spacing w:line="240" w:lineRule="exact"/>
        <w:outlineLvl w:val="9"/>
        <w:rPr>
          <w:rFonts w:hint="eastAsia"/>
          <w:sz w:val="21"/>
          <w:szCs w:val="16"/>
        </w:rPr>
      </w:pPr>
      <w:r>
        <w:rPr>
          <w:rFonts w:hint="eastAsia"/>
          <w:sz w:val="21"/>
          <w:szCs w:val="16"/>
        </w:rPr>
        <w:t>南门</w:t>
      </w:r>
      <w:r>
        <w:rPr>
          <w:rFonts w:hint="eastAsia"/>
          <w:sz w:val="21"/>
          <w:szCs w:val="16"/>
          <w:lang w:eastAsia="zh-CN"/>
        </w:rPr>
        <w:t>—</w:t>
      </w:r>
      <w:r>
        <w:rPr>
          <w:rFonts w:hint="eastAsia"/>
          <w:sz w:val="21"/>
          <w:szCs w:val="16"/>
        </w:rPr>
        <w:t>防洪亭</w:t>
      </w:r>
    </w:p>
    <w:p>
      <w:pPr>
        <w:pStyle w:val="2886"/>
        <w:outlineLvl w:val="9"/>
        <w:rPr>
          <w:rFonts w:hint="eastAsia"/>
        </w:rPr>
      </w:pPr>
      <w:r>
        <w:rPr>
          <w:rFonts w:hint="eastAsia"/>
        </w:rPr>
        <w:drawing>
          <wp:inline distT="0" distB="0" distL="114300" distR="114300">
            <wp:extent cx="4320540" cy="1724660"/>
            <wp:effectExtent l="0" t="0" r="3810" b="8890"/>
            <wp:docPr id="178" name="图片 380" descr="防洪亭-老电影院"/>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8" name="图片 380" descr="防洪亭-老电影院"/>
                    <pic:cNvPicPr>
                      <a:picLocks noChangeAspect="true"/>
                    </pic:cNvPicPr>
                  </pic:nvPicPr>
                  <pic:blipFill>
                    <a:blip r:embed="rId218"/>
                    <a:stretch>
                      <a:fillRect/>
                    </a:stretch>
                  </pic:blipFill>
                  <pic:spPr>
                    <a:xfrm>
                      <a:off x="0" y="0"/>
                      <a:ext cx="4320540" cy="1724660"/>
                    </a:xfrm>
                    <a:prstGeom prst="rect">
                      <a:avLst/>
                    </a:prstGeom>
                    <a:noFill/>
                    <a:ln>
                      <a:noFill/>
                    </a:ln>
                  </pic:spPr>
                </pic:pic>
              </a:graphicData>
            </a:graphic>
          </wp:inline>
        </w:drawing>
      </w:r>
    </w:p>
    <w:p>
      <w:pPr>
        <w:pStyle w:val="2886"/>
        <w:spacing w:line="240" w:lineRule="exact"/>
        <w:outlineLvl w:val="9"/>
        <w:rPr>
          <w:rFonts w:hint="eastAsia"/>
          <w:sz w:val="21"/>
          <w:szCs w:val="16"/>
        </w:rPr>
      </w:pPr>
      <w:r>
        <w:rPr>
          <w:rFonts w:hint="eastAsia"/>
          <w:sz w:val="21"/>
          <w:szCs w:val="16"/>
        </w:rPr>
        <w:t>防洪亭</w:t>
      </w:r>
      <w:r>
        <w:rPr>
          <w:rFonts w:hint="eastAsia"/>
          <w:sz w:val="21"/>
          <w:szCs w:val="16"/>
          <w:lang w:eastAsia="zh-CN"/>
        </w:rPr>
        <w:t>—</w:t>
      </w:r>
      <w:r>
        <w:rPr>
          <w:rFonts w:hint="eastAsia"/>
          <w:sz w:val="21"/>
          <w:szCs w:val="16"/>
        </w:rPr>
        <w:t>老电影院</w:t>
      </w:r>
    </w:p>
    <w:p>
      <w:pPr>
        <w:pStyle w:val="2886"/>
        <w:outlineLvl w:val="9"/>
        <w:rPr>
          <w:rFonts w:hint="eastAsia"/>
        </w:rPr>
      </w:pPr>
      <w:r>
        <w:rPr>
          <w:rFonts w:hint="eastAsia"/>
        </w:rPr>
        <w:drawing>
          <wp:inline distT="0" distB="0" distL="114300" distR="114300">
            <wp:extent cx="4322445" cy="1426845"/>
            <wp:effectExtent l="0" t="0" r="1905" b="1905"/>
            <wp:docPr id="179" name="图片 381" descr="老电影院-綦江大桥"/>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9" name="图片 381" descr="老电影院-綦江大桥"/>
                    <pic:cNvPicPr>
                      <a:picLocks noChangeAspect="true"/>
                    </pic:cNvPicPr>
                  </pic:nvPicPr>
                  <pic:blipFill>
                    <a:blip r:embed="rId219"/>
                    <a:stretch>
                      <a:fillRect/>
                    </a:stretch>
                  </pic:blipFill>
                  <pic:spPr>
                    <a:xfrm>
                      <a:off x="0" y="0"/>
                      <a:ext cx="4322445" cy="1426845"/>
                    </a:xfrm>
                    <a:prstGeom prst="rect">
                      <a:avLst/>
                    </a:prstGeom>
                    <a:noFill/>
                    <a:ln>
                      <a:noFill/>
                    </a:ln>
                  </pic:spPr>
                </pic:pic>
              </a:graphicData>
            </a:graphic>
          </wp:inline>
        </w:drawing>
      </w:r>
    </w:p>
    <w:p>
      <w:pPr>
        <w:pStyle w:val="2886"/>
        <w:spacing w:line="240" w:lineRule="exact"/>
        <w:outlineLvl w:val="9"/>
        <w:rPr>
          <w:rFonts w:hint="eastAsia"/>
          <w:sz w:val="21"/>
          <w:szCs w:val="16"/>
        </w:rPr>
      </w:pPr>
      <w:r>
        <w:rPr>
          <w:rFonts w:hint="eastAsia"/>
          <w:sz w:val="21"/>
          <w:szCs w:val="16"/>
        </w:rPr>
        <w:t>老电影院</w:t>
      </w:r>
      <w:r>
        <w:rPr>
          <w:rFonts w:hint="eastAsia"/>
          <w:sz w:val="21"/>
          <w:szCs w:val="16"/>
          <w:lang w:eastAsia="zh-CN"/>
        </w:rPr>
        <w:t>—</w:t>
      </w:r>
      <w:r>
        <w:rPr>
          <w:rFonts w:hint="eastAsia"/>
          <w:sz w:val="21"/>
          <w:szCs w:val="16"/>
        </w:rPr>
        <w:t>綦江大桥</w:t>
      </w:r>
    </w:p>
    <w:p>
      <w:pPr>
        <w:pStyle w:val="2886"/>
      </w:pPr>
      <w:r>
        <w:rPr>
          <w:rFonts w:hint="default" w:ascii="Times New Roman" w:hAnsi="Times New Roman" w:cs="Times New Roman"/>
        </w:rPr>
        <w:t>图6.2</w:t>
      </w:r>
      <w:r>
        <w:rPr>
          <w:rFonts w:hint="default" w:ascii="Times New Roman" w:hAnsi="Times New Roman" w:cs="Times New Roman"/>
          <w:lang w:eastAsia="zh-CN"/>
        </w:rPr>
        <w:t>—</w:t>
      </w:r>
      <w:r>
        <w:rPr>
          <w:rFonts w:hint="default" w:ascii="Times New Roman" w:hAnsi="Times New Roman" w:cs="Times New Roman"/>
        </w:rPr>
        <w:t>1</w:t>
      </w:r>
      <w:r>
        <w:rPr>
          <w:rFonts w:hint="default" w:ascii="Times New Roman" w:hAnsi="Times New Roman" w:cs="Times New Roman"/>
          <w:lang w:val="en-US" w:eastAsia="zh-CN"/>
        </w:rPr>
        <w:t>5</w:t>
      </w:r>
      <w:r>
        <w:rPr>
          <w:rFonts w:hint="default" w:ascii="Times New Roman" w:hAnsi="Times New Roman" w:cs="Times New Roman"/>
        </w:rPr>
        <w:t xml:space="preserve"> </w:t>
      </w:r>
      <w:r>
        <w:rPr>
          <w:rFonts w:hint="eastAsia"/>
        </w:rPr>
        <w:t xml:space="preserve"> 綦江左岸彩虹桥至綦江大桥段地理景观图</w:t>
      </w:r>
    </w:p>
    <w:p>
      <w:pPr>
        <w:pStyle w:val="2953"/>
        <w:ind w:firstLine="560"/>
      </w:pPr>
      <w:r>
        <w:rPr>
          <w:rFonts w:hint="eastAsia" w:ascii="Times New Roman" w:hAnsi="Times New Roman" w:eastAsia="方正仿宋_GBK" w:cs="Times New Roman"/>
          <w:bCs/>
          <w:kern w:val="2"/>
          <w:sz w:val="32"/>
          <w:szCs w:val="32"/>
          <w:lang w:val="en-US" w:eastAsia="zh-CN" w:bidi="ar-SA"/>
        </w:rPr>
        <w:t>加高后的滨江路重点打造商业、休闲步行街。滨江路加高后，受遮挡的1</w:t>
      </w:r>
      <w:r>
        <w:rPr>
          <w:rFonts w:hint="eastAsia" w:ascii="Times New Roman" w:eastAsia="方正仿宋_GBK" w:cs="Times New Roman"/>
          <w:bCs/>
          <w:kern w:val="2"/>
          <w:sz w:val="32"/>
          <w:szCs w:val="32"/>
          <w:lang w:val="en-US" w:eastAsia="zh-CN" w:bidi="ar-SA"/>
        </w:rPr>
        <w:t>—</w:t>
      </w:r>
      <w:r>
        <w:rPr>
          <w:rFonts w:hint="eastAsia" w:ascii="Times New Roman" w:hAnsi="Times New Roman" w:eastAsia="方正仿宋_GBK" w:cs="Times New Roman"/>
          <w:bCs/>
          <w:kern w:val="2"/>
          <w:sz w:val="32"/>
          <w:szCs w:val="32"/>
          <w:lang w:val="en-US" w:eastAsia="zh-CN" w:bidi="ar-SA"/>
        </w:rPr>
        <w:t>2楼房屋（1.81万m</w:t>
      </w:r>
      <w:r>
        <w:rPr>
          <w:rFonts w:hint="eastAsia" w:ascii="Times New Roman" w:hAnsi="Times New Roman" w:eastAsia="方正仿宋_GBK" w:cs="Times New Roman"/>
          <w:bCs/>
          <w:kern w:val="2"/>
          <w:sz w:val="32"/>
          <w:szCs w:val="32"/>
          <w:vertAlign w:val="superscript"/>
          <w:lang w:val="en-US" w:eastAsia="zh-CN" w:bidi="ar-SA"/>
        </w:rPr>
        <w:t>2</w:t>
      </w:r>
      <w:r>
        <w:rPr>
          <w:rFonts w:hint="eastAsia" w:ascii="Times New Roman" w:hAnsi="Times New Roman" w:eastAsia="方正仿宋_GBK" w:cs="Times New Roman"/>
          <w:bCs/>
          <w:kern w:val="2"/>
          <w:sz w:val="32"/>
          <w:szCs w:val="32"/>
          <w:lang w:val="en-US" w:eastAsia="zh-CN" w:bidi="ar-SA"/>
        </w:rPr>
        <w:t>）人口予以搬迁；未受遮挡的3层及以上房屋实施改造，直接连接滨江路步行街；拆迁綦江大桥附近房屋，作为连接中山路与滨江路的通道，满足交通需求；为不影响交通通行，綦江大桥桥下滨江路不再加高，上下游采用缓坡型式连接，平时作为慢行通道，洪水期间行洪。滨江路建堤前后对比效果见图6.2</w:t>
      </w:r>
      <w:r>
        <w:rPr>
          <w:rFonts w:hint="eastAsia" w:ascii="Times New Roman" w:eastAsia="方正仿宋_GBK" w:cs="Times New Roman"/>
          <w:bCs/>
          <w:kern w:val="2"/>
          <w:sz w:val="32"/>
          <w:szCs w:val="32"/>
          <w:lang w:val="en-US" w:eastAsia="zh-CN" w:bidi="ar-SA"/>
        </w:rPr>
        <w:t>—</w:t>
      </w:r>
      <w:r>
        <w:rPr>
          <w:rFonts w:hint="eastAsia" w:ascii="Times New Roman" w:hAnsi="Times New Roman" w:eastAsia="方正仿宋_GBK" w:cs="Times New Roman"/>
          <w:bCs/>
          <w:kern w:val="2"/>
          <w:sz w:val="32"/>
          <w:szCs w:val="32"/>
          <w:lang w:val="en-US" w:eastAsia="zh-CN" w:bidi="ar-SA"/>
        </w:rPr>
        <w:t>16。</w:t>
      </w:r>
    </w:p>
    <w:p>
      <w:pPr>
        <w:pStyle w:val="2886"/>
        <w:outlineLvl w:val="9"/>
        <w:rPr>
          <w:rFonts w:ascii="宋体" w:hAnsi="宋体" w:eastAsia="宋体"/>
        </w:rPr>
      </w:pPr>
      <w:r>
        <w:rPr>
          <w:rFonts w:ascii="宋体" w:hAnsi="宋体" w:eastAsia="宋体"/>
        </w:rPr>
        <w:drawing>
          <wp:inline distT="0" distB="0" distL="114300" distR="114300">
            <wp:extent cx="4672965" cy="1549400"/>
            <wp:effectExtent l="0" t="0" r="13335" b="12700"/>
            <wp:docPr id="180" name="图片 171" descr="图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0" name="图片 171" descr="图5"/>
                    <pic:cNvPicPr>
                      <a:picLocks noChangeAspect="true"/>
                    </pic:cNvPicPr>
                  </pic:nvPicPr>
                  <pic:blipFill>
                    <a:blip r:embed="rId220"/>
                    <a:stretch>
                      <a:fillRect/>
                    </a:stretch>
                  </pic:blipFill>
                  <pic:spPr>
                    <a:xfrm>
                      <a:off x="0" y="0"/>
                      <a:ext cx="4672965" cy="1549400"/>
                    </a:xfrm>
                    <a:prstGeom prst="rect">
                      <a:avLst/>
                    </a:prstGeom>
                    <a:noFill/>
                    <a:ln>
                      <a:noFill/>
                    </a:ln>
                  </pic:spPr>
                </pic:pic>
              </a:graphicData>
            </a:graphic>
          </wp:inline>
        </w:drawing>
      </w:r>
    </w:p>
    <w:p>
      <w:pPr>
        <w:pStyle w:val="2886"/>
      </w:pPr>
      <w:r>
        <w:rPr>
          <w:rFonts w:hint="default" w:ascii="Times New Roman" w:hAnsi="Times New Roman" w:cs="Times New Roman"/>
        </w:rPr>
        <w:t>图6.2</w:t>
      </w:r>
      <w:r>
        <w:rPr>
          <w:rFonts w:hint="default" w:ascii="Times New Roman" w:hAnsi="Times New Roman" w:cs="Times New Roman"/>
          <w:lang w:eastAsia="zh-CN"/>
        </w:rPr>
        <w:t>—</w:t>
      </w:r>
      <w:r>
        <w:rPr>
          <w:rFonts w:hint="default" w:ascii="Times New Roman" w:hAnsi="Times New Roman" w:cs="Times New Roman"/>
          <w:lang w:val="en-US" w:eastAsia="zh-CN"/>
        </w:rPr>
        <w:t>16</w:t>
      </w:r>
      <w:r>
        <w:rPr>
          <w:rFonts w:hint="default" w:ascii="Times New Roman" w:hAnsi="Times New Roman" w:cs="Times New Roman"/>
        </w:rPr>
        <w:t xml:space="preserve">    左岸彩虹桥至綦江大桥段堤防建设效果</w:t>
      </w:r>
      <w:r>
        <w:rPr>
          <w:rFonts w:hint="eastAsia"/>
        </w:rPr>
        <w:t>图</w:t>
      </w:r>
    </w:p>
    <w:p>
      <w:pPr>
        <w:pStyle w:val="2953"/>
        <w:ind w:firstLine="560"/>
        <w:rPr>
          <w:rFonts w:hint="eastAsia"/>
        </w:rPr>
      </w:pPr>
      <w:r>
        <w:rPr>
          <w:rFonts w:hint="eastAsia" w:ascii="Times New Roman" w:hAnsi="Times New Roman" w:eastAsia="方正仿宋_GBK" w:cs="Times New Roman"/>
          <w:bCs/>
          <w:kern w:val="2"/>
          <w:sz w:val="32"/>
          <w:szCs w:val="32"/>
          <w:lang w:val="en-US" w:eastAsia="zh-CN" w:bidi="ar-SA"/>
        </w:rPr>
        <w:t>堤防工程实施后綦江左、右岸整体效果见图6.2</w:t>
      </w:r>
      <w:r>
        <w:rPr>
          <w:rFonts w:hint="eastAsia" w:ascii="Times New Roman" w:eastAsia="方正仿宋_GBK" w:cs="Times New Roman"/>
          <w:bCs/>
          <w:kern w:val="2"/>
          <w:sz w:val="32"/>
          <w:szCs w:val="32"/>
          <w:lang w:val="en-US" w:eastAsia="zh-CN" w:bidi="ar-SA"/>
        </w:rPr>
        <w:t>—</w:t>
      </w:r>
      <w:r>
        <w:rPr>
          <w:rFonts w:hint="eastAsia" w:ascii="Times New Roman" w:hAnsi="Times New Roman" w:eastAsia="方正仿宋_GBK" w:cs="Times New Roman"/>
          <w:bCs/>
          <w:kern w:val="2"/>
          <w:sz w:val="32"/>
          <w:szCs w:val="32"/>
          <w:lang w:val="en-US" w:eastAsia="zh-CN" w:bidi="ar-SA"/>
        </w:rPr>
        <w:t>17。</w:t>
      </w:r>
    </w:p>
    <w:p>
      <w:pPr>
        <w:pStyle w:val="2886"/>
        <w:outlineLvl w:val="9"/>
      </w:pPr>
      <w:r>
        <w:drawing>
          <wp:inline distT="0" distB="0" distL="114300" distR="114300">
            <wp:extent cx="4881245" cy="2145665"/>
            <wp:effectExtent l="0" t="0" r="14605" b="6985"/>
            <wp:docPr id="181" name="图片 172" descr="图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1" name="图片 172" descr="图5"/>
                    <pic:cNvPicPr>
                      <a:picLocks noChangeAspect="true"/>
                    </pic:cNvPicPr>
                  </pic:nvPicPr>
                  <pic:blipFill>
                    <a:blip r:embed="rId221"/>
                    <a:stretch>
                      <a:fillRect/>
                    </a:stretch>
                  </pic:blipFill>
                  <pic:spPr>
                    <a:xfrm>
                      <a:off x="0" y="0"/>
                      <a:ext cx="4881245" cy="2145665"/>
                    </a:xfrm>
                    <a:prstGeom prst="rect">
                      <a:avLst/>
                    </a:prstGeom>
                    <a:noFill/>
                    <a:ln>
                      <a:noFill/>
                    </a:ln>
                  </pic:spPr>
                </pic:pic>
              </a:graphicData>
            </a:graphic>
          </wp:inline>
        </w:drawing>
      </w:r>
    </w:p>
    <w:p>
      <w:pPr>
        <w:pStyle w:val="2886"/>
        <w:rPr>
          <w:rFonts w:hint="default" w:ascii="Times New Roman" w:hAnsi="Times New Roman" w:cs="Times New Roman"/>
        </w:rPr>
      </w:pPr>
      <w:r>
        <w:rPr>
          <w:rFonts w:hint="default" w:ascii="Times New Roman" w:hAnsi="Times New Roman" w:cs="Times New Roman"/>
        </w:rPr>
        <w:t>图6.2</w:t>
      </w:r>
      <w:r>
        <w:rPr>
          <w:rFonts w:hint="default" w:ascii="Times New Roman" w:hAnsi="Times New Roman" w:cs="Times New Roman"/>
          <w:lang w:eastAsia="zh-CN"/>
        </w:rPr>
        <w:t>—</w:t>
      </w:r>
      <w:r>
        <w:rPr>
          <w:rFonts w:hint="default" w:ascii="Times New Roman" w:hAnsi="Times New Roman" w:cs="Times New Roman"/>
          <w:lang w:val="en-US" w:eastAsia="zh-CN"/>
        </w:rPr>
        <w:t>17</w:t>
      </w:r>
      <w:r>
        <w:rPr>
          <w:rFonts w:hint="default" w:ascii="Times New Roman" w:hAnsi="Times New Roman" w:cs="Times New Roman"/>
        </w:rPr>
        <w:t xml:space="preserve">    堤防工程实施后綦江左右岸整体效果</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lang w:val="en-US" w:eastAsia="zh-CN"/>
        </w:rPr>
      </w:pPr>
      <w:r>
        <w:rPr>
          <w:rFonts w:hint="default" w:ascii="Times New Roman" w:hAnsi="Times New Roman" w:eastAsia="方正仿宋_GBK" w:cs="Times New Roman"/>
          <w:sz w:val="32"/>
          <w:szCs w:val="32"/>
          <w:lang w:val="en-US" w:eastAsia="zh-CN"/>
        </w:rPr>
        <w:t>②下北街片区</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綦江左岸下北街片起于綦江大桥，至于大常枢纽，区域房屋密集，建堤空间较小，主要堤段地理景观见图6.2—18。</w:t>
      </w:r>
    </w:p>
    <w:p>
      <w:pPr>
        <w:pStyle w:val="2886"/>
        <w:spacing w:line="360" w:lineRule="auto"/>
        <w:outlineLvl w:val="9"/>
        <w:rPr>
          <w:rFonts w:hint="eastAsia"/>
        </w:rPr>
      </w:pPr>
      <w:r>
        <w:rPr>
          <w:rFonts w:hint="eastAsia"/>
        </w:rPr>
        <w:drawing>
          <wp:inline distT="0" distB="0" distL="114300" distR="114300">
            <wp:extent cx="4767580" cy="1910080"/>
            <wp:effectExtent l="0" t="0" r="13970" b="13970"/>
            <wp:docPr id="182" name="图片 382" descr="綦江大桥-政府公厕"/>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2" name="图片 382" descr="綦江大桥-政府公厕"/>
                    <pic:cNvPicPr>
                      <a:picLocks noChangeAspect="true"/>
                    </pic:cNvPicPr>
                  </pic:nvPicPr>
                  <pic:blipFill>
                    <a:blip r:embed="rId222"/>
                    <a:stretch>
                      <a:fillRect/>
                    </a:stretch>
                  </pic:blipFill>
                  <pic:spPr>
                    <a:xfrm>
                      <a:off x="0" y="0"/>
                      <a:ext cx="4767580" cy="1910080"/>
                    </a:xfrm>
                    <a:prstGeom prst="rect">
                      <a:avLst/>
                    </a:prstGeom>
                    <a:noFill/>
                    <a:ln>
                      <a:noFill/>
                    </a:ln>
                  </pic:spPr>
                </pic:pic>
              </a:graphicData>
            </a:graphic>
          </wp:inline>
        </w:drawing>
      </w:r>
    </w:p>
    <w:p>
      <w:pPr>
        <w:pStyle w:val="2886"/>
        <w:spacing w:line="240" w:lineRule="exact"/>
        <w:outlineLvl w:val="9"/>
        <w:rPr>
          <w:rFonts w:hint="eastAsia"/>
          <w:sz w:val="21"/>
          <w:szCs w:val="16"/>
        </w:rPr>
      </w:pPr>
      <w:r>
        <w:rPr>
          <w:rFonts w:hint="eastAsia"/>
          <w:sz w:val="21"/>
          <w:szCs w:val="16"/>
        </w:rPr>
        <w:t>綦江大桥</w:t>
      </w:r>
      <w:r>
        <w:rPr>
          <w:rFonts w:hint="eastAsia"/>
          <w:sz w:val="21"/>
          <w:szCs w:val="16"/>
          <w:lang w:eastAsia="zh-CN"/>
        </w:rPr>
        <w:t>—</w:t>
      </w:r>
      <w:r>
        <w:rPr>
          <w:rFonts w:hint="eastAsia"/>
          <w:sz w:val="21"/>
          <w:szCs w:val="16"/>
        </w:rPr>
        <w:t>政府下滨江路公厕</w:t>
      </w:r>
    </w:p>
    <w:p>
      <w:pPr>
        <w:pStyle w:val="2886"/>
        <w:spacing w:line="360" w:lineRule="auto"/>
        <w:outlineLvl w:val="9"/>
        <w:rPr>
          <w:rFonts w:hint="eastAsia"/>
        </w:rPr>
      </w:pPr>
      <w:r>
        <w:rPr>
          <w:rFonts w:hint="eastAsia"/>
        </w:rPr>
        <w:drawing>
          <wp:inline distT="0" distB="0" distL="114300" distR="114300">
            <wp:extent cx="4776470" cy="2277110"/>
            <wp:effectExtent l="0" t="0" r="5080" b="8890"/>
            <wp:docPr id="183" name="图片 383" descr="政府公厕-收藏协会"/>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3" name="图片 383" descr="政府公厕-收藏协会"/>
                    <pic:cNvPicPr>
                      <a:picLocks noChangeAspect="true"/>
                    </pic:cNvPicPr>
                  </pic:nvPicPr>
                  <pic:blipFill>
                    <a:blip r:embed="rId223"/>
                    <a:stretch>
                      <a:fillRect/>
                    </a:stretch>
                  </pic:blipFill>
                  <pic:spPr>
                    <a:xfrm>
                      <a:off x="0" y="0"/>
                      <a:ext cx="4776470" cy="2277110"/>
                    </a:xfrm>
                    <a:prstGeom prst="rect">
                      <a:avLst/>
                    </a:prstGeom>
                    <a:noFill/>
                    <a:ln>
                      <a:noFill/>
                    </a:ln>
                  </pic:spPr>
                </pic:pic>
              </a:graphicData>
            </a:graphic>
          </wp:inline>
        </w:drawing>
      </w:r>
    </w:p>
    <w:p>
      <w:pPr>
        <w:pStyle w:val="2886"/>
        <w:spacing w:line="240" w:lineRule="exact"/>
        <w:outlineLvl w:val="9"/>
        <w:rPr>
          <w:rFonts w:hint="eastAsia"/>
          <w:sz w:val="21"/>
          <w:szCs w:val="16"/>
        </w:rPr>
      </w:pPr>
      <w:r>
        <w:rPr>
          <w:rFonts w:hint="eastAsia"/>
          <w:sz w:val="21"/>
          <w:szCs w:val="16"/>
        </w:rPr>
        <w:t>政府下滨江路公厕</w:t>
      </w:r>
      <w:r>
        <w:rPr>
          <w:rFonts w:hint="eastAsia"/>
          <w:sz w:val="21"/>
          <w:szCs w:val="16"/>
          <w:lang w:eastAsia="zh-CN"/>
        </w:rPr>
        <w:t>—</w:t>
      </w:r>
      <w:r>
        <w:rPr>
          <w:rFonts w:hint="eastAsia"/>
          <w:sz w:val="21"/>
          <w:szCs w:val="16"/>
        </w:rPr>
        <w:t>綦江收藏协会活动所</w:t>
      </w:r>
    </w:p>
    <w:p>
      <w:pPr>
        <w:pStyle w:val="2886"/>
        <w:spacing w:line="360" w:lineRule="auto"/>
        <w:outlineLvl w:val="9"/>
        <w:rPr>
          <w:rFonts w:hint="eastAsia"/>
        </w:rPr>
      </w:pPr>
      <w:r>
        <w:rPr>
          <w:rFonts w:hint="eastAsia"/>
        </w:rPr>
        <w:drawing>
          <wp:inline distT="0" distB="0" distL="114300" distR="114300">
            <wp:extent cx="4819650" cy="2555875"/>
            <wp:effectExtent l="0" t="0" r="0" b="15875"/>
            <wp:docPr id="184" name="图片 384" descr="收藏协会-公安局"/>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4" name="图片 384" descr="收藏协会-公安局"/>
                    <pic:cNvPicPr>
                      <a:picLocks noChangeAspect="true"/>
                    </pic:cNvPicPr>
                  </pic:nvPicPr>
                  <pic:blipFill>
                    <a:blip r:embed="rId224"/>
                    <a:stretch>
                      <a:fillRect/>
                    </a:stretch>
                  </pic:blipFill>
                  <pic:spPr>
                    <a:xfrm>
                      <a:off x="0" y="0"/>
                      <a:ext cx="4819650" cy="2555875"/>
                    </a:xfrm>
                    <a:prstGeom prst="rect">
                      <a:avLst/>
                    </a:prstGeom>
                    <a:noFill/>
                    <a:ln>
                      <a:noFill/>
                    </a:ln>
                  </pic:spPr>
                </pic:pic>
              </a:graphicData>
            </a:graphic>
          </wp:inline>
        </w:drawing>
      </w:r>
    </w:p>
    <w:p>
      <w:pPr>
        <w:pStyle w:val="2886"/>
        <w:spacing w:line="240" w:lineRule="exact"/>
        <w:outlineLvl w:val="9"/>
        <w:rPr>
          <w:rFonts w:hint="eastAsia"/>
          <w:sz w:val="21"/>
          <w:szCs w:val="16"/>
        </w:rPr>
      </w:pPr>
      <w:r>
        <w:rPr>
          <w:rFonts w:hint="eastAsia"/>
          <w:sz w:val="21"/>
          <w:szCs w:val="16"/>
        </w:rPr>
        <w:t>綦江收藏协会活动所</w:t>
      </w:r>
      <w:r>
        <w:rPr>
          <w:rFonts w:hint="eastAsia"/>
          <w:sz w:val="21"/>
          <w:szCs w:val="16"/>
          <w:lang w:eastAsia="zh-CN"/>
        </w:rPr>
        <w:t>—</w:t>
      </w:r>
      <w:r>
        <w:rPr>
          <w:rFonts w:hint="eastAsia"/>
          <w:sz w:val="21"/>
          <w:szCs w:val="16"/>
        </w:rPr>
        <w:t>区公安局</w:t>
      </w:r>
    </w:p>
    <w:p>
      <w:pPr>
        <w:pStyle w:val="2886"/>
        <w:spacing w:line="360" w:lineRule="auto"/>
        <w:outlineLvl w:val="9"/>
        <w:rPr>
          <w:rFonts w:hint="eastAsia"/>
        </w:rPr>
      </w:pPr>
      <w:r>
        <w:rPr>
          <w:rFonts w:hint="eastAsia"/>
        </w:rPr>
        <w:drawing>
          <wp:inline distT="0" distB="0" distL="114300" distR="114300">
            <wp:extent cx="4819650" cy="2193925"/>
            <wp:effectExtent l="0" t="0" r="0" b="15875"/>
            <wp:docPr id="185" name="图片 385" descr="区公安局-下北街菜场"/>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5" name="图片 385" descr="区公安局-下北街菜场"/>
                    <pic:cNvPicPr>
                      <a:picLocks noChangeAspect="true"/>
                    </pic:cNvPicPr>
                  </pic:nvPicPr>
                  <pic:blipFill>
                    <a:blip r:embed="rId225"/>
                    <a:stretch>
                      <a:fillRect/>
                    </a:stretch>
                  </pic:blipFill>
                  <pic:spPr>
                    <a:xfrm>
                      <a:off x="0" y="0"/>
                      <a:ext cx="4819650" cy="2193925"/>
                    </a:xfrm>
                    <a:prstGeom prst="rect">
                      <a:avLst/>
                    </a:prstGeom>
                    <a:noFill/>
                    <a:ln>
                      <a:noFill/>
                    </a:ln>
                  </pic:spPr>
                </pic:pic>
              </a:graphicData>
            </a:graphic>
          </wp:inline>
        </w:drawing>
      </w:r>
    </w:p>
    <w:p>
      <w:pPr>
        <w:pStyle w:val="2886"/>
        <w:spacing w:line="240" w:lineRule="exact"/>
        <w:outlineLvl w:val="9"/>
        <w:rPr>
          <w:rFonts w:hint="eastAsia"/>
          <w:sz w:val="21"/>
          <w:szCs w:val="16"/>
        </w:rPr>
      </w:pPr>
      <w:r>
        <w:rPr>
          <w:rFonts w:hint="eastAsia"/>
          <w:sz w:val="21"/>
          <w:szCs w:val="16"/>
        </w:rPr>
        <w:t>区公安局</w:t>
      </w:r>
      <w:r>
        <w:rPr>
          <w:rFonts w:hint="eastAsia"/>
          <w:sz w:val="21"/>
          <w:szCs w:val="16"/>
          <w:lang w:eastAsia="zh-CN"/>
        </w:rPr>
        <w:t>—</w:t>
      </w:r>
      <w:r>
        <w:rPr>
          <w:rFonts w:hint="eastAsia"/>
          <w:sz w:val="21"/>
          <w:szCs w:val="16"/>
        </w:rPr>
        <w:t>下北街菜市场</w:t>
      </w:r>
    </w:p>
    <w:p>
      <w:pPr>
        <w:pStyle w:val="2886"/>
        <w:spacing w:line="360" w:lineRule="auto"/>
        <w:outlineLvl w:val="9"/>
        <w:rPr>
          <w:rFonts w:hint="eastAsia"/>
        </w:rPr>
      </w:pPr>
      <w:r>
        <w:rPr>
          <w:rFonts w:hint="eastAsia"/>
        </w:rPr>
        <w:drawing>
          <wp:inline distT="0" distB="0" distL="114300" distR="114300">
            <wp:extent cx="4825365" cy="2132965"/>
            <wp:effectExtent l="0" t="0" r="13335" b="635"/>
            <wp:docPr id="186" name="图片 386" descr="菜场-民昆公司"/>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6" name="图片 386" descr="菜场-民昆公司"/>
                    <pic:cNvPicPr>
                      <a:picLocks noChangeAspect="true"/>
                    </pic:cNvPicPr>
                  </pic:nvPicPr>
                  <pic:blipFill>
                    <a:blip r:embed="rId226"/>
                    <a:stretch>
                      <a:fillRect/>
                    </a:stretch>
                  </pic:blipFill>
                  <pic:spPr>
                    <a:xfrm>
                      <a:off x="0" y="0"/>
                      <a:ext cx="4825365" cy="2132965"/>
                    </a:xfrm>
                    <a:prstGeom prst="rect">
                      <a:avLst/>
                    </a:prstGeom>
                    <a:noFill/>
                    <a:ln>
                      <a:noFill/>
                    </a:ln>
                  </pic:spPr>
                </pic:pic>
              </a:graphicData>
            </a:graphic>
          </wp:inline>
        </w:drawing>
      </w:r>
    </w:p>
    <w:p>
      <w:pPr>
        <w:pStyle w:val="2886"/>
        <w:spacing w:line="240" w:lineRule="exact"/>
        <w:outlineLvl w:val="9"/>
        <w:rPr>
          <w:rFonts w:hint="eastAsia"/>
          <w:sz w:val="21"/>
          <w:szCs w:val="16"/>
        </w:rPr>
      </w:pPr>
      <w:r>
        <w:rPr>
          <w:rFonts w:hint="eastAsia"/>
          <w:sz w:val="21"/>
          <w:szCs w:val="16"/>
        </w:rPr>
        <w:t>下北街菜市场</w:t>
      </w:r>
      <w:r>
        <w:rPr>
          <w:rFonts w:hint="eastAsia"/>
          <w:sz w:val="21"/>
          <w:szCs w:val="16"/>
          <w:lang w:eastAsia="zh-CN"/>
        </w:rPr>
        <w:t>—</w:t>
      </w:r>
      <w:r>
        <w:rPr>
          <w:rFonts w:hint="eastAsia"/>
          <w:sz w:val="21"/>
          <w:szCs w:val="16"/>
        </w:rPr>
        <w:t>民昆公司</w:t>
      </w:r>
    </w:p>
    <w:p>
      <w:pPr>
        <w:pStyle w:val="2886"/>
        <w:spacing w:line="360" w:lineRule="auto"/>
        <w:outlineLvl w:val="9"/>
        <w:rPr>
          <w:rFonts w:hint="eastAsia"/>
        </w:rPr>
      </w:pPr>
      <w:r>
        <w:rPr>
          <w:rFonts w:hint="eastAsia"/>
        </w:rPr>
        <w:drawing>
          <wp:inline distT="0" distB="0" distL="114300" distR="114300">
            <wp:extent cx="4815205" cy="1732280"/>
            <wp:effectExtent l="0" t="0" r="4445" b="1270"/>
            <wp:docPr id="187" name="图片 387" descr="民昆公司-大常"/>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7" name="图片 387" descr="民昆公司-大常"/>
                    <pic:cNvPicPr>
                      <a:picLocks noChangeAspect="true"/>
                    </pic:cNvPicPr>
                  </pic:nvPicPr>
                  <pic:blipFill>
                    <a:blip r:embed="rId227"/>
                    <a:stretch>
                      <a:fillRect/>
                    </a:stretch>
                  </pic:blipFill>
                  <pic:spPr>
                    <a:xfrm>
                      <a:off x="0" y="0"/>
                      <a:ext cx="4815205" cy="1732280"/>
                    </a:xfrm>
                    <a:prstGeom prst="rect">
                      <a:avLst/>
                    </a:prstGeom>
                    <a:noFill/>
                    <a:ln>
                      <a:noFill/>
                    </a:ln>
                  </pic:spPr>
                </pic:pic>
              </a:graphicData>
            </a:graphic>
          </wp:inline>
        </w:drawing>
      </w:r>
    </w:p>
    <w:p>
      <w:pPr>
        <w:pStyle w:val="2886"/>
        <w:spacing w:line="240" w:lineRule="exact"/>
        <w:outlineLvl w:val="9"/>
        <w:rPr>
          <w:sz w:val="21"/>
          <w:szCs w:val="16"/>
        </w:rPr>
      </w:pPr>
      <w:r>
        <w:rPr>
          <w:rFonts w:hint="eastAsia"/>
          <w:sz w:val="21"/>
          <w:szCs w:val="16"/>
        </w:rPr>
        <w:t>民昆公司</w:t>
      </w:r>
      <w:r>
        <w:rPr>
          <w:rFonts w:hint="eastAsia"/>
          <w:sz w:val="21"/>
          <w:szCs w:val="16"/>
          <w:lang w:eastAsia="zh-CN"/>
        </w:rPr>
        <w:t>—</w:t>
      </w:r>
      <w:r>
        <w:rPr>
          <w:rFonts w:hint="eastAsia"/>
          <w:sz w:val="21"/>
          <w:szCs w:val="16"/>
        </w:rPr>
        <w:t>大常枢纽</w:t>
      </w:r>
    </w:p>
    <w:p>
      <w:pPr>
        <w:pStyle w:val="2886"/>
      </w:pPr>
      <w:r>
        <w:rPr>
          <w:rFonts w:hint="default" w:ascii="Times New Roman" w:hAnsi="Times New Roman" w:cs="Times New Roman"/>
        </w:rPr>
        <w:t>图6.2</w:t>
      </w:r>
      <w:r>
        <w:rPr>
          <w:rFonts w:hint="default" w:ascii="Times New Roman" w:hAnsi="Times New Roman" w:cs="Times New Roman"/>
          <w:lang w:eastAsia="zh-CN"/>
        </w:rPr>
        <w:t>—</w:t>
      </w:r>
      <w:r>
        <w:rPr>
          <w:rFonts w:hint="default" w:ascii="Times New Roman" w:hAnsi="Times New Roman" w:cs="Times New Roman"/>
          <w:lang w:val="en-US" w:eastAsia="zh-CN"/>
        </w:rPr>
        <w:t>18</w:t>
      </w:r>
      <w:r>
        <w:rPr>
          <w:rFonts w:hint="default" w:ascii="Times New Roman" w:hAnsi="Times New Roman" w:cs="Times New Roman"/>
        </w:rPr>
        <w:t xml:space="preserve"> </w:t>
      </w:r>
      <w:r>
        <w:rPr>
          <w:rFonts w:hint="eastAsia"/>
        </w:rPr>
        <w:t xml:space="preserve"> 綦江左岸下北街片区地理景观图</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下北街片区地势呈阶梯状分布见图6.2—19，滨江路至綦江护岸沿线房屋基本处于5年一遇水面线以下，房屋面积9.07万m</w:t>
      </w:r>
      <w:r>
        <w:rPr>
          <w:rFonts w:hint="eastAsia" w:ascii="Times New Roman" w:hAnsi="Times New Roman" w:eastAsia="方正仿宋_GBK" w:cs="Times New Roman"/>
          <w:bCs/>
          <w:sz w:val="32"/>
          <w:szCs w:val="32"/>
          <w:vertAlign w:val="superscript"/>
          <w:lang w:val="en-US" w:eastAsia="zh-CN"/>
        </w:rPr>
        <w:t>2</w:t>
      </w:r>
      <w:r>
        <w:rPr>
          <w:rFonts w:hint="eastAsia" w:ascii="Times New Roman" w:hAnsi="Times New Roman" w:eastAsia="方正仿宋_GBK" w:cs="Times New Roman"/>
          <w:sz w:val="32"/>
          <w:szCs w:val="32"/>
          <w:lang w:val="en-US" w:eastAsia="zh-CN"/>
        </w:rPr>
        <w:t>；滨江路至交通路区间多数房屋处于10—20年一遇水面线以下，其中10年一遇洪水淹没线以下房屋面积17.50万m</w:t>
      </w:r>
      <w:r>
        <w:rPr>
          <w:rFonts w:hint="eastAsia" w:ascii="Times New Roman" w:hAnsi="Times New Roman" w:eastAsia="方正仿宋_GBK" w:cs="Times New Roman"/>
          <w:bCs/>
          <w:sz w:val="32"/>
          <w:szCs w:val="32"/>
          <w:vertAlign w:val="superscript"/>
          <w:lang w:val="en-US" w:eastAsia="zh-CN"/>
        </w:rPr>
        <w:t>2</w:t>
      </w:r>
      <w:r>
        <w:rPr>
          <w:rFonts w:hint="eastAsia" w:ascii="Times New Roman" w:hAnsi="Times New Roman" w:eastAsia="方正仿宋_GBK" w:cs="Times New Roman"/>
          <w:sz w:val="32"/>
          <w:szCs w:val="32"/>
          <w:lang w:val="en-US" w:eastAsia="zh-CN"/>
        </w:rPr>
        <w:t>，20年一遇洪水淹没线以下房屋面积20.61万m</w:t>
      </w:r>
      <w:r>
        <w:rPr>
          <w:rFonts w:hint="eastAsia" w:ascii="Times New Roman" w:hAnsi="Times New Roman" w:eastAsia="方正仿宋_GBK" w:cs="Times New Roman"/>
          <w:bCs/>
          <w:sz w:val="32"/>
          <w:szCs w:val="32"/>
          <w:vertAlign w:val="superscript"/>
          <w:lang w:val="en-US" w:eastAsia="zh-CN"/>
        </w:rPr>
        <w:t>2</w:t>
      </w:r>
      <w:r>
        <w:rPr>
          <w:rFonts w:hint="eastAsia" w:ascii="Times New Roman" w:hAnsi="Times New Roman" w:eastAsia="方正仿宋_GBK" w:cs="Times New Roman"/>
          <w:sz w:val="32"/>
          <w:szCs w:val="32"/>
          <w:lang w:val="en-US" w:eastAsia="zh-CN"/>
        </w:rPr>
        <w:t>。根据下北街地形与房屋分布情况，如对20年一遇洪水淹没线以下房屋全部拆迁，则投资过大；建议仅拆迁滨江路至綦江护岸一带5年一遇以内房屋（见图6.2—20），拆迁后建设滨江公园，大水年作为行洪通道。</w:t>
      </w:r>
    </w:p>
    <w:p>
      <w:pPr>
        <w:pStyle w:val="2886"/>
        <w:spacing w:line="0" w:lineRule="atLeast"/>
        <w:outlineLvl w:val="9"/>
      </w:pPr>
      <w:r>
        <w:drawing>
          <wp:inline distT="0" distB="0" distL="114300" distR="114300">
            <wp:extent cx="3703955" cy="2979420"/>
            <wp:effectExtent l="0" t="0" r="10795" b="11430"/>
            <wp:docPr id="188" name="图片 17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8" name="图片 174"/>
                    <pic:cNvPicPr>
                      <a:picLocks noChangeAspect="true"/>
                    </pic:cNvPicPr>
                  </pic:nvPicPr>
                  <pic:blipFill>
                    <a:blip r:embed="rId228"/>
                    <a:stretch>
                      <a:fillRect/>
                    </a:stretch>
                  </pic:blipFill>
                  <pic:spPr>
                    <a:xfrm>
                      <a:off x="0" y="0"/>
                      <a:ext cx="3703955" cy="2979420"/>
                    </a:xfrm>
                    <a:prstGeom prst="rect">
                      <a:avLst/>
                    </a:prstGeom>
                    <a:noFill/>
                    <a:ln>
                      <a:noFill/>
                    </a:ln>
                  </pic:spPr>
                </pic:pic>
              </a:graphicData>
            </a:graphic>
          </wp:inline>
        </w:drawing>
      </w:r>
    </w:p>
    <w:p>
      <w:pPr>
        <w:pStyle w:val="2886"/>
      </w:pPr>
      <w:r>
        <w:rPr>
          <w:rFonts w:hint="default" w:ascii="Times New Roman" w:hAnsi="Times New Roman" w:cs="Times New Roman"/>
        </w:rPr>
        <w:t>图6.2</w:t>
      </w:r>
      <w:r>
        <w:rPr>
          <w:rFonts w:hint="default" w:ascii="Times New Roman" w:hAnsi="Times New Roman" w:cs="Times New Roman"/>
          <w:lang w:eastAsia="zh-CN"/>
        </w:rPr>
        <w:t>—</w:t>
      </w:r>
      <w:r>
        <w:rPr>
          <w:rFonts w:hint="default" w:ascii="Times New Roman" w:hAnsi="Times New Roman" w:cs="Times New Roman"/>
          <w:lang w:val="en-US" w:eastAsia="zh-CN"/>
        </w:rPr>
        <w:t>19</w:t>
      </w:r>
      <w:r>
        <w:rPr>
          <w:rFonts w:hint="default" w:ascii="Times New Roman" w:hAnsi="Times New Roman" w:cs="Times New Roman"/>
        </w:rPr>
        <w:t xml:space="preserve">    下</w:t>
      </w:r>
      <w:r>
        <w:rPr>
          <w:rFonts w:hint="eastAsia"/>
        </w:rPr>
        <w:t>北街不同频率洪水淹没房屋分布图</w:t>
      </w:r>
    </w:p>
    <w:p>
      <w:pPr>
        <w:pStyle w:val="2886"/>
        <w:spacing w:line="0" w:lineRule="atLeast"/>
        <w:outlineLvl w:val="9"/>
      </w:pPr>
      <w:r>
        <w:drawing>
          <wp:inline distT="0" distB="0" distL="114300" distR="114300">
            <wp:extent cx="4269105" cy="2597150"/>
            <wp:effectExtent l="0" t="0" r="17145" b="12700"/>
            <wp:docPr id="189" name="图片 1" descr="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9" name="图片 1" descr="4"/>
                    <pic:cNvPicPr>
                      <a:picLocks noChangeAspect="true"/>
                    </pic:cNvPicPr>
                  </pic:nvPicPr>
                  <pic:blipFill>
                    <a:blip r:embed="rId229"/>
                    <a:stretch>
                      <a:fillRect/>
                    </a:stretch>
                  </pic:blipFill>
                  <pic:spPr>
                    <a:xfrm>
                      <a:off x="0" y="0"/>
                      <a:ext cx="4269105" cy="2597150"/>
                    </a:xfrm>
                    <a:prstGeom prst="rect">
                      <a:avLst/>
                    </a:prstGeom>
                    <a:noFill/>
                    <a:ln>
                      <a:noFill/>
                    </a:ln>
                  </pic:spPr>
                </pic:pic>
              </a:graphicData>
            </a:graphic>
          </wp:inline>
        </w:drawing>
      </w:r>
    </w:p>
    <w:p>
      <w:pPr>
        <w:pStyle w:val="2886"/>
      </w:pPr>
      <w:r>
        <w:rPr>
          <w:rFonts w:hint="default" w:ascii="Times New Roman" w:hAnsi="Times New Roman" w:cs="Times New Roman"/>
        </w:rPr>
        <w:t>图6.2</w:t>
      </w:r>
      <w:r>
        <w:rPr>
          <w:rFonts w:hint="default" w:ascii="Times New Roman" w:hAnsi="Times New Roman" w:cs="Times New Roman"/>
          <w:lang w:eastAsia="zh-CN"/>
        </w:rPr>
        <w:t>—</w:t>
      </w:r>
      <w:r>
        <w:rPr>
          <w:rFonts w:hint="default" w:ascii="Times New Roman" w:hAnsi="Times New Roman" w:cs="Times New Roman"/>
        </w:rPr>
        <w:t>2</w:t>
      </w:r>
      <w:r>
        <w:rPr>
          <w:rFonts w:hint="default" w:ascii="Times New Roman" w:hAnsi="Times New Roman" w:cs="Times New Roman"/>
          <w:lang w:val="en-US" w:eastAsia="zh-CN"/>
        </w:rPr>
        <w:t>0</w:t>
      </w:r>
      <w:r>
        <w:rPr>
          <w:rFonts w:hint="default" w:ascii="Times New Roman" w:hAnsi="Times New Roman" w:cs="Times New Roman"/>
        </w:rPr>
        <w:t xml:space="preserve">  </w:t>
      </w:r>
      <w:r>
        <w:rPr>
          <w:rFonts w:hint="eastAsia"/>
        </w:rPr>
        <w:t xml:space="preserve"> </w:t>
      </w:r>
      <w:r>
        <w:t xml:space="preserve"> </w:t>
      </w:r>
      <w:r>
        <w:rPr>
          <w:rFonts w:hint="eastAsia"/>
        </w:rPr>
        <w:t>下北街房屋拆迁区域位置（图中紫色方块标注）分布图</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5年一遇以下房屋拆除后，加高拓宽滨江路，打造沿江大道绿色走廊，堤防加高长度0.99km；平均加高高度为：綦江大桥—政府下滨江路公厕2.98m，政府下滨江路公厕—綦江收藏协会活动所段1.55m，綦江收藏协会活动所—区公安局段2.94m，区公安局—下北街菜市场段6.48m，下北街菜市场—民昆公司段4.28m，民昆公司—大常枢纽段5.34m。</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pPr>
      <w:r>
        <w:rPr>
          <w:rFonts w:hint="eastAsia" w:ascii="Times New Roman" w:hAnsi="Times New Roman" w:eastAsia="方正仿宋_GBK" w:cs="Times New Roman"/>
          <w:sz w:val="32"/>
          <w:szCs w:val="32"/>
          <w:lang w:val="en-US" w:eastAsia="zh-CN"/>
        </w:rPr>
        <w:t>下北街片区建堤效果见图6.2—21。</w:t>
      </w:r>
    </w:p>
    <w:p>
      <w:pPr>
        <w:pStyle w:val="2886"/>
        <w:spacing w:line="0" w:lineRule="atLeast"/>
        <w:outlineLvl w:val="9"/>
        <w:rPr>
          <w:rFonts w:ascii="宋体" w:hAnsi="宋体" w:eastAsia="宋体"/>
        </w:rPr>
      </w:pPr>
      <w:r>
        <w:rPr>
          <w:rFonts w:ascii="微软雅黑" w:hAnsi="微软雅黑" w:eastAsia="微软雅黑"/>
          <w:kern w:val="0"/>
          <w:sz w:val="15"/>
          <w:szCs w:val="15"/>
        </w:rPr>
        <w:drawing>
          <wp:inline distT="0" distB="0" distL="114300" distR="114300">
            <wp:extent cx="5618480" cy="2081530"/>
            <wp:effectExtent l="0" t="0" r="1270" b="13970"/>
            <wp:docPr id="190" name="图片 174" descr="图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0" name="图片 174" descr="图5"/>
                    <pic:cNvPicPr>
                      <a:picLocks noChangeAspect="true"/>
                    </pic:cNvPicPr>
                  </pic:nvPicPr>
                  <pic:blipFill>
                    <a:blip r:embed="rId230"/>
                    <a:stretch>
                      <a:fillRect/>
                    </a:stretch>
                  </pic:blipFill>
                  <pic:spPr>
                    <a:xfrm>
                      <a:off x="0" y="0"/>
                      <a:ext cx="5618480" cy="2081530"/>
                    </a:xfrm>
                    <a:prstGeom prst="rect">
                      <a:avLst/>
                    </a:prstGeom>
                    <a:noFill/>
                    <a:ln>
                      <a:noFill/>
                    </a:ln>
                  </pic:spPr>
                </pic:pic>
              </a:graphicData>
            </a:graphic>
          </wp:inline>
        </w:drawing>
      </w:r>
    </w:p>
    <w:p>
      <w:pPr>
        <w:pStyle w:val="2886"/>
      </w:pPr>
      <w:r>
        <w:rPr>
          <w:rFonts w:hint="default" w:ascii="Times New Roman" w:hAnsi="Times New Roman" w:cs="Times New Roman"/>
        </w:rPr>
        <w:t>图6.2</w:t>
      </w:r>
      <w:r>
        <w:rPr>
          <w:rFonts w:hint="default" w:ascii="Times New Roman" w:hAnsi="Times New Roman" w:cs="Times New Roman"/>
          <w:lang w:eastAsia="zh-CN"/>
        </w:rPr>
        <w:t>—</w:t>
      </w:r>
      <w:r>
        <w:rPr>
          <w:rFonts w:hint="default" w:ascii="Times New Roman" w:hAnsi="Times New Roman" w:cs="Times New Roman"/>
        </w:rPr>
        <w:t>2</w:t>
      </w:r>
      <w:r>
        <w:rPr>
          <w:rFonts w:hint="default" w:ascii="Times New Roman" w:hAnsi="Times New Roman" w:cs="Times New Roman"/>
          <w:lang w:val="en-US" w:eastAsia="zh-CN"/>
        </w:rPr>
        <w:t>1</w:t>
      </w:r>
      <w:r>
        <w:rPr>
          <w:rFonts w:hint="default" w:ascii="Times New Roman" w:hAnsi="Times New Roman" w:cs="Times New Roman"/>
        </w:rPr>
        <w:t xml:space="preserve">    滨</w:t>
      </w:r>
      <w:r>
        <w:rPr>
          <w:rFonts w:hint="eastAsia"/>
        </w:rPr>
        <w:t>江路堤路结合效果图</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③大常枢纽—御景江城建筑段</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pPr>
      <w:r>
        <w:rPr>
          <w:rFonts w:hint="eastAsia" w:ascii="Times New Roman" w:hAnsi="Times New Roman" w:eastAsia="方正仿宋_GBK" w:cs="Times New Roman"/>
          <w:sz w:val="32"/>
          <w:szCs w:val="32"/>
          <w:lang w:val="en-US" w:eastAsia="zh-CN"/>
        </w:rPr>
        <w:t>綦江左岸大常枢纽—御景江城建筑段房屋呈条带状，主要堤段地理景观见图6.2—22，现状防洪能力为5—10年一遇，局部段不足5年一遇。考虑到该片区房屋紧邻綦江河道，无堤防加高的空间；如采取“退滩还河”方案，则由于楼层较高，最高达18层，拆迁量较大，实施较为困难；目前1楼房屋常架空作为行洪通道，本次规划仍维持该方案，并加强管控与保护及应急避险转移等非工程措施。考虑到房屋后靠210国道，国道已达20年一遇防洪标准，故发生20年一遇洪水时可及时将该片区人口避险转移至210国道。规划在条件成熟时，可结合旧城改造对该片区房屋拆除重建，通过抬高建基面达到20年一遇防洪标准。</w:t>
      </w:r>
    </w:p>
    <w:p>
      <w:pPr>
        <w:pStyle w:val="2886"/>
        <w:spacing w:line="360" w:lineRule="auto"/>
        <w:outlineLvl w:val="9"/>
      </w:pPr>
      <w:r>
        <w:rPr>
          <w:rFonts w:hint="eastAsia"/>
        </w:rPr>
        <w:drawing>
          <wp:inline distT="0" distB="0" distL="114300" distR="114300">
            <wp:extent cx="4315460" cy="1515745"/>
            <wp:effectExtent l="0" t="0" r="8890" b="8255"/>
            <wp:docPr id="191" name="图片 336" descr="大常-沙溪河口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1" name="图片 336" descr="大常-沙溪河口1"/>
                    <pic:cNvPicPr>
                      <a:picLocks noChangeAspect="true"/>
                    </pic:cNvPicPr>
                  </pic:nvPicPr>
                  <pic:blipFill>
                    <a:blip r:embed="rId231"/>
                    <a:stretch>
                      <a:fillRect/>
                    </a:stretch>
                  </pic:blipFill>
                  <pic:spPr>
                    <a:xfrm>
                      <a:off x="0" y="0"/>
                      <a:ext cx="4315460" cy="1515745"/>
                    </a:xfrm>
                    <a:prstGeom prst="rect">
                      <a:avLst/>
                    </a:prstGeom>
                    <a:noFill/>
                    <a:ln>
                      <a:noFill/>
                    </a:ln>
                  </pic:spPr>
                </pic:pic>
              </a:graphicData>
            </a:graphic>
          </wp:inline>
        </w:drawing>
      </w:r>
    </w:p>
    <w:p>
      <w:pPr>
        <w:pStyle w:val="2886"/>
      </w:pPr>
      <w:r>
        <w:rPr>
          <w:rFonts w:hint="default" w:ascii="Times New Roman" w:hAnsi="Times New Roman" w:cs="Times New Roman"/>
        </w:rPr>
        <w:t>图6.2</w:t>
      </w:r>
      <w:r>
        <w:rPr>
          <w:rFonts w:hint="default" w:ascii="Times New Roman" w:hAnsi="Times New Roman" w:cs="Times New Roman"/>
          <w:lang w:eastAsia="zh-CN"/>
        </w:rPr>
        <w:t>—</w:t>
      </w:r>
      <w:r>
        <w:rPr>
          <w:rFonts w:hint="default" w:ascii="Times New Roman" w:hAnsi="Times New Roman" w:cs="Times New Roman"/>
        </w:rPr>
        <w:t>2</w:t>
      </w:r>
      <w:r>
        <w:rPr>
          <w:rFonts w:hint="default" w:ascii="Times New Roman" w:hAnsi="Times New Roman" w:cs="Times New Roman"/>
          <w:lang w:val="en-US" w:eastAsia="zh-CN"/>
        </w:rPr>
        <w:t>2</w:t>
      </w:r>
      <w:r>
        <w:rPr>
          <w:rFonts w:hint="default" w:ascii="Times New Roman" w:hAnsi="Times New Roman" w:cs="Times New Roman"/>
        </w:rPr>
        <w:t xml:space="preserve">  綦江左</w:t>
      </w:r>
      <w:r>
        <w:rPr>
          <w:rFonts w:hint="eastAsia"/>
        </w:rPr>
        <w:t>岸大常枢纽</w:t>
      </w:r>
      <w:r>
        <w:rPr>
          <w:rFonts w:hint="eastAsia"/>
          <w:lang w:eastAsia="zh-CN"/>
        </w:rPr>
        <w:t>—</w:t>
      </w:r>
      <w:r>
        <w:rPr>
          <w:rFonts w:hint="eastAsia"/>
        </w:rPr>
        <w:t>御景江城建筑段地理景观图</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④御景江城建筑—沙溪河口片区</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左岸御景江城建筑—沙溪河口片区欠高0.32—6.55m、平均约3.5m，主要堤段地理景观见图6.2—23。考虑该堤段房屋靠近水边线，建堤空间较小，规划采用退滩还河方案，拆迁210国道至水边线间受洪水威胁的房屋，见图6.2—24。</w:t>
      </w:r>
    </w:p>
    <w:p>
      <w:pPr>
        <w:pStyle w:val="2886"/>
        <w:spacing w:line="360" w:lineRule="auto"/>
        <w:outlineLvl w:val="9"/>
        <w:rPr>
          <w:rFonts w:hint="eastAsia"/>
        </w:rPr>
      </w:pPr>
      <w:r>
        <w:rPr>
          <w:rFonts w:hint="eastAsia"/>
        </w:rPr>
        <w:drawing>
          <wp:inline distT="0" distB="0" distL="114300" distR="114300">
            <wp:extent cx="4326255" cy="1836420"/>
            <wp:effectExtent l="0" t="0" r="17145" b="11430"/>
            <wp:docPr id="192" name="图片 337" descr="大常-沙溪河口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2" name="图片 337" descr="大常-沙溪河口2"/>
                    <pic:cNvPicPr>
                      <a:picLocks noChangeAspect="true"/>
                    </pic:cNvPicPr>
                  </pic:nvPicPr>
                  <pic:blipFill>
                    <a:blip r:embed="rId232"/>
                    <a:stretch>
                      <a:fillRect/>
                    </a:stretch>
                  </pic:blipFill>
                  <pic:spPr>
                    <a:xfrm>
                      <a:off x="0" y="0"/>
                      <a:ext cx="4326255" cy="1836420"/>
                    </a:xfrm>
                    <a:prstGeom prst="rect">
                      <a:avLst/>
                    </a:prstGeom>
                    <a:noFill/>
                    <a:ln>
                      <a:noFill/>
                    </a:ln>
                  </pic:spPr>
                </pic:pic>
              </a:graphicData>
            </a:graphic>
          </wp:inline>
        </w:drawing>
      </w:r>
    </w:p>
    <w:p>
      <w:pPr>
        <w:pStyle w:val="2886"/>
        <w:spacing w:line="360" w:lineRule="auto"/>
        <w:outlineLvl w:val="9"/>
        <w:rPr>
          <w:rFonts w:hint="eastAsia"/>
        </w:rPr>
      </w:pPr>
      <w:r>
        <w:rPr>
          <w:rFonts w:hint="eastAsia"/>
        </w:rPr>
        <w:drawing>
          <wp:inline distT="0" distB="0" distL="114300" distR="114300">
            <wp:extent cx="4318000" cy="1912620"/>
            <wp:effectExtent l="0" t="0" r="6350" b="11430"/>
            <wp:docPr id="193" name="图片 338" descr="大常-沙溪河口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3" name="图片 338" descr="大常-沙溪河口3"/>
                    <pic:cNvPicPr>
                      <a:picLocks noChangeAspect="true"/>
                    </pic:cNvPicPr>
                  </pic:nvPicPr>
                  <pic:blipFill>
                    <a:blip r:embed="rId233"/>
                    <a:stretch>
                      <a:fillRect/>
                    </a:stretch>
                  </pic:blipFill>
                  <pic:spPr>
                    <a:xfrm>
                      <a:off x="0" y="0"/>
                      <a:ext cx="4318000" cy="1912620"/>
                    </a:xfrm>
                    <a:prstGeom prst="rect">
                      <a:avLst/>
                    </a:prstGeom>
                    <a:noFill/>
                    <a:ln>
                      <a:noFill/>
                    </a:ln>
                  </pic:spPr>
                </pic:pic>
              </a:graphicData>
            </a:graphic>
          </wp:inline>
        </w:drawing>
      </w:r>
    </w:p>
    <w:p>
      <w:pPr>
        <w:pStyle w:val="2886"/>
        <w:spacing w:line="360" w:lineRule="auto"/>
        <w:outlineLvl w:val="9"/>
        <w:rPr>
          <w:rFonts w:hint="eastAsia"/>
        </w:rPr>
      </w:pPr>
      <w:r>
        <w:rPr>
          <w:rFonts w:hint="eastAsia"/>
        </w:rPr>
        <w:drawing>
          <wp:inline distT="0" distB="0" distL="114300" distR="114300">
            <wp:extent cx="4323715" cy="1539875"/>
            <wp:effectExtent l="0" t="0" r="635" b="3175"/>
            <wp:docPr id="194" name="图片 339" descr="大常-沙溪河口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4" name="图片 339" descr="大常-沙溪河口4"/>
                    <pic:cNvPicPr>
                      <a:picLocks noChangeAspect="true"/>
                    </pic:cNvPicPr>
                  </pic:nvPicPr>
                  <pic:blipFill>
                    <a:blip r:embed="rId234"/>
                    <a:stretch>
                      <a:fillRect/>
                    </a:stretch>
                  </pic:blipFill>
                  <pic:spPr>
                    <a:xfrm>
                      <a:off x="0" y="0"/>
                      <a:ext cx="4323715" cy="1539875"/>
                    </a:xfrm>
                    <a:prstGeom prst="rect">
                      <a:avLst/>
                    </a:prstGeom>
                    <a:noFill/>
                    <a:ln>
                      <a:noFill/>
                    </a:ln>
                  </pic:spPr>
                </pic:pic>
              </a:graphicData>
            </a:graphic>
          </wp:inline>
        </w:drawing>
      </w:r>
    </w:p>
    <w:p>
      <w:pPr>
        <w:pStyle w:val="2886"/>
        <w:spacing w:line="360" w:lineRule="auto"/>
        <w:outlineLvl w:val="9"/>
        <w:rPr>
          <w:rFonts w:hint="eastAsia"/>
        </w:rPr>
      </w:pPr>
      <w:r>
        <w:rPr>
          <w:rFonts w:hint="eastAsia"/>
        </w:rPr>
        <w:drawing>
          <wp:inline distT="0" distB="0" distL="114300" distR="114300">
            <wp:extent cx="4321810" cy="1506220"/>
            <wp:effectExtent l="0" t="0" r="2540" b="17780"/>
            <wp:docPr id="195" name="图片 388" descr="大常-沙溪河口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5" name="图片 388" descr="大常-沙溪河口5"/>
                    <pic:cNvPicPr>
                      <a:picLocks noChangeAspect="true"/>
                    </pic:cNvPicPr>
                  </pic:nvPicPr>
                  <pic:blipFill>
                    <a:blip r:embed="rId235"/>
                    <a:stretch>
                      <a:fillRect/>
                    </a:stretch>
                  </pic:blipFill>
                  <pic:spPr>
                    <a:xfrm>
                      <a:off x="0" y="0"/>
                      <a:ext cx="4321810" cy="1506220"/>
                    </a:xfrm>
                    <a:prstGeom prst="rect">
                      <a:avLst/>
                    </a:prstGeom>
                    <a:noFill/>
                    <a:ln>
                      <a:noFill/>
                    </a:ln>
                  </pic:spPr>
                </pic:pic>
              </a:graphicData>
            </a:graphic>
          </wp:inline>
        </w:drawing>
      </w:r>
    </w:p>
    <w:p>
      <w:pPr>
        <w:pStyle w:val="2886"/>
        <w:spacing w:line="360" w:lineRule="auto"/>
        <w:outlineLvl w:val="9"/>
        <w:rPr>
          <w:rFonts w:hint="eastAsia"/>
        </w:rPr>
      </w:pPr>
      <w:r>
        <w:rPr>
          <w:rFonts w:hint="eastAsia"/>
        </w:rPr>
        <w:drawing>
          <wp:inline distT="0" distB="0" distL="114300" distR="114300">
            <wp:extent cx="4323080" cy="1551305"/>
            <wp:effectExtent l="0" t="0" r="1270" b="10795"/>
            <wp:docPr id="196" name="图片 389" descr="大常-沙溪河口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6" name="图片 389" descr="大常-沙溪河口6"/>
                    <pic:cNvPicPr>
                      <a:picLocks noChangeAspect="true"/>
                    </pic:cNvPicPr>
                  </pic:nvPicPr>
                  <pic:blipFill>
                    <a:blip r:embed="rId236"/>
                    <a:stretch>
                      <a:fillRect/>
                    </a:stretch>
                  </pic:blipFill>
                  <pic:spPr>
                    <a:xfrm>
                      <a:off x="0" y="0"/>
                      <a:ext cx="4323080" cy="1551305"/>
                    </a:xfrm>
                    <a:prstGeom prst="rect">
                      <a:avLst/>
                    </a:prstGeom>
                    <a:noFill/>
                    <a:ln>
                      <a:noFill/>
                    </a:ln>
                  </pic:spPr>
                </pic:pic>
              </a:graphicData>
            </a:graphic>
          </wp:inline>
        </w:drawing>
      </w:r>
    </w:p>
    <w:p>
      <w:pPr>
        <w:pStyle w:val="2886"/>
        <w:spacing w:line="360" w:lineRule="auto"/>
        <w:outlineLvl w:val="9"/>
        <w:rPr>
          <w:rFonts w:hint="eastAsia"/>
        </w:rPr>
      </w:pPr>
      <w:r>
        <w:rPr>
          <w:rFonts w:hint="eastAsia"/>
        </w:rPr>
        <w:drawing>
          <wp:inline distT="0" distB="0" distL="114300" distR="114300">
            <wp:extent cx="4314190" cy="1337310"/>
            <wp:effectExtent l="0" t="0" r="10160" b="15240"/>
            <wp:docPr id="197" name="图片 390" descr="大常-沙溪河口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7" name="图片 390" descr="大常-沙溪河口8"/>
                    <pic:cNvPicPr>
                      <a:picLocks noChangeAspect="true"/>
                    </pic:cNvPicPr>
                  </pic:nvPicPr>
                  <pic:blipFill>
                    <a:blip r:embed="rId237"/>
                    <a:stretch>
                      <a:fillRect/>
                    </a:stretch>
                  </pic:blipFill>
                  <pic:spPr>
                    <a:xfrm>
                      <a:off x="0" y="0"/>
                      <a:ext cx="4314190" cy="1337310"/>
                    </a:xfrm>
                    <a:prstGeom prst="rect">
                      <a:avLst/>
                    </a:prstGeom>
                    <a:noFill/>
                    <a:ln>
                      <a:noFill/>
                    </a:ln>
                  </pic:spPr>
                </pic:pic>
              </a:graphicData>
            </a:graphic>
          </wp:inline>
        </w:drawing>
      </w:r>
    </w:p>
    <w:p>
      <w:pPr>
        <w:pStyle w:val="2886"/>
        <w:spacing w:line="360" w:lineRule="auto"/>
        <w:outlineLvl w:val="9"/>
        <w:rPr>
          <w:rFonts w:hint="eastAsia"/>
        </w:rPr>
      </w:pPr>
      <w:r>
        <w:rPr>
          <w:rFonts w:hint="eastAsia"/>
        </w:rPr>
        <w:drawing>
          <wp:inline distT="0" distB="0" distL="114300" distR="114300">
            <wp:extent cx="4316095" cy="1785620"/>
            <wp:effectExtent l="0" t="0" r="8255" b="5080"/>
            <wp:docPr id="198" name="图片 391" descr="大常-沙溪河口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8" name="图片 391" descr="大常-沙溪河口9"/>
                    <pic:cNvPicPr>
                      <a:picLocks noChangeAspect="true"/>
                    </pic:cNvPicPr>
                  </pic:nvPicPr>
                  <pic:blipFill>
                    <a:blip r:embed="rId238"/>
                    <a:stretch>
                      <a:fillRect/>
                    </a:stretch>
                  </pic:blipFill>
                  <pic:spPr>
                    <a:xfrm>
                      <a:off x="0" y="0"/>
                      <a:ext cx="4316095" cy="1785620"/>
                    </a:xfrm>
                    <a:prstGeom prst="rect">
                      <a:avLst/>
                    </a:prstGeom>
                    <a:noFill/>
                    <a:ln>
                      <a:noFill/>
                    </a:ln>
                  </pic:spPr>
                </pic:pic>
              </a:graphicData>
            </a:graphic>
          </wp:inline>
        </w:drawing>
      </w:r>
    </w:p>
    <w:p>
      <w:pPr>
        <w:pStyle w:val="2886"/>
        <w:spacing w:line="240" w:lineRule="exact"/>
      </w:pPr>
      <w:r>
        <w:rPr>
          <w:rFonts w:hint="default" w:ascii="Times New Roman" w:hAnsi="Times New Roman" w:cs="Times New Roman"/>
        </w:rPr>
        <w:t>图6.2</w:t>
      </w:r>
      <w:r>
        <w:rPr>
          <w:rFonts w:hint="default" w:ascii="Times New Roman" w:hAnsi="Times New Roman" w:cs="Times New Roman"/>
          <w:lang w:eastAsia="zh-CN"/>
        </w:rPr>
        <w:t>—</w:t>
      </w:r>
      <w:r>
        <w:rPr>
          <w:rFonts w:hint="default" w:ascii="Times New Roman" w:hAnsi="Times New Roman" w:cs="Times New Roman"/>
        </w:rPr>
        <w:t>2</w:t>
      </w:r>
      <w:r>
        <w:rPr>
          <w:rFonts w:hint="default" w:ascii="Times New Roman" w:hAnsi="Times New Roman" w:cs="Times New Roman"/>
          <w:lang w:val="en-US" w:eastAsia="zh-CN"/>
        </w:rPr>
        <w:t>3</w:t>
      </w:r>
      <w:r>
        <w:rPr>
          <w:rFonts w:hint="default" w:ascii="Times New Roman" w:hAnsi="Times New Roman" w:cs="Times New Roman"/>
        </w:rPr>
        <w:t xml:space="preserve">  綦江左岸御景江城建筑</w:t>
      </w:r>
      <w:r>
        <w:rPr>
          <w:rFonts w:hint="default" w:ascii="Times New Roman" w:hAnsi="Times New Roman" w:cs="Times New Roman"/>
          <w:lang w:eastAsia="zh-CN"/>
        </w:rPr>
        <w:t>—</w:t>
      </w:r>
      <w:r>
        <w:rPr>
          <w:rFonts w:hint="eastAsia"/>
        </w:rPr>
        <w:t>沙溪河口段地理景观图</w:t>
      </w:r>
    </w:p>
    <w:p>
      <w:pPr>
        <w:pStyle w:val="2886"/>
        <w:outlineLvl w:val="9"/>
        <w:rPr>
          <w:rFonts w:hint="eastAsia"/>
        </w:rPr>
      </w:pPr>
      <w:r>
        <w:drawing>
          <wp:inline distT="0" distB="0" distL="114300" distR="114300">
            <wp:extent cx="5732145" cy="3385820"/>
            <wp:effectExtent l="0" t="0" r="1905" b="5080"/>
            <wp:docPr id="199" name="图片 18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9" name="图片 180"/>
                    <pic:cNvPicPr>
                      <a:picLocks noChangeAspect="true"/>
                    </pic:cNvPicPr>
                  </pic:nvPicPr>
                  <pic:blipFill>
                    <a:blip r:embed="rId239"/>
                    <a:stretch>
                      <a:fillRect/>
                    </a:stretch>
                  </pic:blipFill>
                  <pic:spPr>
                    <a:xfrm>
                      <a:off x="0" y="0"/>
                      <a:ext cx="5732145" cy="3385820"/>
                    </a:xfrm>
                    <a:prstGeom prst="rect">
                      <a:avLst/>
                    </a:prstGeom>
                    <a:noFill/>
                    <a:ln>
                      <a:noFill/>
                    </a:ln>
                  </pic:spPr>
                </pic:pic>
              </a:graphicData>
            </a:graphic>
          </wp:inline>
        </w:drawing>
      </w:r>
    </w:p>
    <w:p>
      <w:pPr>
        <w:pStyle w:val="2886"/>
      </w:pPr>
      <w:r>
        <w:rPr>
          <w:rFonts w:hint="default" w:ascii="Times New Roman" w:hAnsi="Times New Roman" w:cs="Times New Roman"/>
        </w:rPr>
        <w:t>图6.2</w:t>
      </w:r>
      <w:r>
        <w:rPr>
          <w:rFonts w:hint="default" w:ascii="Times New Roman" w:hAnsi="Times New Roman" w:cs="Times New Roman"/>
          <w:lang w:eastAsia="zh-CN"/>
        </w:rPr>
        <w:t>—</w:t>
      </w:r>
      <w:r>
        <w:rPr>
          <w:rFonts w:hint="default" w:ascii="Times New Roman" w:hAnsi="Times New Roman" w:cs="Times New Roman"/>
        </w:rPr>
        <w:t>2</w:t>
      </w:r>
      <w:r>
        <w:rPr>
          <w:rFonts w:hint="default" w:ascii="Times New Roman" w:hAnsi="Times New Roman" w:cs="Times New Roman"/>
          <w:lang w:val="en-US" w:eastAsia="zh-CN"/>
        </w:rPr>
        <w:t>4</w:t>
      </w:r>
      <w:r>
        <w:rPr>
          <w:rFonts w:hint="default" w:ascii="Times New Roman" w:hAnsi="Times New Roman" w:cs="Times New Roman"/>
        </w:rPr>
        <w:t xml:space="preserve">  </w:t>
      </w:r>
      <w:r>
        <w:rPr>
          <w:rFonts w:hint="eastAsia"/>
        </w:rPr>
        <w:t>綦江左岸御景江城建筑</w:t>
      </w:r>
      <w:r>
        <w:rPr>
          <w:rFonts w:hint="eastAsia"/>
          <w:lang w:eastAsia="zh-CN"/>
        </w:rPr>
        <w:t>—</w:t>
      </w:r>
      <w:r>
        <w:rPr>
          <w:rFonts w:hint="eastAsia"/>
        </w:rPr>
        <w:t>沙溪河口段区域位置示意图</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5.2.7 綦江干流左岸古南中学片区</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綦江左岸古南中学片区地理景观见图6.2—25，约有0.25km堤防不达标，规划采取防洪墙方案，堤顶新建U型混凝土种植槽，堤身高度0.63m。防洪墙建设位置见图6.2—26。</w:t>
      </w:r>
    </w:p>
    <w:p>
      <w:pPr>
        <w:pStyle w:val="2886"/>
        <w:spacing w:line="360" w:lineRule="auto"/>
        <w:outlineLvl w:val="9"/>
      </w:pPr>
      <w:r>
        <w:drawing>
          <wp:inline distT="0" distB="0" distL="114300" distR="114300">
            <wp:extent cx="5196840" cy="1868170"/>
            <wp:effectExtent l="0" t="0" r="3810" b="17780"/>
            <wp:docPr id="200" name="图片 394" descr="沙溪河口-城北大桥"/>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0" name="图片 394" descr="沙溪河口-城北大桥"/>
                    <pic:cNvPicPr>
                      <a:picLocks noChangeAspect="true"/>
                    </pic:cNvPicPr>
                  </pic:nvPicPr>
                  <pic:blipFill>
                    <a:blip r:embed="rId240"/>
                    <a:stretch>
                      <a:fillRect/>
                    </a:stretch>
                  </pic:blipFill>
                  <pic:spPr>
                    <a:xfrm>
                      <a:off x="0" y="0"/>
                      <a:ext cx="5196840" cy="1868170"/>
                    </a:xfrm>
                    <a:prstGeom prst="rect">
                      <a:avLst/>
                    </a:prstGeom>
                    <a:noFill/>
                    <a:ln>
                      <a:noFill/>
                    </a:ln>
                  </pic:spPr>
                </pic:pic>
              </a:graphicData>
            </a:graphic>
          </wp:inline>
        </w:drawing>
      </w:r>
    </w:p>
    <w:p>
      <w:pPr>
        <w:pStyle w:val="2886"/>
      </w:pPr>
      <w:r>
        <w:rPr>
          <w:rFonts w:hint="default" w:ascii="Times New Roman" w:hAnsi="Times New Roman" w:cs="Times New Roman"/>
        </w:rPr>
        <w:t>图6.2</w:t>
      </w:r>
      <w:r>
        <w:rPr>
          <w:rFonts w:hint="default" w:ascii="Times New Roman" w:hAnsi="Times New Roman" w:cs="Times New Roman"/>
          <w:lang w:eastAsia="zh-CN"/>
        </w:rPr>
        <w:t>—</w:t>
      </w:r>
      <w:r>
        <w:rPr>
          <w:rFonts w:hint="default" w:ascii="Times New Roman" w:hAnsi="Times New Roman" w:cs="Times New Roman"/>
        </w:rPr>
        <w:t>2</w:t>
      </w:r>
      <w:r>
        <w:rPr>
          <w:rFonts w:hint="default" w:ascii="Times New Roman" w:hAnsi="Times New Roman" w:cs="Times New Roman"/>
          <w:lang w:val="en-US" w:eastAsia="zh-CN"/>
        </w:rPr>
        <w:t>5</w:t>
      </w:r>
      <w:r>
        <w:t xml:space="preserve"> </w:t>
      </w:r>
      <w:r>
        <w:rPr>
          <w:rFonts w:hint="eastAsia"/>
        </w:rPr>
        <w:t xml:space="preserve"> 綦江左岸沙溪河口</w:t>
      </w:r>
      <w:r>
        <w:rPr>
          <w:rFonts w:hint="eastAsia"/>
          <w:lang w:eastAsia="zh-CN"/>
        </w:rPr>
        <w:t>—</w:t>
      </w:r>
      <w:r>
        <w:rPr>
          <w:rFonts w:hint="eastAsia"/>
        </w:rPr>
        <w:t>城北大桥段地理景观图</w:t>
      </w:r>
    </w:p>
    <w:p>
      <w:pPr>
        <w:pStyle w:val="2886"/>
        <w:outlineLvl w:val="9"/>
      </w:pPr>
      <w:r>
        <w:drawing>
          <wp:inline distT="0" distB="0" distL="114300" distR="114300">
            <wp:extent cx="4406900" cy="2328545"/>
            <wp:effectExtent l="0" t="0" r="12700" b="14605"/>
            <wp:docPr id="201" name="图片 176" descr="綦江中学"/>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1" name="图片 176" descr="綦江中学"/>
                    <pic:cNvPicPr>
                      <a:picLocks noChangeAspect="true"/>
                    </pic:cNvPicPr>
                  </pic:nvPicPr>
                  <pic:blipFill>
                    <a:blip r:embed="rId241"/>
                    <a:stretch>
                      <a:fillRect/>
                    </a:stretch>
                  </pic:blipFill>
                  <pic:spPr>
                    <a:xfrm>
                      <a:off x="0" y="0"/>
                      <a:ext cx="4406900" cy="2328545"/>
                    </a:xfrm>
                    <a:prstGeom prst="rect">
                      <a:avLst/>
                    </a:prstGeom>
                    <a:noFill/>
                    <a:ln>
                      <a:noFill/>
                    </a:ln>
                  </pic:spPr>
                </pic:pic>
              </a:graphicData>
            </a:graphic>
          </wp:inline>
        </w:drawing>
      </w:r>
    </w:p>
    <w:p>
      <w:pPr>
        <w:pStyle w:val="2886"/>
      </w:pPr>
      <w:r>
        <w:rPr>
          <w:rFonts w:hint="default" w:ascii="Times New Roman" w:hAnsi="Times New Roman" w:cs="Times New Roman"/>
        </w:rPr>
        <w:t>图6.2</w:t>
      </w:r>
      <w:r>
        <w:rPr>
          <w:rFonts w:hint="default" w:ascii="Times New Roman" w:hAnsi="Times New Roman" w:cs="Times New Roman"/>
          <w:lang w:eastAsia="zh-CN"/>
        </w:rPr>
        <w:t>—</w:t>
      </w:r>
      <w:r>
        <w:rPr>
          <w:rFonts w:hint="default" w:ascii="Times New Roman" w:hAnsi="Times New Roman" w:cs="Times New Roman"/>
          <w:lang w:val="en-US" w:eastAsia="zh-CN"/>
        </w:rPr>
        <w:t>26</w:t>
      </w:r>
      <w:r>
        <w:t xml:space="preserve">  </w:t>
      </w:r>
      <w:r>
        <w:rPr>
          <w:rFonts w:hint="eastAsia"/>
        </w:rPr>
        <w:t>大常枢纽</w:t>
      </w:r>
      <w:r>
        <w:rPr>
          <w:rFonts w:hint="eastAsia"/>
          <w:lang w:eastAsia="zh-CN"/>
        </w:rPr>
        <w:t>—</w:t>
      </w:r>
      <w:r>
        <w:rPr>
          <w:rFonts w:hint="eastAsia"/>
        </w:rPr>
        <w:t>沙溪河口段区域位置示意图</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5.2.8 綦江干流左岸北渡老街片区</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rPr>
      </w:pPr>
      <w:r>
        <w:rPr>
          <w:rFonts w:hint="eastAsia" w:ascii="Times New Roman" w:hAnsi="Times New Roman" w:eastAsia="方正仿宋_GBK" w:cs="Times New Roman"/>
          <w:sz w:val="32"/>
          <w:szCs w:val="32"/>
          <w:lang w:val="en-US" w:eastAsia="zh-CN"/>
        </w:rPr>
        <w:t>北渡老街片区房屋呈狭长条带分布，紧邻綦江河道，无建堤空间，长期受到洪水威胁，该河段地理景观见图6.2—27。规划采用退滩还河方案，拆迁受洪水威胁的6351m</w:t>
      </w:r>
      <w:r>
        <w:rPr>
          <w:rFonts w:hint="eastAsia" w:ascii="Times New Roman" w:hAnsi="Times New Roman" w:eastAsia="方正仿宋_GBK" w:cs="Times New Roman"/>
          <w:bCs/>
          <w:sz w:val="32"/>
          <w:szCs w:val="32"/>
          <w:vertAlign w:val="superscript"/>
          <w:lang w:val="en-US" w:eastAsia="zh-CN"/>
        </w:rPr>
        <w:t>2</w:t>
      </w:r>
      <w:r>
        <w:rPr>
          <w:rFonts w:hint="eastAsia" w:ascii="Times New Roman" w:hAnsi="Times New Roman" w:eastAsia="方正仿宋_GBK" w:cs="Times New Roman"/>
          <w:sz w:val="32"/>
          <w:szCs w:val="32"/>
          <w:lang w:val="en-US" w:eastAsia="zh-CN"/>
        </w:rPr>
        <w:t>房屋。</w:t>
      </w:r>
    </w:p>
    <w:p>
      <w:pPr>
        <w:pStyle w:val="2886"/>
        <w:spacing w:line="360" w:lineRule="auto"/>
        <w:outlineLvl w:val="9"/>
      </w:pPr>
      <w:r>
        <w:drawing>
          <wp:inline distT="0" distB="0" distL="114300" distR="114300">
            <wp:extent cx="4454525" cy="1962150"/>
            <wp:effectExtent l="0" t="0" r="3175" b="0"/>
            <wp:docPr id="202" name="图片 39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2" name="图片 395"/>
                    <pic:cNvPicPr>
                      <a:picLocks noChangeAspect="true"/>
                    </pic:cNvPicPr>
                  </pic:nvPicPr>
                  <pic:blipFill>
                    <a:blip r:embed="rId242"/>
                    <a:stretch>
                      <a:fillRect/>
                    </a:stretch>
                  </pic:blipFill>
                  <pic:spPr>
                    <a:xfrm>
                      <a:off x="0" y="0"/>
                      <a:ext cx="4454525" cy="1962150"/>
                    </a:xfrm>
                    <a:prstGeom prst="rect">
                      <a:avLst/>
                    </a:prstGeom>
                    <a:noFill/>
                    <a:ln>
                      <a:noFill/>
                    </a:ln>
                  </pic:spPr>
                </pic:pic>
              </a:graphicData>
            </a:graphic>
          </wp:inline>
        </w:drawing>
      </w:r>
    </w:p>
    <w:p>
      <w:pPr>
        <w:pStyle w:val="2886"/>
        <w:spacing w:line="240" w:lineRule="exact"/>
        <w:outlineLvl w:val="9"/>
        <w:rPr>
          <w:sz w:val="21"/>
          <w:szCs w:val="16"/>
        </w:rPr>
      </w:pPr>
      <w:r>
        <w:rPr>
          <w:rFonts w:hint="eastAsia"/>
          <w:sz w:val="21"/>
          <w:szCs w:val="16"/>
        </w:rPr>
        <w:t>北渡老街遥感影像</w:t>
      </w:r>
    </w:p>
    <w:p>
      <w:pPr>
        <w:pStyle w:val="2886"/>
        <w:spacing w:line="360" w:lineRule="auto"/>
        <w:outlineLvl w:val="9"/>
        <w:rPr>
          <w:rFonts w:hint="eastAsia"/>
        </w:rPr>
      </w:pPr>
      <w:r>
        <w:drawing>
          <wp:inline distT="0" distB="0" distL="114300" distR="114300">
            <wp:extent cx="3005455" cy="1889125"/>
            <wp:effectExtent l="0" t="0" r="4445" b="15875"/>
            <wp:docPr id="203" name="图片 24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3" name="图片 244"/>
                    <pic:cNvPicPr>
                      <a:picLocks noChangeAspect="true"/>
                    </pic:cNvPicPr>
                  </pic:nvPicPr>
                  <pic:blipFill>
                    <a:blip r:embed="rId243"/>
                    <a:srcRect b="15869"/>
                    <a:stretch>
                      <a:fillRect/>
                    </a:stretch>
                  </pic:blipFill>
                  <pic:spPr>
                    <a:xfrm>
                      <a:off x="0" y="0"/>
                      <a:ext cx="3005455" cy="1889125"/>
                    </a:xfrm>
                    <a:prstGeom prst="rect">
                      <a:avLst/>
                    </a:prstGeom>
                    <a:noFill/>
                    <a:ln>
                      <a:noFill/>
                    </a:ln>
                  </pic:spPr>
                </pic:pic>
              </a:graphicData>
            </a:graphic>
          </wp:inline>
        </w:drawing>
      </w:r>
    </w:p>
    <w:p>
      <w:pPr>
        <w:pStyle w:val="2886"/>
      </w:pPr>
      <w:r>
        <w:rPr>
          <w:rFonts w:hint="default" w:ascii="Times New Roman" w:hAnsi="Times New Roman" w:cs="Times New Roman"/>
        </w:rPr>
        <w:t>图6.2</w:t>
      </w:r>
      <w:r>
        <w:rPr>
          <w:rFonts w:hint="default" w:ascii="Times New Roman" w:hAnsi="Times New Roman" w:cs="Times New Roman"/>
          <w:lang w:eastAsia="zh-CN"/>
        </w:rPr>
        <w:t>—</w:t>
      </w:r>
      <w:r>
        <w:rPr>
          <w:rFonts w:hint="default" w:ascii="Times New Roman" w:hAnsi="Times New Roman" w:cs="Times New Roman"/>
          <w:lang w:val="en-US" w:eastAsia="zh-CN"/>
        </w:rPr>
        <w:t>27</w:t>
      </w:r>
      <w:r>
        <w:t xml:space="preserve"> </w:t>
      </w:r>
      <w:r>
        <w:rPr>
          <w:rFonts w:hint="eastAsia"/>
        </w:rPr>
        <w:t xml:space="preserve"> 綦江左岸北渡老街片区地理景观图</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kern w:val="0"/>
          <w:sz w:val="32"/>
          <w:szCs w:val="32"/>
        </w:rPr>
      </w:pPr>
      <w:r>
        <w:rPr>
          <w:rFonts w:hint="default" w:ascii="Times New Roman" w:hAnsi="Times New Roman" w:eastAsia="方正仿宋_GBK" w:cs="Times New Roman"/>
          <w:sz w:val="32"/>
          <w:szCs w:val="32"/>
        </w:rPr>
        <w:t>在98年洪水后，綦江主城区制定了洪水淹没地区房屋拆迁方案，但未实施，主要原因：一是原有规划将20年一遇水面线以下房屋全部拆除，拆迁量约58.21万平m</w:t>
      </w:r>
      <w:r>
        <w:rPr>
          <w:rFonts w:hint="default" w:ascii="Times New Roman" w:hAnsi="Times New Roman" w:eastAsia="方正仿宋_GBK" w:cs="Times New Roman"/>
          <w:sz w:val="32"/>
          <w:szCs w:val="32"/>
          <w:vertAlign w:val="superscript"/>
        </w:rPr>
        <w:t>2</w:t>
      </w:r>
      <w:r>
        <w:rPr>
          <w:rFonts w:hint="default" w:ascii="Times New Roman" w:hAnsi="Times New Roman" w:eastAsia="方正仿宋_GBK" w:cs="Times New Roman"/>
          <w:sz w:val="32"/>
          <w:szCs w:val="32"/>
        </w:rPr>
        <w:t>，拆迁补偿投资巨大，只有采取非工程措施（若遇洪水采取撤离搬迁方式）解决；二是原来98年洪灾距菜坝、下北街片区房屋建成时间较近，如果全部进行拆迁，会造成较大的社会风险。而本次研究结合綦江主城区社会经济水平，房屋拆迁面积约为</w:t>
      </w:r>
      <w:r>
        <w:rPr>
          <w:rFonts w:hint="default" w:ascii="Times New Roman" w:hAnsi="Times New Roman" w:eastAsia="方正仿宋_GBK" w:cs="Times New Roman"/>
          <w:bCs/>
          <w:sz w:val="32"/>
          <w:szCs w:val="32"/>
        </w:rPr>
        <w:t>29.05</w:t>
      </w:r>
      <w:r>
        <w:rPr>
          <w:rFonts w:hint="default" w:ascii="Times New Roman" w:hAnsi="Times New Roman" w:eastAsia="方正仿宋_GBK" w:cs="Times New Roman"/>
          <w:sz w:val="32"/>
          <w:szCs w:val="32"/>
        </w:rPr>
        <w:t>万m</w:t>
      </w:r>
      <w:r>
        <w:rPr>
          <w:rFonts w:hint="default" w:ascii="Times New Roman" w:hAnsi="Times New Roman" w:eastAsia="方正仿宋_GBK" w:cs="Times New Roman"/>
          <w:sz w:val="32"/>
          <w:szCs w:val="32"/>
          <w:vertAlign w:val="superscript"/>
        </w:rPr>
        <w:t>2</w:t>
      </w:r>
      <w:r>
        <w:rPr>
          <w:rFonts w:hint="default" w:ascii="Times New Roman" w:hAnsi="Times New Roman" w:eastAsia="方正仿宋_GBK" w:cs="Times New Roman"/>
          <w:sz w:val="32"/>
          <w:szCs w:val="32"/>
        </w:rPr>
        <w:t>，拆迁量均远小于原规划拆迁量，且主要拆迁区域（菜坝、下北街片区）房屋多建成于90年代，建成时间较久，经常遭遇洪水浸泡已成危旧房，拆迁该处房屋不会造成较大的社会影响</w:t>
      </w:r>
      <w:r>
        <w:rPr>
          <w:rFonts w:hint="default" w:ascii="Times New Roman" w:hAnsi="Times New Roman" w:eastAsia="方正仿宋_GBK" w:cs="Times New Roman"/>
          <w:kern w:val="0"/>
          <w:sz w:val="32"/>
          <w:szCs w:val="32"/>
        </w:rPr>
        <w:t>，工程总投资较省</w:t>
      </w:r>
      <w:r>
        <w:rPr>
          <w:rFonts w:hint="default" w:ascii="Times New Roman" w:hAnsi="Times New Roman" w:eastAsia="方正仿宋_GBK" w:cs="Times New Roman"/>
          <w:sz w:val="32"/>
          <w:szCs w:val="32"/>
        </w:rPr>
        <w:t>。因此，本次规划可利用有限的资金优先安排易实施的项目，使綦江区主城区尽快达到规划拟定的防洪标准，避免近期再次受灾。小拆迁方案实施后，通过沿江慢性生态堤防的建设，既可提升城市品</w:t>
      </w:r>
      <w:r>
        <w:rPr>
          <w:rFonts w:hint="eastAsia" w:ascii="Times New Roman" w:hAnsi="Times New Roman" w:eastAsia="方正仿宋_GBK" w:cs="Times New Roman"/>
          <w:sz w:val="32"/>
          <w:szCs w:val="32"/>
          <w:lang w:val="en-US" w:eastAsia="zh-CN"/>
        </w:rPr>
        <w:t>质</w:t>
      </w:r>
      <w:r>
        <w:rPr>
          <w:rFonts w:hint="default" w:ascii="Times New Roman" w:hAnsi="Times New Roman" w:eastAsia="方正仿宋_GBK" w:cs="Times New Roman"/>
          <w:sz w:val="32"/>
          <w:szCs w:val="32"/>
        </w:rPr>
        <w:t>，亦可对后续高风险区房屋的拆迁起到示范作用。</w:t>
      </w:r>
    </w:p>
    <w:p>
      <w:pPr>
        <w:pStyle w:val="1355"/>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本次推荐</w:t>
      </w:r>
      <w:r>
        <w:rPr>
          <w:rFonts w:hint="default" w:ascii="Times New Roman" w:hAnsi="Times New Roman" w:eastAsia="方正仿宋_GBK" w:cs="Times New Roman"/>
          <w:sz w:val="32"/>
          <w:szCs w:val="32"/>
        </w:rPr>
        <w:t>方案房屋</w:t>
      </w:r>
      <w:r>
        <w:rPr>
          <w:rFonts w:hint="default" w:ascii="Times New Roman" w:hAnsi="Times New Roman" w:eastAsia="方正仿宋_GBK" w:cs="Times New Roman"/>
          <w:bCs/>
          <w:sz w:val="32"/>
          <w:szCs w:val="32"/>
        </w:rPr>
        <w:t>拆迁面积29.05</w:t>
      </w:r>
      <w:r>
        <w:rPr>
          <w:rFonts w:hint="default" w:ascii="Times New Roman" w:hAnsi="Times New Roman" w:eastAsia="方正仿宋_GBK" w:cs="Times New Roman"/>
          <w:sz w:val="32"/>
          <w:szCs w:val="32"/>
        </w:rPr>
        <w:t>万m</w:t>
      </w:r>
      <w:r>
        <w:rPr>
          <w:rFonts w:hint="default" w:ascii="Times New Roman" w:hAnsi="Times New Roman" w:eastAsia="方正仿宋_GBK" w:cs="Times New Roman"/>
          <w:sz w:val="32"/>
          <w:szCs w:val="32"/>
          <w:vertAlign w:val="superscript"/>
        </w:rPr>
        <w:t>2</w:t>
      </w:r>
      <w:r>
        <w:rPr>
          <w:rFonts w:hint="default" w:ascii="Times New Roman" w:hAnsi="Times New Roman" w:eastAsia="方正仿宋_GBK" w:cs="Times New Roman"/>
          <w:sz w:val="32"/>
          <w:szCs w:val="32"/>
        </w:rPr>
        <w:t>，分别</w:t>
      </w:r>
      <w:r>
        <w:rPr>
          <w:rFonts w:hint="default" w:ascii="Times New Roman" w:hAnsi="Times New Roman" w:eastAsia="方正仿宋_GBK" w:cs="Times New Roman"/>
          <w:kern w:val="0"/>
          <w:sz w:val="32"/>
          <w:szCs w:val="32"/>
          <w:lang w:val="zh-CN"/>
        </w:rPr>
        <w:t>：</w:t>
      </w:r>
      <w:r>
        <w:rPr>
          <w:rFonts w:hint="default" w:ascii="Times New Roman" w:hAnsi="Times New Roman" w:eastAsia="方正仿宋_GBK" w:cs="Times New Roman"/>
          <w:sz w:val="32"/>
          <w:szCs w:val="32"/>
        </w:rPr>
        <w:t>一是对菜坝片区、石佛岗片区、北渡老街片区20年一遇洪水位以下的老旧房屋（面积分别约11.29万m</w:t>
      </w:r>
      <w:r>
        <w:rPr>
          <w:rFonts w:hint="default" w:ascii="Times New Roman" w:hAnsi="Times New Roman" w:eastAsia="方正仿宋_GBK" w:cs="Times New Roman"/>
          <w:sz w:val="32"/>
          <w:szCs w:val="32"/>
          <w:vertAlign w:val="superscript"/>
        </w:rPr>
        <w:t>2</w:t>
      </w:r>
      <w:r>
        <w:rPr>
          <w:rFonts w:hint="default" w:ascii="Times New Roman" w:hAnsi="Times New Roman" w:eastAsia="方正仿宋_GBK" w:cs="Times New Roman"/>
          <w:sz w:val="32"/>
          <w:szCs w:val="32"/>
        </w:rPr>
        <w:t>、3.73万m</w:t>
      </w:r>
      <w:r>
        <w:rPr>
          <w:rFonts w:hint="default" w:ascii="Times New Roman" w:hAnsi="Times New Roman" w:eastAsia="方正仿宋_GBK" w:cs="Times New Roman"/>
          <w:sz w:val="32"/>
          <w:szCs w:val="32"/>
          <w:vertAlign w:val="superscript"/>
        </w:rPr>
        <w:t>2</w:t>
      </w:r>
      <w:r>
        <w:rPr>
          <w:rFonts w:hint="default" w:ascii="Times New Roman" w:hAnsi="Times New Roman" w:eastAsia="方正仿宋_GBK" w:cs="Times New Roman"/>
          <w:sz w:val="32"/>
          <w:szCs w:val="32"/>
        </w:rPr>
        <w:t>和0.64万m</w:t>
      </w:r>
      <w:r>
        <w:rPr>
          <w:rFonts w:hint="default" w:ascii="Times New Roman" w:hAnsi="Times New Roman" w:eastAsia="方正仿宋_GBK" w:cs="Times New Roman"/>
          <w:sz w:val="32"/>
          <w:szCs w:val="32"/>
          <w:vertAlign w:val="superscript"/>
        </w:rPr>
        <w:t>2</w:t>
      </w:r>
      <w:r>
        <w:rPr>
          <w:rFonts w:hint="default" w:ascii="Times New Roman" w:hAnsi="Times New Roman" w:eastAsia="方正仿宋_GBK" w:cs="Times New Roman"/>
          <w:sz w:val="32"/>
          <w:szCs w:val="32"/>
        </w:rPr>
        <w:t>）全部拆迁；二是对綦江干流彩虹桥至綦江大桥段左岸滨江路沿线房屋（面积1.81万m</w:t>
      </w:r>
      <w:r>
        <w:rPr>
          <w:rFonts w:hint="default" w:ascii="Times New Roman" w:hAnsi="Times New Roman" w:eastAsia="方正仿宋_GBK" w:cs="Times New Roman"/>
          <w:sz w:val="32"/>
          <w:szCs w:val="32"/>
          <w:vertAlign w:val="superscript"/>
        </w:rPr>
        <w:t>2</w:t>
      </w:r>
      <w:r>
        <w:rPr>
          <w:rFonts w:hint="default" w:ascii="Times New Roman" w:hAnsi="Times New Roman" w:eastAsia="方正仿宋_GBK" w:cs="Times New Roman"/>
          <w:sz w:val="32"/>
          <w:szCs w:val="32"/>
        </w:rPr>
        <w:t>）、綦江右岸火车站至交警队片区沿线房屋（面积0.80万m</w:t>
      </w:r>
      <w:r>
        <w:rPr>
          <w:rFonts w:hint="default" w:ascii="Times New Roman" w:hAnsi="Times New Roman" w:eastAsia="方正仿宋_GBK" w:cs="Times New Roman"/>
          <w:sz w:val="32"/>
          <w:szCs w:val="32"/>
          <w:vertAlign w:val="superscript"/>
        </w:rPr>
        <w:t>2</w:t>
      </w:r>
      <w:r>
        <w:rPr>
          <w:rFonts w:hint="default" w:ascii="Times New Roman" w:hAnsi="Times New Roman" w:eastAsia="方正仿宋_GBK" w:cs="Times New Roman"/>
          <w:sz w:val="32"/>
          <w:szCs w:val="32"/>
        </w:rPr>
        <w:t>）实施局部拆迁和改造，对下北街片区滨江路右侧临河地区的危旧房屋（面积10.79万m</w:t>
      </w:r>
      <w:r>
        <w:rPr>
          <w:rFonts w:hint="default" w:ascii="Times New Roman" w:hAnsi="Times New Roman" w:eastAsia="方正仿宋_GBK" w:cs="Times New Roman"/>
          <w:sz w:val="32"/>
          <w:szCs w:val="32"/>
          <w:vertAlign w:val="superscript"/>
        </w:rPr>
        <w:t>2</w:t>
      </w:r>
      <w:r>
        <w:rPr>
          <w:rFonts w:hint="default" w:ascii="Times New Roman" w:hAnsi="Times New Roman" w:eastAsia="方正仿宋_GBK" w:cs="Times New Roman"/>
          <w:sz w:val="32"/>
          <w:szCs w:val="32"/>
        </w:rPr>
        <w:t>）全部拆除；三是其他堤段20年一遇洪水位以下房屋采取局部拆迁或应急避险措施。</w:t>
      </w:r>
    </w:p>
    <w:p>
      <w:pPr>
        <w:pStyle w:val="2948"/>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5.3</w:t>
      </w:r>
      <w:r>
        <w:rPr>
          <w:rFonts w:hint="eastAsia" w:ascii="Times New Roman" w:hAnsi="Times New Roman" w:eastAsia="方正仿宋_GBK" w:cs="Times New Roman"/>
          <w:sz w:val="32"/>
          <w:szCs w:val="32"/>
          <w:lang w:val="en-US" w:eastAsia="zh-CN"/>
        </w:rPr>
        <w:t xml:space="preserve"> </w:t>
      </w:r>
      <w:r>
        <w:rPr>
          <w:rFonts w:hint="default" w:ascii="Times New Roman" w:hAnsi="Times New Roman" w:eastAsia="方正仿宋_GBK" w:cs="Times New Roman"/>
          <w:sz w:val="32"/>
          <w:szCs w:val="32"/>
        </w:rPr>
        <w:t>生态堤防建设方案</w:t>
      </w:r>
    </w:p>
    <w:p>
      <w:pPr>
        <w:pStyle w:val="1355"/>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为了符合綦江城区山水田园城市定位，防洪建设应与城市景观相协调，按照防洪、生态、景观、功能相结合的原则，因地制宜采取保护、整治、绿化美化相结合的方法，对不同条件江段堤岸和消落带进行差异化处理，注重堤岸的生态化、景观化处理。严格保护沿江自然生态岸线，保持自然岸线形态，保护和修复生境，保持和恢复生物多样性。</w:t>
      </w:r>
    </w:p>
    <w:p>
      <w:pPr>
        <w:pStyle w:val="1355"/>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在綦江干流綦江火车站至城北大桥段两岸高标准修建以步道为主的观光带、人文景观带（长约9.4km），局部堤段打造亲水公园，提升市民生活品质。具体方案如下：</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①自然生态岸线</w:t>
      </w:r>
    </w:p>
    <w:p>
      <w:pPr>
        <w:pStyle w:val="1355"/>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在大常枢纽以下河段等较少城市建设且岸线较平缓的沿河地段，构建绿色生态、生物多样、自然和谐的生活、游憩堤岸。提高生态景观环境，创造与自然和谐的文化、娱乐、会展公共服务堤岸和生活堤岸。堤岸形式以软化后的自然堤岸、生态挡墙、自然护坡为主。</w:t>
      </w:r>
    </w:p>
    <w:p>
      <w:pPr>
        <w:pStyle w:val="2886"/>
        <w:outlineLvl w:val="9"/>
        <w:rPr>
          <w:rFonts w:ascii="宋体" w:hAnsi="宋体" w:eastAsia="宋体"/>
        </w:rPr>
      </w:pPr>
      <w:r>
        <w:rPr>
          <w:rFonts w:ascii="宋体" w:hAnsi="宋体" w:eastAsia="宋体"/>
        </w:rPr>
        <w:drawing>
          <wp:inline distT="0" distB="0" distL="114300" distR="114300">
            <wp:extent cx="5511800" cy="1266190"/>
            <wp:effectExtent l="0" t="0" r="12700" b="10160"/>
            <wp:docPr id="204" name="图片 28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4" name="图片 280"/>
                    <pic:cNvPicPr>
                      <a:picLocks noChangeAspect="true"/>
                    </pic:cNvPicPr>
                  </pic:nvPicPr>
                  <pic:blipFill>
                    <a:blip r:embed="rId244"/>
                    <a:srcRect t="18269" b="6538"/>
                    <a:stretch>
                      <a:fillRect/>
                    </a:stretch>
                  </pic:blipFill>
                  <pic:spPr>
                    <a:xfrm>
                      <a:off x="0" y="0"/>
                      <a:ext cx="5511800" cy="1266190"/>
                    </a:xfrm>
                    <a:prstGeom prst="rect">
                      <a:avLst/>
                    </a:prstGeom>
                    <a:noFill/>
                    <a:ln>
                      <a:noFill/>
                    </a:ln>
                  </pic:spPr>
                </pic:pic>
              </a:graphicData>
            </a:graphic>
          </wp:inline>
        </w:drawing>
      </w:r>
    </w:p>
    <w:p>
      <w:pPr>
        <w:pStyle w:val="2886"/>
        <w:rPr>
          <w:rFonts w:hint="default" w:ascii="Times New Roman" w:hAnsi="Times New Roman" w:cs="Times New Roman"/>
        </w:rPr>
      </w:pPr>
      <w:r>
        <w:rPr>
          <w:rFonts w:hint="default" w:ascii="Times New Roman" w:hAnsi="Times New Roman" w:cs="Times New Roman"/>
        </w:rPr>
        <w:t>图6.2</w:t>
      </w:r>
      <w:r>
        <w:rPr>
          <w:rFonts w:hint="default" w:ascii="Times New Roman" w:hAnsi="Times New Roman" w:cs="Times New Roman"/>
          <w:lang w:eastAsia="zh-CN"/>
        </w:rPr>
        <w:t>—</w:t>
      </w:r>
      <w:r>
        <w:rPr>
          <w:rFonts w:hint="default" w:ascii="Times New Roman" w:hAnsi="Times New Roman" w:cs="Times New Roman"/>
          <w:lang w:val="en-US" w:eastAsia="zh-CN"/>
        </w:rPr>
        <w:t>28</w:t>
      </w:r>
      <w:r>
        <w:rPr>
          <w:rFonts w:hint="default" w:ascii="Times New Roman" w:hAnsi="Times New Roman" w:cs="Times New Roman"/>
        </w:rPr>
        <w:t xml:space="preserve"> 自然生态岸线</w:t>
      </w:r>
    </w:p>
    <w:p>
      <w:pPr>
        <w:pStyle w:val="1355"/>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rPr>
        <w:t>綦江干流右岸綦江大桥</w:t>
      </w:r>
      <w:r>
        <w:rPr>
          <w:rFonts w:hint="eastAsia" w:ascii="Times New Roman" w:eastAsia="方正仿宋_GBK" w:cs="Times New Roman"/>
          <w:sz w:val="32"/>
          <w:szCs w:val="32"/>
          <w:lang w:eastAsia="zh-CN"/>
        </w:rPr>
        <w:t>—</w:t>
      </w:r>
      <w:r>
        <w:rPr>
          <w:rFonts w:hint="eastAsia" w:ascii="Times New Roman" w:hAnsi="Times New Roman" w:eastAsia="方正仿宋_GBK" w:cs="Times New Roman"/>
          <w:sz w:val="32"/>
          <w:szCs w:val="32"/>
        </w:rPr>
        <w:t>城北大桥段堤防长2.57km，防洪标准已达20年一遇，但现状为硬质堤防，亲水性较差。规划将该堤段纳入堤防生态复绿试点，采取复绿和生态修复措施，将堤防改造成为水体和土体、水体和植被互相涵养的仿自然状态生态型堤防，开辟滨水绿化带，形成城市的“风廊”和绿轴，强化城市的亲水性，体现滨水城市的景观风貌。</w:t>
      </w:r>
    </w:p>
    <w:p>
      <w:pPr>
        <w:pStyle w:val="1355"/>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sz w:val="32"/>
          <w:szCs w:val="32"/>
        </w:rPr>
      </w:pPr>
      <w:r>
        <w:rPr>
          <w:rFonts w:hint="eastAsia" w:ascii="Times New Roman" w:hAnsi="Times New Roman" w:eastAsia="方正仿宋_GBK" w:cs="Times New Roman"/>
          <w:sz w:val="32"/>
          <w:szCs w:val="32"/>
        </w:rPr>
        <w:t>②活化和优化生活岸线段</w:t>
      </w:r>
    </w:p>
    <w:p>
      <w:pPr>
        <w:pStyle w:val="1355"/>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sz w:val="32"/>
          <w:szCs w:val="32"/>
        </w:rPr>
      </w:pPr>
      <w:r>
        <w:rPr>
          <w:rFonts w:hint="eastAsia" w:ascii="Times New Roman" w:hAnsi="Times New Roman" w:eastAsia="方正仿宋_GBK" w:cs="Times New Roman"/>
          <w:sz w:val="32"/>
          <w:szCs w:val="32"/>
        </w:rPr>
        <w:t>在綦江火车站至大常枢纽段等城市建设的主要区域，打造多空间层次丰富多样、功能完善的旅游、生活堤岸。重点策略是对现有堤岸进行优化、提升、治理。堤岸形式以堤路结合及软化后的阶梯式堤岸、生态护坡式堤岸、亲水平台为主。</w:t>
      </w:r>
    </w:p>
    <w:p>
      <w:pPr>
        <w:pStyle w:val="2886"/>
        <w:outlineLvl w:val="9"/>
        <w:rPr>
          <w:rFonts w:ascii="宋体" w:hAnsi="宋体" w:eastAsia="宋体"/>
        </w:rPr>
      </w:pPr>
      <w:r>
        <w:rPr>
          <w:rFonts w:ascii="宋体" w:hAnsi="宋体" w:eastAsia="宋体"/>
        </w:rPr>
        <w:drawing>
          <wp:inline distT="0" distB="0" distL="114300" distR="114300">
            <wp:extent cx="5499100" cy="1276350"/>
            <wp:effectExtent l="0" t="0" r="6350" b="0"/>
            <wp:docPr id="205" name="图片 281" descr="J:\项目\重庆两江\ppt\断面3.jp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5" name="图片 281" descr="J:\项目\重庆两江\ppt\断面3.jpg"/>
                    <pic:cNvPicPr>
                      <a:picLocks noChangeAspect="true"/>
                    </pic:cNvPicPr>
                  </pic:nvPicPr>
                  <pic:blipFill>
                    <a:blip r:embed="rId245"/>
                    <a:srcRect t="21832" b="12418"/>
                    <a:stretch>
                      <a:fillRect/>
                    </a:stretch>
                  </pic:blipFill>
                  <pic:spPr>
                    <a:xfrm>
                      <a:off x="0" y="0"/>
                      <a:ext cx="5499100" cy="1276350"/>
                    </a:xfrm>
                    <a:prstGeom prst="rect">
                      <a:avLst/>
                    </a:prstGeom>
                    <a:noFill/>
                    <a:ln>
                      <a:noFill/>
                    </a:ln>
                  </pic:spPr>
                </pic:pic>
              </a:graphicData>
            </a:graphic>
          </wp:inline>
        </w:drawing>
      </w:r>
    </w:p>
    <w:p>
      <w:pPr>
        <w:pStyle w:val="2886"/>
        <w:rPr>
          <w:rFonts w:hint="default" w:ascii="Times New Roman" w:hAnsi="Times New Roman" w:cs="Times New Roman"/>
        </w:rPr>
      </w:pPr>
      <w:r>
        <w:rPr>
          <w:rFonts w:hint="default" w:ascii="Times New Roman" w:hAnsi="Times New Roman" w:cs="Times New Roman"/>
        </w:rPr>
        <w:t>图6.2</w:t>
      </w:r>
      <w:r>
        <w:rPr>
          <w:rFonts w:hint="default" w:ascii="Times New Roman" w:hAnsi="Times New Roman" w:cs="Times New Roman"/>
          <w:lang w:eastAsia="zh-CN"/>
        </w:rPr>
        <w:t>—</w:t>
      </w:r>
      <w:r>
        <w:rPr>
          <w:rFonts w:hint="default" w:ascii="Times New Roman" w:hAnsi="Times New Roman" w:cs="Times New Roman"/>
          <w:lang w:val="en-US" w:eastAsia="zh-CN"/>
        </w:rPr>
        <w:t>29</w:t>
      </w:r>
      <w:r>
        <w:rPr>
          <w:rFonts w:hint="default" w:ascii="Times New Roman" w:hAnsi="Times New Roman" w:cs="Times New Roman"/>
        </w:rPr>
        <w:t xml:space="preserve">  生活岸线</w:t>
      </w:r>
    </w:p>
    <w:p>
      <w:pPr>
        <w:pStyle w:val="1355"/>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sz w:val="32"/>
          <w:szCs w:val="32"/>
        </w:rPr>
      </w:pPr>
      <w:r>
        <w:rPr>
          <w:rFonts w:hint="eastAsia" w:ascii="Times New Roman" w:hAnsi="Times New Roman" w:eastAsia="方正仿宋_GBK" w:cs="Times New Roman"/>
          <w:sz w:val="32"/>
          <w:szCs w:val="32"/>
        </w:rPr>
        <w:t>綦河是长江上游一级支流中为数不多的穿城而过的河流之一，可充分利用自然资源禀赋打造綦江城区沿河风景线，尤其是綦河右岸菜坝片区河岸宽阔平坦，拆迁后岸边有7万余</w:t>
      </w:r>
      <w:r>
        <w:rPr>
          <w:rFonts w:hint="default" w:ascii="Times New Roman" w:hAnsi="Times New Roman" w:eastAsia="方正仿宋_GBK" w:cs="Times New Roman"/>
          <w:sz w:val="32"/>
          <w:szCs w:val="32"/>
        </w:rPr>
        <w:t>m</w:t>
      </w:r>
      <w:r>
        <w:rPr>
          <w:rFonts w:hint="default" w:ascii="Times New Roman" w:hAnsi="Times New Roman" w:eastAsia="方正仿宋_GBK" w:cs="Times New Roman"/>
          <w:sz w:val="32"/>
          <w:szCs w:val="32"/>
          <w:vertAlign w:val="superscript"/>
        </w:rPr>
        <w:t>2</w:t>
      </w:r>
      <w:r>
        <w:rPr>
          <w:rFonts w:hint="eastAsia" w:ascii="Times New Roman" w:hAnsi="Times New Roman" w:eastAsia="方正仿宋_GBK" w:cs="Times New Roman"/>
          <w:sz w:val="32"/>
          <w:szCs w:val="32"/>
        </w:rPr>
        <w:t>的商业用地，既可打造集休闲广场、娱乐健身、酒店商务于一体的綦江美丽“南滨路”，带动綦江经济社会发展，又可解决綦江城区的旧城改造问题，提升綦江城市品质形象。綦江左岸彩虹桥至綦江大桥段规划通过抬高滨江路路面高程达到20年一遇防洪标准，加高后的滨江路重点打造商业、休闲步行街。</w:t>
      </w:r>
    </w:p>
    <w:p>
      <w:pPr>
        <w:pStyle w:val="1355"/>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sz w:val="32"/>
          <w:szCs w:val="32"/>
        </w:rPr>
      </w:pPr>
      <w:r>
        <w:rPr>
          <w:rFonts w:hint="eastAsia" w:ascii="Times New Roman" w:hAnsi="Times New Roman" w:eastAsia="方正仿宋_GBK" w:cs="Times New Roman"/>
          <w:sz w:val="32"/>
          <w:szCs w:val="32"/>
        </w:rPr>
        <w:t>③集约利用和美化生产岸线</w:t>
      </w:r>
    </w:p>
    <w:p>
      <w:pPr>
        <w:pStyle w:val="1355"/>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rPr>
        <w:t>在沙码头、下关王码头等区域构建专业化港口作业区，保持完善的生态景观环境。主要策略是完善专业码头岸线功能。堤岸形式以自然堤岸、生态挡墙、人工护坡为主。</w:t>
      </w:r>
    </w:p>
    <w:p>
      <w:pPr>
        <w:pStyle w:val="1355"/>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sz w:val="32"/>
          <w:szCs w:val="32"/>
        </w:rPr>
      </w:pPr>
      <w:r>
        <w:rPr>
          <w:rFonts w:hint="eastAsia" w:ascii="Times New Roman" w:hAnsi="Times New Roman" w:eastAsia="方正仿宋_GBK" w:cs="Times New Roman"/>
          <w:sz w:val="32"/>
          <w:szCs w:val="32"/>
          <w:lang w:val="en-US" w:eastAsia="zh-CN"/>
        </w:rPr>
        <w:t>6．</w:t>
      </w:r>
      <w:r>
        <w:rPr>
          <w:rFonts w:hint="eastAsia" w:ascii="Times New Roman" w:hAnsi="Times New Roman" w:eastAsia="方正仿宋_GBK" w:cs="Times New Roman"/>
          <w:sz w:val="32"/>
          <w:szCs w:val="32"/>
        </w:rPr>
        <w:t>綦江干流火车站至三江街道段城区</w:t>
      </w:r>
      <w:r>
        <w:rPr>
          <w:rFonts w:hint="default" w:ascii="Times New Roman" w:hAnsi="Times New Roman" w:eastAsia="方正仿宋_GBK" w:cs="Times New Roman"/>
          <w:sz w:val="32"/>
          <w:szCs w:val="32"/>
        </w:rPr>
        <w:t>堤防</w:t>
      </w:r>
      <w:r>
        <w:rPr>
          <w:rFonts w:hint="eastAsia" w:ascii="Times New Roman" w:hAnsi="Times New Roman" w:eastAsia="方正仿宋_GBK" w:cs="Times New Roman"/>
          <w:sz w:val="32"/>
          <w:szCs w:val="32"/>
        </w:rPr>
        <w:t>建设方案</w:t>
      </w:r>
    </w:p>
    <w:p>
      <w:pPr>
        <w:pStyle w:val="1355"/>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sz w:val="32"/>
          <w:szCs w:val="32"/>
        </w:rPr>
      </w:pPr>
      <w:r>
        <w:rPr>
          <w:rFonts w:hint="eastAsia" w:ascii="Times New Roman" w:hAnsi="Times New Roman" w:eastAsia="方正仿宋_GBK" w:cs="Times New Roman"/>
          <w:sz w:val="32"/>
          <w:szCs w:val="32"/>
        </w:rPr>
        <w:t>根据《綦江区域综合发展规划》（2021年），对綦江干流綦江火车站至桥河闸坝段河道新建堤防护岸长5.6km，达到20年一遇防洪标准。根据綦江山水田园城市定位，规划拟定了生态堤防建设方案：在綦江右岸綦江火车站至桥河闸坝地势宽阔段（长约3km）建设亲水公园，设置休闲步道、桌椅、凉亭等，种植花草树木、水生植物，打造一个市民休闲健身的好去处。</w:t>
      </w:r>
    </w:p>
    <w:p>
      <w:pPr>
        <w:pStyle w:val="1355"/>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rPr>
        <w:t>綦江干流</w:t>
      </w:r>
      <w:r>
        <w:rPr>
          <w:rFonts w:hint="default" w:ascii="Times New Roman" w:hAnsi="Times New Roman" w:eastAsia="方正仿宋_GBK" w:cs="Times New Roman"/>
          <w:sz w:val="32"/>
          <w:szCs w:val="32"/>
        </w:rPr>
        <w:t>三江街道</w:t>
      </w:r>
      <w:r>
        <w:rPr>
          <w:rFonts w:hint="eastAsia" w:ascii="Times New Roman" w:hAnsi="Times New Roman" w:eastAsia="方正仿宋_GBK" w:cs="Times New Roman"/>
          <w:sz w:val="32"/>
          <w:szCs w:val="32"/>
        </w:rPr>
        <w:t>段</w:t>
      </w:r>
      <w:r>
        <w:rPr>
          <w:rFonts w:hint="default" w:ascii="Times New Roman" w:hAnsi="Times New Roman" w:eastAsia="方正仿宋_GBK" w:cs="Times New Roman"/>
          <w:sz w:val="32"/>
          <w:szCs w:val="32"/>
        </w:rPr>
        <w:t>地理景观见图6.2</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3</w:t>
      </w:r>
      <w:r>
        <w:rPr>
          <w:rFonts w:hint="eastAsia" w:ascii="Times New Roman" w:hAnsi="Times New Roman" w:eastAsia="方正仿宋_GBK" w:cs="Times New Roman"/>
          <w:sz w:val="32"/>
          <w:szCs w:val="32"/>
          <w:lang w:val="en-US" w:eastAsia="zh-CN"/>
        </w:rPr>
        <w:t>0</w:t>
      </w:r>
      <w:r>
        <w:rPr>
          <w:rFonts w:hint="eastAsia" w:ascii="Times New Roman" w:hAnsi="Times New Roman" w:eastAsia="方正仿宋_GBK" w:cs="Times New Roman"/>
          <w:sz w:val="32"/>
          <w:szCs w:val="32"/>
        </w:rPr>
        <w:t>，规划</w:t>
      </w:r>
      <w:r>
        <w:rPr>
          <w:rFonts w:hint="default" w:ascii="Times New Roman" w:hAnsi="Times New Roman" w:eastAsia="方正仿宋_GBK" w:cs="Times New Roman"/>
          <w:sz w:val="32"/>
          <w:szCs w:val="32"/>
        </w:rPr>
        <w:t>对綦江干流</w:t>
      </w:r>
      <w:r>
        <w:rPr>
          <w:rFonts w:hint="eastAsia" w:ascii="Times New Roman" w:hAnsi="Times New Roman" w:eastAsia="方正仿宋_GBK" w:cs="Times New Roman"/>
          <w:sz w:val="32"/>
          <w:szCs w:val="32"/>
        </w:rPr>
        <w:t>右岸三江老大桥至蒲河河口段0</w:t>
      </w:r>
      <w:r>
        <w:rPr>
          <w:rFonts w:hint="default" w:ascii="Times New Roman" w:hAnsi="Times New Roman" w:eastAsia="方正仿宋_GBK" w:cs="Times New Roman"/>
          <w:sz w:val="32"/>
          <w:szCs w:val="32"/>
        </w:rPr>
        <w:t>.20km</w:t>
      </w:r>
      <w:r>
        <w:rPr>
          <w:rFonts w:hint="eastAsia" w:ascii="Times New Roman" w:hAnsi="Times New Roman" w:eastAsia="方正仿宋_GBK" w:cs="Times New Roman"/>
          <w:sz w:val="32"/>
          <w:szCs w:val="32"/>
        </w:rPr>
        <w:t>、</w:t>
      </w:r>
      <w:r>
        <w:rPr>
          <w:rFonts w:hint="default" w:ascii="Times New Roman" w:hAnsi="Times New Roman" w:eastAsia="方正仿宋_GBK" w:cs="Times New Roman"/>
          <w:sz w:val="32"/>
          <w:szCs w:val="32"/>
        </w:rPr>
        <w:t>左岸</w:t>
      </w:r>
      <w:r>
        <w:rPr>
          <w:rFonts w:hint="eastAsia" w:ascii="Times New Roman" w:hAnsi="Times New Roman" w:eastAsia="方正仿宋_GBK" w:cs="Times New Roman"/>
          <w:sz w:val="32"/>
          <w:szCs w:val="32"/>
        </w:rPr>
        <w:t>三江大桥至三江人渡下游160m段1</w:t>
      </w:r>
      <w:r>
        <w:rPr>
          <w:rFonts w:hint="default" w:ascii="Times New Roman" w:hAnsi="Times New Roman" w:eastAsia="方正仿宋_GBK" w:cs="Times New Roman"/>
          <w:sz w:val="32"/>
          <w:szCs w:val="32"/>
        </w:rPr>
        <w:t>.</w:t>
      </w:r>
      <w:r>
        <w:rPr>
          <w:rFonts w:hint="eastAsia" w:ascii="Times New Roman" w:hAnsi="Times New Roman" w:eastAsia="方正仿宋_GBK" w:cs="Times New Roman"/>
          <w:sz w:val="32"/>
          <w:szCs w:val="32"/>
        </w:rPr>
        <w:t>45</w:t>
      </w:r>
      <w:r>
        <w:rPr>
          <w:rFonts w:hint="default" w:ascii="Times New Roman" w:hAnsi="Times New Roman" w:eastAsia="方正仿宋_GBK" w:cs="Times New Roman"/>
          <w:sz w:val="32"/>
          <w:szCs w:val="32"/>
        </w:rPr>
        <w:t>k</w:t>
      </w:r>
      <w:r>
        <w:rPr>
          <w:rFonts w:hint="eastAsia" w:ascii="Times New Roman" w:hAnsi="Times New Roman" w:eastAsia="方正仿宋_GBK" w:cs="Times New Roman"/>
          <w:sz w:val="32"/>
          <w:szCs w:val="32"/>
        </w:rPr>
        <w:t>m堤防</w:t>
      </w:r>
      <w:r>
        <w:rPr>
          <w:rFonts w:hint="default" w:ascii="Times New Roman" w:hAnsi="Times New Roman" w:eastAsia="方正仿宋_GBK" w:cs="Times New Roman"/>
          <w:sz w:val="32"/>
          <w:szCs w:val="32"/>
        </w:rPr>
        <w:t>护岸</w:t>
      </w:r>
      <w:r>
        <w:rPr>
          <w:rFonts w:hint="eastAsia" w:ascii="Times New Roman" w:hAnsi="Times New Roman" w:eastAsia="方正仿宋_GBK" w:cs="Times New Roman"/>
          <w:sz w:val="32"/>
          <w:szCs w:val="32"/>
        </w:rPr>
        <w:t>实施</w:t>
      </w:r>
      <w:r>
        <w:rPr>
          <w:rFonts w:hint="default" w:ascii="Times New Roman" w:hAnsi="Times New Roman" w:eastAsia="方正仿宋_GBK" w:cs="Times New Roman"/>
          <w:sz w:val="32"/>
          <w:szCs w:val="32"/>
        </w:rPr>
        <w:t>加高加固，达到</w:t>
      </w:r>
      <w:r>
        <w:rPr>
          <w:rFonts w:hint="eastAsia" w:ascii="Times New Roman" w:hAnsi="Times New Roman" w:eastAsia="方正仿宋_GBK" w:cs="Times New Roman"/>
          <w:sz w:val="32"/>
          <w:szCs w:val="32"/>
        </w:rPr>
        <w:t>20年一遇防洪标准，</w:t>
      </w:r>
      <w:r>
        <w:rPr>
          <w:rFonts w:hint="default" w:ascii="Times New Roman" w:hAnsi="Times New Roman" w:eastAsia="方正仿宋_GBK" w:cs="Times New Roman"/>
          <w:sz w:val="32"/>
          <w:szCs w:val="32"/>
        </w:rPr>
        <w:t>对影响堤防建设的房屋予以拆除，</w:t>
      </w:r>
      <w:r>
        <w:rPr>
          <w:rFonts w:hint="eastAsia" w:ascii="Times New Roman" w:hAnsi="Times New Roman" w:eastAsia="方正仿宋_GBK" w:cs="Times New Roman"/>
          <w:sz w:val="32"/>
          <w:szCs w:val="32"/>
        </w:rPr>
        <w:t>见图6</w:t>
      </w:r>
      <w:r>
        <w:rPr>
          <w:rFonts w:hint="default" w:ascii="Times New Roman" w:hAnsi="Times New Roman" w:eastAsia="方正仿宋_GBK" w:cs="Times New Roman"/>
          <w:sz w:val="32"/>
          <w:szCs w:val="32"/>
        </w:rPr>
        <w:t>.2</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3</w:t>
      </w:r>
      <w:r>
        <w:rPr>
          <w:rFonts w:hint="eastAsia" w:ascii="Times New Roman" w:hAnsi="Times New Roman" w:eastAsia="方正仿宋_GBK" w:cs="Times New Roman"/>
          <w:sz w:val="32"/>
          <w:szCs w:val="32"/>
          <w:lang w:val="en-US" w:eastAsia="zh-CN"/>
        </w:rPr>
        <w:t>1</w:t>
      </w:r>
      <w:r>
        <w:rPr>
          <w:rFonts w:hint="eastAsia" w:ascii="Times New Roman" w:hAnsi="Times New Roman" w:eastAsia="方正仿宋_GBK" w:cs="Times New Roman"/>
          <w:sz w:val="32"/>
          <w:szCs w:val="32"/>
        </w:rPr>
        <w:t>。</w:t>
      </w:r>
    </w:p>
    <w:p>
      <w:pPr>
        <w:pStyle w:val="2886"/>
        <w:spacing w:line="360" w:lineRule="auto"/>
        <w:outlineLvl w:val="9"/>
      </w:pPr>
      <w:r>
        <w:drawing>
          <wp:inline distT="0" distB="0" distL="114300" distR="114300">
            <wp:extent cx="4658360" cy="2842260"/>
            <wp:effectExtent l="0" t="0" r="8890" b="15240"/>
            <wp:docPr id="206" name="图片 39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6" name="图片 397"/>
                    <pic:cNvPicPr>
                      <a:picLocks noChangeAspect="true"/>
                    </pic:cNvPicPr>
                  </pic:nvPicPr>
                  <pic:blipFill>
                    <a:blip r:embed="rId246"/>
                    <a:stretch>
                      <a:fillRect/>
                    </a:stretch>
                  </pic:blipFill>
                  <pic:spPr>
                    <a:xfrm>
                      <a:off x="0" y="0"/>
                      <a:ext cx="4658360" cy="2842260"/>
                    </a:xfrm>
                    <a:prstGeom prst="rect">
                      <a:avLst/>
                    </a:prstGeom>
                    <a:noFill/>
                    <a:ln>
                      <a:noFill/>
                    </a:ln>
                  </pic:spPr>
                </pic:pic>
              </a:graphicData>
            </a:graphic>
          </wp:inline>
        </w:drawing>
      </w:r>
    </w:p>
    <w:p>
      <w:pPr>
        <w:pStyle w:val="2886"/>
        <w:spacing w:line="240" w:lineRule="exact"/>
        <w:outlineLvl w:val="9"/>
        <w:rPr>
          <w:rFonts w:hint="eastAsia"/>
          <w:sz w:val="21"/>
          <w:szCs w:val="16"/>
        </w:rPr>
      </w:pPr>
      <w:r>
        <w:rPr>
          <w:rFonts w:hint="eastAsia"/>
          <w:sz w:val="21"/>
          <w:szCs w:val="16"/>
        </w:rPr>
        <w:t>三江街道遥感影像</w:t>
      </w:r>
    </w:p>
    <w:p>
      <w:pPr>
        <w:pStyle w:val="2886"/>
        <w:spacing w:line="360" w:lineRule="auto"/>
        <w:outlineLvl w:val="9"/>
      </w:pPr>
      <w:r>
        <w:drawing>
          <wp:inline distT="0" distB="0" distL="114300" distR="114300">
            <wp:extent cx="3872230" cy="2682875"/>
            <wp:effectExtent l="0" t="0" r="13970" b="3175"/>
            <wp:docPr id="207" name="图片 349" descr="蒲河河口上游"/>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7" name="图片 349" descr="蒲河河口上游"/>
                    <pic:cNvPicPr>
                      <a:picLocks noChangeAspect="true"/>
                    </pic:cNvPicPr>
                  </pic:nvPicPr>
                  <pic:blipFill>
                    <a:blip r:embed="rId247"/>
                    <a:stretch>
                      <a:fillRect/>
                    </a:stretch>
                  </pic:blipFill>
                  <pic:spPr>
                    <a:xfrm>
                      <a:off x="0" y="0"/>
                      <a:ext cx="3872230" cy="2682875"/>
                    </a:xfrm>
                    <a:prstGeom prst="rect">
                      <a:avLst/>
                    </a:prstGeom>
                    <a:noFill/>
                    <a:ln>
                      <a:noFill/>
                    </a:ln>
                  </pic:spPr>
                </pic:pic>
              </a:graphicData>
            </a:graphic>
          </wp:inline>
        </w:drawing>
      </w:r>
    </w:p>
    <w:p>
      <w:pPr>
        <w:pStyle w:val="2886"/>
        <w:spacing w:line="240" w:lineRule="exact"/>
        <w:outlineLvl w:val="9"/>
        <w:rPr>
          <w:rFonts w:hint="eastAsia"/>
          <w:sz w:val="21"/>
          <w:szCs w:val="16"/>
        </w:rPr>
      </w:pPr>
      <w:r>
        <w:rPr>
          <w:rFonts w:hint="eastAsia"/>
          <w:sz w:val="21"/>
          <w:szCs w:val="16"/>
        </w:rPr>
        <w:t>蒲河河口上游</w:t>
      </w:r>
    </w:p>
    <w:p>
      <w:pPr>
        <w:pStyle w:val="2886"/>
        <w:spacing w:line="360" w:lineRule="auto"/>
        <w:outlineLvl w:val="9"/>
      </w:pPr>
      <w:r>
        <w:drawing>
          <wp:inline distT="0" distB="0" distL="114300" distR="114300">
            <wp:extent cx="3874770" cy="2237740"/>
            <wp:effectExtent l="0" t="0" r="11430" b="10160"/>
            <wp:docPr id="208" name="图片 350" descr="蒲河河口侧面"/>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8" name="图片 350" descr="蒲河河口侧面"/>
                    <pic:cNvPicPr>
                      <a:picLocks noChangeAspect="true"/>
                    </pic:cNvPicPr>
                  </pic:nvPicPr>
                  <pic:blipFill>
                    <a:blip r:embed="rId248"/>
                    <a:stretch>
                      <a:fillRect/>
                    </a:stretch>
                  </pic:blipFill>
                  <pic:spPr>
                    <a:xfrm>
                      <a:off x="0" y="0"/>
                      <a:ext cx="3874770" cy="2237740"/>
                    </a:xfrm>
                    <a:prstGeom prst="rect">
                      <a:avLst/>
                    </a:prstGeom>
                    <a:noFill/>
                    <a:ln>
                      <a:noFill/>
                    </a:ln>
                  </pic:spPr>
                </pic:pic>
              </a:graphicData>
            </a:graphic>
          </wp:inline>
        </w:drawing>
      </w:r>
    </w:p>
    <w:p>
      <w:pPr>
        <w:pStyle w:val="2886"/>
        <w:spacing w:line="240" w:lineRule="exact"/>
        <w:outlineLvl w:val="9"/>
        <w:rPr>
          <w:rFonts w:hint="eastAsia"/>
          <w:sz w:val="21"/>
          <w:szCs w:val="16"/>
        </w:rPr>
      </w:pPr>
      <w:r>
        <w:rPr>
          <w:rFonts w:hint="eastAsia"/>
          <w:sz w:val="21"/>
          <w:szCs w:val="16"/>
        </w:rPr>
        <w:t>蒲河河口侧面</w:t>
      </w:r>
    </w:p>
    <w:p>
      <w:pPr>
        <w:pStyle w:val="2886"/>
        <w:spacing w:line="360" w:lineRule="auto"/>
        <w:outlineLvl w:val="9"/>
      </w:pPr>
      <w:r>
        <w:drawing>
          <wp:inline distT="0" distB="0" distL="114300" distR="114300">
            <wp:extent cx="3879215" cy="2103120"/>
            <wp:effectExtent l="0" t="0" r="6985" b="11430"/>
            <wp:docPr id="209" name="图片 352" descr="蒲河河口下游"/>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9" name="图片 352" descr="蒲河河口下游"/>
                    <pic:cNvPicPr>
                      <a:picLocks noChangeAspect="true"/>
                    </pic:cNvPicPr>
                  </pic:nvPicPr>
                  <pic:blipFill>
                    <a:blip r:embed="rId249"/>
                    <a:stretch>
                      <a:fillRect/>
                    </a:stretch>
                  </pic:blipFill>
                  <pic:spPr>
                    <a:xfrm>
                      <a:off x="0" y="0"/>
                      <a:ext cx="3879215" cy="2103120"/>
                    </a:xfrm>
                    <a:prstGeom prst="rect">
                      <a:avLst/>
                    </a:prstGeom>
                    <a:noFill/>
                    <a:ln>
                      <a:noFill/>
                    </a:ln>
                  </pic:spPr>
                </pic:pic>
              </a:graphicData>
            </a:graphic>
          </wp:inline>
        </w:drawing>
      </w:r>
    </w:p>
    <w:p>
      <w:pPr>
        <w:pStyle w:val="2886"/>
        <w:spacing w:line="240" w:lineRule="exact"/>
        <w:outlineLvl w:val="9"/>
        <w:rPr>
          <w:rFonts w:hint="eastAsia"/>
          <w:sz w:val="21"/>
          <w:szCs w:val="16"/>
        </w:rPr>
      </w:pPr>
      <w:r>
        <w:rPr>
          <w:rFonts w:hint="eastAsia"/>
          <w:sz w:val="21"/>
          <w:szCs w:val="16"/>
        </w:rPr>
        <w:t>蒲河河口下游</w:t>
      </w:r>
    </w:p>
    <w:p>
      <w:pPr>
        <w:pStyle w:val="2886"/>
        <w:rPr>
          <w:rFonts w:hint="default" w:ascii="Times New Roman" w:hAnsi="Times New Roman" w:cs="Times New Roman"/>
        </w:rPr>
      </w:pPr>
      <w:r>
        <w:rPr>
          <w:rFonts w:hint="default" w:ascii="Times New Roman" w:hAnsi="Times New Roman" w:cs="Times New Roman"/>
        </w:rPr>
        <w:t>图6.2</w:t>
      </w:r>
      <w:r>
        <w:rPr>
          <w:rFonts w:hint="default" w:ascii="Times New Roman" w:hAnsi="Times New Roman" w:cs="Times New Roman"/>
          <w:lang w:eastAsia="zh-CN"/>
        </w:rPr>
        <w:t>—</w:t>
      </w:r>
      <w:r>
        <w:rPr>
          <w:rFonts w:hint="default" w:ascii="Times New Roman" w:hAnsi="Times New Roman" w:cs="Times New Roman"/>
        </w:rPr>
        <w:t>3</w:t>
      </w:r>
      <w:r>
        <w:rPr>
          <w:rFonts w:hint="default" w:ascii="Times New Roman" w:hAnsi="Times New Roman" w:cs="Times New Roman"/>
          <w:lang w:val="en-US" w:eastAsia="zh-CN"/>
        </w:rPr>
        <w:t>0</w:t>
      </w:r>
      <w:r>
        <w:rPr>
          <w:rFonts w:hint="default" w:ascii="Times New Roman" w:hAnsi="Times New Roman" w:cs="Times New Roman"/>
        </w:rPr>
        <w:t xml:space="preserve">  綦江干流三江街道段地理景观图</w:t>
      </w:r>
    </w:p>
    <w:p>
      <w:pPr>
        <w:pStyle w:val="2886"/>
        <w:outlineLvl w:val="9"/>
      </w:pPr>
      <w:r>
        <w:drawing>
          <wp:inline distT="0" distB="0" distL="114300" distR="114300">
            <wp:extent cx="4579620" cy="2835910"/>
            <wp:effectExtent l="0" t="0" r="11430" b="2540"/>
            <wp:docPr id="210"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0" name="图片 1"/>
                    <pic:cNvPicPr>
                      <a:picLocks noChangeAspect="true"/>
                    </pic:cNvPicPr>
                  </pic:nvPicPr>
                  <pic:blipFill>
                    <a:blip r:embed="rId250"/>
                    <a:srcRect t="3110" r="3418"/>
                    <a:stretch>
                      <a:fillRect/>
                    </a:stretch>
                  </pic:blipFill>
                  <pic:spPr>
                    <a:xfrm>
                      <a:off x="0" y="0"/>
                      <a:ext cx="4579620" cy="2835910"/>
                    </a:xfrm>
                    <a:prstGeom prst="rect">
                      <a:avLst/>
                    </a:prstGeom>
                    <a:noFill/>
                    <a:ln>
                      <a:noFill/>
                    </a:ln>
                  </pic:spPr>
                </pic:pic>
              </a:graphicData>
            </a:graphic>
          </wp:inline>
        </w:drawing>
      </w:r>
    </w:p>
    <w:p>
      <w:pPr>
        <w:pStyle w:val="2886"/>
      </w:pPr>
      <w:r>
        <w:rPr>
          <w:rFonts w:hint="default" w:ascii="Times New Roman" w:hAnsi="Times New Roman" w:cs="Times New Roman"/>
        </w:rPr>
        <w:t>图6.2</w:t>
      </w:r>
      <w:r>
        <w:rPr>
          <w:rFonts w:hint="default" w:ascii="Times New Roman" w:hAnsi="Times New Roman" w:cs="Times New Roman"/>
          <w:lang w:eastAsia="zh-CN"/>
        </w:rPr>
        <w:t>—</w:t>
      </w:r>
      <w:r>
        <w:rPr>
          <w:rFonts w:hint="default" w:ascii="Times New Roman" w:hAnsi="Times New Roman" w:cs="Times New Roman"/>
        </w:rPr>
        <w:t>3</w:t>
      </w:r>
      <w:r>
        <w:rPr>
          <w:rFonts w:hint="default" w:ascii="Times New Roman" w:hAnsi="Times New Roman" w:cs="Times New Roman"/>
          <w:lang w:val="en-US" w:eastAsia="zh-CN"/>
        </w:rPr>
        <w:t>1</w:t>
      </w:r>
      <w:r>
        <w:rPr>
          <w:rFonts w:hint="default" w:ascii="Times New Roman" w:hAnsi="Times New Roman" w:cs="Times New Roman"/>
        </w:rPr>
        <w:t xml:space="preserve">  </w:t>
      </w:r>
      <w:r>
        <w:rPr>
          <w:rFonts w:hint="eastAsia"/>
        </w:rPr>
        <w:t xml:space="preserve">  綦江城区三江街道规划堤防位置示意图</w:t>
      </w:r>
    </w:p>
    <w:p>
      <w:pPr>
        <w:pStyle w:val="1355"/>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sz w:val="32"/>
          <w:szCs w:val="32"/>
        </w:rPr>
      </w:pPr>
      <w:r>
        <w:rPr>
          <w:rFonts w:hint="eastAsia" w:ascii="Times New Roman" w:hAnsi="Times New Roman" w:eastAsia="方正仿宋_GBK" w:cs="Times New Roman"/>
          <w:sz w:val="32"/>
          <w:szCs w:val="32"/>
          <w:lang w:val="en-US" w:eastAsia="zh-CN"/>
        </w:rPr>
        <w:t>7．</w:t>
      </w:r>
      <w:r>
        <w:rPr>
          <w:rFonts w:hint="eastAsia" w:ascii="Times New Roman" w:hAnsi="Times New Roman" w:eastAsia="方正仿宋_GBK" w:cs="Times New Roman"/>
          <w:sz w:val="32"/>
          <w:szCs w:val="32"/>
        </w:rPr>
        <w:t>綦江支流城区段</w:t>
      </w:r>
      <w:r>
        <w:rPr>
          <w:rFonts w:hint="default" w:ascii="Times New Roman" w:hAnsi="Times New Roman" w:eastAsia="方正仿宋_GBK" w:cs="Times New Roman"/>
          <w:sz w:val="32"/>
          <w:szCs w:val="32"/>
        </w:rPr>
        <w:t>堤防</w:t>
      </w:r>
      <w:r>
        <w:rPr>
          <w:rFonts w:hint="eastAsia" w:ascii="Times New Roman" w:hAnsi="Times New Roman" w:eastAsia="方正仿宋_GBK" w:cs="Times New Roman"/>
          <w:sz w:val="32"/>
          <w:szCs w:val="32"/>
        </w:rPr>
        <w:t>建设方案</w:t>
      </w:r>
    </w:p>
    <w:p>
      <w:pPr>
        <w:pStyle w:val="1355"/>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lang w:val="en-US" w:eastAsia="zh-CN"/>
        </w:rPr>
        <w:t>7.1</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rPr>
        <w:t>蒲河堤防建设方案</w:t>
      </w:r>
    </w:p>
    <w:p>
      <w:pPr>
        <w:pStyle w:val="1355"/>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rPr>
      </w:pPr>
      <w:r>
        <w:rPr>
          <w:rFonts w:hint="default" w:ascii="Times New Roman" w:hAnsi="Times New Roman" w:eastAsia="方正仿宋_GBK" w:cs="Times New Roman"/>
          <w:sz w:val="32"/>
          <w:szCs w:val="32"/>
        </w:rPr>
        <w:t>三江街道</w:t>
      </w:r>
      <w:r>
        <w:rPr>
          <w:rFonts w:hint="eastAsia" w:ascii="Times New Roman" w:hAnsi="Times New Roman" w:eastAsia="方正仿宋_GBK" w:cs="Times New Roman"/>
          <w:sz w:val="32"/>
          <w:szCs w:val="32"/>
        </w:rPr>
        <w:t>蒲河河口</w:t>
      </w:r>
      <w:r>
        <w:rPr>
          <w:rFonts w:hint="default" w:ascii="Times New Roman" w:hAnsi="Times New Roman" w:eastAsia="方正仿宋_GBK" w:cs="Times New Roman"/>
          <w:sz w:val="32"/>
          <w:szCs w:val="32"/>
        </w:rPr>
        <w:t>地理景观见图6.2</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3</w:t>
      </w:r>
      <w:r>
        <w:rPr>
          <w:rFonts w:hint="eastAsia" w:ascii="Times New Roman" w:hAnsi="Times New Roman" w:eastAsia="方正仿宋_GBK" w:cs="Times New Roman"/>
          <w:sz w:val="32"/>
          <w:szCs w:val="32"/>
          <w:lang w:val="en-US" w:eastAsia="zh-CN"/>
        </w:rPr>
        <w:t>2</w:t>
      </w:r>
      <w:r>
        <w:rPr>
          <w:rFonts w:hint="eastAsia" w:ascii="Times New Roman" w:hAnsi="Times New Roman" w:eastAsia="方正仿宋_GBK" w:cs="Times New Roman"/>
          <w:sz w:val="32"/>
          <w:szCs w:val="32"/>
        </w:rPr>
        <w:t>，规划</w:t>
      </w:r>
      <w:r>
        <w:rPr>
          <w:rFonts w:hint="default" w:ascii="Times New Roman" w:hAnsi="Times New Roman" w:eastAsia="方正仿宋_GBK" w:cs="Times New Roman"/>
          <w:sz w:val="32"/>
          <w:szCs w:val="32"/>
        </w:rPr>
        <w:t>对蒲河河口以上</w:t>
      </w:r>
      <w:r>
        <w:rPr>
          <w:rFonts w:hint="eastAsia" w:ascii="Times New Roman" w:hAnsi="Times New Roman" w:eastAsia="方正仿宋_GBK" w:cs="Times New Roman"/>
          <w:sz w:val="32"/>
          <w:szCs w:val="32"/>
        </w:rPr>
        <w:t>0</w:t>
      </w:r>
      <w:r>
        <w:rPr>
          <w:rFonts w:hint="default" w:ascii="Times New Roman" w:hAnsi="Times New Roman" w:eastAsia="方正仿宋_GBK" w:cs="Times New Roman"/>
          <w:sz w:val="32"/>
          <w:szCs w:val="32"/>
        </w:rPr>
        <w:t>.38km三江街道左岸堤防</w:t>
      </w:r>
      <w:r>
        <w:rPr>
          <w:rFonts w:hint="eastAsia" w:ascii="Times New Roman" w:hAnsi="Times New Roman" w:eastAsia="方正仿宋_GBK" w:cs="Times New Roman"/>
          <w:sz w:val="32"/>
          <w:szCs w:val="32"/>
        </w:rPr>
        <w:t>实施</w:t>
      </w:r>
      <w:r>
        <w:rPr>
          <w:rFonts w:hint="default" w:ascii="Times New Roman" w:hAnsi="Times New Roman" w:eastAsia="方正仿宋_GBK" w:cs="Times New Roman"/>
          <w:sz w:val="32"/>
          <w:szCs w:val="32"/>
        </w:rPr>
        <w:t>加高加固，达到</w:t>
      </w:r>
      <w:r>
        <w:rPr>
          <w:rFonts w:hint="eastAsia" w:ascii="Times New Roman" w:hAnsi="Times New Roman" w:eastAsia="方正仿宋_GBK" w:cs="Times New Roman"/>
          <w:sz w:val="32"/>
          <w:szCs w:val="32"/>
        </w:rPr>
        <w:t>50年一遇防洪标准。</w:t>
      </w:r>
    </w:p>
    <w:p>
      <w:pPr>
        <w:pStyle w:val="2886"/>
        <w:spacing w:line="360" w:lineRule="auto"/>
        <w:outlineLvl w:val="9"/>
      </w:pPr>
      <w:r>
        <w:drawing>
          <wp:inline distT="0" distB="0" distL="114300" distR="114300">
            <wp:extent cx="3886835" cy="1943100"/>
            <wp:effectExtent l="0" t="0" r="18415" b="0"/>
            <wp:docPr id="211" name="图片 398" descr="蒲河河口"/>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1" name="图片 398" descr="蒲河河口"/>
                    <pic:cNvPicPr>
                      <a:picLocks noChangeAspect="true"/>
                    </pic:cNvPicPr>
                  </pic:nvPicPr>
                  <pic:blipFill>
                    <a:blip r:embed="rId251"/>
                    <a:srcRect b="26160"/>
                    <a:stretch>
                      <a:fillRect/>
                    </a:stretch>
                  </pic:blipFill>
                  <pic:spPr>
                    <a:xfrm>
                      <a:off x="0" y="0"/>
                      <a:ext cx="3886835" cy="1943100"/>
                    </a:xfrm>
                    <a:prstGeom prst="rect">
                      <a:avLst/>
                    </a:prstGeom>
                    <a:noFill/>
                    <a:ln>
                      <a:noFill/>
                    </a:ln>
                  </pic:spPr>
                </pic:pic>
              </a:graphicData>
            </a:graphic>
          </wp:inline>
        </w:drawing>
      </w:r>
    </w:p>
    <w:p>
      <w:pPr>
        <w:pStyle w:val="2886"/>
        <w:rPr>
          <w:rFonts w:hint="default" w:ascii="Times New Roman" w:hAnsi="Times New Roman" w:cs="Times New Roman"/>
        </w:rPr>
      </w:pPr>
      <w:r>
        <w:rPr>
          <w:rFonts w:hint="default" w:ascii="Times New Roman" w:hAnsi="Times New Roman" w:cs="Times New Roman"/>
        </w:rPr>
        <w:t>图6.2</w:t>
      </w:r>
      <w:r>
        <w:rPr>
          <w:rFonts w:hint="default" w:ascii="Times New Roman" w:hAnsi="Times New Roman" w:cs="Times New Roman"/>
          <w:lang w:eastAsia="zh-CN"/>
        </w:rPr>
        <w:t>—</w:t>
      </w:r>
      <w:r>
        <w:rPr>
          <w:rFonts w:hint="default" w:ascii="Times New Roman" w:hAnsi="Times New Roman" w:cs="Times New Roman"/>
        </w:rPr>
        <w:t>3</w:t>
      </w:r>
      <w:r>
        <w:rPr>
          <w:rFonts w:hint="default" w:ascii="Times New Roman" w:hAnsi="Times New Roman" w:cs="Times New Roman"/>
          <w:lang w:val="en-US" w:eastAsia="zh-CN"/>
        </w:rPr>
        <w:t>2</w:t>
      </w:r>
      <w:r>
        <w:rPr>
          <w:rFonts w:hint="default" w:ascii="Times New Roman" w:hAnsi="Times New Roman" w:cs="Times New Roman"/>
        </w:rPr>
        <w:t xml:space="preserve">  綦江支流蒲河河口段地理景观图</w:t>
      </w:r>
    </w:p>
    <w:p>
      <w:pPr>
        <w:pStyle w:val="1355"/>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lang w:val="en-US" w:eastAsia="zh-CN"/>
        </w:rPr>
        <w:t>7.2</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rPr>
        <w:t>登瀛河堤防建设方案</w:t>
      </w:r>
    </w:p>
    <w:p>
      <w:pPr>
        <w:pStyle w:val="1355"/>
        <w:keepNext w:val="0"/>
        <w:keepLines w:val="0"/>
        <w:pageBreakBefore w:val="0"/>
        <w:widowControl w:val="0"/>
        <w:kinsoku/>
        <w:wordWrap/>
        <w:overflowPunct/>
        <w:topLinePunct w:val="0"/>
        <w:autoSpaceDE/>
        <w:autoSpaceDN/>
        <w:bidi w:val="0"/>
        <w:adjustRightInd/>
        <w:snapToGrid/>
        <w:ind w:firstLine="560"/>
        <w:textAlignment w:val="auto"/>
        <w:rPr>
          <w:rFonts w:hint="eastAsia"/>
        </w:rPr>
      </w:pPr>
      <w:r>
        <w:rPr>
          <w:rFonts w:hint="eastAsia" w:ascii="Times New Roman" w:hAnsi="Times New Roman" w:eastAsia="方正仿宋_GBK" w:cs="Times New Roman"/>
          <w:sz w:val="32"/>
          <w:szCs w:val="32"/>
        </w:rPr>
        <w:t>规划</w:t>
      </w:r>
      <w:r>
        <w:rPr>
          <w:rFonts w:hint="default" w:ascii="Times New Roman" w:hAnsi="Times New Roman" w:eastAsia="方正仿宋_GBK" w:cs="Times New Roman"/>
          <w:sz w:val="32"/>
          <w:szCs w:val="32"/>
        </w:rPr>
        <w:t>对</w:t>
      </w:r>
      <w:r>
        <w:rPr>
          <w:rFonts w:hint="eastAsia" w:ascii="Times New Roman" w:hAnsi="Times New Roman" w:eastAsia="方正仿宋_GBK" w:cs="Times New Roman"/>
          <w:sz w:val="32"/>
          <w:szCs w:val="32"/>
        </w:rPr>
        <w:t>登瀛河登瀛场镇人行拱桥起至公路桥段左岸0.84km堤防</w:t>
      </w:r>
      <w:r>
        <w:rPr>
          <w:rFonts w:hint="default" w:ascii="Times New Roman" w:hAnsi="Times New Roman" w:eastAsia="方正仿宋_GBK" w:cs="Times New Roman"/>
          <w:sz w:val="32"/>
          <w:szCs w:val="32"/>
        </w:rPr>
        <w:t>实施加高加固，达到</w:t>
      </w:r>
      <w:r>
        <w:rPr>
          <w:rFonts w:hint="eastAsia" w:ascii="Times New Roman" w:hAnsi="Times New Roman" w:eastAsia="方正仿宋_GBK" w:cs="Times New Roman"/>
          <w:sz w:val="32"/>
          <w:szCs w:val="32"/>
        </w:rPr>
        <w:t>50年</w:t>
      </w:r>
      <w:r>
        <w:rPr>
          <w:rFonts w:hint="default" w:ascii="Times New Roman" w:hAnsi="Times New Roman" w:eastAsia="方正仿宋_GBK" w:cs="Times New Roman"/>
          <w:sz w:val="32"/>
          <w:szCs w:val="32"/>
        </w:rPr>
        <w:t>一遇防洪标准</w:t>
      </w:r>
      <w:r>
        <w:rPr>
          <w:rFonts w:hint="eastAsia" w:ascii="Times New Roman" w:hAnsi="Times New Roman" w:eastAsia="方正仿宋_GBK" w:cs="Times New Roman"/>
          <w:sz w:val="32"/>
          <w:szCs w:val="32"/>
        </w:rPr>
        <w:t>，见</w:t>
      </w:r>
      <w:r>
        <w:rPr>
          <w:rFonts w:hint="default" w:ascii="Times New Roman" w:hAnsi="Times New Roman" w:eastAsia="方正仿宋_GBK" w:cs="Times New Roman"/>
          <w:sz w:val="32"/>
          <w:szCs w:val="32"/>
        </w:rPr>
        <w:t>图</w:t>
      </w:r>
      <w:r>
        <w:rPr>
          <w:rFonts w:hint="eastAsia" w:ascii="Times New Roman" w:hAnsi="Times New Roman" w:eastAsia="方正仿宋_GBK" w:cs="Times New Roman"/>
          <w:sz w:val="32"/>
          <w:szCs w:val="32"/>
        </w:rPr>
        <w:t>6.2</w:t>
      </w:r>
      <w:r>
        <w:rPr>
          <w:rFonts w:hint="eastAsia" w:ascii="Times New Roman" w:eastAsia="方正仿宋_GBK" w:cs="Times New Roman"/>
          <w:sz w:val="32"/>
          <w:szCs w:val="32"/>
          <w:lang w:eastAsia="zh-CN"/>
        </w:rPr>
        <w:t>—</w:t>
      </w:r>
      <w:r>
        <w:rPr>
          <w:rFonts w:hint="eastAsia" w:ascii="Times New Roman" w:hAnsi="Times New Roman" w:eastAsia="方正仿宋_GBK" w:cs="Times New Roman"/>
          <w:sz w:val="32"/>
          <w:szCs w:val="32"/>
        </w:rPr>
        <w:t>3</w:t>
      </w:r>
      <w:r>
        <w:rPr>
          <w:rFonts w:hint="eastAsia" w:ascii="Times New Roman" w:hAnsi="Times New Roman" w:eastAsia="方正仿宋_GBK" w:cs="Times New Roman"/>
          <w:sz w:val="32"/>
          <w:szCs w:val="32"/>
          <w:lang w:val="en-US" w:eastAsia="zh-CN"/>
        </w:rPr>
        <w:t>3</w:t>
      </w:r>
      <w:r>
        <w:rPr>
          <w:rFonts w:hint="default" w:ascii="Times New Roman" w:hAnsi="Times New Roman" w:eastAsia="方正仿宋_GBK" w:cs="Times New Roman"/>
          <w:sz w:val="32"/>
          <w:szCs w:val="32"/>
        </w:rPr>
        <w:t>。</w:t>
      </w:r>
    </w:p>
    <w:p>
      <w:pPr>
        <w:pStyle w:val="2886"/>
        <w:outlineLvl w:val="9"/>
      </w:pPr>
      <w:r>
        <w:drawing>
          <wp:inline distT="0" distB="0" distL="114300" distR="114300">
            <wp:extent cx="2639695" cy="3141980"/>
            <wp:effectExtent l="0" t="0" r="8255" b="1270"/>
            <wp:docPr id="212" name="图片 28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2" name="图片 288"/>
                    <pic:cNvPicPr>
                      <a:picLocks noChangeAspect="true"/>
                    </pic:cNvPicPr>
                  </pic:nvPicPr>
                  <pic:blipFill>
                    <a:blip r:embed="rId252"/>
                    <a:stretch>
                      <a:fillRect/>
                    </a:stretch>
                  </pic:blipFill>
                  <pic:spPr>
                    <a:xfrm>
                      <a:off x="0" y="0"/>
                      <a:ext cx="2639695" cy="3141980"/>
                    </a:xfrm>
                    <a:prstGeom prst="rect">
                      <a:avLst/>
                    </a:prstGeom>
                    <a:noFill/>
                    <a:ln>
                      <a:noFill/>
                    </a:ln>
                  </pic:spPr>
                </pic:pic>
              </a:graphicData>
            </a:graphic>
          </wp:inline>
        </w:drawing>
      </w:r>
    </w:p>
    <w:p>
      <w:pPr>
        <w:pStyle w:val="2886"/>
        <w:rPr>
          <w:rFonts w:hint="default" w:ascii="Times New Roman" w:hAnsi="Times New Roman" w:cs="Times New Roman"/>
        </w:rPr>
      </w:pPr>
      <w:r>
        <w:rPr>
          <w:rFonts w:hint="default" w:ascii="Times New Roman" w:hAnsi="Times New Roman" w:cs="Times New Roman"/>
        </w:rPr>
        <w:t>图6.2</w:t>
      </w:r>
      <w:r>
        <w:rPr>
          <w:rFonts w:hint="default" w:ascii="Times New Roman" w:hAnsi="Times New Roman" w:cs="Times New Roman"/>
          <w:lang w:eastAsia="zh-CN"/>
        </w:rPr>
        <w:t>—</w:t>
      </w:r>
      <w:r>
        <w:rPr>
          <w:rFonts w:hint="default" w:ascii="Times New Roman" w:hAnsi="Times New Roman" w:cs="Times New Roman"/>
        </w:rPr>
        <w:t>3</w:t>
      </w:r>
      <w:r>
        <w:rPr>
          <w:rFonts w:hint="default" w:ascii="Times New Roman" w:hAnsi="Times New Roman" w:cs="Times New Roman"/>
          <w:lang w:val="en-US" w:eastAsia="zh-CN"/>
        </w:rPr>
        <w:t>3</w:t>
      </w:r>
      <w:r>
        <w:rPr>
          <w:rFonts w:hint="default" w:ascii="Times New Roman" w:hAnsi="Times New Roman" w:cs="Times New Roman"/>
        </w:rPr>
        <w:t xml:space="preserve">    登瀛河堤防加高位置示意图</w:t>
      </w:r>
    </w:p>
    <w:p>
      <w:pPr>
        <w:pStyle w:val="1355"/>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lang w:val="en-US" w:eastAsia="zh-CN"/>
        </w:rPr>
        <w:t>7.3</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rPr>
        <w:t>桥河堤防建设方案</w:t>
      </w:r>
    </w:p>
    <w:p>
      <w:pPr>
        <w:pStyle w:val="1355"/>
        <w:keepNext w:val="0"/>
        <w:keepLines w:val="0"/>
        <w:pageBreakBefore w:val="0"/>
        <w:widowControl w:val="0"/>
        <w:kinsoku/>
        <w:wordWrap/>
        <w:overflowPunct/>
        <w:topLinePunct w:val="0"/>
        <w:autoSpaceDE/>
        <w:autoSpaceDN/>
        <w:bidi w:val="0"/>
        <w:adjustRightInd/>
        <w:snapToGrid/>
        <w:ind w:firstLine="560"/>
        <w:textAlignment w:val="auto"/>
      </w:pPr>
      <w:r>
        <w:rPr>
          <w:rFonts w:hint="eastAsia" w:ascii="Times New Roman" w:hAnsi="Times New Roman" w:eastAsia="方正仿宋_GBK" w:cs="Times New Roman"/>
          <w:sz w:val="32"/>
          <w:szCs w:val="32"/>
        </w:rPr>
        <w:t>桥河局部</w:t>
      </w:r>
      <w:r>
        <w:rPr>
          <w:rFonts w:hint="default" w:ascii="Times New Roman" w:hAnsi="Times New Roman" w:eastAsia="方正仿宋_GBK" w:cs="Times New Roman"/>
          <w:sz w:val="32"/>
          <w:szCs w:val="32"/>
        </w:rPr>
        <w:t>河</w:t>
      </w:r>
      <w:r>
        <w:rPr>
          <w:rFonts w:hint="eastAsia" w:ascii="Times New Roman" w:hAnsi="Times New Roman" w:eastAsia="方正仿宋_GBK" w:cs="Times New Roman"/>
          <w:sz w:val="32"/>
          <w:szCs w:val="32"/>
        </w:rPr>
        <w:t>段不足</w:t>
      </w:r>
      <w:r>
        <w:rPr>
          <w:rFonts w:hint="default" w:ascii="Times New Roman" w:hAnsi="Times New Roman" w:eastAsia="方正仿宋_GBK" w:cs="Times New Roman"/>
          <w:sz w:val="32"/>
          <w:szCs w:val="32"/>
        </w:rPr>
        <w:t>5</w:t>
      </w:r>
      <w:r>
        <w:rPr>
          <w:rFonts w:hint="eastAsia" w:ascii="Times New Roman" w:hAnsi="Times New Roman" w:eastAsia="方正仿宋_GBK" w:cs="Times New Roman"/>
          <w:sz w:val="32"/>
          <w:szCs w:val="32"/>
        </w:rPr>
        <w:t>0年</w:t>
      </w:r>
      <w:r>
        <w:rPr>
          <w:rFonts w:hint="default" w:ascii="Times New Roman" w:hAnsi="Times New Roman" w:eastAsia="方正仿宋_GBK" w:cs="Times New Roman"/>
          <w:sz w:val="32"/>
          <w:szCs w:val="32"/>
        </w:rPr>
        <w:t>一遇，</w:t>
      </w:r>
      <w:r>
        <w:rPr>
          <w:rFonts w:hint="eastAsia" w:ascii="Times New Roman" w:hAnsi="Times New Roman" w:eastAsia="方正仿宋_GBK" w:cs="Times New Roman"/>
          <w:sz w:val="32"/>
          <w:szCs w:val="32"/>
        </w:rPr>
        <w:t>因</w:t>
      </w:r>
      <w:r>
        <w:rPr>
          <w:rFonts w:hint="default" w:ascii="Times New Roman" w:hAnsi="Times New Roman" w:eastAsia="方正仿宋_GBK" w:cs="Times New Roman"/>
          <w:sz w:val="32"/>
          <w:szCs w:val="32"/>
        </w:rPr>
        <w:t>淹没面积</w:t>
      </w:r>
      <w:r>
        <w:rPr>
          <w:rFonts w:hint="eastAsia" w:ascii="Times New Roman" w:hAnsi="Times New Roman" w:eastAsia="方正仿宋_GBK" w:cs="Times New Roman"/>
          <w:sz w:val="32"/>
          <w:szCs w:val="32"/>
        </w:rPr>
        <w:t>较小、受淹对象无重要设施</w:t>
      </w:r>
      <w:r>
        <w:rPr>
          <w:rFonts w:hint="default" w:ascii="Times New Roman" w:hAnsi="Times New Roman" w:eastAsia="方正仿宋_GBK" w:cs="Times New Roman"/>
          <w:sz w:val="32"/>
          <w:szCs w:val="32"/>
        </w:rPr>
        <w:t>，</w:t>
      </w:r>
      <w:r>
        <w:rPr>
          <w:rFonts w:hint="eastAsia" w:ascii="Times New Roman" w:hAnsi="Times New Roman" w:eastAsia="方正仿宋_GBK" w:cs="Times New Roman"/>
          <w:sz w:val="32"/>
          <w:szCs w:val="32"/>
        </w:rPr>
        <w:t>规划</w:t>
      </w:r>
      <w:r>
        <w:rPr>
          <w:rFonts w:hint="default" w:ascii="Times New Roman" w:hAnsi="Times New Roman" w:eastAsia="方正仿宋_GBK" w:cs="Times New Roman"/>
          <w:sz w:val="32"/>
          <w:szCs w:val="32"/>
        </w:rPr>
        <w:t>采用避险转移</w:t>
      </w:r>
      <w:r>
        <w:rPr>
          <w:rFonts w:hint="eastAsia" w:ascii="Times New Roman" w:hAnsi="Times New Roman" w:eastAsia="方正仿宋_GBK" w:cs="Times New Roman"/>
          <w:sz w:val="32"/>
          <w:szCs w:val="32"/>
        </w:rPr>
        <w:t>等</w:t>
      </w:r>
      <w:r>
        <w:rPr>
          <w:rFonts w:hint="default" w:ascii="Times New Roman" w:hAnsi="Times New Roman" w:eastAsia="方正仿宋_GBK" w:cs="Times New Roman"/>
          <w:sz w:val="32"/>
          <w:szCs w:val="32"/>
        </w:rPr>
        <w:t>非工程措施</w:t>
      </w:r>
      <w:r>
        <w:rPr>
          <w:rFonts w:hint="eastAsia" w:ascii="Times New Roman" w:hAnsi="Times New Roman" w:eastAsia="方正仿宋_GBK" w:cs="Times New Roman"/>
          <w:sz w:val="32"/>
          <w:szCs w:val="32"/>
        </w:rPr>
        <w:t>，见</w:t>
      </w:r>
      <w:r>
        <w:rPr>
          <w:rFonts w:hint="default" w:ascii="Times New Roman" w:hAnsi="Times New Roman" w:eastAsia="方正仿宋_GBK" w:cs="Times New Roman"/>
          <w:sz w:val="32"/>
          <w:szCs w:val="32"/>
        </w:rPr>
        <w:t>图</w:t>
      </w:r>
      <w:r>
        <w:rPr>
          <w:rFonts w:hint="eastAsia" w:ascii="Times New Roman" w:hAnsi="Times New Roman" w:eastAsia="方正仿宋_GBK" w:cs="Times New Roman"/>
          <w:sz w:val="32"/>
          <w:szCs w:val="32"/>
        </w:rPr>
        <w:t>6.2</w:t>
      </w:r>
      <w:r>
        <w:rPr>
          <w:rFonts w:hint="eastAsia" w:ascii="Times New Roman" w:eastAsia="方正仿宋_GBK" w:cs="Times New Roman"/>
          <w:sz w:val="32"/>
          <w:szCs w:val="32"/>
          <w:lang w:eastAsia="zh-CN"/>
        </w:rPr>
        <w:t>—</w:t>
      </w:r>
      <w:r>
        <w:rPr>
          <w:rFonts w:hint="eastAsia" w:ascii="Times New Roman" w:hAnsi="Times New Roman" w:eastAsia="方正仿宋_GBK" w:cs="Times New Roman"/>
          <w:sz w:val="32"/>
          <w:szCs w:val="32"/>
        </w:rPr>
        <w:t>3</w:t>
      </w:r>
      <w:r>
        <w:rPr>
          <w:rFonts w:hint="eastAsia" w:ascii="Times New Roman" w:hAnsi="Times New Roman" w:eastAsia="方正仿宋_GBK" w:cs="Times New Roman"/>
          <w:sz w:val="32"/>
          <w:szCs w:val="32"/>
          <w:lang w:val="en-US" w:eastAsia="zh-CN"/>
        </w:rPr>
        <w:t>4</w:t>
      </w:r>
      <w:r>
        <w:rPr>
          <w:rFonts w:hint="eastAsia" w:ascii="Times New Roman" w:hAnsi="Times New Roman" w:eastAsia="方正仿宋_GBK" w:cs="Times New Roman"/>
          <w:sz w:val="32"/>
          <w:szCs w:val="32"/>
        </w:rPr>
        <w:t>。</w:t>
      </w:r>
    </w:p>
    <w:p>
      <w:pPr>
        <w:pStyle w:val="2886"/>
        <w:outlineLvl w:val="9"/>
      </w:pPr>
      <w:r>
        <w:drawing>
          <wp:inline distT="0" distB="0" distL="114300" distR="114300">
            <wp:extent cx="2797175" cy="3761740"/>
            <wp:effectExtent l="0" t="0" r="3175" b="10160"/>
            <wp:docPr id="213" name="图片 39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3" name="图片 399"/>
                    <pic:cNvPicPr>
                      <a:picLocks noChangeAspect="true"/>
                    </pic:cNvPicPr>
                  </pic:nvPicPr>
                  <pic:blipFill>
                    <a:blip r:embed="rId253"/>
                    <a:stretch>
                      <a:fillRect/>
                    </a:stretch>
                  </pic:blipFill>
                  <pic:spPr>
                    <a:xfrm>
                      <a:off x="0" y="0"/>
                      <a:ext cx="2797175" cy="3761740"/>
                    </a:xfrm>
                    <a:prstGeom prst="rect">
                      <a:avLst/>
                    </a:prstGeom>
                    <a:noFill/>
                    <a:ln>
                      <a:noFill/>
                    </a:ln>
                  </pic:spPr>
                </pic:pic>
              </a:graphicData>
            </a:graphic>
          </wp:inline>
        </w:drawing>
      </w:r>
    </w:p>
    <w:p>
      <w:pPr>
        <w:pStyle w:val="2886"/>
        <w:rPr>
          <w:rFonts w:hint="default" w:ascii="Times New Roman" w:hAnsi="Times New Roman" w:cs="Times New Roman"/>
        </w:rPr>
      </w:pPr>
      <w:r>
        <w:rPr>
          <w:rFonts w:hint="default" w:ascii="Times New Roman" w:hAnsi="Times New Roman" w:cs="Times New Roman"/>
        </w:rPr>
        <w:t>图6.2</w:t>
      </w:r>
      <w:r>
        <w:rPr>
          <w:rFonts w:hint="default" w:ascii="Times New Roman" w:hAnsi="Times New Roman" w:cs="Times New Roman"/>
          <w:lang w:eastAsia="zh-CN"/>
        </w:rPr>
        <w:t>—</w:t>
      </w:r>
      <w:r>
        <w:rPr>
          <w:rFonts w:hint="default" w:ascii="Times New Roman" w:hAnsi="Times New Roman" w:cs="Times New Roman"/>
        </w:rPr>
        <w:t>3</w:t>
      </w:r>
      <w:r>
        <w:rPr>
          <w:rFonts w:hint="default" w:ascii="Times New Roman" w:hAnsi="Times New Roman" w:cs="Times New Roman"/>
          <w:lang w:val="en-US" w:eastAsia="zh-CN"/>
        </w:rPr>
        <w:t>4</w:t>
      </w:r>
      <w:r>
        <w:rPr>
          <w:rFonts w:hint="default" w:ascii="Times New Roman" w:hAnsi="Times New Roman" w:cs="Times New Roman"/>
        </w:rPr>
        <w:t xml:space="preserve">  桥河50年一遇洪水淹没及避洪转移路线图</w:t>
      </w:r>
    </w:p>
    <w:p>
      <w:pPr>
        <w:pStyle w:val="1355"/>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lang w:val="en-US" w:eastAsia="zh-CN"/>
        </w:rPr>
        <w:t>7.4</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rPr>
        <w:t>通惠河堤防建设方案</w:t>
      </w:r>
    </w:p>
    <w:p>
      <w:pPr>
        <w:pStyle w:val="1355"/>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rPr>
        <w:t>规划</w:t>
      </w:r>
      <w:r>
        <w:rPr>
          <w:rFonts w:hint="default" w:ascii="Times New Roman" w:hAnsi="Times New Roman" w:eastAsia="方正仿宋_GBK" w:cs="Times New Roman"/>
          <w:sz w:val="32"/>
          <w:szCs w:val="32"/>
        </w:rPr>
        <w:t>对</w:t>
      </w:r>
      <w:r>
        <w:rPr>
          <w:rFonts w:hint="eastAsia" w:ascii="Times New Roman" w:hAnsi="Times New Roman" w:eastAsia="方正仿宋_GBK" w:cs="Times New Roman"/>
          <w:sz w:val="32"/>
          <w:szCs w:val="32"/>
        </w:rPr>
        <w:t>綦江</w:t>
      </w:r>
      <w:r>
        <w:rPr>
          <w:rFonts w:hint="default" w:ascii="Times New Roman" w:hAnsi="Times New Roman" w:eastAsia="方正仿宋_GBK" w:cs="Times New Roman"/>
          <w:sz w:val="32"/>
          <w:szCs w:val="32"/>
        </w:rPr>
        <w:t>主城区范围内的綦江支流</w:t>
      </w:r>
      <w:r>
        <w:rPr>
          <w:rFonts w:hint="eastAsia" w:ascii="Times New Roman" w:hAnsi="Times New Roman" w:eastAsia="方正仿宋_GBK" w:cs="Times New Roman"/>
          <w:sz w:val="32"/>
          <w:szCs w:val="32"/>
        </w:rPr>
        <w:t>通惠河花滩子跳蹬翻板闸至环保局河段3</w:t>
      </w:r>
      <w:r>
        <w:rPr>
          <w:rFonts w:hint="default" w:ascii="Times New Roman" w:hAnsi="Times New Roman" w:eastAsia="方正仿宋_GBK" w:cs="Times New Roman"/>
          <w:sz w:val="32"/>
          <w:szCs w:val="32"/>
        </w:rPr>
        <w:t>.</w:t>
      </w:r>
      <w:r>
        <w:rPr>
          <w:rFonts w:hint="eastAsia" w:ascii="Times New Roman" w:hAnsi="Times New Roman" w:eastAsia="方正仿宋_GBK" w:cs="Times New Roman"/>
          <w:sz w:val="32"/>
          <w:szCs w:val="32"/>
        </w:rPr>
        <w:t>20</w:t>
      </w:r>
      <w:r>
        <w:rPr>
          <w:rFonts w:hint="default" w:ascii="Times New Roman" w:hAnsi="Times New Roman" w:eastAsia="方正仿宋_GBK" w:cs="Times New Roman"/>
          <w:sz w:val="32"/>
          <w:szCs w:val="32"/>
        </w:rPr>
        <w:t>k</w:t>
      </w:r>
      <w:r>
        <w:rPr>
          <w:rFonts w:hint="eastAsia" w:ascii="Times New Roman" w:hAnsi="Times New Roman" w:eastAsia="方正仿宋_GBK" w:cs="Times New Roman"/>
          <w:sz w:val="32"/>
          <w:szCs w:val="32"/>
        </w:rPr>
        <w:t>m堤防</w:t>
      </w:r>
      <w:r>
        <w:rPr>
          <w:rFonts w:hint="default" w:ascii="Times New Roman" w:hAnsi="Times New Roman" w:eastAsia="方正仿宋_GBK" w:cs="Times New Roman"/>
          <w:sz w:val="32"/>
          <w:szCs w:val="32"/>
        </w:rPr>
        <w:t>实施加高加固，达到</w:t>
      </w:r>
      <w:r>
        <w:rPr>
          <w:rFonts w:hint="eastAsia" w:ascii="Times New Roman" w:hAnsi="Times New Roman" w:eastAsia="方正仿宋_GBK" w:cs="Times New Roman"/>
          <w:sz w:val="32"/>
          <w:szCs w:val="32"/>
        </w:rPr>
        <w:t>50年</w:t>
      </w:r>
      <w:r>
        <w:rPr>
          <w:rFonts w:hint="default" w:ascii="Times New Roman" w:hAnsi="Times New Roman" w:eastAsia="方正仿宋_GBK" w:cs="Times New Roman"/>
          <w:sz w:val="32"/>
          <w:szCs w:val="32"/>
        </w:rPr>
        <w:t>一遇防洪标准</w:t>
      </w:r>
      <w:r>
        <w:rPr>
          <w:rFonts w:hint="eastAsia" w:ascii="Times New Roman" w:hAnsi="Times New Roman" w:eastAsia="方正仿宋_GBK" w:cs="Times New Roman"/>
          <w:sz w:val="32"/>
          <w:szCs w:val="32"/>
        </w:rPr>
        <w:t>，见</w:t>
      </w:r>
      <w:r>
        <w:rPr>
          <w:rFonts w:hint="default" w:ascii="Times New Roman" w:hAnsi="Times New Roman" w:eastAsia="方正仿宋_GBK" w:cs="Times New Roman"/>
          <w:sz w:val="32"/>
          <w:szCs w:val="32"/>
        </w:rPr>
        <w:t>图</w:t>
      </w:r>
      <w:r>
        <w:rPr>
          <w:rFonts w:hint="eastAsia" w:ascii="Times New Roman" w:hAnsi="Times New Roman" w:eastAsia="方正仿宋_GBK" w:cs="Times New Roman"/>
          <w:sz w:val="32"/>
          <w:szCs w:val="32"/>
        </w:rPr>
        <w:t>6.2</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3</w:t>
      </w:r>
      <w:r>
        <w:rPr>
          <w:rFonts w:hint="eastAsia" w:ascii="Times New Roman" w:hAnsi="Times New Roman" w:eastAsia="方正仿宋_GBK" w:cs="Times New Roman"/>
          <w:sz w:val="32"/>
          <w:szCs w:val="32"/>
          <w:lang w:val="en-US" w:eastAsia="zh-CN"/>
        </w:rPr>
        <w:t>5</w:t>
      </w:r>
      <w:r>
        <w:rPr>
          <w:rFonts w:hint="default" w:ascii="Times New Roman" w:hAnsi="Times New Roman" w:eastAsia="方正仿宋_GBK" w:cs="Times New Roman"/>
          <w:sz w:val="32"/>
          <w:szCs w:val="32"/>
        </w:rPr>
        <w:t>。</w:t>
      </w:r>
    </w:p>
    <w:p>
      <w:pPr>
        <w:pStyle w:val="2886"/>
        <w:outlineLvl w:val="9"/>
      </w:pPr>
      <w:r>
        <w:drawing>
          <wp:inline distT="0" distB="0" distL="114300" distR="114300">
            <wp:extent cx="4547870" cy="2836545"/>
            <wp:effectExtent l="0" t="0" r="5080" b="1905"/>
            <wp:docPr id="214" name="图片 289" descr="通惠河堤防加高"/>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4" name="图片 289" descr="通惠河堤防加高"/>
                    <pic:cNvPicPr>
                      <a:picLocks noChangeAspect="true"/>
                    </pic:cNvPicPr>
                  </pic:nvPicPr>
                  <pic:blipFill>
                    <a:blip r:embed="rId254"/>
                    <a:stretch>
                      <a:fillRect/>
                    </a:stretch>
                  </pic:blipFill>
                  <pic:spPr>
                    <a:xfrm>
                      <a:off x="0" y="0"/>
                      <a:ext cx="4547870" cy="2836545"/>
                    </a:xfrm>
                    <a:prstGeom prst="rect">
                      <a:avLst/>
                    </a:prstGeom>
                    <a:noFill/>
                    <a:ln>
                      <a:noFill/>
                    </a:ln>
                  </pic:spPr>
                </pic:pic>
              </a:graphicData>
            </a:graphic>
          </wp:inline>
        </w:drawing>
      </w:r>
    </w:p>
    <w:p>
      <w:pPr>
        <w:pStyle w:val="2886"/>
      </w:pPr>
      <w:r>
        <w:rPr>
          <w:rFonts w:hint="default" w:ascii="Times New Roman" w:hAnsi="Times New Roman" w:cs="Times New Roman"/>
        </w:rPr>
        <w:t>图6.2</w:t>
      </w:r>
      <w:r>
        <w:rPr>
          <w:rFonts w:hint="default" w:ascii="Times New Roman" w:hAnsi="Times New Roman" w:cs="Times New Roman"/>
          <w:lang w:eastAsia="zh-CN"/>
        </w:rPr>
        <w:t>—</w:t>
      </w:r>
      <w:r>
        <w:rPr>
          <w:rFonts w:hint="default" w:ascii="Times New Roman" w:hAnsi="Times New Roman" w:cs="Times New Roman"/>
        </w:rPr>
        <w:t>3</w:t>
      </w:r>
      <w:r>
        <w:rPr>
          <w:rFonts w:hint="default" w:ascii="Times New Roman" w:hAnsi="Times New Roman" w:cs="Times New Roman"/>
          <w:lang w:val="en-US" w:eastAsia="zh-CN"/>
        </w:rPr>
        <w:t>5</w:t>
      </w:r>
      <w:r>
        <w:rPr>
          <w:rFonts w:hint="default" w:ascii="Times New Roman" w:hAnsi="Times New Roman" w:cs="Times New Roman"/>
        </w:rPr>
        <w:t xml:space="preserve">    通惠河堤</w:t>
      </w:r>
      <w:r>
        <w:rPr>
          <w:rFonts w:hint="eastAsia"/>
        </w:rPr>
        <w:t>防加高位置示意图</w:t>
      </w:r>
    </w:p>
    <w:p>
      <w:pPr>
        <w:pStyle w:val="1355"/>
        <w:keepNext w:val="0"/>
        <w:keepLines w:val="0"/>
        <w:pageBreakBefore w:val="0"/>
        <w:widowControl w:val="0"/>
        <w:kinsoku/>
        <w:wordWrap/>
        <w:overflowPunct/>
        <w:topLinePunct w:val="0"/>
        <w:autoSpaceDE/>
        <w:autoSpaceDN/>
        <w:bidi w:val="0"/>
        <w:adjustRightInd/>
        <w:snapToGrid/>
        <w:ind w:firstLine="560"/>
        <w:textAlignment w:val="auto"/>
      </w:pPr>
      <w:r>
        <w:rPr>
          <w:rFonts w:hint="eastAsia" w:ascii="Times New Roman" w:hAnsi="Times New Roman" w:eastAsia="方正仿宋_GBK" w:cs="Times New Roman"/>
          <w:kern w:val="2"/>
          <w:sz w:val="32"/>
          <w:szCs w:val="32"/>
          <w:lang w:val="en-US" w:eastAsia="zh-CN" w:bidi="ar-SA"/>
        </w:rPr>
        <w:t>通惠河河口至通惠派出所约5</w:t>
      </w:r>
      <w:r>
        <w:rPr>
          <w:rFonts w:hint="default" w:ascii="Times New Roman" w:hAnsi="Times New Roman" w:eastAsia="方正仿宋_GBK" w:cs="Times New Roman"/>
          <w:kern w:val="2"/>
          <w:sz w:val="32"/>
          <w:szCs w:val="32"/>
          <w:lang w:val="en-US" w:eastAsia="zh-CN" w:bidi="ar-SA"/>
        </w:rPr>
        <w:t>.4km河段</w:t>
      </w:r>
      <w:r>
        <w:rPr>
          <w:rFonts w:hint="eastAsia" w:ascii="Times New Roman" w:hAnsi="Times New Roman" w:eastAsia="方正仿宋_GBK" w:cs="Times New Roman"/>
          <w:kern w:val="2"/>
          <w:sz w:val="32"/>
          <w:szCs w:val="32"/>
          <w:lang w:val="en-US" w:eastAsia="zh-CN" w:bidi="ar-SA"/>
        </w:rPr>
        <w:t>不足50年</w:t>
      </w:r>
      <w:r>
        <w:rPr>
          <w:rFonts w:hint="default" w:ascii="Times New Roman" w:hAnsi="Times New Roman" w:eastAsia="方正仿宋_GBK" w:cs="Times New Roman"/>
          <w:kern w:val="2"/>
          <w:sz w:val="32"/>
          <w:szCs w:val="32"/>
          <w:lang w:val="en-US" w:eastAsia="zh-CN" w:bidi="ar-SA"/>
        </w:rPr>
        <w:t>一遇，</w:t>
      </w:r>
      <w:r>
        <w:rPr>
          <w:rFonts w:hint="eastAsia" w:ascii="Times New Roman" w:hAnsi="Times New Roman" w:eastAsia="方正仿宋_GBK" w:cs="Times New Roman"/>
          <w:kern w:val="2"/>
          <w:sz w:val="32"/>
          <w:szCs w:val="32"/>
          <w:lang w:val="en-US" w:eastAsia="zh-CN" w:bidi="ar-SA"/>
        </w:rPr>
        <w:t>因</w:t>
      </w:r>
      <w:r>
        <w:rPr>
          <w:rFonts w:hint="default" w:ascii="Times New Roman" w:hAnsi="Times New Roman" w:eastAsia="方正仿宋_GBK" w:cs="Times New Roman"/>
          <w:kern w:val="2"/>
          <w:sz w:val="32"/>
          <w:szCs w:val="32"/>
          <w:lang w:val="en-US" w:eastAsia="zh-CN" w:bidi="ar-SA"/>
        </w:rPr>
        <w:t>淹没面积</w:t>
      </w:r>
      <w:r>
        <w:rPr>
          <w:rFonts w:hint="eastAsia" w:ascii="Times New Roman" w:hAnsi="Times New Roman" w:eastAsia="方正仿宋_GBK" w:cs="Times New Roman"/>
          <w:kern w:val="2"/>
          <w:sz w:val="32"/>
          <w:szCs w:val="32"/>
          <w:lang w:val="en-US" w:eastAsia="zh-CN" w:bidi="ar-SA"/>
        </w:rPr>
        <w:t>较小、受淹对象无重要设施</w:t>
      </w:r>
      <w:r>
        <w:rPr>
          <w:rFonts w:hint="default" w:ascii="Times New Roman" w:hAnsi="Times New Roman" w:eastAsia="方正仿宋_GBK" w:cs="Times New Roman"/>
          <w:kern w:val="2"/>
          <w:sz w:val="32"/>
          <w:szCs w:val="32"/>
          <w:lang w:val="en-US" w:eastAsia="zh-CN" w:bidi="ar-SA"/>
        </w:rPr>
        <w:t>，</w:t>
      </w:r>
      <w:r>
        <w:rPr>
          <w:rFonts w:hint="eastAsia" w:ascii="Times New Roman" w:hAnsi="Times New Roman" w:eastAsia="方正仿宋_GBK" w:cs="Times New Roman"/>
          <w:kern w:val="2"/>
          <w:sz w:val="32"/>
          <w:szCs w:val="32"/>
          <w:lang w:val="en-US" w:eastAsia="zh-CN" w:bidi="ar-SA"/>
        </w:rPr>
        <w:t>规划</w:t>
      </w:r>
      <w:r>
        <w:rPr>
          <w:rFonts w:hint="default" w:ascii="Times New Roman" w:hAnsi="Times New Roman" w:eastAsia="方正仿宋_GBK" w:cs="Times New Roman"/>
          <w:kern w:val="2"/>
          <w:sz w:val="32"/>
          <w:szCs w:val="32"/>
          <w:lang w:val="en-US" w:eastAsia="zh-CN" w:bidi="ar-SA"/>
        </w:rPr>
        <w:t>采用避险转移</w:t>
      </w:r>
      <w:r>
        <w:rPr>
          <w:rFonts w:hint="eastAsia" w:ascii="Times New Roman" w:hAnsi="Times New Roman" w:eastAsia="方正仿宋_GBK" w:cs="Times New Roman"/>
          <w:kern w:val="2"/>
          <w:sz w:val="32"/>
          <w:szCs w:val="32"/>
          <w:lang w:val="en-US" w:eastAsia="zh-CN" w:bidi="ar-SA"/>
        </w:rPr>
        <w:t>等</w:t>
      </w:r>
      <w:r>
        <w:rPr>
          <w:rFonts w:hint="default" w:ascii="Times New Roman" w:hAnsi="Times New Roman" w:eastAsia="方正仿宋_GBK" w:cs="Times New Roman"/>
          <w:kern w:val="2"/>
          <w:sz w:val="32"/>
          <w:szCs w:val="32"/>
          <w:lang w:val="en-US" w:eastAsia="zh-CN" w:bidi="ar-SA"/>
        </w:rPr>
        <w:t>非工程措施</w:t>
      </w:r>
      <w:r>
        <w:rPr>
          <w:rFonts w:hint="eastAsia" w:ascii="Times New Roman" w:hAnsi="Times New Roman" w:eastAsia="方正仿宋_GBK" w:cs="Times New Roman"/>
          <w:kern w:val="2"/>
          <w:sz w:val="32"/>
          <w:szCs w:val="32"/>
          <w:lang w:val="en-US" w:eastAsia="zh-CN" w:bidi="ar-SA"/>
        </w:rPr>
        <w:t>，见</w:t>
      </w:r>
      <w:r>
        <w:rPr>
          <w:rFonts w:hint="default" w:ascii="Times New Roman" w:hAnsi="Times New Roman" w:eastAsia="方正仿宋_GBK" w:cs="Times New Roman"/>
          <w:kern w:val="2"/>
          <w:sz w:val="32"/>
          <w:szCs w:val="32"/>
          <w:lang w:val="en-US" w:eastAsia="zh-CN" w:bidi="ar-SA"/>
        </w:rPr>
        <w:t>图</w:t>
      </w:r>
      <w:r>
        <w:rPr>
          <w:rFonts w:hint="eastAsia" w:ascii="Times New Roman" w:hAnsi="Times New Roman" w:eastAsia="方正仿宋_GBK" w:cs="Times New Roman"/>
          <w:kern w:val="2"/>
          <w:sz w:val="32"/>
          <w:szCs w:val="32"/>
          <w:lang w:val="en-US" w:eastAsia="zh-CN" w:bidi="ar-SA"/>
        </w:rPr>
        <w:t>6.2</w:t>
      </w:r>
      <w:r>
        <w:rPr>
          <w:rFonts w:hint="eastAsia" w:ascii="Times New Roman" w:eastAsia="方正仿宋_GBK" w:cs="Times New Roman"/>
          <w:kern w:val="2"/>
          <w:sz w:val="32"/>
          <w:szCs w:val="32"/>
          <w:lang w:val="en-US" w:eastAsia="zh-CN" w:bidi="ar-SA"/>
        </w:rPr>
        <w:t>—</w:t>
      </w:r>
      <w:r>
        <w:rPr>
          <w:rFonts w:hint="eastAsia" w:ascii="Times New Roman" w:hAnsi="Times New Roman" w:eastAsia="方正仿宋_GBK" w:cs="Times New Roman"/>
          <w:kern w:val="2"/>
          <w:sz w:val="32"/>
          <w:szCs w:val="32"/>
          <w:lang w:val="en-US" w:eastAsia="zh-CN" w:bidi="ar-SA"/>
        </w:rPr>
        <w:t>36。其中，通惠河口附近</w:t>
      </w:r>
      <w:r>
        <w:rPr>
          <w:rFonts w:hint="default" w:ascii="Times New Roman" w:hAnsi="Times New Roman" w:eastAsia="方正仿宋_GBK" w:cs="Times New Roman"/>
          <w:kern w:val="2"/>
          <w:sz w:val="32"/>
          <w:szCs w:val="32"/>
          <w:lang w:val="en-US" w:eastAsia="zh-CN" w:bidi="ar-SA"/>
        </w:rPr>
        <w:t>采用退滩还河方案，整栋拆迁受洪水威胁的1</w:t>
      </w:r>
      <w:r>
        <w:rPr>
          <w:rFonts w:hint="eastAsia" w:ascii="Times New Roman" w:hAnsi="Times New Roman" w:eastAsia="方正仿宋_GBK" w:cs="Times New Roman"/>
          <w:kern w:val="2"/>
          <w:sz w:val="32"/>
          <w:szCs w:val="32"/>
          <w:lang w:val="en-US" w:eastAsia="zh-CN" w:bidi="ar-SA"/>
        </w:rPr>
        <w:t>.</w:t>
      </w:r>
      <w:r>
        <w:rPr>
          <w:rFonts w:hint="default" w:ascii="Times New Roman" w:hAnsi="Times New Roman" w:eastAsia="方正仿宋_GBK" w:cs="Times New Roman"/>
          <w:kern w:val="2"/>
          <w:sz w:val="32"/>
          <w:szCs w:val="32"/>
          <w:lang w:val="en-US" w:eastAsia="zh-CN" w:bidi="ar-SA"/>
        </w:rPr>
        <w:t>0</w:t>
      </w:r>
      <w:r>
        <w:rPr>
          <w:rFonts w:hint="eastAsia" w:ascii="Times New Roman" w:hAnsi="Times New Roman" w:eastAsia="方正仿宋_GBK" w:cs="Times New Roman"/>
          <w:kern w:val="2"/>
          <w:sz w:val="32"/>
          <w:szCs w:val="32"/>
          <w:lang w:val="en-US" w:eastAsia="zh-CN" w:bidi="ar-SA"/>
        </w:rPr>
        <w:t>4万m</w:t>
      </w:r>
      <w:r>
        <w:rPr>
          <w:rFonts w:hint="eastAsia" w:ascii="Times New Roman" w:hAnsi="Times New Roman" w:eastAsia="方正仿宋_GBK" w:cs="Times New Roman"/>
          <w:bCs/>
          <w:sz w:val="32"/>
          <w:szCs w:val="32"/>
          <w:vertAlign w:val="superscript"/>
          <w:lang w:val="en-US" w:eastAsia="zh-CN"/>
        </w:rPr>
        <w:t>2</w:t>
      </w:r>
      <w:r>
        <w:rPr>
          <w:rFonts w:hint="default" w:ascii="Times New Roman" w:hAnsi="Times New Roman" w:eastAsia="方正仿宋_GBK" w:cs="Times New Roman"/>
          <w:kern w:val="2"/>
          <w:sz w:val="32"/>
          <w:szCs w:val="32"/>
          <w:lang w:val="en-US" w:eastAsia="zh-CN" w:bidi="ar-SA"/>
        </w:rPr>
        <w:t>房屋，并加强行洪空间管控</w:t>
      </w:r>
      <w:r>
        <w:rPr>
          <w:rFonts w:hint="eastAsia" w:ascii="Times New Roman" w:hAnsi="Times New Roman" w:eastAsia="方正仿宋_GBK" w:cs="Times New Roman"/>
          <w:kern w:val="2"/>
          <w:sz w:val="32"/>
          <w:szCs w:val="32"/>
          <w:lang w:val="en-US" w:eastAsia="zh-CN" w:bidi="ar-SA"/>
        </w:rPr>
        <w:t>，达到50年一遇防洪标准。</w:t>
      </w:r>
    </w:p>
    <w:p>
      <w:pPr>
        <w:pStyle w:val="2886"/>
        <w:outlineLvl w:val="9"/>
      </w:pPr>
      <w:r>
        <w:drawing>
          <wp:inline distT="0" distB="0" distL="114300" distR="114300">
            <wp:extent cx="4652010" cy="2607945"/>
            <wp:effectExtent l="0" t="0" r="15240" b="1905"/>
            <wp:docPr id="215" name="图片 40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5" name="图片 400"/>
                    <pic:cNvPicPr>
                      <a:picLocks noChangeAspect="true"/>
                    </pic:cNvPicPr>
                  </pic:nvPicPr>
                  <pic:blipFill>
                    <a:blip r:embed="rId255"/>
                    <a:stretch>
                      <a:fillRect/>
                    </a:stretch>
                  </pic:blipFill>
                  <pic:spPr>
                    <a:xfrm>
                      <a:off x="0" y="0"/>
                      <a:ext cx="4652010" cy="2607945"/>
                    </a:xfrm>
                    <a:prstGeom prst="rect">
                      <a:avLst/>
                    </a:prstGeom>
                    <a:noFill/>
                    <a:ln>
                      <a:noFill/>
                    </a:ln>
                  </pic:spPr>
                </pic:pic>
              </a:graphicData>
            </a:graphic>
          </wp:inline>
        </w:drawing>
      </w:r>
    </w:p>
    <w:p>
      <w:pPr>
        <w:pStyle w:val="2886"/>
      </w:pPr>
      <w:r>
        <w:rPr>
          <w:rFonts w:hint="default" w:ascii="Times New Roman" w:hAnsi="Times New Roman" w:cs="Times New Roman"/>
        </w:rPr>
        <w:t>图6.2</w:t>
      </w:r>
      <w:r>
        <w:rPr>
          <w:rFonts w:hint="default" w:ascii="Times New Roman" w:hAnsi="Times New Roman" w:cs="Times New Roman"/>
          <w:lang w:eastAsia="zh-CN"/>
        </w:rPr>
        <w:t>—</w:t>
      </w:r>
      <w:r>
        <w:rPr>
          <w:rFonts w:hint="default" w:ascii="Times New Roman" w:hAnsi="Times New Roman" w:cs="Times New Roman"/>
          <w:lang w:val="en-US" w:eastAsia="zh-CN"/>
        </w:rPr>
        <w:t>36</w:t>
      </w:r>
      <w:r>
        <w:t xml:space="preserve"> </w:t>
      </w:r>
      <w:r>
        <w:rPr>
          <w:rFonts w:hint="eastAsia"/>
        </w:rPr>
        <w:t xml:space="preserve"> </w:t>
      </w:r>
      <w:r>
        <w:t xml:space="preserve"> </w:t>
      </w:r>
      <w:r>
        <w:rPr>
          <w:rFonts w:hint="eastAsia"/>
        </w:rPr>
        <w:t>通惠河与沙溪河2</w:t>
      </w:r>
      <w:r>
        <w:t>0年一遇</w:t>
      </w:r>
      <w:r>
        <w:rPr>
          <w:rFonts w:hint="eastAsia"/>
        </w:rPr>
        <w:t>洪水淹没及</w:t>
      </w:r>
      <w:r>
        <w:t>避洪转移路线</w:t>
      </w:r>
      <w:r>
        <w:rPr>
          <w:rFonts w:hint="eastAsia"/>
        </w:rPr>
        <w:t>图</w:t>
      </w:r>
    </w:p>
    <w:p>
      <w:pPr>
        <w:pStyle w:val="1355"/>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7.5</w:t>
      </w:r>
      <w:r>
        <w:rPr>
          <w:rFonts w:hint="eastAsia" w:ascii="Times New Roman" w:eastAsia="方正仿宋_GBK" w:cs="Times New Roman"/>
          <w:kern w:val="2"/>
          <w:sz w:val="32"/>
          <w:szCs w:val="32"/>
          <w:lang w:val="en-US" w:eastAsia="zh-CN" w:bidi="ar-SA"/>
        </w:rPr>
        <w:t xml:space="preserve"> </w:t>
      </w:r>
      <w:r>
        <w:rPr>
          <w:rFonts w:hint="eastAsia" w:ascii="Times New Roman" w:hAnsi="Times New Roman" w:eastAsia="方正仿宋_GBK" w:cs="Times New Roman"/>
          <w:kern w:val="2"/>
          <w:sz w:val="32"/>
          <w:szCs w:val="32"/>
          <w:lang w:val="en-US" w:eastAsia="zh-CN" w:bidi="ar-SA"/>
        </w:rPr>
        <w:t>沙溪河堤防建设方案</w:t>
      </w:r>
    </w:p>
    <w:p>
      <w:pPr>
        <w:pStyle w:val="1355"/>
        <w:keepNext w:val="0"/>
        <w:keepLines w:val="0"/>
        <w:pageBreakBefore w:val="0"/>
        <w:widowControl w:val="0"/>
        <w:kinsoku/>
        <w:wordWrap/>
        <w:overflowPunct/>
        <w:topLinePunct w:val="0"/>
        <w:autoSpaceDE/>
        <w:autoSpaceDN/>
        <w:bidi w:val="0"/>
        <w:adjustRightInd/>
        <w:snapToGrid/>
        <w:ind w:firstLine="560"/>
        <w:textAlignment w:val="auto"/>
      </w:pPr>
      <w:r>
        <w:rPr>
          <w:rFonts w:hint="eastAsia" w:ascii="Times New Roman" w:hAnsi="Times New Roman" w:eastAsia="方正仿宋_GBK" w:cs="Times New Roman"/>
          <w:kern w:val="2"/>
          <w:sz w:val="32"/>
          <w:szCs w:val="32"/>
          <w:lang w:val="en-US" w:eastAsia="zh-CN" w:bidi="ar-SA"/>
        </w:rPr>
        <w:t>沙溪河局部河段不足50年一遇，因淹没面积较小、受淹对象无重要设施，规划采用避险转移等非工程措施，见图6.2</w:t>
      </w:r>
      <w:r>
        <w:rPr>
          <w:rFonts w:hint="eastAsia" w:ascii="Times New Roman" w:eastAsia="方正仿宋_GBK" w:cs="Times New Roman"/>
          <w:kern w:val="2"/>
          <w:sz w:val="32"/>
          <w:szCs w:val="32"/>
          <w:lang w:val="en-US" w:eastAsia="zh-CN" w:bidi="ar-SA"/>
        </w:rPr>
        <w:t>—</w:t>
      </w:r>
      <w:r>
        <w:rPr>
          <w:rFonts w:hint="eastAsia" w:ascii="Times New Roman" w:hAnsi="Times New Roman" w:eastAsia="方正仿宋_GBK" w:cs="Times New Roman"/>
          <w:kern w:val="2"/>
          <w:sz w:val="32"/>
          <w:szCs w:val="32"/>
          <w:lang w:val="en-US" w:eastAsia="zh-CN" w:bidi="ar-SA"/>
        </w:rPr>
        <w:t>36。</w:t>
      </w:r>
    </w:p>
    <w:p>
      <w:pPr>
        <w:pStyle w:val="1795"/>
        <w:keepNext w:val="0"/>
        <w:keepLines w:val="0"/>
        <w:pageBreakBefore w:val="0"/>
        <w:widowControl w:val="0"/>
        <w:kinsoku/>
        <w:wordWrap/>
        <w:overflowPunct/>
        <w:topLinePunct w:val="0"/>
        <w:autoSpaceDE/>
        <w:autoSpaceDN/>
        <w:bidi w:val="0"/>
        <w:adjustRightInd/>
        <w:snapToGrid/>
        <w:spacing w:before="0" w:after="0"/>
        <w:ind w:firstLine="640" w:firstLineChars="200"/>
        <w:textAlignment w:val="auto"/>
        <w:rPr>
          <w:rFonts w:hint="eastAsia" w:ascii="方正楷体_GBK" w:hAnsi="方正楷体_GBK" w:eastAsia="方正楷体_GBK" w:cs="方正楷体_GBK"/>
        </w:rPr>
      </w:pPr>
      <w:bookmarkStart w:id="145" w:name="_Toc23785"/>
      <w:bookmarkStart w:id="146" w:name="_Toc71782091"/>
      <w:bookmarkStart w:id="147" w:name="_Toc71665876"/>
      <w:bookmarkStart w:id="148" w:name="_Toc16323"/>
      <w:r>
        <w:rPr>
          <w:rFonts w:hint="eastAsia" w:ascii="方正楷体_GBK" w:hAnsi="方正楷体_GBK" w:eastAsia="方正楷体_GBK" w:cs="方正楷体_GBK"/>
          <w:lang w:eastAsia="zh-CN"/>
        </w:rPr>
        <w:t>（</w:t>
      </w:r>
      <w:r>
        <w:rPr>
          <w:rFonts w:hint="eastAsia" w:ascii="方正楷体_GBK" w:hAnsi="方正楷体_GBK" w:eastAsia="方正楷体_GBK" w:cs="方正楷体_GBK"/>
          <w:lang w:val="en-US" w:eastAsia="zh-CN"/>
        </w:rPr>
        <w:t>三</w:t>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rPr>
        <w:t>防洪水库</w:t>
      </w:r>
      <w:bookmarkEnd w:id="145"/>
      <w:bookmarkEnd w:id="146"/>
      <w:bookmarkEnd w:id="147"/>
      <w:bookmarkEnd w:id="148"/>
    </w:p>
    <w:p>
      <w:pPr>
        <w:pStyle w:val="1355"/>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1</w:t>
      </w:r>
      <w:r>
        <w:rPr>
          <w:rFonts w:hint="eastAsia" w:ascii="Times New Roman" w:hAnsi="Times New Roman" w:eastAsia="方正仿宋_GBK" w:cs="Times New Roman"/>
          <w:sz w:val="32"/>
          <w:szCs w:val="32"/>
          <w:lang w:val="en-US" w:eastAsia="zh-CN"/>
        </w:rPr>
        <w:t>．</w:t>
      </w:r>
      <w:r>
        <w:rPr>
          <w:rFonts w:hint="eastAsia" w:ascii="Times New Roman" w:hAnsi="Times New Roman" w:eastAsia="方正仿宋_GBK" w:cs="Times New Roman"/>
          <w:kern w:val="2"/>
          <w:sz w:val="32"/>
          <w:szCs w:val="32"/>
          <w:lang w:val="en-US" w:eastAsia="zh-CN" w:bidi="ar-SA"/>
        </w:rPr>
        <w:t>工程方案</w:t>
      </w:r>
    </w:p>
    <w:p>
      <w:pPr>
        <w:pStyle w:val="1355"/>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kern w:val="2"/>
          <w:sz w:val="32"/>
          <w:szCs w:val="32"/>
          <w:lang w:val="es-EC" w:eastAsia="zh-CN" w:bidi="ar-SA"/>
        </w:rPr>
      </w:pPr>
      <w:r>
        <w:rPr>
          <w:rFonts w:hint="eastAsia" w:ascii="Times New Roman" w:hAnsi="Times New Roman" w:eastAsia="方正仿宋_GBK" w:cs="Times New Roman"/>
          <w:kern w:val="2"/>
          <w:sz w:val="32"/>
          <w:szCs w:val="32"/>
          <w:lang w:val="en-US" w:eastAsia="zh-CN" w:bidi="ar-SA"/>
        </w:rPr>
        <w:t>綦江上游为主要暴雨区，洪水频繁，易形成峰高的单峰型洪水。綦江干流经城北大桥后，上游约4723km</w:t>
      </w:r>
      <w:r>
        <w:rPr>
          <w:rFonts w:hint="eastAsia" w:ascii="Times New Roman" w:hAnsi="Times New Roman" w:eastAsia="方正仿宋_GBK" w:cs="Times New Roman"/>
          <w:kern w:val="2"/>
          <w:sz w:val="32"/>
          <w:szCs w:val="32"/>
          <w:vertAlign w:val="superscript"/>
          <w:lang w:val="en-US" w:eastAsia="zh-CN" w:bidi="ar-SA"/>
        </w:rPr>
        <w:t>2</w:t>
      </w:r>
      <w:r>
        <w:rPr>
          <w:rFonts w:hint="eastAsia" w:ascii="Times New Roman" w:hAnsi="Times New Roman" w:eastAsia="方正仿宋_GBK" w:cs="Times New Roman"/>
          <w:kern w:val="2"/>
          <w:sz w:val="32"/>
          <w:szCs w:val="32"/>
          <w:lang w:val="en-US" w:eastAsia="zh-CN" w:bidi="ar-SA"/>
        </w:rPr>
        <w:t>的流域（占五岔站控制流域面积的85%）所汇集的20</w:t>
      </w:r>
      <w:r>
        <w:rPr>
          <w:rFonts w:hint="eastAsia" w:ascii="Times New Roman" w:eastAsia="方正仿宋_GBK" w:cs="Times New Roman"/>
          <w:kern w:val="2"/>
          <w:sz w:val="32"/>
          <w:szCs w:val="32"/>
          <w:lang w:val="en-US" w:eastAsia="zh-CN" w:bidi="ar-SA"/>
        </w:rPr>
        <w:t>—</w:t>
      </w:r>
      <w:r>
        <w:rPr>
          <w:rFonts w:hint="eastAsia" w:ascii="Times New Roman" w:hAnsi="Times New Roman" w:eastAsia="方正仿宋_GBK" w:cs="Times New Roman"/>
          <w:kern w:val="2"/>
          <w:sz w:val="32"/>
          <w:szCs w:val="32"/>
          <w:lang w:val="en-US" w:eastAsia="zh-CN" w:bidi="ar-SA"/>
        </w:rPr>
        <w:t>50年一遇洪峰流量已占到了五岔站洪峰流量的约94%，上游洪水又以藻渡河、松坎河、羊渡河、蒲河等支流来量较大，其中藻渡河大洪水年份1天洪量平均约占城北大桥的28.08%，2020年占37%，1973、2016、2020等年藻渡河洪峰流量占城北大桥的59.76%</w:t>
      </w:r>
      <w:r>
        <w:rPr>
          <w:rFonts w:hint="eastAsia" w:ascii="Times New Roman" w:eastAsia="方正仿宋_GBK" w:cs="Times New Roman"/>
          <w:kern w:val="2"/>
          <w:sz w:val="32"/>
          <w:szCs w:val="32"/>
          <w:lang w:val="en-US" w:eastAsia="zh-CN" w:bidi="ar-SA"/>
        </w:rPr>
        <w:t>—</w:t>
      </w:r>
      <w:r>
        <w:rPr>
          <w:rFonts w:hint="eastAsia" w:ascii="Times New Roman" w:hAnsi="Times New Roman" w:eastAsia="方正仿宋_GBK" w:cs="Times New Roman"/>
          <w:kern w:val="2"/>
          <w:sz w:val="32"/>
          <w:szCs w:val="32"/>
          <w:lang w:val="en-US" w:eastAsia="zh-CN" w:bidi="ar-SA"/>
        </w:rPr>
        <w:t>69.06%，1977、1979、1980、1983、1998、2005等年藻渡河洪峰流量占城北大桥的25.14%</w:t>
      </w:r>
      <w:r>
        <w:rPr>
          <w:rFonts w:hint="eastAsia" w:ascii="Times New Roman" w:eastAsia="方正仿宋_GBK" w:cs="Times New Roman"/>
          <w:kern w:val="2"/>
          <w:sz w:val="32"/>
          <w:szCs w:val="32"/>
          <w:lang w:val="en-US" w:eastAsia="zh-CN" w:bidi="ar-SA"/>
        </w:rPr>
        <w:t>—</w:t>
      </w:r>
      <w:r>
        <w:rPr>
          <w:rFonts w:hint="eastAsia" w:ascii="Times New Roman" w:hAnsi="Times New Roman" w:eastAsia="方正仿宋_GBK" w:cs="Times New Roman"/>
          <w:kern w:val="2"/>
          <w:sz w:val="32"/>
          <w:szCs w:val="32"/>
          <w:lang w:val="en-US" w:eastAsia="zh-CN" w:bidi="ar-SA"/>
        </w:rPr>
        <w:t>46.84%，均大于其面积占比（24.96%）。结合洪水地区组成特点、建库条件，拟在綦江城区上游支流藻渡河新建藻渡大型防洪水</w:t>
      </w:r>
      <w:r>
        <w:rPr>
          <w:rFonts w:hint="eastAsia" w:ascii="Times New Roman" w:hAnsi="Times New Roman" w:eastAsia="方正仿宋_GBK" w:cs="Times New Roman"/>
          <w:kern w:val="2"/>
          <w:sz w:val="32"/>
          <w:szCs w:val="32"/>
          <w:lang w:val="es-EC" w:eastAsia="zh-CN" w:bidi="ar-SA"/>
        </w:rPr>
        <w:t>库，分布位置见图6.</w:t>
      </w:r>
      <w:r>
        <w:rPr>
          <w:rFonts w:hint="eastAsia" w:ascii="Times New Roman" w:hAnsi="Times New Roman" w:eastAsia="方正仿宋_GBK" w:cs="Times New Roman"/>
          <w:kern w:val="2"/>
          <w:sz w:val="32"/>
          <w:szCs w:val="32"/>
          <w:lang w:val="en-US" w:eastAsia="zh-CN" w:bidi="ar-SA"/>
        </w:rPr>
        <w:t>3</w:t>
      </w:r>
      <w:r>
        <w:rPr>
          <w:rFonts w:hint="eastAsia" w:ascii="Times New Roman" w:eastAsia="方正仿宋_GBK" w:cs="Times New Roman"/>
          <w:kern w:val="2"/>
          <w:sz w:val="32"/>
          <w:szCs w:val="32"/>
          <w:lang w:val="es-EC" w:eastAsia="zh-CN" w:bidi="ar-SA"/>
        </w:rPr>
        <w:t>—</w:t>
      </w:r>
      <w:r>
        <w:rPr>
          <w:rFonts w:hint="eastAsia" w:ascii="Times New Roman" w:hAnsi="Times New Roman" w:eastAsia="方正仿宋_GBK" w:cs="Times New Roman"/>
          <w:kern w:val="2"/>
          <w:sz w:val="32"/>
          <w:szCs w:val="32"/>
          <w:lang w:val="en-US" w:eastAsia="zh-CN" w:bidi="ar-SA"/>
        </w:rPr>
        <w:t>1</w:t>
      </w:r>
      <w:r>
        <w:rPr>
          <w:rFonts w:hint="eastAsia" w:ascii="Times New Roman" w:hAnsi="Times New Roman" w:eastAsia="方正仿宋_GBK" w:cs="Times New Roman"/>
          <w:kern w:val="2"/>
          <w:sz w:val="32"/>
          <w:szCs w:val="32"/>
          <w:lang w:val="es-EC" w:eastAsia="zh-CN" w:bidi="ar-SA"/>
        </w:rPr>
        <w:t>。通过规划水库拦截支流洪量，削减綦江洪峰，保障綦江城区的</w:t>
      </w:r>
      <w:r>
        <w:rPr>
          <w:rFonts w:hint="eastAsia" w:ascii="Times New Roman" w:hAnsi="Times New Roman" w:eastAsia="方正仿宋_GBK" w:cs="Times New Roman"/>
          <w:kern w:val="2"/>
          <w:sz w:val="32"/>
          <w:szCs w:val="32"/>
          <w:lang w:val="en-US" w:eastAsia="zh-CN" w:bidi="ar-SA"/>
        </w:rPr>
        <w:t>防洪安全</w:t>
      </w:r>
      <w:r>
        <w:rPr>
          <w:rFonts w:hint="eastAsia" w:ascii="Times New Roman" w:hAnsi="Times New Roman" w:eastAsia="方正仿宋_GBK" w:cs="Times New Roman"/>
          <w:kern w:val="2"/>
          <w:sz w:val="32"/>
          <w:szCs w:val="32"/>
          <w:lang w:val="es-EC" w:eastAsia="zh-CN" w:bidi="ar-SA"/>
        </w:rPr>
        <w:t>。</w:t>
      </w:r>
    </w:p>
    <w:p>
      <w:pPr>
        <w:pStyle w:val="1355"/>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《西部大开发“十三五”规划》《成渝城市群发展规划》《长江流域综合规划（2012</w:t>
      </w:r>
      <w:r>
        <w:rPr>
          <w:rFonts w:hint="eastAsia" w:ascii="Times New Roman" w:eastAsia="方正仿宋_GBK" w:cs="Times New Roman"/>
          <w:kern w:val="2"/>
          <w:sz w:val="32"/>
          <w:szCs w:val="32"/>
          <w:lang w:val="en-US" w:eastAsia="zh-CN" w:bidi="ar-SA"/>
        </w:rPr>
        <w:t>—</w:t>
      </w:r>
      <w:r>
        <w:rPr>
          <w:rFonts w:hint="eastAsia" w:ascii="Times New Roman" w:hAnsi="Times New Roman" w:eastAsia="方正仿宋_GBK" w:cs="Times New Roman"/>
          <w:kern w:val="2"/>
          <w:sz w:val="32"/>
          <w:szCs w:val="32"/>
          <w:lang w:val="en-US" w:eastAsia="zh-CN" w:bidi="ar-SA"/>
        </w:rPr>
        <w:t>2030 年）》《长江经济带发展水利专项规划》《长江流域及西南诸河水资源综合规划》《全国大型水库建设总体安排意见》《重庆市五大功能区水利发展战略规划》《重庆市长江主要支流和重要湖泊防洪工程建设规划报告（2003</w:t>
      </w:r>
      <w:r>
        <w:rPr>
          <w:rFonts w:hint="eastAsia" w:ascii="Times New Roman" w:eastAsia="方正仿宋_GBK" w:cs="Times New Roman"/>
          <w:kern w:val="2"/>
          <w:sz w:val="32"/>
          <w:szCs w:val="32"/>
          <w:lang w:val="en-US" w:eastAsia="zh-CN" w:bidi="ar-SA"/>
        </w:rPr>
        <w:t>—</w:t>
      </w:r>
      <w:r>
        <w:rPr>
          <w:rFonts w:hint="eastAsia" w:ascii="Times New Roman" w:hAnsi="Times New Roman" w:eastAsia="方正仿宋_GBK" w:cs="Times New Roman"/>
          <w:kern w:val="2"/>
          <w:sz w:val="32"/>
          <w:szCs w:val="32"/>
          <w:lang w:val="en-US" w:eastAsia="zh-CN" w:bidi="ar-SA"/>
        </w:rPr>
        <w:t>2010年）》《重庆市水利发展“十三五”规划》《綦江河流域防洪规划报告（2000</w:t>
      </w:r>
      <w:r>
        <w:rPr>
          <w:rFonts w:hint="eastAsia" w:ascii="Times New Roman" w:eastAsia="方正仿宋_GBK" w:cs="Times New Roman"/>
          <w:kern w:val="2"/>
          <w:sz w:val="32"/>
          <w:szCs w:val="32"/>
          <w:lang w:val="en-US" w:eastAsia="zh-CN" w:bidi="ar-SA"/>
        </w:rPr>
        <w:t>—</w:t>
      </w:r>
      <w:r>
        <w:rPr>
          <w:rFonts w:hint="eastAsia" w:ascii="Times New Roman" w:hAnsi="Times New Roman" w:eastAsia="方正仿宋_GBK" w:cs="Times New Roman"/>
          <w:kern w:val="2"/>
          <w:sz w:val="32"/>
          <w:szCs w:val="32"/>
          <w:lang w:val="en-US" w:eastAsia="zh-CN" w:bidi="ar-SA"/>
        </w:rPr>
        <w:t>2020年）》《綦江县县城防洪规划报告》（2007年）《綦江河防洪综合整治开发利用建设规划》等相关规划中，均提出兴建藻渡水库，以解决綦江城区防洪能力不足的问题。根据相关规划，近期率先启动藻渡水库的建设论证工作，加强区域蓄水调度能力。今后在条件成熟时进一步研究修建安江、双丰湖、桃花潭等支流防洪水库等防洪工程措施，提升綦江城区超标准洪水应急处置能力。</w:t>
      </w:r>
    </w:p>
    <w:p>
      <w:pPr>
        <w:pStyle w:val="853"/>
        <w:spacing w:line="240" w:lineRule="auto"/>
        <w:ind w:firstLine="0" w:firstLineChars="0"/>
        <w:jc w:val="center"/>
        <w:rPr>
          <w:rFonts w:ascii="Times New Roman"/>
        </w:rPr>
      </w:pPr>
      <w:r>
        <w:rPr>
          <w:rFonts w:ascii="Times New Roman"/>
        </w:rPr>
        <w:drawing>
          <wp:inline distT="0" distB="0" distL="114300" distR="114300">
            <wp:extent cx="5683885" cy="6300470"/>
            <wp:effectExtent l="9525" t="9525" r="21590" b="14605"/>
            <wp:docPr id="216" name="图片 350" descr="规划防洪_副本_副本"/>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6" name="图片 350" descr="规划防洪_副本_副本"/>
                    <pic:cNvPicPr>
                      <a:picLocks noChangeAspect="true"/>
                    </pic:cNvPicPr>
                  </pic:nvPicPr>
                  <pic:blipFill>
                    <a:blip r:embed="rId256"/>
                    <a:srcRect r="2029" b="699"/>
                    <a:stretch>
                      <a:fillRect/>
                    </a:stretch>
                  </pic:blipFill>
                  <pic:spPr>
                    <a:xfrm>
                      <a:off x="0" y="0"/>
                      <a:ext cx="5683885" cy="6300470"/>
                    </a:xfrm>
                    <a:prstGeom prst="rect">
                      <a:avLst/>
                    </a:prstGeom>
                    <a:noFill/>
                    <a:ln w="9525" cap="flat" cmpd="sng">
                      <a:solidFill>
                        <a:srgbClr val="000000"/>
                      </a:solidFill>
                      <a:prstDash val="solid"/>
                      <a:miter/>
                      <a:headEnd type="none" w="med" len="med"/>
                      <a:tailEnd type="none" w="med" len="med"/>
                    </a:ln>
                  </pic:spPr>
                </pic:pic>
              </a:graphicData>
            </a:graphic>
          </wp:inline>
        </w:drawing>
      </w:r>
    </w:p>
    <w:p>
      <w:pPr>
        <w:pStyle w:val="2886"/>
        <w:ind w:firstLine="560"/>
      </w:pPr>
      <w:r>
        <w:rPr>
          <w:rFonts w:hint="default" w:ascii="Times New Roman" w:hAnsi="Times New Roman" w:cs="Times New Roman"/>
        </w:rPr>
        <w:t>图6.3</w:t>
      </w:r>
      <w:r>
        <w:rPr>
          <w:rFonts w:hint="default" w:ascii="Times New Roman" w:hAnsi="Times New Roman" w:cs="Times New Roman"/>
          <w:lang w:eastAsia="zh-CN"/>
        </w:rPr>
        <w:t>—</w:t>
      </w:r>
      <w:r>
        <w:rPr>
          <w:rFonts w:hint="default" w:ascii="Times New Roman" w:hAnsi="Times New Roman" w:cs="Times New Roman"/>
        </w:rPr>
        <w:t>1</w:t>
      </w:r>
      <w:r>
        <w:rPr>
          <w:rFonts w:hint="eastAsia"/>
        </w:rPr>
        <w:t xml:space="preserve">    綦江城区上游规划水库位置示意图</w:t>
      </w:r>
    </w:p>
    <w:p>
      <w:pPr>
        <w:pStyle w:val="1355"/>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规划在綦江支流藻渡河河口上游约1.2km处修建控制性防洪工程——藻渡水库，坝址距綦江城区直线距离35km，距离重庆市区80km。藻渡河在綦江区赶水镇汇入綦江，綦江是长江右岸一级支流，藻渡河流域面积1195km</w:t>
      </w:r>
      <w:r>
        <w:rPr>
          <w:rFonts w:hint="eastAsia" w:ascii="Times New Roman" w:hAnsi="Times New Roman" w:eastAsia="方正仿宋_GBK" w:cs="Times New Roman"/>
          <w:bCs/>
          <w:sz w:val="32"/>
          <w:szCs w:val="32"/>
          <w:vertAlign w:val="superscript"/>
          <w:lang w:val="en-US" w:eastAsia="zh-CN"/>
        </w:rPr>
        <w:t>2</w:t>
      </w:r>
      <w:r>
        <w:rPr>
          <w:rFonts w:hint="eastAsia" w:ascii="Times New Roman" w:hAnsi="Times New Roman" w:eastAsia="方正仿宋_GBK" w:cs="Times New Roman"/>
          <w:kern w:val="2"/>
          <w:sz w:val="32"/>
          <w:szCs w:val="32"/>
          <w:lang w:val="en-US" w:eastAsia="zh-CN" w:bidi="ar-SA"/>
        </w:rPr>
        <w:t>，其中藻渡水库坝址以上流域面积1179km</w:t>
      </w:r>
      <w:r>
        <w:rPr>
          <w:rFonts w:hint="eastAsia" w:ascii="Times New Roman" w:hAnsi="Times New Roman" w:eastAsia="方正仿宋_GBK" w:cs="Times New Roman"/>
          <w:bCs/>
          <w:sz w:val="32"/>
          <w:szCs w:val="32"/>
          <w:vertAlign w:val="superscript"/>
          <w:lang w:val="en-US" w:eastAsia="zh-CN"/>
        </w:rPr>
        <w:t>2</w:t>
      </w:r>
      <w:r>
        <w:rPr>
          <w:rFonts w:hint="eastAsia" w:ascii="Times New Roman" w:hAnsi="Times New Roman" w:eastAsia="方正仿宋_GBK" w:cs="Times New Roman"/>
          <w:kern w:val="2"/>
          <w:sz w:val="32"/>
          <w:szCs w:val="32"/>
          <w:lang w:val="en-US" w:eastAsia="zh-CN" w:bidi="ar-SA"/>
        </w:rPr>
        <w:t>，占藻渡河流域面积的99%，占綦江城区防洪控制断面城北大桥以上流域面积的25%。</w:t>
      </w:r>
    </w:p>
    <w:p>
      <w:pPr>
        <w:pStyle w:val="1355"/>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2</w:t>
      </w:r>
      <w:r>
        <w:rPr>
          <w:rFonts w:hint="eastAsia" w:ascii="Times New Roman" w:hAnsi="Times New Roman" w:eastAsia="方正仿宋_GBK" w:cs="Times New Roman"/>
          <w:sz w:val="32"/>
          <w:szCs w:val="32"/>
          <w:lang w:val="en-US" w:eastAsia="zh-CN"/>
        </w:rPr>
        <w:t>．</w:t>
      </w:r>
      <w:r>
        <w:rPr>
          <w:rFonts w:hint="eastAsia" w:ascii="Times New Roman" w:hAnsi="Times New Roman" w:eastAsia="方正仿宋_GBK" w:cs="Times New Roman"/>
          <w:kern w:val="2"/>
          <w:sz w:val="32"/>
          <w:szCs w:val="32"/>
          <w:lang w:val="en-US" w:eastAsia="zh-CN" w:bidi="ar-SA"/>
        </w:rPr>
        <w:t>防洪作用</w:t>
      </w:r>
    </w:p>
    <w:p>
      <w:pPr>
        <w:pStyle w:val="1355"/>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规划通过堤库结合措施，即在綦江干流綦江城区段20年一遇堤防护岸的基础上在上游修建藻渡水库，将城区防洪标准提高至50年一遇。綦江城区防洪护岸工程完建后，城区防洪控制断面彩虹桥、城北大桥安全泄量分别为4841m</w:t>
      </w:r>
      <w:r>
        <w:rPr>
          <w:rFonts w:hint="eastAsia" w:ascii="Times New Roman" w:hAnsi="Times New Roman" w:eastAsia="方正仿宋_GBK" w:cs="Times New Roman"/>
          <w:kern w:val="2"/>
          <w:sz w:val="32"/>
          <w:szCs w:val="32"/>
          <w:vertAlign w:val="superscript"/>
          <w:lang w:val="en-US" w:eastAsia="zh-CN" w:bidi="ar-SA"/>
        </w:rPr>
        <w:t>3</w:t>
      </w:r>
      <w:r>
        <w:rPr>
          <w:rFonts w:hint="eastAsia" w:ascii="Times New Roman" w:hAnsi="Times New Roman" w:eastAsia="方正仿宋_GBK" w:cs="Times New Roman"/>
          <w:kern w:val="2"/>
          <w:sz w:val="32"/>
          <w:szCs w:val="32"/>
          <w:lang w:val="en-US" w:eastAsia="zh-CN" w:bidi="ar-SA"/>
        </w:rPr>
        <w:t>/s和4920m</w:t>
      </w:r>
      <w:r>
        <w:rPr>
          <w:rFonts w:hint="eastAsia" w:ascii="Times New Roman" w:hAnsi="Times New Roman" w:eastAsia="方正仿宋_GBK" w:cs="Times New Roman"/>
          <w:kern w:val="2"/>
          <w:sz w:val="32"/>
          <w:szCs w:val="32"/>
          <w:vertAlign w:val="superscript"/>
          <w:lang w:val="en-US" w:eastAsia="zh-CN" w:bidi="ar-SA"/>
        </w:rPr>
        <w:t>3</w:t>
      </w:r>
      <w:r>
        <w:rPr>
          <w:rFonts w:hint="eastAsia" w:ascii="Times New Roman" w:hAnsi="Times New Roman" w:eastAsia="方正仿宋_GBK" w:cs="Times New Roman"/>
          <w:kern w:val="2"/>
          <w:sz w:val="32"/>
          <w:szCs w:val="32"/>
          <w:lang w:val="en-US" w:eastAsia="zh-CN" w:bidi="ar-SA"/>
        </w:rPr>
        <w:t>/s，50年一遇洪峰流量为5868m</w:t>
      </w:r>
      <w:r>
        <w:rPr>
          <w:rFonts w:hint="eastAsia" w:ascii="Times New Roman" w:hAnsi="Times New Roman" w:eastAsia="方正仿宋_GBK" w:cs="Times New Roman"/>
          <w:kern w:val="2"/>
          <w:sz w:val="32"/>
          <w:szCs w:val="32"/>
          <w:vertAlign w:val="superscript"/>
          <w:lang w:val="en-US" w:eastAsia="zh-CN" w:bidi="ar-SA"/>
        </w:rPr>
        <w:t>3</w:t>
      </w:r>
      <w:r>
        <w:rPr>
          <w:rFonts w:hint="eastAsia" w:ascii="Times New Roman" w:hAnsi="Times New Roman" w:eastAsia="方正仿宋_GBK" w:cs="Times New Roman"/>
          <w:kern w:val="2"/>
          <w:sz w:val="32"/>
          <w:szCs w:val="32"/>
          <w:lang w:val="en-US" w:eastAsia="zh-CN" w:bidi="ar-SA"/>
        </w:rPr>
        <w:t>/s和5950m</w:t>
      </w:r>
      <w:r>
        <w:rPr>
          <w:rFonts w:hint="eastAsia" w:ascii="Times New Roman" w:hAnsi="Times New Roman" w:eastAsia="方正仿宋_GBK" w:cs="Times New Roman"/>
          <w:kern w:val="2"/>
          <w:sz w:val="32"/>
          <w:szCs w:val="32"/>
          <w:vertAlign w:val="superscript"/>
          <w:lang w:val="en-US" w:eastAsia="zh-CN" w:bidi="ar-SA"/>
        </w:rPr>
        <w:t>3</w:t>
      </w:r>
      <w:r>
        <w:rPr>
          <w:rFonts w:hint="eastAsia" w:ascii="Times New Roman" w:hAnsi="Times New Roman" w:eastAsia="方正仿宋_GBK" w:cs="Times New Roman"/>
          <w:kern w:val="2"/>
          <w:sz w:val="32"/>
          <w:szCs w:val="32"/>
          <w:lang w:val="en-US" w:eastAsia="zh-CN" w:bidi="ar-SA"/>
        </w:rPr>
        <w:t>/s，若将綦江城区防洪标准提高至50年一遇，需要削减的洪峰流量约为1030m</w:t>
      </w:r>
      <w:r>
        <w:rPr>
          <w:rFonts w:hint="eastAsia" w:ascii="Times New Roman" w:hAnsi="Times New Roman" w:eastAsia="方正仿宋_GBK" w:cs="Times New Roman"/>
          <w:kern w:val="2"/>
          <w:sz w:val="32"/>
          <w:szCs w:val="32"/>
          <w:vertAlign w:val="superscript"/>
          <w:lang w:val="en-US" w:eastAsia="zh-CN" w:bidi="ar-SA"/>
        </w:rPr>
        <w:t>3</w:t>
      </w:r>
      <w:r>
        <w:rPr>
          <w:rFonts w:hint="eastAsia" w:ascii="Times New Roman" w:hAnsi="Times New Roman" w:eastAsia="方正仿宋_GBK" w:cs="Times New Roman"/>
          <w:kern w:val="2"/>
          <w:sz w:val="32"/>
          <w:szCs w:val="32"/>
          <w:lang w:val="en-US" w:eastAsia="zh-CN" w:bidi="ar-SA"/>
        </w:rPr>
        <w:t>/s。藻渡水库坝址至綦江城区的洪水传播时间约为6h，考虑河道的槽蓄坦化作用，则需藻渡水库削减洪峰流量约为1300m</w:t>
      </w:r>
      <w:r>
        <w:rPr>
          <w:rFonts w:hint="eastAsia" w:ascii="Times New Roman" w:hAnsi="Times New Roman" w:eastAsia="方正仿宋_GBK" w:cs="Times New Roman"/>
          <w:kern w:val="2"/>
          <w:sz w:val="32"/>
          <w:szCs w:val="32"/>
          <w:vertAlign w:val="superscript"/>
          <w:lang w:val="en-US" w:eastAsia="zh-CN" w:bidi="ar-SA"/>
        </w:rPr>
        <w:t>3</w:t>
      </w:r>
      <w:r>
        <w:rPr>
          <w:rFonts w:hint="eastAsia" w:ascii="Times New Roman" w:hAnsi="Times New Roman" w:eastAsia="方正仿宋_GBK" w:cs="Times New Roman"/>
          <w:kern w:val="2"/>
          <w:sz w:val="32"/>
          <w:szCs w:val="32"/>
          <w:lang w:val="en-US" w:eastAsia="zh-CN" w:bidi="ar-SA"/>
        </w:rPr>
        <w:t>/s。</w:t>
      </w:r>
    </w:p>
    <w:p>
      <w:pPr>
        <w:pStyle w:val="1355"/>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3</w:t>
      </w:r>
      <w:r>
        <w:rPr>
          <w:rFonts w:hint="eastAsia" w:ascii="Times New Roman" w:hAnsi="Times New Roman" w:eastAsia="方正仿宋_GBK" w:cs="Times New Roman"/>
          <w:sz w:val="32"/>
          <w:szCs w:val="32"/>
          <w:lang w:val="en-US" w:eastAsia="zh-CN"/>
        </w:rPr>
        <w:t>．</w:t>
      </w:r>
      <w:r>
        <w:rPr>
          <w:rFonts w:hint="eastAsia" w:ascii="Times New Roman" w:hAnsi="Times New Roman" w:eastAsia="方正仿宋_GBK" w:cs="Times New Roman"/>
          <w:kern w:val="2"/>
          <w:sz w:val="32"/>
          <w:szCs w:val="32"/>
          <w:lang w:val="en-US" w:eastAsia="zh-CN" w:bidi="ar-SA"/>
        </w:rPr>
        <w:t>预留防洪库容</w:t>
      </w:r>
    </w:p>
    <w:p>
      <w:pPr>
        <w:pStyle w:val="1355"/>
        <w:keepNext w:val="0"/>
        <w:keepLines w:val="0"/>
        <w:pageBreakBefore w:val="0"/>
        <w:widowControl w:val="0"/>
        <w:kinsoku/>
        <w:wordWrap/>
        <w:overflowPunct/>
        <w:topLinePunct w:val="0"/>
        <w:autoSpaceDE/>
        <w:autoSpaceDN/>
        <w:bidi w:val="0"/>
        <w:adjustRightInd/>
        <w:snapToGrid/>
        <w:ind w:firstLine="560"/>
        <w:textAlignment w:val="auto"/>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由于藻渡河洪水大部分与綦江干流洪水遭遇，綦江城区洪水较大时，绝大部分时间藻渡河洪水也较大，故拦蓄藻渡河洪水对削减綦江城区洪峰作用较大。对各典型洪水进行调洪演算，綦江城区防洪护岸工程完建工况下，藻渡水库对綦江城区的防洪效果见表6.3</w:t>
      </w:r>
      <w:r>
        <w:rPr>
          <w:rFonts w:hint="eastAsia" w:ascii="Times New Roman" w:eastAsia="方正仿宋_GBK" w:cs="Times New Roman"/>
          <w:kern w:val="2"/>
          <w:sz w:val="32"/>
          <w:szCs w:val="32"/>
          <w:lang w:val="en-US" w:eastAsia="zh-CN" w:bidi="ar-SA"/>
        </w:rPr>
        <w:t>—</w:t>
      </w:r>
      <w:r>
        <w:rPr>
          <w:rFonts w:hint="eastAsia" w:ascii="Times New Roman" w:hAnsi="Times New Roman" w:eastAsia="方正仿宋_GBK" w:cs="Times New Roman"/>
          <w:kern w:val="2"/>
          <w:sz w:val="32"/>
          <w:szCs w:val="32"/>
          <w:lang w:val="en-US" w:eastAsia="zh-CN" w:bidi="ar-SA"/>
        </w:rPr>
        <w:t>1。可以看出，在綦江城区防洪护岸工程完建后，城区防洪标准达到20年一遇洪水标准，对于1973、1976、1977、1979、1980、1983、1998、2005和2016年等不同类型的50年一遇典型洪水，经藻渡水库拦蓄，均可削减綦江主城区洪峰流量至安全泄量4920m</w:t>
      </w:r>
      <w:r>
        <w:rPr>
          <w:rFonts w:hint="eastAsia" w:ascii="Times New Roman" w:hAnsi="Times New Roman" w:eastAsia="方正仿宋_GBK" w:cs="Times New Roman"/>
          <w:kern w:val="2"/>
          <w:sz w:val="32"/>
          <w:szCs w:val="32"/>
          <w:vertAlign w:val="superscript"/>
          <w:lang w:val="en-US" w:eastAsia="zh-CN" w:bidi="ar-SA"/>
        </w:rPr>
        <w:t>3</w:t>
      </w:r>
      <w:r>
        <w:rPr>
          <w:rFonts w:hint="eastAsia" w:ascii="Times New Roman" w:hAnsi="Times New Roman" w:eastAsia="方正仿宋_GBK" w:cs="Times New Roman"/>
          <w:kern w:val="2"/>
          <w:sz w:val="32"/>
          <w:szCs w:val="32"/>
          <w:lang w:val="en-US" w:eastAsia="zh-CN" w:bidi="ar-SA"/>
        </w:rPr>
        <w:t>/s以内，綦江城区的防洪能力满足50年一遇的标准要求，需要动用的最大防洪库容为4963万m</w:t>
      </w:r>
      <w:r>
        <w:rPr>
          <w:rFonts w:hint="eastAsia" w:ascii="Times New Roman" w:hAnsi="Times New Roman" w:eastAsia="方正仿宋_GBK" w:cs="Times New Roman"/>
          <w:kern w:val="2"/>
          <w:sz w:val="32"/>
          <w:szCs w:val="32"/>
          <w:vertAlign w:val="superscript"/>
          <w:lang w:val="en-US" w:eastAsia="zh-CN" w:bidi="ar-SA"/>
        </w:rPr>
        <w:t>3</w:t>
      </w:r>
      <w:r>
        <w:rPr>
          <w:rFonts w:hint="eastAsia" w:ascii="Times New Roman" w:hAnsi="Times New Roman" w:eastAsia="方正仿宋_GBK" w:cs="Times New Roman"/>
          <w:kern w:val="2"/>
          <w:sz w:val="32"/>
          <w:szCs w:val="32"/>
          <w:lang w:val="en-US" w:eastAsia="zh-CN" w:bidi="ar-SA"/>
        </w:rPr>
        <w:t>。对于2020年实际洪水，经藻渡水库拦蓄，也可将綦江城区洪峰流量控制在安全泄量4920m</w:t>
      </w:r>
      <w:r>
        <w:rPr>
          <w:rFonts w:hint="eastAsia" w:ascii="Times New Roman" w:hAnsi="Times New Roman" w:eastAsia="方正仿宋_GBK" w:cs="Times New Roman"/>
          <w:kern w:val="2"/>
          <w:sz w:val="32"/>
          <w:szCs w:val="32"/>
          <w:vertAlign w:val="superscript"/>
          <w:lang w:val="en-US" w:eastAsia="zh-CN" w:bidi="ar-SA"/>
        </w:rPr>
        <w:t>3</w:t>
      </w:r>
      <w:r>
        <w:rPr>
          <w:rFonts w:hint="eastAsia" w:ascii="Times New Roman" w:hAnsi="Times New Roman" w:eastAsia="方正仿宋_GBK" w:cs="Times New Roman"/>
          <w:kern w:val="2"/>
          <w:sz w:val="32"/>
          <w:szCs w:val="32"/>
          <w:lang w:val="en-US" w:eastAsia="zh-CN" w:bidi="ar-SA"/>
        </w:rPr>
        <w:t>/s以下。</w:t>
      </w:r>
    </w:p>
    <w:p>
      <w:pPr>
        <w:pStyle w:val="1916"/>
        <w:ind w:firstLine="560"/>
        <w:sectPr>
          <w:headerReference r:id="rId42" w:type="default"/>
          <w:headerReference r:id="rId43" w:type="even"/>
          <w:pgSz w:w="11907" w:h="16840"/>
          <w:pgMar w:top="1616" w:right="1418" w:bottom="1616" w:left="1418" w:header="851" w:footer="1304" w:gutter="0"/>
          <w:pgBorders>
            <w:top w:val="none" w:sz="0" w:space="0"/>
            <w:left w:val="none" w:sz="0" w:space="0"/>
            <w:bottom w:val="none" w:sz="0" w:space="0"/>
            <w:right w:val="none" w:sz="0" w:space="0"/>
          </w:pgBorders>
          <w:pgNumType w:fmt="decimal"/>
          <w:cols w:space="720" w:num="1"/>
          <w:docGrid w:type="lines" w:linePitch="381" w:charSpace="0"/>
        </w:sectPr>
      </w:pPr>
    </w:p>
    <w:p>
      <w:pPr>
        <w:pStyle w:val="2312"/>
        <w:ind w:firstLine="240"/>
      </w:pPr>
      <w:r>
        <w:rPr>
          <w:rFonts w:hint="default" w:ascii="Times New Roman" w:hAnsi="Times New Roman" w:cs="Times New Roman"/>
        </w:rPr>
        <w:t>表6.3</w:t>
      </w:r>
      <w:r>
        <w:rPr>
          <w:rFonts w:hint="default" w:ascii="Times New Roman" w:hAnsi="Times New Roman" w:cs="Times New Roman"/>
          <w:lang w:eastAsia="zh-CN"/>
        </w:rPr>
        <w:t>—</w:t>
      </w:r>
      <w:r>
        <w:rPr>
          <w:rFonts w:hint="default" w:ascii="Times New Roman" w:hAnsi="Times New Roman" w:cs="Times New Roman"/>
        </w:rPr>
        <w:t>1　　藻渡水库防洪效果（綦江城区堤防</w:t>
      </w:r>
      <w:r>
        <w:rPr>
          <w:rFonts w:hint="eastAsia"/>
        </w:rPr>
        <w:t>完建后城北大</w:t>
      </w:r>
      <w:r>
        <w:rPr>
          <w:rFonts w:hint="default" w:ascii="Times New Roman" w:hAnsi="Times New Roman" w:cs="Times New Roman"/>
        </w:rPr>
        <w:t>桥安全泄量4920</w:t>
      </w:r>
      <w:r>
        <w:t>m</w:t>
      </w:r>
      <w:r>
        <w:rPr>
          <w:vertAlign w:val="superscript"/>
        </w:rPr>
        <w:t>3</w:t>
      </w:r>
      <w:r>
        <w:t>/s</w:t>
      </w:r>
      <w:r>
        <w:rPr>
          <w:rFonts w:hint="eastAsia"/>
        </w:rPr>
        <w:t>）</w:t>
      </w:r>
    </w:p>
    <w:tbl>
      <w:tblPr>
        <w:tblStyle w:val="88"/>
        <w:tblW w:w="5000"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28" w:type="dxa"/>
          <w:bottom w:w="0" w:type="dxa"/>
          <w:right w:w="28" w:type="dxa"/>
        </w:tblCellMar>
      </w:tblPr>
      <w:tblGrid>
        <w:gridCol w:w="549"/>
        <w:gridCol w:w="670"/>
        <w:gridCol w:w="1033"/>
        <w:gridCol w:w="1033"/>
        <w:gridCol w:w="1037"/>
        <w:gridCol w:w="1519"/>
        <w:gridCol w:w="977"/>
        <w:gridCol w:w="1033"/>
        <w:gridCol w:w="1276"/>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28" w:type="dxa"/>
            <w:bottom w:w="0" w:type="dxa"/>
            <w:right w:w="28" w:type="dxa"/>
          </w:tblCellMar>
        </w:tblPrEx>
        <w:trPr>
          <w:trHeight w:val="340" w:hRule="atLeast"/>
          <w:jc w:val="center"/>
        </w:trPr>
        <w:tc>
          <w:tcPr>
            <w:tcW w:w="301" w:type="pct"/>
            <w:noWrap w:val="0"/>
            <w:vAlign w:val="center"/>
          </w:tcPr>
          <w:p>
            <w:pPr>
              <w:snapToGrid w:val="0"/>
              <w:spacing w:line="0" w:lineRule="atLeast"/>
              <w:ind w:firstLine="0" w:firstLineChars="0"/>
              <w:jc w:val="center"/>
              <w:rPr>
                <w:rFonts w:hint="default" w:ascii="Times New Roman" w:hAnsi="Times New Roman" w:eastAsia="方正黑体_GBK" w:cs="Times New Roman"/>
                <w:bCs/>
                <w:kern w:val="0"/>
                <w:sz w:val="21"/>
                <w:szCs w:val="21"/>
              </w:rPr>
            </w:pPr>
            <w:r>
              <w:rPr>
                <w:rFonts w:hint="default" w:ascii="Times New Roman" w:hAnsi="Times New Roman" w:eastAsia="方正黑体_GBK" w:cs="Times New Roman"/>
                <w:bCs/>
                <w:kern w:val="0"/>
                <w:sz w:val="21"/>
                <w:szCs w:val="21"/>
              </w:rPr>
              <w:t>洪水</w:t>
            </w:r>
          </w:p>
          <w:p>
            <w:pPr>
              <w:snapToGrid w:val="0"/>
              <w:spacing w:line="0" w:lineRule="atLeast"/>
              <w:ind w:firstLine="0" w:firstLineChars="0"/>
              <w:jc w:val="center"/>
              <w:rPr>
                <w:rFonts w:hint="default" w:ascii="Times New Roman" w:hAnsi="Times New Roman" w:eastAsia="方正黑体_GBK" w:cs="Times New Roman"/>
                <w:bCs/>
                <w:kern w:val="0"/>
                <w:sz w:val="21"/>
                <w:szCs w:val="21"/>
              </w:rPr>
            </w:pPr>
            <w:r>
              <w:rPr>
                <w:rFonts w:hint="default" w:ascii="Times New Roman" w:hAnsi="Times New Roman" w:eastAsia="方正黑体_GBK" w:cs="Times New Roman"/>
                <w:bCs/>
                <w:kern w:val="0"/>
                <w:sz w:val="21"/>
                <w:szCs w:val="21"/>
              </w:rPr>
              <w:t>典型</w:t>
            </w:r>
          </w:p>
        </w:tc>
        <w:tc>
          <w:tcPr>
            <w:tcW w:w="367" w:type="pct"/>
            <w:noWrap w:val="0"/>
            <w:vAlign w:val="center"/>
          </w:tcPr>
          <w:p>
            <w:pPr>
              <w:snapToGrid w:val="0"/>
              <w:spacing w:line="0" w:lineRule="atLeast"/>
              <w:ind w:firstLine="0" w:firstLineChars="0"/>
              <w:jc w:val="center"/>
              <w:rPr>
                <w:rFonts w:hint="default" w:ascii="Times New Roman" w:hAnsi="Times New Roman" w:eastAsia="方正黑体_GBK" w:cs="Times New Roman"/>
                <w:bCs/>
                <w:kern w:val="0"/>
                <w:sz w:val="21"/>
                <w:szCs w:val="21"/>
              </w:rPr>
            </w:pPr>
            <w:r>
              <w:rPr>
                <w:rFonts w:hint="default" w:ascii="Times New Roman" w:hAnsi="Times New Roman" w:eastAsia="方正黑体_GBK" w:cs="Times New Roman"/>
                <w:bCs/>
                <w:kern w:val="0"/>
                <w:sz w:val="21"/>
                <w:szCs w:val="21"/>
              </w:rPr>
              <w:t>频率</w:t>
            </w:r>
          </w:p>
          <w:p>
            <w:pPr>
              <w:snapToGrid w:val="0"/>
              <w:spacing w:line="0" w:lineRule="atLeast"/>
              <w:ind w:firstLine="0" w:firstLineChars="0"/>
              <w:jc w:val="center"/>
              <w:rPr>
                <w:rFonts w:hint="default" w:ascii="Times New Roman" w:hAnsi="Times New Roman" w:eastAsia="方正黑体_GBK" w:cs="Times New Roman"/>
                <w:bCs/>
                <w:kern w:val="0"/>
                <w:sz w:val="21"/>
                <w:szCs w:val="21"/>
              </w:rPr>
            </w:pPr>
            <w:r>
              <w:rPr>
                <w:rFonts w:hint="default" w:ascii="Times New Roman" w:hAnsi="Times New Roman" w:eastAsia="方正黑体_GBK" w:cs="Times New Roman"/>
                <w:bCs/>
                <w:kern w:val="0"/>
                <w:sz w:val="21"/>
                <w:szCs w:val="21"/>
              </w:rPr>
              <w:t>（%）</w:t>
            </w:r>
          </w:p>
        </w:tc>
        <w:tc>
          <w:tcPr>
            <w:tcW w:w="566" w:type="pct"/>
            <w:noWrap w:val="0"/>
            <w:vAlign w:val="center"/>
          </w:tcPr>
          <w:p>
            <w:pPr>
              <w:snapToGrid w:val="0"/>
              <w:spacing w:line="0" w:lineRule="atLeast"/>
              <w:ind w:firstLine="0" w:firstLineChars="0"/>
              <w:jc w:val="center"/>
              <w:rPr>
                <w:rFonts w:hint="default" w:ascii="Times New Roman" w:hAnsi="Times New Roman" w:eastAsia="方正黑体_GBK" w:cs="Times New Roman"/>
                <w:bCs/>
                <w:kern w:val="0"/>
                <w:sz w:val="21"/>
                <w:szCs w:val="21"/>
              </w:rPr>
            </w:pPr>
            <w:r>
              <w:rPr>
                <w:rFonts w:hint="default" w:ascii="Times New Roman" w:hAnsi="Times New Roman" w:eastAsia="方正黑体_GBK" w:cs="Times New Roman"/>
                <w:bCs/>
                <w:kern w:val="0"/>
                <w:sz w:val="21"/>
                <w:szCs w:val="21"/>
              </w:rPr>
              <w:t>藻渡坝址</w:t>
            </w:r>
          </w:p>
          <w:p>
            <w:pPr>
              <w:snapToGrid w:val="0"/>
              <w:spacing w:line="0" w:lineRule="atLeast"/>
              <w:ind w:firstLine="0" w:firstLineChars="0"/>
              <w:jc w:val="center"/>
              <w:rPr>
                <w:rFonts w:hint="default" w:ascii="Times New Roman" w:hAnsi="Times New Roman" w:eastAsia="方正黑体_GBK" w:cs="Times New Roman"/>
                <w:bCs/>
                <w:kern w:val="0"/>
                <w:sz w:val="21"/>
                <w:szCs w:val="21"/>
              </w:rPr>
            </w:pPr>
            <w:r>
              <w:rPr>
                <w:rFonts w:hint="default" w:ascii="Times New Roman" w:hAnsi="Times New Roman" w:eastAsia="方正黑体_GBK" w:cs="Times New Roman"/>
                <w:bCs/>
                <w:kern w:val="0"/>
                <w:sz w:val="21"/>
                <w:szCs w:val="21"/>
              </w:rPr>
              <w:t>洪峰流量</w:t>
            </w:r>
          </w:p>
          <w:p>
            <w:pPr>
              <w:snapToGrid w:val="0"/>
              <w:spacing w:line="0" w:lineRule="atLeast"/>
              <w:ind w:firstLine="0" w:firstLineChars="0"/>
              <w:jc w:val="center"/>
              <w:rPr>
                <w:rFonts w:hint="default" w:ascii="Times New Roman" w:hAnsi="Times New Roman" w:eastAsia="方正黑体_GBK" w:cs="Times New Roman"/>
                <w:bCs/>
                <w:kern w:val="0"/>
                <w:sz w:val="21"/>
                <w:szCs w:val="21"/>
              </w:rPr>
            </w:pPr>
            <w:r>
              <w:rPr>
                <w:rFonts w:hint="default" w:ascii="Times New Roman" w:hAnsi="Times New Roman" w:eastAsia="方正黑体_GBK" w:cs="Times New Roman"/>
                <w:bCs/>
                <w:kern w:val="0"/>
                <w:sz w:val="21"/>
                <w:szCs w:val="21"/>
              </w:rPr>
              <w:t>（m</w:t>
            </w:r>
            <w:r>
              <w:rPr>
                <w:rFonts w:hint="default" w:ascii="Times New Roman" w:hAnsi="Times New Roman" w:eastAsia="方正黑体_GBK" w:cs="Times New Roman"/>
                <w:bCs/>
                <w:kern w:val="0"/>
                <w:sz w:val="21"/>
                <w:szCs w:val="21"/>
                <w:vertAlign w:val="superscript"/>
              </w:rPr>
              <w:t>3</w:t>
            </w:r>
            <w:r>
              <w:rPr>
                <w:rFonts w:hint="default" w:ascii="Times New Roman" w:hAnsi="Times New Roman" w:eastAsia="方正黑体_GBK" w:cs="Times New Roman"/>
                <w:bCs/>
                <w:kern w:val="0"/>
                <w:sz w:val="21"/>
                <w:szCs w:val="21"/>
              </w:rPr>
              <w:t>/s）</w:t>
            </w:r>
          </w:p>
        </w:tc>
        <w:tc>
          <w:tcPr>
            <w:tcW w:w="566" w:type="pct"/>
            <w:noWrap w:val="0"/>
            <w:vAlign w:val="center"/>
          </w:tcPr>
          <w:p>
            <w:pPr>
              <w:snapToGrid w:val="0"/>
              <w:spacing w:line="0" w:lineRule="atLeast"/>
              <w:ind w:firstLine="0" w:firstLineChars="0"/>
              <w:jc w:val="center"/>
              <w:rPr>
                <w:rFonts w:hint="default" w:ascii="Times New Roman" w:hAnsi="Times New Roman" w:eastAsia="方正黑体_GBK" w:cs="Times New Roman"/>
                <w:bCs/>
                <w:kern w:val="0"/>
                <w:sz w:val="21"/>
                <w:szCs w:val="21"/>
              </w:rPr>
            </w:pPr>
            <w:r>
              <w:rPr>
                <w:rFonts w:hint="default" w:ascii="Times New Roman" w:hAnsi="Times New Roman" w:eastAsia="方正黑体_GBK" w:cs="Times New Roman"/>
                <w:bCs/>
                <w:kern w:val="0"/>
                <w:sz w:val="21"/>
                <w:szCs w:val="21"/>
              </w:rPr>
              <w:t>区间洪水</w:t>
            </w:r>
          </w:p>
          <w:p>
            <w:pPr>
              <w:snapToGrid w:val="0"/>
              <w:spacing w:line="0" w:lineRule="atLeast"/>
              <w:ind w:firstLine="0" w:firstLineChars="0"/>
              <w:jc w:val="center"/>
              <w:rPr>
                <w:rFonts w:hint="default" w:ascii="Times New Roman" w:hAnsi="Times New Roman" w:eastAsia="方正黑体_GBK" w:cs="Times New Roman"/>
                <w:bCs/>
                <w:kern w:val="0"/>
                <w:sz w:val="21"/>
                <w:szCs w:val="21"/>
              </w:rPr>
            </w:pPr>
            <w:r>
              <w:rPr>
                <w:rFonts w:hint="default" w:ascii="Times New Roman" w:hAnsi="Times New Roman" w:eastAsia="方正黑体_GBK" w:cs="Times New Roman"/>
                <w:bCs/>
                <w:kern w:val="0"/>
                <w:sz w:val="21"/>
                <w:szCs w:val="21"/>
              </w:rPr>
              <w:t>洪峰流量</w:t>
            </w:r>
          </w:p>
          <w:p>
            <w:pPr>
              <w:snapToGrid w:val="0"/>
              <w:spacing w:line="0" w:lineRule="atLeast"/>
              <w:ind w:firstLine="0" w:firstLineChars="0"/>
              <w:jc w:val="center"/>
              <w:rPr>
                <w:rFonts w:hint="default" w:ascii="Times New Roman" w:hAnsi="Times New Roman" w:eastAsia="方正黑体_GBK" w:cs="Times New Roman"/>
                <w:bCs/>
                <w:kern w:val="0"/>
                <w:sz w:val="21"/>
                <w:szCs w:val="21"/>
              </w:rPr>
            </w:pPr>
            <w:r>
              <w:rPr>
                <w:rFonts w:hint="default" w:ascii="Times New Roman" w:hAnsi="Times New Roman" w:eastAsia="方正黑体_GBK" w:cs="Times New Roman"/>
                <w:bCs/>
                <w:kern w:val="0"/>
                <w:sz w:val="21"/>
                <w:szCs w:val="21"/>
              </w:rPr>
              <w:t>（m</w:t>
            </w:r>
            <w:r>
              <w:rPr>
                <w:rFonts w:hint="default" w:ascii="Times New Roman" w:hAnsi="Times New Roman" w:eastAsia="方正黑体_GBK" w:cs="Times New Roman"/>
                <w:bCs/>
                <w:kern w:val="0"/>
                <w:sz w:val="21"/>
                <w:szCs w:val="21"/>
                <w:vertAlign w:val="superscript"/>
              </w:rPr>
              <w:t>3</w:t>
            </w:r>
            <w:r>
              <w:rPr>
                <w:rFonts w:hint="default" w:ascii="Times New Roman" w:hAnsi="Times New Roman" w:eastAsia="方正黑体_GBK" w:cs="Times New Roman"/>
                <w:bCs/>
                <w:kern w:val="0"/>
                <w:sz w:val="21"/>
                <w:szCs w:val="21"/>
              </w:rPr>
              <w:t>/s）</w:t>
            </w:r>
          </w:p>
        </w:tc>
        <w:tc>
          <w:tcPr>
            <w:tcW w:w="568" w:type="pct"/>
            <w:noWrap w:val="0"/>
            <w:vAlign w:val="center"/>
          </w:tcPr>
          <w:p>
            <w:pPr>
              <w:snapToGrid w:val="0"/>
              <w:spacing w:line="0" w:lineRule="atLeast"/>
              <w:ind w:firstLine="0" w:firstLineChars="0"/>
              <w:jc w:val="center"/>
              <w:rPr>
                <w:rFonts w:hint="default" w:ascii="Times New Roman" w:hAnsi="Times New Roman" w:eastAsia="方正黑体_GBK" w:cs="Times New Roman"/>
                <w:bCs/>
                <w:kern w:val="0"/>
                <w:sz w:val="21"/>
                <w:szCs w:val="21"/>
              </w:rPr>
            </w:pPr>
            <w:r>
              <w:rPr>
                <w:rFonts w:hint="default" w:ascii="Times New Roman" w:hAnsi="Times New Roman" w:eastAsia="方正黑体_GBK" w:cs="Times New Roman"/>
                <w:bCs/>
                <w:kern w:val="0"/>
                <w:sz w:val="21"/>
                <w:szCs w:val="21"/>
              </w:rPr>
              <w:t>动用防</w:t>
            </w:r>
          </w:p>
          <w:p>
            <w:pPr>
              <w:snapToGrid w:val="0"/>
              <w:spacing w:line="0" w:lineRule="atLeast"/>
              <w:ind w:firstLine="0" w:firstLineChars="0"/>
              <w:jc w:val="center"/>
              <w:rPr>
                <w:rFonts w:hint="default" w:ascii="Times New Roman" w:hAnsi="Times New Roman" w:eastAsia="方正黑体_GBK" w:cs="Times New Roman"/>
                <w:bCs/>
                <w:kern w:val="0"/>
                <w:sz w:val="21"/>
                <w:szCs w:val="21"/>
              </w:rPr>
            </w:pPr>
            <w:r>
              <w:rPr>
                <w:rFonts w:hint="default" w:ascii="Times New Roman" w:hAnsi="Times New Roman" w:eastAsia="方正黑体_GBK" w:cs="Times New Roman"/>
                <w:bCs/>
                <w:kern w:val="0"/>
                <w:sz w:val="21"/>
                <w:szCs w:val="21"/>
              </w:rPr>
              <w:t>洪库容</w:t>
            </w:r>
          </w:p>
          <w:p>
            <w:pPr>
              <w:snapToGrid w:val="0"/>
              <w:spacing w:line="0" w:lineRule="atLeast"/>
              <w:ind w:firstLine="0" w:firstLineChars="0"/>
              <w:jc w:val="center"/>
              <w:rPr>
                <w:rFonts w:hint="default" w:ascii="Times New Roman" w:hAnsi="Times New Roman" w:eastAsia="方正黑体_GBK" w:cs="Times New Roman"/>
                <w:bCs/>
                <w:kern w:val="0"/>
                <w:sz w:val="21"/>
                <w:szCs w:val="21"/>
              </w:rPr>
            </w:pPr>
            <w:r>
              <w:rPr>
                <w:rFonts w:hint="default" w:ascii="Times New Roman" w:hAnsi="Times New Roman" w:eastAsia="方正黑体_GBK" w:cs="Times New Roman"/>
                <w:bCs/>
                <w:kern w:val="0"/>
                <w:sz w:val="21"/>
                <w:szCs w:val="21"/>
              </w:rPr>
              <w:t>（万m</w:t>
            </w:r>
            <w:r>
              <w:rPr>
                <w:rFonts w:hint="default" w:ascii="Times New Roman" w:hAnsi="Times New Roman" w:eastAsia="方正黑体_GBK" w:cs="Times New Roman"/>
                <w:bCs/>
                <w:kern w:val="0"/>
                <w:sz w:val="21"/>
                <w:szCs w:val="21"/>
                <w:vertAlign w:val="superscript"/>
              </w:rPr>
              <w:t>3</w:t>
            </w:r>
            <w:r>
              <w:rPr>
                <w:rFonts w:hint="default" w:ascii="Times New Roman" w:hAnsi="Times New Roman" w:eastAsia="方正黑体_GBK" w:cs="Times New Roman"/>
                <w:bCs/>
                <w:kern w:val="0"/>
                <w:sz w:val="21"/>
                <w:szCs w:val="21"/>
              </w:rPr>
              <w:t>）</w:t>
            </w:r>
          </w:p>
        </w:tc>
        <w:tc>
          <w:tcPr>
            <w:tcW w:w="832" w:type="pct"/>
            <w:noWrap w:val="0"/>
            <w:vAlign w:val="center"/>
          </w:tcPr>
          <w:p>
            <w:pPr>
              <w:snapToGrid w:val="0"/>
              <w:spacing w:line="0" w:lineRule="atLeast"/>
              <w:ind w:firstLine="0" w:firstLineChars="0"/>
              <w:jc w:val="center"/>
              <w:rPr>
                <w:rFonts w:hint="default" w:ascii="Times New Roman" w:hAnsi="Times New Roman" w:eastAsia="方正黑体_GBK" w:cs="Times New Roman"/>
                <w:bCs/>
                <w:kern w:val="0"/>
                <w:sz w:val="21"/>
                <w:szCs w:val="21"/>
              </w:rPr>
            </w:pPr>
            <w:r>
              <w:rPr>
                <w:rFonts w:hint="default" w:ascii="Times New Roman" w:hAnsi="Times New Roman" w:eastAsia="方正黑体_GBK" w:cs="Times New Roman"/>
                <w:bCs/>
                <w:kern w:val="0"/>
                <w:sz w:val="21"/>
                <w:szCs w:val="21"/>
              </w:rPr>
              <w:t>调蓄后的綦江</w:t>
            </w:r>
          </w:p>
          <w:p>
            <w:pPr>
              <w:snapToGrid w:val="0"/>
              <w:spacing w:line="0" w:lineRule="atLeast"/>
              <w:ind w:firstLine="0" w:firstLineChars="0"/>
              <w:jc w:val="center"/>
              <w:rPr>
                <w:rFonts w:hint="default" w:ascii="Times New Roman" w:hAnsi="Times New Roman" w:eastAsia="方正黑体_GBK" w:cs="Times New Roman"/>
                <w:bCs/>
                <w:kern w:val="0"/>
                <w:sz w:val="21"/>
                <w:szCs w:val="21"/>
              </w:rPr>
            </w:pPr>
            <w:r>
              <w:rPr>
                <w:rFonts w:hint="default" w:ascii="Times New Roman" w:hAnsi="Times New Roman" w:eastAsia="方正黑体_GBK" w:cs="Times New Roman"/>
                <w:bCs/>
                <w:kern w:val="0"/>
                <w:sz w:val="21"/>
                <w:szCs w:val="21"/>
              </w:rPr>
              <w:t>城区最大流量</w:t>
            </w:r>
          </w:p>
          <w:p>
            <w:pPr>
              <w:snapToGrid w:val="0"/>
              <w:spacing w:line="0" w:lineRule="atLeast"/>
              <w:ind w:firstLine="0" w:firstLineChars="0"/>
              <w:jc w:val="center"/>
              <w:rPr>
                <w:rFonts w:hint="default" w:ascii="Times New Roman" w:hAnsi="Times New Roman" w:eastAsia="方正黑体_GBK" w:cs="Times New Roman"/>
                <w:bCs/>
                <w:kern w:val="0"/>
                <w:sz w:val="21"/>
                <w:szCs w:val="21"/>
              </w:rPr>
            </w:pPr>
            <w:r>
              <w:rPr>
                <w:rFonts w:hint="default" w:ascii="Times New Roman" w:hAnsi="Times New Roman" w:eastAsia="方正黑体_GBK" w:cs="Times New Roman"/>
                <w:bCs/>
                <w:kern w:val="0"/>
                <w:sz w:val="21"/>
                <w:szCs w:val="21"/>
              </w:rPr>
              <w:t>（m</w:t>
            </w:r>
            <w:r>
              <w:rPr>
                <w:rFonts w:hint="default" w:ascii="Times New Roman" w:hAnsi="Times New Roman" w:eastAsia="方正黑体_GBK" w:cs="Times New Roman"/>
                <w:bCs/>
                <w:kern w:val="0"/>
                <w:sz w:val="21"/>
                <w:szCs w:val="21"/>
                <w:vertAlign w:val="superscript"/>
              </w:rPr>
              <w:t>3</w:t>
            </w:r>
            <w:r>
              <w:rPr>
                <w:rFonts w:hint="default" w:ascii="Times New Roman" w:hAnsi="Times New Roman" w:eastAsia="方正黑体_GBK" w:cs="Times New Roman"/>
                <w:bCs/>
                <w:kern w:val="0"/>
                <w:sz w:val="21"/>
                <w:szCs w:val="21"/>
              </w:rPr>
              <w:t>/s）</w:t>
            </w:r>
          </w:p>
        </w:tc>
        <w:tc>
          <w:tcPr>
            <w:tcW w:w="535" w:type="pct"/>
            <w:noWrap w:val="0"/>
            <w:vAlign w:val="center"/>
          </w:tcPr>
          <w:p>
            <w:pPr>
              <w:snapToGrid w:val="0"/>
              <w:spacing w:line="0" w:lineRule="atLeast"/>
              <w:ind w:firstLine="0" w:firstLineChars="0"/>
              <w:jc w:val="center"/>
              <w:rPr>
                <w:rFonts w:hint="default" w:ascii="Times New Roman" w:hAnsi="Times New Roman" w:eastAsia="方正黑体_GBK" w:cs="Times New Roman"/>
                <w:bCs/>
                <w:kern w:val="0"/>
                <w:sz w:val="21"/>
                <w:szCs w:val="21"/>
              </w:rPr>
            </w:pPr>
            <w:r>
              <w:rPr>
                <w:rFonts w:hint="default" w:ascii="Times New Roman" w:hAnsi="Times New Roman" w:eastAsia="方正黑体_GBK" w:cs="Times New Roman"/>
                <w:bCs/>
                <w:kern w:val="0"/>
                <w:sz w:val="21"/>
                <w:szCs w:val="21"/>
              </w:rPr>
              <w:t>削减</w:t>
            </w:r>
          </w:p>
          <w:p>
            <w:pPr>
              <w:snapToGrid w:val="0"/>
              <w:spacing w:line="0" w:lineRule="atLeast"/>
              <w:ind w:firstLine="0" w:firstLineChars="0"/>
              <w:jc w:val="center"/>
              <w:rPr>
                <w:rFonts w:hint="default" w:ascii="Times New Roman" w:hAnsi="Times New Roman" w:eastAsia="方正黑体_GBK" w:cs="Times New Roman"/>
                <w:bCs/>
                <w:kern w:val="0"/>
                <w:sz w:val="21"/>
                <w:szCs w:val="21"/>
              </w:rPr>
            </w:pPr>
            <w:r>
              <w:rPr>
                <w:rFonts w:hint="default" w:ascii="Times New Roman" w:hAnsi="Times New Roman" w:eastAsia="方正黑体_GBK" w:cs="Times New Roman"/>
                <w:bCs/>
                <w:kern w:val="0"/>
                <w:sz w:val="21"/>
                <w:szCs w:val="21"/>
              </w:rPr>
              <w:t>流量</w:t>
            </w:r>
          </w:p>
          <w:p>
            <w:pPr>
              <w:snapToGrid w:val="0"/>
              <w:spacing w:line="0" w:lineRule="atLeast"/>
              <w:ind w:firstLine="0" w:firstLineChars="0"/>
              <w:jc w:val="center"/>
              <w:rPr>
                <w:rFonts w:hint="default" w:ascii="Times New Roman" w:hAnsi="Times New Roman" w:eastAsia="方正黑体_GBK" w:cs="Times New Roman"/>
                <w:bCs/>
                <w:kern w:val="0"/>
                <w:sz w:val="21"/>
                <w:szCs w:val="21"/>
              </w:rPr>
            </w:pPr>
            <w:r>
              <w:rPr>
                <w:rFonts w:hint="default" w:ascii="Times New Roman" w:hAnsi="Times New Roman" w:eastAsia="方正黑体_GBK" w:cs="Times New Roman"/>
                <w:bCs/>
                <w:kern w:val="0"/>
                <w:sz w:val="21"/>
                <w:szCs w:val="21"/>
              </w:rPr>
              <w:t>（m</w:t>
            </w:r>
            <w:r>
              <w:rPr>
                <w:rFonts w:hint="default" w:ascii="Times New Roman" w:hAnsi="Times New Roman" w:eastAsia="方正黑体_GBK" w:cs="Times New Roman"/>
                <w:bCs/>
                <w:kern w:val="0"/>
                <w:sz w:val="21"/>
                <w:szCs w:val="21"/>
                <w:vertAlign w:val="superscript"/>
              </w:rPr>
              <w:t>3</w:t>
            </w:r>
            <w:r>
              <w:rPr>
                <w:rFonts w:hint="default" w:ascii="Times New Roman" w:hAnsi="Times New Roman" w:eastAsia="方正黑体_GBK" w:cs="Times New Roman"/>
                <w:bCs/>
                <w:kern w:val="0"/>
                <w:sz w:val="21"/>
                <w:szCs w:val="21"/>
              </w:rPr>
              <w:t>/s）</w:t>
            </w:r>
          </w:p>
        </w:tc>
        <w:tc>
          <w:tcPr>
            <w:tcW w:w="566" w:type="pct"/>
            <w:noWrap w:val="0"/>
            <w:vAlign w:val="center"/>
          </w:tcPr>
          <w:p>
            <w:pPr>
              <w:snapToGrid w:val="0"/>
              <w:spacing w:line="0" w:lineRule="atLeast"/>
              <w:ind w:firstLine="0" w:firstLineChars="0"/>
              <w:jc w:val="center"/>
              <w:rPr>
                <w:rFonts w:hint="default" w:ascii="Times New Roman" w:hAnsi="Times New Roman" w:eastAsia="方正黑体_GBK" w:cs="Times New Roman"/>
                <w:bCs/>
                <w:kern w:val="0"/>
                <w:sz w:val="21"/>
                <w:szCs w:val="21"/>
              </w:rPr>
            </w:pPr>
            <w:r>
              <w:rPr>
                <w:rFonts w:hint="default" w:ascii="Times New Roman" w:hAnsi="Times New Roman" w:eastAsia="方正黑体_GBK" w:cs="Times New Roman"/>
                <w:bCs/>
                <w:kern w:val="0"/>
                <w:sz w:val="21"/>
                <w:szCs w:val="21"/>
              </w:rPr>
              <w:t>藻渡水库</w:t>
            </w:r>
          </w:p>
          <w:p>
            <w:pPr>
              <w:snapToGrid w:val="0"/>
              <w:spacing w:line="0" w:lineRule="atLeast"/>
              <w:ind w:firstLine="0" w:firstLineChars="0"/>
              <w:jc w:val="center"/>
              <w:rPr>
                <w:rFonts w:hint="default" w:ascii="Times New Roman" w:hAnsi="Times New Roman" w:eastAsia="方正黑体_GBK" w:cs="Times New Roman"/>
                <w:bCs/>
                <w:kern w:val="0"/>
                <w:sz w:val="21"/>
                <w:szCs w:val="21"/>
              </w:rPr>
            </w:pPr>
            <w:r>
              <w:rPr>
                <w:rFonts w:hint="default" w:ascii="Times New Roman" w:hAnsi="Times New Roman" w:eastAsia="方正黑体_GBK" w:cs="Times New Roman"/>
                <w:bCs/>
                <w:kern w:val="0"/>
                <w:sz w:val="21"/>
                <w:szCs w:val="21"/>
              </w:rPr>
              <w:t>最高水位</w:t>
            </w:r>
          </w:p>
          <w:p>
            <w:pPr>
              <w:snapToGrid w:val="0"/>
              <w:spacing w:line="0" w:lineRule="atLeast"/>
              <w:ind w:firstLine="0" w:firstLineChars="0"/>
              <w:jc w:val="center"/>
              <w:rPr>
                <w:rFonts w:hint="default" w:ascii="Times New Roman" w:hAnsi="Times New Roman" w:eastAsia="方正黑体_GBK" w:cs="Times New Roman"/>
                <w:bCs/>
                <w:kern w:val="0"/>
                <w:sz w:val="21"/>
                <w:szCs w:val="21"/>
              </w:rPr>
            </w:pPr>
            <w:r>
              <w:rPr>
                <w:rFonts w:hint="default" w:ascii="Times New Roman" w:hAnsi="Times New Roman" w:eastAsia="方正黑体_GBK" w:cs="Times New Roman"/>
                <w:bCs/>
                <w:kern w:val="0"/>
                <w:sz w:val="21"/>
                <w:szCs w:val="21"/>
              </w:rPr>
              <w:t>（m）</w:t>
            </w:r>
          </w:p>
        </w:tc>
        <w:tc>
          <w:tcPr>
            <w:tcW w:w="699" w:type="pct"/>
            <w:noWrap w:val="0"/>
            <w:vAlign w:val="center"/>
          </w:tcPr>
          <w:p>
            <w:pPr>
              <w:snapToGrid w:val="0"/>
              <w:spacing w:line="0" w:lineRule="atLeast"/>
              <w:ind w:firstLine="0" w:firstLineChars="0"/>
              <w:jc w:val="center"/>
              <w:rPr>
                <w:rFonts w:hint="default" w:ascii="Times New Roman" w:hAnsi="Times New Roman" w:eastAsia="方正黑体_GBK" w:cs="Times New Roman"/>
                <w:bCs/>
                <w:kern w:val="0"/>
                <w:sz w:val="21"/>
                <w:szCs w:val="21"/>
              </w:rPr>
            </w:pPr>
            <w:r>
              <w:rPr>
                <w:rFonts w:hint="default" w:ascii="Times New Roman" w:hAnsi="Times New Roman" w:eastAsia="方正黑体_GBK" w:cs="Times New Roman"/>
                <w:bCs/>
                <w:kern w:val="0"/>
                <w:sz w:val="21"/>
                <w:szCs w:val="21"/>
              </w:rPr>
              <w:t>藻渡水库</w:t>
            </w:r>
          </w:p>
          <w:p>
            <w:pPr>
              <w:snapToGrid w:val="0"/>
              <w:spacing w:line="0" w:lineRule="atLeast"/>
              <w:ind w:firstLine="0" w:firstLineChars="0"/>
              <w:jc w:val="center"/>
              <w:rPr>
                <w:rFonts w:hint="default" w:ascii="Times New Roman" w:hAnsi="Times New Roman" w:eastAsia="方正黑体_GBK" w:cs="Times New Roman"/>
                <w:bCs/>
                <w:kern w:val="0"/>
                <w:sz w:val="21"/>
                <w:szCs w:val="21"/>
              </w:rPr>
            </w:pPr>
            <w:r>
              <w:rPr>
                <w:rFonts w:hint="default" w:ascii="Times New Roman" w:hAnsi="Times New Roman" w:eastAsia="方正黑体_GBK" w:cs="Times New Roman"/>
                <w:bCs/>
                <w:kern w:val="0"/>
                <w:sz w:val="21"/>
                <w:szCs w:val="21"/>
              </w:rPr>
              <w:t>最大下泄量</w:t>
            </w:r>
          </w:p>
          <w:p>
            <w:pPr>
              <w:snapToGrid w:val="0"/>
              <w:spacing w:line="0" w:lineRule="atLeast"/>
              <w:ind w:firstLine="0" w:firstLineChars="0"/>
              <w:jc w:val="center"/>
              <w:rPr>
                <w:rFonts w:hint="default" w:ascii="Times New Roman" w:hAnsi="Times New Roman" w:eastAsia="方正黑体_GBK" w:cs="Times New Roman"/>
                <w:bCs/>
                <w:kern w:val="0"/>
                <w:sz w:val="21"/>
                <w:szCs w:val="21"/>
              </w:rPr>
            </w:pPr>
            <w:r>
              <w:rPr>
                <w:rFonts w:hint="default" w:ascii="Times New Roman" w:hAnsi="Times New Roman" w:eastAsia="方正黑体_GBK" w:cs="Times New Roman"/>
                <w:bCs/>
                <w:kern w:val="0"/>
                <w:sz w:val="21"/>
                <w:szCs w:val="21"/>
              </w:rPr>
              <w:t>（m</w:t>
            </w:r>
            <w:r>
              <w:rPr>
                <w:rFonts w:hint="default" w:ascii="Times New Roman" w:hAnsi="Times New Roman" w:eastAsia="方正黑体_GBK" w:cs="Times New Roman"/>
                <w:bCs/>
                <w:kern w:val="0"/>
                <w:sz w:val="21"/>
                <w:szCs w:val="21"/>
                <w:vertAlign w:val="superscript"/>
              </w:rPr>
              <w:t>3</w:t>
            </w:r>
            <w:r>
              <w:rPr>
                <w:rFonts w:hint="default" w:ascii="Times New Roman" w:hAnsi="Times New Roman" w:eastAsia="方正黑体_GBK" w:cs="Times New Roman"/>
                <w:bCs/>
                <w:kern w:val="0"/>
                <w:sz w:val="21"/>
                <w:szCs w:val="21"/>
              </w:rPr>
              <w:t>/s）</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28" w:type="dxa"/>
            <w:bottom w:w="0" w:type="dxa"/>
            <w:right w:w="28" w:type="dxa"/>
          </w:tblCellMar>
        </w:tblPrEx>
        <w:trPr>
          <w:trHeight w:val="340" w:hRule="atLeast"/>
          <w:jc w:val="center"/>
        </w:trPr>
        <w:tc>
          <w:tcPr>
            <w:tcW w:w="301" w:type="pct"/>
            <w:vMerge w:val="restar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1973</w:t>
            </w:r>
          </w:p>
        </w:tc>
        <w:tc>
          <w:tcPr>
            <w:tcW w:w="367"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2</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2100</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4217</w:t>
            </w:r>
          </w:p>
        </w:tc>
        <w:tc>
          <w:tcPr>
            <w:tcW w:w="568"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4913</w:t>
            </w:r>
          </w:p>
        </w:tc>
        <w:tc>
          <w:tcPr>
            <w:tcW w:w="832"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4911</w:t>
            </w:r>
          </w:p>
        </w:tc>
        <w:tc>
          <w:tcPr>
            <w:tcW w:w="535"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1040</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375.90</w:t>
            </w:r>
          </w:p>
        </w:tc>
        <w:tc>
          <w:tcPr>
            <w:tcW w:w="699"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1370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28" w:type="dxa"/>
            <w:bottom w:w="0" w:type="dxa"/>
            <w:right w:w="28" w:type="dxa"/>
          </w:tblCellMar>
        </w:tblPrEx>
        <w:trPr>
          <w:trHeight w:val="340" w:hRule="atLeast"/>
          <w:jc w:val="center"/>
        </w:trPr>
        <w:tc>
          <w:tcPr>
            <w:tcW w:w="301" w:type="pct"/>
            <w:vMerge w:val="continue"/>
            <w:noWrap w:val="0"/>
            <w:vAlign w:val="center"/>
          </w:tcPr>
          <w:p>
            <w:pPr>
              <w:widowControl/>
              <w:spacing w:line="0" w:lineRule="atLeast"/>
              <w:ind w:firstLine="0" w:firstLineChars="0"/>
              <w:jc w:val="center"/>
              <w:rPr>
                <w:rFonts w:hint="default" w:ascii="Times New Roman" w:hAnsi="Times New Roman" w:eastAsia="方正仿宋_GBK" w:cs="Times New Roman"/>
                <w:bCs/>
                <w:kern w:val="0"/>
                <w:sz w:val="21"/>
                <w:szCs w:val="21"/>
              </w:rPr>
            </w:pPr>
          </w:p>
        </w:tc>
        <w:tc>
          <w:tcPr>
            <w:tcW w:w="367"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3.33</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1890</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3830</w:t>
            </w:r>
          </w:p>
        </w:tc>
        <w:tc>
          <w:tcPr>
            <w:tcW w:w="568"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4578</w:t>
            </w:r>
          </w:p>
        </w:tc>
        <w:tc>
          <w:tcPr>
            <w:tcW w:w="832"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4844</w:t>
            </w:r>
          </w:p>
        </w:tc>
        <w:tc>
          <w:tcPr>
            <w:tcW w:w="535"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550</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375.36</w:t>
            </w:r>
          </w:p>
        </w:tc>
        <w:tc>
          <w:tcPr>
            <w:tcW w:w="699"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1420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28" w:type="dxa"/>
            <w:bottom w:w="0" w:type="dxa"/>
            <w:right w:w="28" w:type="dxa"/>
          </w:tblCellMar>
        </w:tblPrEx>
        <w:trPr>
          <w:trHeight w:val="340" w:hRule="atLeast"/>
          <w:jc w:val="center"/>
        </w:trPr>
        <w:tc>
          <w:tcPr>
            <w:tcW w:w="301" w:type="pct"/>
            <w:vMerge w:val="continue"/>
            <w:noWrap w:val="0"/>
            <w:vAlign w:val="center"/>
          </w:tcPr>
          <w:p>
            <w:pPr>
              <w:widowControl/>
              <w:spacing w:line="0" w:lineRule="atLeast"/>
              <w:ind w:firstLine="0" w:firstLineChars="0"/>
              <w:jc w:val="center"/>
              <w:rPr>
                <w:rFonts w:hint="default" w:ascii="Times New Roman" w:hAnsi="Times New Roman" w:eastAsia="方正仿宋_GBK" w:cs="Times New Roman"/>
                <w:bCs/>
                <w:kern w:val="0"/>
                <w:sz w:val="21"/>
                <w:szCs w:val="21"/>
              </w:rPr>
            </w:pPr>
          </w:p>
        </w:tc>
        <w:tc>
          <w:tcPr>
            <w:tcW w:w="367"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5</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1722</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3497</w:t>
            </w:r>
          </w:p>
        </w:tc>
        <w:tc>
          <w:tcPr>
            <w:tcW w:w="568"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3652</w:t>
            </w:r>
          </w:p>
        </w:tc>
        <w:tc>
          <w:tcPr>
            <w:tcW w:w="832"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4859</w:t>
            </w:r>
          </w:p>
        </w:tc>
        <w:tc>
          <w:tcPr>
            <w:tcW w:w="535"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60</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373.73</w:t>
            </w:r>
          </w:p>
        </w:tc>
        <w:tc>
          <w:tcPr>
            <w:tcW w:w="699"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1720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28" w:type="dxa"/>
            <w:bottom w:w="0" w:type="dxa"/>
            <w:right w:w="28" w:type="dxa"/>
          </w:tblCellMar>
        </w:tblPrEx>
        <w:trPr>
          <w:trHeight w:val="340" w:hRule="atLeast"/>
          <w:jc w:val="center"/>
        </w:trPr>
        <w:tc>
          <w:tcPr>
            <w:tcW w:w="301" w:type="pct"/>
            <w:vMerge w:val="restar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1976</w:t>
            </w:r>
          </w:p>
        </w:tc>
        <w:tc>
          <w:tcPr>
            <w:tcW w:w="367"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2</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2147</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4920</w:t>
            </w:r>
          </w:p>
        </w:tc>
        <w:tc>
          <w:tcPr>
            <w:tcW w:w="568"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4588</w:t>
            </w:r>
          </w:p>
        </w:tc>
        <w:tc>
          <w:tcPr>
            <w:tcW w:w="832"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4920</w:t>
            </w:r>
          </w:p>
        </w:tc>
        <w:tc>
          <w:tcPr>
            <w:tcW w:w="535"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1030</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375.37</w:t>
            </w:r>
          </w:p>
        </w:tc>
        <w:tc>
          <w:tcPr>
            <w:tcW w:w="699"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1490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28" w:type="dxa"/>
            <w:bottom w:w="0" w:type="dxa"/>
            <w:right w:w="28" w:type="dxa"/>
          </w:tblCellMar>
        </w:tblPrEx>
        <w:trPr>
          <w:trHeight w:val="340" w:hRule="atLeast"/>
          <w:jc w:val="center"/>
        </w:trPr>
        <w:tc>
          <w:tcPr>
            <w:tcW w:w="301" w:type="pct"/>
            <w:vMerge w:val="continue"/>
            <w:noWrap w:val="0"/>
            <w:vAlign w:val="center"/>
          </w:tcPr>
          <w:p>
            <w:pPr>
              <w:widowControl/>
              <w:spacing w:line="0" w:lineRule="atLeast"/>
              <w:ind w:firstLine="0" w:firstLineChars="0"/>
              <w:jc w:val="center"/>
              <w:rPr>
                <w:rFonts w:hint="default" w:ascii="Times New Roman" w:hAnsi="Times New Roman" w:eastAsia="方正仿宋_GBK" w:cs="Times New Roman"/>
                <w:bCs/>
                <w:kern w:val="0"/>
                <w:sz w:val="21"/>
                <w:szCs w:val="21"/>
              </w:rPr>
            </w:pPr>
          </w:p>
        </w:tc>
        <w:tc>
          <w:tcPr>
            <w:tcW w:w="367"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3.33</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1931</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4474</w:t>
            </w:r>
          </w:p>
        </w:tc>
        <w:tc>
          <w:tcPr>
            <w:tcW w:w="568"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3028</w:t>
            </w:r>
          </w:p>
        </w:tc>
        <w:tc>
          <w:tcPr>
            <w:tcW w:w="832"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4691</w:t>
            </w:r>
          </w:p>
        </w:tc>
        <w:tc>
          <w:tcPr>
            <w:tcW w:w="535"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700</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372.60</w:t>
            </w:r>
          </w:p>
        </w:tc>
        <w:tc>
          <w:tcPr>
            <w:tcW w:w="699"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1650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28" w:type="dxa"/>
            <w:bottom w:w="0" w:type="dxa"/>
            <w:right w:w="28" w:type="dxa"/>
          </w:tblCellMar>
        </w:tblPrEx>
        <w:trPr>
          <w:trHeight w:val="340" w:hRule="atLeast"/>
          <w:jc w:val="center"/>
        </w:trPr>
        <w:tc>
          <w:tcPr>
            <w:tcW w:w="301" w:type="pct"/>
            <w:vMerge w:val="continue"/>
            <w:noWrap w:val="0"/>
            <w:vAlign w:val="center"/>
          </w:tcPr>
          <w:p>
            <w:pPr>
              <w:widowControl/>
              <w:spacing w:line="0" w:lineRule="atLeast"/>
              <w:ind w:firstLine="0" w:firstLineChars="0"/>
              <w:jc w:val="center"/>
              <w:rPr>
                <w:rFonts w:hint="default" w:ascii="Times New Roman" w:hAnsi="Times New Roman" w:eastAsia="方正仿宋_GBK" w:cs="Times New Roman"/>
                <w:bCs/>
                <w:kern w:val="0"/>
                <w:sz w:val="21"/>
                <w:szCs w:val="21"/>
              </w:rPr>
            </w:pPr>
          </w:p>
        </w:tc>
        <w:tc>
          <w:tcPr>
            <w:tcW w:w="367"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5</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1761</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4084</w:t>
            </w:r>
          </w:p>
        </w:tc>
        <w:tc>
          <w:tcPr>
            <w:tcW w:w="568"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2729</w:t>
            </w:r>
          </w:p>
        </w:tc>
        <w:tc>
          <w:tcPr>
            <w:tcW w:w="832"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4387</w:t>
            </w:r>
          </w:p>
        </w:tc>
        <w:tc>
          <w:tcPr>
            <w:tcW w:w="535"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530</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372.06</w:t>
            </w:r>
          </w:p>
        </w:tc>
        <w:tc>
          <w:tcPr>
            <w:tcW w:w="699"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1650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28" w:type="dxa"/>
            <w:bottom w:w="0" w:type="dxa"/>
            <w:right w:w="28" w:type="dxa"/>
          </w:tblCellMar>
        </w:tblPrEx>
        <w:trPr>
          <w:trHeight w:val="340" w:hRule="atLeast"/>
          <w:jc w:val="center"/>
        </w:trPr>
        <w:tc>
          <w:tcPr>
            <w:tcW w:w="301" w:type="pct"/>
            <w:vMerge w:val="restar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1977</w:t>
            </w:r>
          </w:p>
        </w:tc>
        <w:tc>
          <w:tcPr>
            <w:tcW w:w="367"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2</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1625</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4737</w:t>
            </w:r>
          </w:p>
        </w:tc>
        <w:tc>
          <w:tcPr>
            <w:tcW w:w="568"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4655</w:t>
            </w:r>
          </w:p>
        </w:tc>
        <w:tc>
          <w:tcPr>
            <w:tcW w:w="832"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4741</w:t>
            </w:r>
          </w:p>
        </w:tc>
        <w:tc>
          <w:tcPr>
            <w:tcW w:w="535"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1210</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375.48</w:t>
            </w:r>
          </w:p>
        </w:tc>
        <w:tc>
          <w:tcPr>
            <w:tcW w:w="699"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1540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28" w:type="dxa"/>
            <w:bottom w:w="0" w:type="dxa"/>
            <w:right w:w="28" w:type="dxa"/>
          </w:tblCellMar>
        </w:tblPrEx>
        <w:trPr>
          <w:trHeight w:val="340" w:hRule="atLeast"/>
          <w:jc w:val="center"/>
        </w:trPr>
        <w:tc>
          <w:tcPr>
            <w:tcW w:w="301" w:type="pct"/>
            <w:vMerge w:val="continue"/>
            <w:noWrap w:val="0"/>
            <w:vAlign w:val="center"/>
          </w:tcPr>
          <w:p>
            <w:pPr>
              <w:widowControl/>
              <w:spacing w:line="0" w:lineRule="atLeast"/>
              <w:ind w:firstLine="0" w:firstLineChars="0"/>
              <w:jc w:val="center"/>
              <w:rPr>
                <w:rFonts w:hint="default" w:ascii="Times New Roman" w:hAnsi="Times New Roman" w:eastAsia="方正仿宋_GBK" w:cs="Times New Roman"/>
                <w:bCs/>
                <w:kern w:val="0"/>
                <w:sz w:val="21"/>
                <w:szCs w:val="21"/>
              </w:rPr>
            </w:pPr>
          </w:p>
        </w:tc>
        <w:tc>
          <w:tcPr>
            <w:tcW w:w="367"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3.33</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1462</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4299</w:t>
            </w:r>
          </w:p>
        </w:tc>
        <w:tc>
          <w:tcPr>
            <w:tcW w:w="568"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4448</w:t>
            </w:r>
          </w:p>
        </w:tc>
        <w:tc>
          <w:tcPr>
            <w:tcW w:w="832"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4301</w:t>
            </w:r>
          </w:p>
        </w:tc>
        <w:tc>
          <w:tcPr>
            <w:tcW w:w="535"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1090</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375.15</w:t>
            </w:r>
          </w:p>
        </w:tc>
        <w:tc>
          <w:tcPr>
            <w:tcW w:w="699"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1380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28" w:type="dxa"/>
            <w:bottom w:w="0" w:type="dxa"/>
            <w:right w:w="28" w:type="dxa"/>
          </w:tblCellMar>
        </w:tblPrEx>
        <w:trPr>
          <w:trHeight w:val="340" w:hRule="atLeast"/>
          <w:jc w:val="center"/>
        </w:trPr>
        <w:tc>
          <w:tcPr>
            <w:tcW w:w="301" w:type="pct"/>
            <w:vMerge w:val="continue"/>
            <w:noWrap w:val="0"/>
            <w:vAlign w:val="center"/>
          </w:tcPr>
          <w:p>
            <w:pPr>
              <w:widowControl/>
              <w:spacing w:line="0" w:lineRule="atLeast"/>
              <w:ind w:firstLine="0" w:firstLineChars="0"/>
              <w:jc w:val="center"/>
              <w:rPr>
                <w:rFonts w:hint="default" w:ascii="Times New Roman" w:hAnsi="Times New Roman" w:eastAsia="方正仿宋_GBK" w:cs="Times New Roman"/>
                <w:bCs/>
                <w:kern w:val="0"/>
                <w:sz w:val="21"/>
                <w:szCs w:val="21"/>
              </w:rPr>
            </w:pPr>
          </w:p>
        </w:tc>
        <w:tc>
          <w:tcPr>
            <w:tcW w:w="367"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5</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1333</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3926</w:t>
            </w:r>
          </w:p>
        </w:tc>
        <w:tc>
          <w:tcPr>
            <w:tcW w:w="568"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3828</w:t>
            </w:r>
          </w:p>
        </w:tc>
        <w:tc>
          <w:tcPr>
            <w:tcW w:w="832"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4747</w:t>
            </w:r>
          </w:p>
        </w:tc>
        <w:tc>
          <w:tcPr>
            <w:tcW w:w="535"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170</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374.04</w:t>
            </w:r>
          </w:p>
        </w:tc>
        <w:tc>
          <w:tcPr>
            <w:tcW w:w="699"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1150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28" w:type="dxa"/>
            <w:bottom w:w="0" w:type="dxa"/>
            <w:right w:w="28" w:type="dxa"/>
          </w:tblCellMar>
        </w:tblPrEx>
        <w:trPr>
          <w:trHeight w:val="340" w:hRule="atLeast"/>
          <w:jc w:val="center"/>
        </w:trPr>
        <w:tc>
          <w:tcPr>
            <w:tcW w:w="301" w:type="pct"/>
            <w:vMerge w:val="restar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1979</w:t>
            </w:r>
          </w:p>
        </w:tc>
        <w:tc>
          <w:tcPr>
            <w:tcW w:w="367"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2</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1741</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4687</w:t>
            </w:r>
          </w:p>
        </w:tc>
        <w:tc>
          <w:tcPr>
            <w:tcW w:w="568"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4128</w:t>
            </w:r>
          </w:p>
        </w:tc>
        <w:tc>
          <w:tcPr>
            <w:tcW w:w="832"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4871</w:t>
            </w:r>
          </w:p>
        </w:tc>
        <w:tc>
          <w:tcPr>
            <w:tcW w:w="535"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1080</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374.59</w:t>
            </w:r>
          </w:p>
        </w:tc>
        <w:tc>
          <w:tcPr>
            <w:tcW w:w="699"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1360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28" w:type="dxa"/>
            <w:bottom w:w="0" w:type="dxa"/>
            <w:right w:w="28" w:type="dxa"/>
          </w:tblCellMar>
        </w:tblPrEx>
        <w:trPr>
          <w:trHeight w:val="340" w:hRule="atLeast"/>
          <w:jc w:val="center"/>
        </w:trPr>
        <w:tc>
          <w:tcPr>
            <w:tcW w:w="301" w:type="pct"/>
            <w:vMerge w:val="continue"/>
            <w:noWrap w:val="0"/>
            <w:vAlign w:val="center"/>
          </w:tcPr>
          <w:p>
            <w:pPr>
              <w:widowControl/>
              <w:spacing w:line="0" w:lineRule="atLeast"/>
              <w:ind w:firstLine="0" w:firstLineChars="0"/>
              <w:jc w:val="center"/>
              <w:rPr>
                <w:rFonts w:hint="default" w:ascii="Times New Roman" w:hAnsi="Times New Roman" w:eastAsia="方正仿宋_GBK" w:cs="Times New Roman"/>
                <w:bCs/>
                <w:kern w:val="0"/>
                <w:sz w:val="21"/>
                <w:szCs w:val="21"/>
              </w:rPr>
            </w:pPr>
          </w:p>
        </w:tc>
        <w:tc>
          <w:tcPr>
            <w:tcW w:w="367"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3.33</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1567</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4254</w:t>
            </w:r>
          </w:p>
        </w:tc>
        <w:tc>
          <w:tcPr>
            <w:tcW w:w="568"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3658</w:t>
            </w:r>
          </w:p>
        </w:tc>
        <w:tc>
          <w:tcPr>
            <w:tcW w:w="832"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4599</w:t>
            </w:r>
          </w:p>
        </w:tc>
        <w:tc>
          <w:tcPr>
            <w:tcW w:w="535"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790</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373.73</w:t>
            </w:r>
          </w:p>
        </w:tc>
        <w:tc>
          <w:tcPr>
            <w:tcW w:w="699"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1230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28" w:type="dxa"/>
            <w:bottom w:w="0" w:type="dxa"/>
            <w:right w:w="28" w:type="dxa"/>
          </w:tblCellMar>
        </w:tblPrEx>
        <w:trPr>
          <w:trHeight w:val="340" w:hRule="atLeast"/>
          <w:jc w:val="center"/>
        </w:trPr>
        <w:tc>
          <w:tcPr>
            <w:tcW w:w="301" w:type="pct"/>
            <w:vMerge w:val="continue"/>
            <w:noWrap w:val="0"/>
            <w:vAlign w:val="center"/>
          </w:tcPr>
          <w:p>
            <w:pPr>
              <w:widowControl/>
              <w:spacing w:line="0" w:lineRule="atLeast"/>
              <w:ind w:firstLine="0" w:firstLineChars="0"/>
              <w:jc w:val="center"/>
              <w:rPr>
                <w:rFonts w:hint="default" w:ascii="Times New Roman" w:hAnsi="Times New Roman" w:eastAsia="方正仿宋_GBK" w:cs="Times New Roman"/>
                <w:bCs/>
                <w:kern w:val="0"/>
                <w:sz w:val="21"/>
                <w:szCs w:val="21"/>
              </w:rPr>
            </w:pPr>
          </w:p>
        </w:tc>
        <w:tc>
          <w:tcPr>
            <w:tcW w:w="367"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5</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1428</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3884</w:t>
            </w:r>
          </w:p>
        </w:tc>
        <w:tc>
          <w:tcPr>
            <w:tcW w:w="568"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3157</w:t>
            </w:r>
          </w:p>
        </w:tc>
        <w:tc>
          <w:tcPr>
            <w:tcW w:w="832"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4604</w:t>
            </w:r>
          </w:p>
        </w:tc>
        <w:tc>
          <w:tcPr>
            <w:tcW w:w="535"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320</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372.83</w:t>
            </w:r>
          </w:p>
        </w:tc>
        <w:tc>
          <w:tcPr>
            <w:tcW w:w="699"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1120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28" w:type="dxa"/>
            <w:bottom w:w="0" w:type="dxa"/>
            <w:right w:w="28" w:type="dxa"/>
          </w:tblCellMar>
        </w:tblPrEx>
        <w:trPr>
          <w:trHeight w:val="340" w:hRule="atLeast"/>
          <w:jc w:val="center"/>
        </w:trPr>
        <w:tc>
          <w:tcPr>
            <w:tcW w:w="301" w:type="pct"/>
            <w:vMerge w:val="restar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1980</w:t>
            </w:r>
          </w:p>
        </w:tc>
        <w:tc>
          <w:tcPr>
            <w:tcW w:w="367"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2</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1949</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4245</w:t>
            </w:r>
          </w:p>
        </w:tc>
        <w:tc>
          <w:tcPr>
            <w:tcW w:w="568"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4680</w:t>
            </w:r>
          </w:p>
        </w:tc>
        <w:tc>
          <w:tcPr>
            <w:tcW w:w="832"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4871</w:t>
            </w:r>
          </w:p>
        </w:tc>
        <w:tc>
          <w:tcPr>
            <w:tcW w:w="535"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1080</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375.52</w:t>
            </w:r>
          </w:p>
        </w:tc>
        <w:tc>
          <w:tcPr>
            <w:tcW w:w="699"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1460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28" w:type="dxa"/>
            <w:bottom w:w="0" w:type="dxa"/>
            <w:right w:w="28" w:type="dxa"/>
          </w:tblCellMar>
        </w:tblPrEx>
        <w:trPr>
          <w:trHeight w:val="340" w:hRule="atLeast"/>
          <w:jc w:val="center"/>
        </w:trPr>
        <w:tc>
          <w:tcPr>
            <w:tcW w:w="301" w:type="pct"/>
            <w:vMerge w:val="continue"/>
            <w:noWrap w:val="0"/>
            <w:vAlign w:val="center"/>
          </w:tcPr>
          <w:p>
            <w:pPr>
              <w:widowControl/>
              <w:spacing w:line="0" w:lineRule="atLeast"/>
              <w:ind w:firstLine="0" w:firstLineChars="0"/>
              <w:jc w:val="center"/>
              <w:rPr>
                <w:rFonts w:hint="default" w:ascii="Times New Roman" w:hAnsi="Times New Roman" w:eastAsia="方正仿宋_GBK" w:cs="Times New Roman"/>
                <w:bCs/>
                <w:kern w:val="0"/>
                <w:sz w:val="21"/>
                <w:szCs w:val="21"/>
              </w:rPr>
            </w:pPr>
          </w:p>
        </w:tc>
        <w:tc>
          <w:tcPr>
            <w:tcW w:w="367"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3.33</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1754</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3839</w:t>
            </w:r>
          </w:p>
        </w:tc>
        <w:tc>
          <w:tcPr>
            <w:tcW w:w="568"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4595</w:t>
            </w:r>
          </w:p>
        </w:tc>
        <w:tc>
          <w:tcPr>
            <w:tcW w:w="832"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4736</w:t>
            </w:r>
          </w:p>
        </w:tc>
        <w:tc>
          <w:tcPr>
            <w:tcW w:w="535"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650</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375.39</w:t>
            </w:r>
          </w:p>
        </w:tc>
        <w:tc>
          <w:tcPr>
            <w:tcW w:w="699"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1260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28" w:type="dxa"/>
            <w:bottom w:w="0" w:type="dxa"/>
            <w:right w:w="28" w:type="dxa"/>
          </w:tblCellMar>
        </w:tblPrEx>
        <w:trPr>
          <w:trHeight w:val="340" w:hRule="atLeast"/>
          <w:jc w:val="center"/>
        </w:trPr>
        <w:tc>
          <w:tcPr>
            <w:tcW w:w="301" w:type="pct"/>
            <w:vMerge w:val="continue"/>
            <w:noWrap w:val="0"/>
            <w:vAlign w:val="center"/>
          </w:tcPr>
          <w:p>
            <w:pPr>
              <w:widowControl/>
              <w:spacing w:line="0" w:lineRule="atLeast"/>
              <w:ind w:firstLine="0" w:firstLineChars="0"/>
              <w:jc w:val="center"/>
              <w:rPr>
                <w:rFonts w:hint="default" w:ascii="Times New Roman" w:hAnsi="Times New Roman" w:eastAsia="方正仿宋_GBK" w:cs="Times New Roman"/>
                <w:bCs/>
                <w:kern w:val="0"/>
                <w:sz w:val="21"/>
                <w:szCs w:val="21"/>
              </w:rPr>
            </w:pPr>
          </w:p>
        </w:tc>
        <w:tc>
          <w:tcPr>
            <w:tcW w:w="367"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5</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1599</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3506</w:t>
            </w:r>
          </w:p>
        </w:tc>
        <w:tc>
          <w:tcPr>
            <w:tcW w:w="568"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3640</w:t>
            </w:r>
          </w:p>
        </w:tc>
        <w:tc>
          <w:tcPr>
            <w:tcW w:w="832"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4586</w:t>
            </w:r>
          </w:p>
        </w:tc>
        <w:tc>
          <w:tcPr>
            <w:tcW w:w="535"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330</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373.70</w:t>
            </w:r>
          </w:p>
        </w:tc>
        <w:tc>
          <w:tcPr>
            <w:tcW w:w="699"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1240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28" w:type="dxa"/>
            <w:bottom w:w="0" w:type="dxa"/>
            <w:right w:w="28" w:type="dxa"/>
          </w:tblCellMar>
        </w:tblPrEx>
        <w:trPr>
          <w:trHeight w:val="340" w:hRule="atLeast"/>
          <w:jc w:val="center"/>
        </w:trPr>
        <w:tc>
          <w:tcPr>
            <w:tcW w:w="301" w:type="pct"/>
            <w:vMerge w:val="restar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1983</w:t>
            </w:r>
          </w:p>
        </w:tc>
        <w:tc>
          <w:tcPr>
            <w:tcW w:w="367"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2</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1900</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4257</w:t>
            </w:r>
          </w:p>
        </w:tc>
        <w:tc>
          <w:tcPr>
            <w:tcW w:w="568"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4963</w:t>
            </w:r>
          </w:p>
        </w:tc>
        <w:tc>
          <w:tcPr>
            <w:tcW w:w="832"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4870</w:t>
            </w:r>
          </w:p>
        </w:tc>
        <w:tc>
          <w:tcPr>
            <w:tcW w:w="535"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1080</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375.98</w:t>
            </w:r>
          </w:p>
        </w:tc>
        <w:tc>
          <w:tcPr>
            <w:tcW w:w="699"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1190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28" w:type="dxa"/>
            <w:bottom w:w="0" w:type="dxa"/>
            <w:right w:w="28" w:type="dxa"/>
          </w:tblCellMar>
        </w:tblPrEx>
        <w:trPr>
          <w:trHeight w:val="340" w:hRule="atLeast"/>
          <w:jc w:val="center"/>
        </w:trPr>
        <w:tc>
          <w:tcPr>
            <w:tcW w:w="301" w:type="pct"/>
            <w:vMerge w:val="continue"/>
            <w:noWrap w:val="0"/>
            <w:vAlign w:val="center"/>
          </w:tcPr>
          <w:p>
            <w:pPr>
              <w:widowControl/>
              <w:spacing w:line="0" w:lineRule="atLeast"/>
              <w:ind w:firstLine="0" w:firstLineChars="0"/>
              <w:jc w:val="center"/>
              <w:rPr>
                <w:rFonts w:hint="default" w:ascii="Times New Roman" w:hAnsi="Times New Roman" w:eastAsia="方正仿宋_GBK" w:cs="Times New Roman"/>
                <w:bCs/>
                <w:kern w:val="0"/>
                <w:sz w:val="21"/>
                <w:szCs w:val="21"/>
              </w:rPr>
            </w:pPr>
          </w:p>
        </w:tc>
        <w:tc>
          <w:tcPr>
            <w:tcW w:w="367"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3.33</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1710</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3866</w:t>
            </w:r>
          </w:p>
        </w:tc>
        <w:tc>
          <w:tcPr>
            <w:tcW w:w="568"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3242</w:t>
            </w:r>
          </w:p>
        </w:tc>
        <w:tc>
          <w:tcPr>
            <w:tcW w:w="832"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4310</w:t>
            </w:r>
          </w:p>
        </w:tc>
        <w:tc>
          <w:tcPr>
            <w:tcW w:w="535"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1080</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372.98</w:t>
            </w:r>
          </w:p>
        </w:tc>
        <w:tc>
          <w:tcPr>
            <w:tcW w:w="699"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1220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28" w:type="dxa"/>
            <w:bottom w:w="0" w:type="dxa"/>
            <w:right w:w="28" w:type="dxa"/>
          </w:tblCellMar>
        </w:tblPrEx>
        <w:trPr>
          <w:trHeight w:val="340" w:hRule="atLeast"/>
          <w:jc w:val="center"/>
        </w:trPr>
        <w:tc>
          <w:tcPr>
            <w:tcW w:w="301" w:type="pct"/>
            <w:vMerge w:val="continue"/>
            <w:noWrap w:val="0"/>
            <w:vAlign w:val="center"/>
          </w:tcPr>
          <w:p>
            <w:pPr>
              <w:widowControl/>
              <w:spacing w:line="0" w:lineRule="atLeast"/>
              <w:ind w:firstLine="0" w:firstLineChars="0"/>
              <w:jc w:val="center"/>
              <w:rPr>
                <w:rFonts w:hint="default" w:ascii="Times New Roman" w:hAnsi="Times New Roman" w:eastAsia="方正仿宋_GBK" w:cs="Times New Roman"/>
                <w:bCs/>
                <w:kern w:val="0"/>
                <w:sz w:val="21"/>
                <w:szCs w:val="21"/>
              </w:rPr>
            </w:pPr>
          </w:p>
        </w:tc>
        <w:tc>
          <w:tcPr>
            <w:tcW w:w="367"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5</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1559</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3531</w:t>
            </w:r>
          </w:p>
        </w:tc>
        <w:tc>
          <w:tcPr>
            <w:tcW w:w="568"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2218</w:t>
            </w:r>
          </w:p>
        </w:tc>
        <w:tc>
          <w:tcPr>
            <w:tcW w:w="832"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4409</w:t>
            </w:r>
          </w:p>
        </w:tc>
        <w:tc>
          <w:tcPr>
            <w:tcW w:w="535"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510</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371.13</w:t>
            </w:r>
          </w:p>
        </w:tc>
        <w:tc>
          <w:tcPr>
            <w:tcW w:w="699"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1310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28" w:type="dxa"/>
            <w:bottom w:w="0" w:type="dxa"/>
            <w:right w:w="28" w:type="dxa"/>
          </w:tblCellMar>
        </w:tblPrEx>
        <w:trPr>
          <w:trHeight w:val="340" w:hRule="atLeast"/>
          <w:jc w:val="center"/>
        </w:trPr>
        <w:tc>
          <w:tcPr>
            <w:tcW w:w="301" w:type="pct"/>
            <w:vMerge w:val="restar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1998</w:t>
            </w:r>
          </w:p>
        </w:tc>
        <w:tc>
          <w:tcPr>
            <w:tcW w:w="367"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2</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3341</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4236</w:t>
            </w:r>
          </w:p>
        </w:tc>
        <w:tc>
          <w:tcPr>
            <w:tcW w:w="568"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4630</w:t>
            </w:r>
          </w:p>
        </w:tc>
        <w:tc>
          <w:tcPr>
            <w:tcW w:w="832"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4911</w:t>
            </w:r>
          </w:p>
        </w:tc>
        <w:tc>
          <w:tcPr>
            <w:tcW w:w="535"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1040</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375.44</w:t>
            </w:r>
          </w:p>
        </w:tc>
        <w:tc>
          <w:tcPr>
            <w:tcW w:w="699"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2040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28" w:type="dxa"/>
            <w:bottom w:w="0" w:type="dxa"/>
            <w:right w:w="28" w:type="dxa"/>
          </w:tblCellMar>
        </w:tblPrEx>
        <w:trPr>
          <w:trHeight w:val="340" w:hRule="atLeast"/>
          <w:jc w:val="center"/>
        </w:trPr>
        <w:tc>
          <w:tcPr>
            <w:tcW w:w="301" w:type="pct"/>
            <w:vMerge w:val="continue"/>
            <w:noWrap w:val="0"/>
            <w:vAlign w:val="center"/>
          </w:tcPr>
          <w:p>
            <w:pPr>
              <w:widowControl/>
              <w:spacing w:line="0" w:lineRule="atLeast"/>
              <w:ind w:firstLine="0" w:firstLineChars="0"/>
              <w:jc w:val="center"/>
              <w:rPr>
                <w:rFonts w:hint="default" w:ascii="Times New Roman" w:hAnsi="Times New Roman" w:eastAsia="方正仿宋_GBK" w:cs="Times New Roman"/>
                <w:bCs/>
                <w:kern w:val="0"/>
                <w:sz w:val="21"/>
                <w:szCs w:val="21"/>
              </w:rPr>
            </w:pPr>
          </w:p>
        </w:tc>
        <w:tc>
          <w:tcPr>
            <w:tcW w:w="367"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3.33</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3006</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3817</w:t>
            </w:r>
          </w:p>
        </w:tc>
        <w:tc>
          <w:tcPr>
            <w:tcW w:w="568"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3857</w:t>
            </w:r>
          </w:p>
        </w:tc>
        <w:tc>
          <w:tcPr>
            <w:tcW w:w="832"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4827</w:t>
            </w:r>
          </w:p>
        </w:tc>
        <w:tc>
          <w:tcPr>
            <w:tcW w:w="535"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560</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374.10</w:t>
            </w:r>
          </w:p>
        </w:tc>
        <w:tc>
          <w:tcPr>
            <w:tcW w:w="699"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1890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28" w:type="dxa"/>
            <w:bottom w:w="0" w:type="dxa"/>
            <w:right w:w="28" w:type="dxa"/>
          </w:tblCellMar>
        </w:tblPrEx>
        <w:trPr>
          <w:trHeight w:val="340" w:hRule="atLeast"/>
          <w:jc w:val="center"/>
        </w:trPr>
        <w:tc>
          <w:tcPr>
            <w:tcW w:w="301" w:type="pct"/>
            <w:vMerge w:val="continue"/>
            <w:noWrap w:val="0"/>
            <w:vAlign w:val="center"/>
          </w:tcPr>
          <w:p>
            <w:pPr>
              <w:widowControl/>
              <w:spacing w:line="0" w:lineRule="atLeast"/>
              <w:ind w:firstLine="0" w:firstLineChars="0"/>
              <w:jc w:val="center"/>
              <w:rPr>
                <w:rFonts w:hint="default" w:ascii="Times New Roman" w:hAnsi="Times New Roman" w:eastAsia="方正仿宋_GBK" w:cs="Times New Roman"/>
                <w:bCs/>
                <w:kern w:val="0"/>
                <w:sz w:val="21"/>
                <w:szCs w:val="21"/>
              </w:rPr>
            </w:pPr>
          </w:p>
        </w:tc>
        <w:tc>
          <w:tcPr>
            <w:tcW w:w="367"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5</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2739</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3487</w:t>
            </w:r>
          </w:p>
        </w:tc>
        <w:tc>
          <w:tcPr>
            <w:tcW w:w="568"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3744</w:t>
            </w:r>
          </w:p>
        </w:tc>
        <w:tc>
          <w:tcPr>
            <w:tcW w:w="832"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4685</w:t>
            </w:r>
          </w:p>
        </w:tc>
        <w:tc>
          <w:tcPr>
            <w:tcW w:w="535"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230</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373.89</w:t>
            </w:r>
          </w:p>
        </w:tc>
        <w:tc>
          <w:tcPr>
            <w:tcW w:w="699"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1510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28" w:type="dxa"/>
            <w:bottom w:w="0" w:type="dxa"/>
            <w:right w:w="28" w:type="dxa"/>
          </w:tblCellMar>
        </w:tblPrEx>
        <w:trPr>
          <w:trHeight w:val="340" w:hRule="atLeast"/>
          <w:jc w:val="center"/>
        </w:trPr>
        <w:tc>
          <w:tcPr>
            <w:tcW w:w="301" w:type="pct"/>
            <w:vMerge w:val="restar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2005</w:t>
            </w:r>
          </w:p>
        </w:tc>
        <w:tc>
          <w:tcPr>
            <w:tcW w:w="367"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2</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2588</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3687</w:t>
            </w:r>
          </w:p>
        </w:tc>
        <w:tc>
          <w:tcPr>
            <w:tcW w:w="568"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4680</w:t>
            </w:r>
          </w:p>
        </w:tc>
        <w:tc>
          <w:tcPr>
            <w:tcW w:w="832"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4870</w:t>
            </w:r>
          </w:p>
        </w:tc>
        <w:tc>
          <w:tcPr>
            <w:tcW w:w="535"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1080</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375.52</w:t>
            </w:r>
          </w:p>
        </w:tc>
        <w:tc>
          <w:tcPr>
            <w:tcW w:w="699"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1650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28" w:type="dxa"/>
            <w:bottom w:w="0" w:type="dxa"/>
            <w:right w:w="28" w:type="dxa"/>
          </w:tblCellMar>
        </w:tblPrEx>
        <w:trPr>
          <w:trHeight w:val="340" w:hRule="atLeast"/>
          <w:jc w:val="center"/>
        </w:trPr>
        <w:tc>
          <w:tcPr>
            <w:tcW w:w="301" w:type="pct"/>
            <w:vMerge w:val="continue"/>
            <w:noWrap w:val="0"/>
            <w:vAlign w:val="center"/>
          </w:tcPr>
          <w:p>
            <w:pPr>
              <w:widowControl/>
              <w:spacing w:line="0" w:lineRule="atLeast"/>
              <w:ind w:firstLine="0" w:firstLineChars="0"/>
              <w:jc w:val="center"/>
              <w:rPr>
                <w:rFonts w:hint="default" w:ascii="Times New Roman" w:hAnsi="Times New Roman" w:eastAsia="方正仿宋_GBK" w:cs="Times New Roman"/>
                <w:bCs/>
                <w:kern w:val="0"/>
                <w:sz w:val="21"/>
                <w:szCs w:val="21"/>
              </w:rPr>
            </w:pPr>
          </w:p>
        </w:tc>
        <w:tc>
          <w:tcPr>
            <w:tcW w:w="367"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3.33</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2329</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3353</w:t>
            </w:r>
          </w:p>
        </w:tc>
        <w:tc>
          <w:tcPr>
            <w:tcW w:w="568"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4212</w:t>
            </w:r>
          </w:p>
        </w:tc>
        <w:tc>
          <w:tcPr>
            <w:tcW w:w="832"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4310</w:t>
            </w:r>
          </w:p>
        </w:tc>
        <w:tc>
          <w:tcPr>
            <w:tcW w:w="535"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1080</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374.74</w:t>
            </w:r>
          </w:p>
        </w:tc>
        <w:tc>
          <w:tcPr>
            <w:tcW w:w="699"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1730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28" w:type="dxa"/>
            <w:bottom w:w="0" w:type="dxa"/>
            <w:right w:w="28" w:type="dxa"/>
          </w:tblCellMar>
        </w:tblPrEx>
        <w:trPr>
          <w:trHeight w:val="340" w:hRule="atLeast"/>
          <w:jc w:val="center"/>
        </w:trPr>
        <w:tc>
          <w:tcPr>
            <w:tcW w:w="301" w:type="pct"/>
            <w:vMerge w:val="continue"/>
            <w:noWrap w:val="0"/>
            <w:vAlign w:val="center"/>
          </w:tcPr>
          <w:p>
            <w:pPr>
              <w:widowControl/>
              <w:spacing w:line="0" w:lineRule="atLeast"/>
              <w:ind w:firstLine="0" w:firstLineChars="0"/>
              <w:jc w:val="center"/>
              <w:rPr>
                <w:rFonts w:hint="default" w:ascii="Times New Roman" w:hAnsi="Times New Roman" w:eastAsia="方正仿宋_GBK" w:cs="Times New Roman"/>
                <w:bCs/>
                <w:kern w:val="0"/>
                <w:sz w:val="21"/>
                <w:szCs w:val="21"/>
              </w:rPr>
            </w:pPr>
          </w:p>
        </w:tc>
        <w:tc>
          <w:tcPr>
            <w:tcW w:w="367"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5</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2123</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3064</w:t>
            </w:r>
          </w:p>
        </w:tc>
        <w:tc>
          <w:tcPr>
            <w:tcW w:w="568"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4183</w:t>
            </w:r>
          </w:p>
        </w:tc>
        <w:tc>
          <w:tcPr>
            <w:tcW w:w="832"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3841</w:t>
            </w:r>
          </w:p>
        </w:tc>
        <w:tc>
          <w:tcPr>
            <w:tcW w:w="535"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1080</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374.68</w:t>
            </w:r>
          </w:p>
        </w:tc>
        <w:tc>
          <w:tcPr>
            <w:tcW w:w="699"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1580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28" w:type="dxa"/>
            <w:bottom w:w="0" w:type="dxa"/>
            <w:right w:w="28" w:type="dxa"/>
          </w:tblCellMar>
        </w:tblPrEx>
        <w:trPr>
          <w:trHeight w:val="340" w:hRule="atLeast"/>
          <w:jc w:val="center"/>
        </w:trPr>
        <w:tc>
          <w:tcPr>
            <w:tcW w:w="301" w:type="pct"/>
            <w:vMerge w:val="restar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2016</w:t>
            </w:r>
          </w:p>
        </w:tc>
        <w:tc>
          <w:tcPr>
            <w:tcW w:w="367"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2</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3616</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2644</w:t>
            </w:r>
          </w:p>
        </w:tc>
        <w:tc>
          <w:tcPr>
            <w:tcW w:w="568"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4716</w:t>
            </w:r>
          </w:p>
        </w:tc>
        <w:tc>
          <w:tcPr>
            <w:tcW w:w="832"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4688</w:t>
            </w:r>
          </w:p>
        </w:tc>
        <w:tc>
          <w:tcPr>
            <w:tcW w:w="535"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1260</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375.58</w:t>
            </w:r>
          </w:p>
        </w:tc>
        <w:tc>
          <w:tcPr>
            <w:tcW w:w="699"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2810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28" w:type="dxa"/>
            <w:bottom w:w="0" w:type="dxa"/>
            <w:right w:w="28" w:type="dxa"/>
          </w:tblCellMar>
        </w:tblPrEx>
        <w:trPr>
          <w:trHeight w:val="340" w:hRule="atLeast"/>
          <w:jc w:val="center"/>
        </w:trPr>
        <w:tc>
          <w:tcPr>
            <w:tcW w:w="301" w:type="pct"/>
            <w:vMerge w:val="continue"/>
            <w:noWrap w:val="0"/>
            <w:vAlign w:val="center"/>
          </w:tcPr>
          <w:p>
            <w:pPr>
              <w:widowControl/>
              <w:spacing w:line="0" w:lineRule="atLeast"/>
              <w:ind w:firstLine="0" w:firstLineChars="0"/>
              <w:jc w:val="center"/>
              <w:rPr>
                <w:rFonts w:hint="default" w:ascii="Times New Roman" w:hAnsi="Times New Roman" w:eastAsia="方正仿宋_GBK" w:cs="Times New Roman"/>
                <w:bCs/>
                <w:kern w:val="0"/>
                <w:sz w:val="21"/>
                <w:szCs w:val="21"/>
              </w:rPr>
            </w:pPr>
          </w:p>
        </w:tc>
        <w:tc>
          <w:tcPr>
            <w:tcW w:w="367"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3.33</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3253</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2416</w:t>
            </w:r>
          </w:p>
        </w:tc>
        <w:tc>
          <w:tcPr>
            <w:tcW w:w="568"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4680</w:t>
            </w:r>
          </w:p>
        </w:tc>
        <w:tc>
          <w:tcPr>
            <w:tcW w:w="832"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4226</w:t>
            </w:r>
          </w:p>
        </w:tc>
        <w:tc>
          <w:tcPr>
            <w:tcW w:w="535"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1160</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375.52</w:t>
            </w:r>
          </w:p>
        </w:tc>
        <w:tc>
          <w:tcPr>
            <w:tcW w:w="699"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2930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28" w:type="dxa"/>
            <w:bottom w:w="0" w:type="dxa"/>
            <w:right w:w="28" w:type="dxa"/>
          </w:tblCellMar>
        </w:tblPrEx>
        <w:trPr>
          <w:trHeight w:val="340" w:hRule="atLeast"/>
          <w:jc w:val="center"/>
        </w:trPr>
        <w:tc>
          <w:tcPr>
            <w:tcW w:w="301" w:type="pct"/>
            <w:vMerge w:val="continue"/>
            <w:noWrap w:val="0"/>
            <w:vAlign w:val="center"/>
          </w:tcPr>
          <w:p>
            <w:pPr>
              <w:widowControl/>
              <w:spacing w:line="0" w:lineRule="atLeast"/>
              <w:ind w:firstLine="0" w:firstLineChars="0"/>
              <w:jc w:val="center"/>
              <w:rPr>
                <w:rFonts w:hint="default" w:ascii="Times New Roman" w:hAnsi="Times New Roman" w:eastAsia="方正仿宋_GBK" w:cs="Times New Roman"/>
                <w:bCs/>
                <w:kern w:val="0"/>
                <w:sz w:val="21"/>
                <w:szCs w:val="21"/>
              </w:rPr>
            </w:pPr>
          </w:p>
        </w:tc>
        <w:tc>
          <w:tcPr>
            <w:tcW w:w="367"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5</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2966</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2208</w:t>
            </w:r>
          </w:p>
        </w:tc>
        <w:tc>
          <w:tcPr>
            <w:tcW w:w="568"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3469</w:t>
            </w:r>
          </w:p>
        </w:tc>
        <w:tc>
          <w:tcPr>
            <w:tcW w:w="832"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4197</w:t>
            </w:r>
          </w:p>
        </w:tc>
        <w:tc>
          <w:tcPr>
            <w:tcW w:w="535"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720</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373.39</w:t>
            </w:r>
          </w:p>
        </w:tc>
        <w:tc>
          <w:tcPr>
            <w:tcW w:w="699"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2800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28" w:type="dxa"/>
            <w:bottom w:w="0" w:type="dxa"/>
            <w:right w:w="28" w:type="dxa"/>
          </w:tblCellMar>
        </w:tblPrEx>
        <w:trPr>
          <w:trHeight w:val="340" w:hRule="atLeast"/>
          <w:jc w:val="center"/>
        </w:trPr>
        <w:tc>
          <w:tcPr>
            <w:tcW w:w="668" w:type="pct"/>
            <w:gridSpan w:val="2"/>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2020实际</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3010</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3838</w:t>
            </w:r>
          </w:p>
        </w:tc>
        <w:tc>
          <w:tcPr>
            <w:tcW w:w="568"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2808</w:t>
            </w:r>
          </w:p>
        </w:tc>
        <w:tc>
          <w:tcPr>
            <w:tcW w:w="832"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4513</w:t>
            </w:r>
          </w:p>
        </w:tc>
        <w:tc>
          <w:tcPr>
            <w:tcW w:w="535"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550</w:t>
            </w:r>
          </w:p>
        </w:tc>
        <w:tc>
          <w:tcPr>
            <w:tcW w:w="566"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372.20</w:t>
            </w:r>
          </w:p>
        </w:tc>
        <w:tc>
          <w:tcPr>
            <w:tcW w:w="699" w:type="pct"/>
            <w:noWrap w:val="0"/>
            <w:vAlign w:val="center"/>
          </w:tcPr>
          <w:p>
            <w:pPr>
              <w:snapToGrid w:val="0"/>
              <w:spacing w:line="0" w:lineRule="atLeas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2010</w:t>
            </w:r>
          </w:p>
        </w:tc>
      </w:tr>
    </w:tbl>
    <w:p>
      <w:pPr>
        <w:pStyle w:val="1355"/>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spacing w:val="-2"/>
          <w:sz w:val="32"/>
          <w:szCs w:val="32"/>
        </w:rPr>
      </w:pPr>
      <w:r>
        <w:rPr>
          <w:rFonts w:hint="default" w:ascii="Times New Roman" w:hAnsi="Times New Roman" w:eastAsia="方正仿宋_GBK" w:cs="Times New Roman"/>
          <w:spacing w:val="-2"/>
          <w:sz w:val="32"/>
          <w:szCs w:val="32"/>
        </w:rPr>
        <w:t>根据上述计算结果，按綦江城区修建20年一遇防洪护岸工程工况，拟定藻渡水库所需预留的防洪库容（计算最大值为4963万m</w:t>
      </w:r>
      <w:r>
        <w:rPr>
          <w:rFonts w:hint="default" w:ascii="Times New Roman" w:hAnsi="Times New Roman" w:eastAsia="方正仿宋_GBK" w:cs="Times New Roman"/>
          <w:spacing w:val="-2"/>
          <w:sz w:val="32"/>
          <w:szCs w:val="32"/>
          <w:vertAlign w:val="superscript"/>
        </w:rPr>
        <w:t>3</w:t>
      </w:r>
      <w:r>
        <w:rPr>
          <w:rFonts w:hint="default" w:ascii="Times New Roman" w:hAnsi="Times New Roman" w:eastAsia="方正仿宋_GBK" w:cs="Times New Roman"/>
          <w:spacing w:val="-2"/>
          <w:sz w:val="32"/>
          <w:szCs w:val="32"/>
        </w:rPr>
        <w:t>）。根据藻渡库水位</w:t>
      </w:r>
      <w:r>
        <w:rPr>
          <w:rFonts w:hint="eastAsia" w:ascii="Times New Roman" w:eastAsia="方正仿宋_GBK" w:cs="Times New Roman"/>
          <w:spacing w:val="-2"/>
          <w:sz w:val="32"/>
          <w:szCs w:val="32"/>
          <w:lang w:eastAsia="zh-CN"/>
        </w:rPr>
        <w:t>—</w:t>
      </w:r>
      <w:r>
        <w:rPr>
          <w:rFonts w:hint="default" w:ascii="Times New Roman" w:hAnsi="Times New Roman" w:eastAsia="方正仿宋_GBK" w:cs="Times New Roman"/>
          <w:spacing w:val="-2"/>
          <w:sz w:val="32"/>
          <w:szCs w:val="32"/>
        </w:rPr>
        <w:t>容积曲线，预留防洪库容4963万m</w:t>
      </w:r>
      <w:r>
        <w:rPr>
          <w:rFonts w:hint="default" w:ascii="Times New Roman" w:hAnsi="Times New Roman" w:eastAsia="方正仿宋_GBK" w:cs="Times New Roman"/>
          <w:spacing w:val="-2"/>
          <w:sz w:val="32"/>
          <w:szCs w:val="32"/>
          <w:vertAlign w:val="superscript"/>
        </w:rPr>
        <w:t>3</w:t>
      </w:r>
      <w:r>
        <w:rPr>
          <w:rFonts w:hint="default" w:ascii="Times New Roman" w:hAnsi="Times New Roman" w:eastAsia="方正仿宋_GBK" w:cs="Times New Roman"/>
          <w:spacing w:val="-2"/>
          <w:sz w:val="32"/>
          <w:szCs w:val="32"/>
        </w:rPr>
        <w:t>时相应的防洪限制水位为366.82m，取整后防洪限制水位采用366.80m，实际预留的防洪库容为4975万m</w:t>
      </w:r>
      <w:r>
        <w:rPr>
          <w:rFonts w:hint="default" w:ascii="Times New Roman" w:hAnsi="Times New Roman" w:eastAsia="方正仿宋_GBK" w:cs="Times New Roman"/>
          <w:spacing w:val="-2"/>
          <w:sz w:val="32"/>
          <w:szCs w:val="32"/>
          <w:vertAlign w:val="superscript"/>
        </w:rPr>
        <w:t>3</w:t>
      </w:r>
      <w:r>
        <w:rPr>
          <w:rFonts w:hint="default" w:ascii="Times New Roman" w:hAnsi="Times New Roman" w:eastAsia="方正仿宋_GBK" w:cs="Times New Roman"/>
          <w:spacing w:val="-2"/>
          <w:sz w:val="32"/>
          <w:szCs w:val="32"/>
        </w:rPr>
        <w:t>。</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4</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rPr>
        <w:t>预留防洪库容时间</w:t>
      </w:r>
    </w:p>
    <w:p>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lang w:val="zh-CN"/>
        </w:rPr>
      </w:pPr>
      <w:r>
        <w:rPr>
          <w:rFonts w:hint="default" w:ascii="Times New Roman" w:hAnsi="Times New Roman" w:eastAsia="方正仿宋_GBK" w:cs="Times New Roman"/>
          <w:sz w:val="32"/>
          <w:szCs w:val="32"/>
        </w:rPr>
        <w:t>藻渡河属山区性河流，洪水由暴雨形成，洪水发生时间与暴雨一致。綦江洪水主汛期在5月</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9月，7、8月份最集中。</w:t>
      </w:r>
      <w:r>
        <w:rPr>
          <w:rFonts w:hint="default" w:ascii="Times New Roman" w:hAnsi="Times New Roman" w:eastAsia="方正仿宋_GBK" w:cs="Times New Roman"/>
          <w:sz w:val="32"/>
          <w:szCs w:val="32"/>
          <w:lang w:val="zh-CN"/>
        </w:rPr>
        <w:t>将东溪水文站和五岔水文站历年各月最大洪峰流量点绘于图6.3</w:t>
      </w:r>
      <w:r>
        <w:rPr>
          <w:rFonts w:hint="eastAsia" w:ascii="Times New Roman" w:eastAsia="方正仿宋_GBK" w:cs="Times New Roman"/>
          <w:sz w:val="32"/>
          <w:szCs w:val="32"/>
          <w:lang w:val="zh-CN"/>
        </w:rPr>
        <w:t>—</w:t>
      </w:r>
      <w:r>
        <w:rPr>
          <w:rFonts w:hint="default" w:ascii="Times New Roman" w:hAnsi="Times New Roman" w:eastAsia="方正仿宋_GBK" w:cs="Times New Roman"/>
          <w:sz w:val="32"/>
          <w:szCs w:val="32"/>
          <w:lang w:val="zh-CN"/>
        </w:rPr>
        <w:t>2和图6.3</w:t>
      </w:r>
      <w:r>
        <w:rPr>
          <w:rFonts w:hint="eastAsia" w:ascii="Times New Roman" w:eastAsia="方正仿宋_GBK" w:cs="Times New Roman"/>
          <w:sz w:val="32"/>
          <w:szCs w:val="32"/>
          <w:lang w:val="zh-CN"/>
        </w:rPr>
        <w:t>—</w:t>
      </w:r>
      <w:r>
        <w:rPr>
          <w:rFonts w:hint="default" w:ascii="Times New Roman" w:hAnsi="Times New Roman" w:eastAsia="方正仿宋_GBK" w:cs="Times New Roman"/>
          <w:sz w:val="32"/>
          <w:szCs w:val="32"/>
          <w:lang w:val="zh-CN"/>
        </w:rPr>
        <w:t>3，</w:t>
      </w:r>
      <w:r>
        <w:rPr>
          <w:rFonts w:hint="default" w:ascii="Times New Roman" w:hAnsi="Times New Roman" w:eastAsia="方正仿宋_GBK" w:cs="Times New Roman"/>
          <w:sz w:val="32"/>
          <w:szCs w:val="32"/>
        </w:rPr>
        <w:t>可以看出，</w:t>
      </w:r>
      <w:r>
        <w:rPr>
          <w:rFonts w:hint="default" w:ascii="Times New Roman" w:hAnsi="Times New Roman" w:eastAsia="方正仿宋_GBK" w:cs="Times New Roman"/>
          <w:sz w:val="32"/>
          <w:szCs w:val="32"/>
          <w:lang w:val="zh-CN"/>
        </w:rPr>
        <w:t>两站</w:t>
      </w:r>
      <w:r>
        <w:rPr>
          <w:rFonts w:hint="default" w:ascii="Times New Roman" w:hAnsi="Times New Roman" w:eastAsia="方正仿宋_GBK" w:cs="Times New Roman"/>
          <w:sz w:val="32"/>
          <w:szCs w:val="32"/>
        </w:rPr>
        <w:t>年最大流量基本上发生在主汛期。据实测资料统计，</w:t>
      </w:r>
      <w:r>
        <w:rPr>
          <w:rFonts w:hint="default" w:ascii="Times New Roman" w:hAnsi="Times New Roman" w:eastAsia="方正仿宋_GBK" w:cs="Times New Roman"/>
          <w:sz w:val="32"/>
          <w:szCs w:val="32"/>
          <w:lang w:val="zh-CN"/>
        </w:rPr>
        <w:t>东溪和五岔站历年出现在9月份的年最大洪峰仅1900m</w:t>
      </w:r>
      <w:r>
        <w:rPr>
          <w:rFonts w:hint="default" w:ascii="Times New Roman" w:hAnsi="Times New Roman" w:eastAsia="方正仿宋_GBK" w:cs="Times New Roman"/>
          <w:sz w:val="32"/>
          <w:szCs w:val="32"/>
          <w:vertAlign w:val="superscript"/>
          <w:lang w:val="zh-CN"/>
        </w:rPr>
        <w:t>3</w:t>
      </w:r>
      <w:r>
        <w:rPr>
          <w:rFonts w:hint="default" w:ascii="Times New Roman" w:hAnsi="Times New Roman" w:eastAsia="方正仿宋_GBK" w:cs="Times New Roman"/>
          <w:sz w:val="32"/>
          <w:szCs w:val="32"/>
          <w:lang w:val="zh-CN"/>
        </w:rPr>
        <w:t>/s和2800m</w:t>
      </w:r>
      <w:r>
        <w:rPr>
          <w:rFonts w:hint="default" w:ascii="Times New Roman" w:hAnsi="Times New Roman" w:eastAsia="方正仿宋_GBK" w:cs="Times New Roman"/>
          <w:sz w:val="32"/>
          <w:szCs w:val="32"/>
          <w:vertAlign w:val="superscript"/>
          <w:lang w:val="zh-CN"/>
        </w:rPr>
        <w:t>3</w:t>
      </w:r>
      <w:r>
        <w:rPr>
          <w:rFonts w:hint="default" w:ascii="Times New Roman" w:hAnsi="Times New Roman" w:eastAsia="方正仿宋_GBK" w:cs="Times New Roman"/>
          <w:sz w:val="32"/>
          <w:szCs w:val="32"/>
          <w:lang w:val="zh-CN"/>
        </w:rPr>
        <w:t>/s左右，已小于现状綦江城区河段安全泄量，其量级也远小于7、8月份。而且，两站9月份出现年最大洪峰的频次明显少于7、8月份，从几次大的历史洪水发生时间上看，也基本未发生在9月份。</w:t>
      </w:r>
    </w:p>
    <w:p>
      <w:pPr>
        <w:pStyle w:val="861"/>
        <w:spacing w:line="0" w:lineRule="atLeast"/>
        <w:rPr>
          <w:lang w:val="zh-CN"/>
        </w:rPr>
      </w:pPr>
      <w:r>
        <w:drawing>
          <wp:inline distT="0" distB="0" distL="114300" distR="114300">
            <wp:extent cx="5607050" cy="3735070"/>
            <wp:effectExtent l="0" t="0" r="12700" b="17780"/>
            <wp:docPr id="217" name="图片 28" descr="C:\Users\BKG-Q2\Desktop\綦江藻度水库\藻渡报告20200220\AppData\Roaming\Tencent\Users\1683006298\QQ\WinTemp\RichOle\KE]6M(3XM%4S{)PN8$_@W6K.pn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7" name="图片 28" descr="C:\Users\BKG-Q2\Desktop\綦江藻度水库\藻渡报告20200220\AppData\Roaming\Tencent\Users\1683006298\QQ\WinTemp\RichOle\KE]6M(3XM%4S{)PN8$_@W6K.png"/>
                    <pic:cNvPicPr>
                      <a:picLocks noChangeAspect="true"/>
                    </pic:cNvPicPr>
                  </pic:nvPicPr>
                  <pic:blipFill>
                    <a:blip r:embed="rId257"/>
                    <a:stretch>
                      <a:fillRect/>
                    </a:stretch>
                  </pic:blipFill>
                  <pic:spPr>
                    <a:xfrm>
                      <a:off x="0" y="0"/>
                      <a:ext cx="5607050" cy="3735070"/>
                    </a:xfrm>
                    <a:prstGeom prst="rect">
                      <a:avLst/>
                    </a:prstGeom>
                    <a:noFill/>
                    <a:ln>
                      <a:noFill/>
                    </a:ln>
                  </pic:spPr>
                </pic:pic>
              </a:graphicData>
            </a:graphic>
          </wp:inline>
        </w:drawing>
      </w:r>
    </w:p>
    <w:p>
      <w:pPr>
        <w:pStyle w:val="2886"/>
        <w:rPr>
          <w:rFonts w:hint="default" w:ascii="Times New Roman" w:hAnsi="Times New Roman" w:cs="Times New Roman"/>
        </w:rPr>
      </w:pPr>
      <w:r>
        <w:rPr>
          <w:rFonts w:hint="default" w:ascii="Times New Roman" w:hAnsi="Times New Roman" w:cs="Times New Roman"/>
        </w:rPr>
        <w:t>图6.3</w:t>
      </w:r>
      <w:r>
        <w:rPr>
          <w:rFonts w:hint="default" w:ascii="Times New Roman" w:hAnsi="Times New Roman" w:cs="Times New Roman"/>
          <w:lang w:eastAsia="zh-CN"/>
        </w:rPr>
        <w:t>—</w:t>
      </w:r>
      <w:r>
        <w:rPr>
          <w:rFonts w:hint="default" w:ascii="Times New Roman" w:hAnsi="Times New Roman" w:cs="Times New Roman"/>
        </w:rPr>
        <w:t>2　　东溪站历年逐月最大流量散布图</w:t>
      </w:r>
    </w:p>
    <w:p>
      <w:pPr>
        <w:pStyle w:val="861"/>
      </w:pPr>
      <w:r>
        <w:drawing>
          <wp:inline distT="0" distB="0" distL="114300" distR="114300">
            <wp:extent cx="5302250" cy="3560445"/>
            <wp:effectExtent l="0" t="0" r="12700" b="1905"/>
            <wp:docPr id="218"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8" name="图片 4"/>
                    <pic:cNvPicPr>
                      <a:picLocks noChangeAspect="true"/>
                    </pic:cNvPicPr>
                  </pic:nvPicPr>
                  <pic:blipFill>
                    <a:blip r:embed="rId258"/>
                    <a:srcRect t="2721"/>
                    <a:stretch>
                      <a:fillRect/>
                    </a:stretch>
                  </pic:blipFill>
                  <pic:spPr>
                    <a:xfrm>
                      <a:off x="0" y="0"/>
                      <a:ext cx="5302250" cy="3560445"/>
                    </a:xfrm>
                    <a:prstGeom prst="rect">
                      <a:avLst/>
                    </a:prstGeom>
                    <a:noFill/>
                    <a:ln>
                      <a:noFill/>
                    </a:ln>
                  </pic:spPr>
                </pic:pic>
              </a:graphicData>
            </a:graphic>
          </wp:inline>
        </w:drawing>
      </w:r>
    </w:p>
    <w:p>
      <w:pPr>
        <w:pStyle w:val="2886"/>
        <w:rPr>
          <w:rFonts w:hint="default" w:ascii="Times New Roman" w:hAnsi="Times New Roman" w:cs="Times New Roman"/>
        </w:rPr>
      </w:pPr>
      <w:r>
        <w:rPr>
          <w:rFonts w:hint="default" w:ascii="Times New Roman" w:hAnsi="Times New Roman" w:cs="Times New Roman"/>
        </w:rPr>
        <w:t>图6.3</w:t>
      </w:r>
      <w:r>
        <w:rPr>
          <w:rFonts w:hint="default" w:ascii="Times New Roman" w:hAnsi="Times New Roman" w:cs="Times New Roman"/>
          <w:lang w:eastAsia="zh-CN"/>
        </w:rPr>
        <w:t>—</w:t>
      </w:r>
      <w:r>
        <w:rPr>
          <w:rFonts w:hint="default" w:ascii="Times New Roman" w:hAnsi="Times New Roman" w:cs="Times New Roman"/>
        </w:rPr>
        <w:t>3　　五岔站历年逐月最大流量散布图</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藻渡水库控制了藻渡河来水，即使9月藻渡河来水较大，经水库预留的防洪库容滞洪削峰，使得水库下泄流量与区间流量叠加后不对綦江城区防洪造成影响。藻渡水库承担了较重的灌溉供水任务，为保证水库充蓄需求，藻渡水库9月水位也不宜过低。</w:t>
      </w:r>
      <w:r>
        <w:rPr>
          <w:rFonts w:hint="default" w:ascii="Times New Roman" w:hAnsi="Times New Roman" w:eastAsia="方正仿宋_GBK" w:cs="Times New Roman"/>
          <w:sz w:val="32"/>
          <w:szCs w:val="32"/>
          <w:lang w:val="en-US" w:eastAsia="zh-CN"/>
        </w:rPr>
        <w:t>从洪水峰现时间和量级等情况分析，并考虑藻渡水库兴利充蓄需求</w:t>
      </w:r>
      <w:r>
        <w:rPr>
          <w:rFonts w:hint="eastAsia" w:ascii="Times New Roman" w:hAnsi="Times New Roman" w:eastAsia="方正仿宋_GBK" w:cs="Times New Roman"/>
          <w:sz w:val="32"/>
          <w:szCs w:val="32"/>
          <w:lang w:val="en-US" w:eastAsia="zh-CN"/>
        </w:rPr>
        <w:t>，藻渡</w:t>
      </w:r>
      <w:r>
        <w:rPr>
          <w:rFonts w:hint="default" w:ascii="Times New Roman" w:hAnsi="Times New Roman" w:eastAsia="方正仿宋_GBK" w:cs="Times New Roman"/>
          <w:sz w:val="32"/>
          <w:szCs w:val="32"/>
          <w:lang w:val="en-US" w:eastAsia="zh-CN"/>
        </w:rPr>
        <w:t>水库预留防洪库容的时间拟定为</w:t>
      </w:r>
      <w:r>
        <w:rPr>
          <w:rFonts w:hint="eastAsia" w:ascii="Times New Roman" w:hAnsi="Times New Roman" w:eastAsia="方正仿宋_GBK" w:cs="Times New Roman"/>
          <w:sz w:val="32"/>
          <w:szCs w:val="32"/>
          <w:lang w:val="en-US" w:eastAsia="zh-CN"/>
        </w:rPr>
        <w:t>5</w:t>
      </w:r>
      <w:r>
        <w:rPr>
          <w:rFonts w:hint="default" w:ascii="Times New Roman" w:hAnsi="Times New Roman" w:eastAsia="方正仿宋_GBK" w:cs="Times New Roman"/>
          <w:sz w:val="32"/>
          <w:szCs w:val="32"/>
          <w:lang w:val="en-US" w:eastAsia="zh-CN"/>
        </w:rPr>
        <w:t>月初</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lang w:val="en-US" w:eastAsia="zh-CN"/>
        </w:rPr>
        <w:t>8月</w:t>
      </w:r>
      <w:r>
        <w:rPr>
          <w:rFonts w:hint="eastAsia" w:ascii="Times New Roman" w:hAnsi="Times New Roman" w:eastAsia="方正仿宋_GBK" w:cs="Times New Roman"/>
          <w:sz w:val="32"/>
          <w:szCs w:val="32"/>
          <w:lang w:val="en-US" w:eastAsia="zh-CN"/>
        </w:rPr>
        <w:t>底。</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5．</w:t>
      </w:r>
      <w:r>
        <w:rPr>
          <w:rFonts w:hint="default" w:ascii="Times New Roman" w:hAnsi="Times New Roman" w:eastAsia="方正仿宋_GBK" w:cs="Times New Roman"/>
          <w:sz w:val="32"/>
          <w:szCs w:val="32"/>
          <w:lang w:val="en-US" w:eastAsia="zh-CN"/>
        </w:rPr>
        <w:t>綦江城区堤防不同建设进度条件下藻渡水库防洪作用</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bCs/>
          <w:spacing w:val="-11"/>
          <w:sz w:val="32"/>
          <w:szCs w:val="32"/>
          <w:lang w:val="en-US" w:eastAsia="zh-CN"/>
        </w:rPr>
      </w:pPr>
      <w:r>
        <w:rPr>
          <w:rFonts w:hint="eastAsia" w:ascii="Times New Roman" w:hAnsi="Times New Roman" w:eastAsia="方正仿宋_GBK" w:cs="Times New Roman"/>
          <w:sz w:val="32"/>
          <w:szCs w:val="32"/>
          <w:lang w:val="en-US" w:eastAsia="zh-CN"/>
        </w:rPr>
        <w:t>视綦江城</w:t>
      </w:r>
      <w:r>
        <w:rPr>
          <w:rFonts w:hint="eastAsia" w:ascii="Times New Roman" w:hAnsi="Times New Roman" w:eastAsia="方正仿宋_GBK" w:cs="Times New Roman"/>
          <w:bCs/>
          <w:spacing w:val="-11"/>
          <w:sz w:val="32"/>
          <w:szCs w:val="32"/>
          <w:lang w:val="en-US" w:eastAsia="zh-CN"/>
        </w:rPr>
        <w:t>区堤防与藻渡水库建设进度，研究藻渡水库防洪作用。</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如果綦江干流城区段建设20年</w:t>
      </w:r>
      <w:r>
        <w:rPr>
          <w:rFonts w:hint="default" w:ascii="Times New Roman" w:hAnsi="Times New Roman" w:eastAsia="方正仿宋_GBK" w:cs="Times New Roman"/>
          <w:sz w:val="32"/>
          <w:szCs w:val="32"/>
          <w:lang w:val="en-US" w:eastAsia="zh-CN"/>
        </w:rPr>
        <w:t>一遇</w:t>
      </w:r>
      <w:r>
        <w:rPr>
          <w:rFonts w:hint="eastAsia" w:ascii="Times New Roman" w:hAnsi="Times New Roman" w:eastAsia="方正仿宋_GBK" w:cs="Times New Roman"/>
          <w:sz w:val="32"/>
          <w:szCs w:val="32"/>
          <w:lang w:val="en-US" w:eastAsia="zh-CN"/>
        </w:rPr>
        <w:t>堤防，则近期通过堤库结合，可将綦江城区防洪标准由20年一遇提高到50年一遇，见</w:t>
      </w:r>
      <w:r>
        <w:rPr>
          <w:rFonts w:hint="default" w:ascii="Times New Roman" w:hAnsi="Times New Roman" w:eastAsia="方正仿宋_GBK" w:cs="Times New Roman"/>
          <w:sz w:val="32"/>
          <w:szCs w:val="32"/>
          <w:lang w:val="en-US" w:eastAsia="zh-CN"/>
        </w:rPr>
        <w:t>表6</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lang w:val="en-US" w:eastAsia="zh-CN"/>
        </w:rPr>
        <w:t>3</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lang w:val="en-US" w:eastAsia="zh-CN"/>
        </w:rPr>
        <w:t>1</w:t>
      </w:r>
      <w:r>
        <w:rPr>
          <w:rFonts w:hint="eastAsia" w:ascii="Times New Roman" w:hAnsi="Times New Roman" w:eastAsia="方正仿宋_GBK" w:cs="Times New Roman"/>
          <w:sz w:val="32"/>
          <w:szCs w:val="32"/>
          <w:lang w:val="en-US" w:eastAsia="zh-CN"/>
        </w:rPr>
        <w:t>。</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如果綦江城区仅</w:t>
      </w:r>
      <w:r>
        <w:rPr>
          <w:rFonts w:hint="default" w:ascii="Times New Roman" w:hAnsi="Times New Roman" w:eastAsia="方正仿宋_GBK" w:cs="Times New Roman"/>
          <w:sz w:val="32"/>
          <w:szCs w:val="32"/>
          <w:lang w:val="en-US" w:eastAsia="zh-CN"/>
        </w:rPr>
        <w:t>建设</w:t>
      </w:r>
      <w:r>
        <w:rPr>
          <w:rFonts w:hint="eastAsia" w:ascii="Times New Roman" w:hAnsi="Times New Roman" w:eastAsia="方正仿宋_GBK" w:cs="Times New Roman"/>
          <w:sz w:val="32"/>
          <w:szCs w:val="32"/>
          <w:lang w:val="en-US" w:eastAsia="zh-CN"/>
        </w:rPr>
        <w:t>10年</w:t>
      </w:r>
      <w:r>
        <w:rPr>
          <w:rFonts w:hint="default" w:ascii="Times New Roman" w:hAnsi="Times New Roman" w:eastAsia="方正仿宋_GBK" w:cs="Times New Roman"/>
          <w:sz w:val="32"/>
          <w:szCs w:val="32"/>
          <w:lang w:val="en-US" w:eastAsia="zh-CN"/>
        </w:rPr>
        <w:t>一遇堤防</w:t>
      </w:r>
      <w:r>
        <w:rPr>
          <w:rFonts w:hint="eastAsia" w:ascii="Times New Roman" w:hAnsi="Times New Roman" w:eastAsia="方正仿宋_GBK" w:cs="Times New Roman"/>
          <w:sz w:val="32"/>
          <w:szCs w:val="32"/>
          <w:lang w:val="en-US" w:eastAsia="zh-CN"/>
        </w:rPr>
        <w:t>，对不同</w:t>
      </w:r>
      <w:r>
        <w:rPr>
          <w:rFonts w:hint="default" w:ascii="Times New Roman" w:hAnsi="Times New Roman" w:eastAsia="方正仿宋_GBK" w:cs="Times New Roman"/>
          <w:sz w:val="32"/>
          <w:szCs w:val="32"/>
          <w:lang w:val="en-US" w:eastAsia="zh-CN"/>
        </w:rPr>
        <w:t>典型年</w:t>
      </w:r>
      <w:r>
        <w:rPr>
          <w:rFonts w:hint="eastAsia" w:ascii="Times New Roman" w:hAnsi="Times New Roman" w:eastAsia="方正仿宋_GBK" w:cs="Times New Roman"/>
          <w:sz w:val="32"/>
          <w:szCs w:val="32"/>
          <w:lang w:val="en-US" w:eastAsia="zh-CN"/>
        </w:rPr>
        <w:t>綦江城区频率</w:t>
      </w:r>
      <w:r>
        <w:rPr>
          <w:rFonts w:hint="default" w:ascii="Times New Roman" w:hAnsi="Times New Roman" w:eastAsia="方正仿宋_GBK" w:cs="Times New Roman"/>
          <w:sz w:val="32"/>
          <w:szCs w:val="32"/>
          <w:lang w:val="en-US" w:eastAsia="zh-CN"/>
        </w:rPr>
        <w:t>5</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lang w:val="en-US" w:eastAsia="zh-CN"/>
        </w:rPr>
        <w:t>洪水进行调洪演算，</w:t>
      </w:r>
      <w:r>
        <w:rPr>
          <w:rFonts w:hint="eastAsia" w:ascii="Times New Roman" w:hAnsi="Times New Roman" w:eastAsia="方正仿宋_GBK" w:cs="Times New Roman"/>
          <w:sz w:val="32"/>
          <w:szCs w:val="32"/>
          <w:lang w:val="en-US" w:eastAsia="zh-CN"/>
        </w:rPr>
        <w:t>藻渡水库对</w:t>
      </w:r>
      <w:r>
        <w:rPr>
          <w:rFonts w:hint="default" w:ascii="Times New Roman" w:hAnsi="Times New Roman" w:eastAsia="方正仿宋_GBK" w:cs="Times New Roman"/>
          <w:sz w:val="32"/>
          <w:szCs w:val="32"/>
          <w:lang w:val="en-US" w:eastAsia="zh-CN"/>
        </w:rPr>
        <w:t>綦江城区</w:t>
      </w:r>
      <w:r>
        <w:rPr>
          <w:rFonts w:hint="eastAsia" w:ascii="Times New Roman" w:hAnsi="Times New Roman" w:eastAsia="方正仿宋_GBK" w:cs="Times New Roman"/>
          <w:sz w:val="32"/>
          <w:szCs w:val="32"/>
          <w:lang w:val="en-US" w:eastAsia="zh-CN"/>
        </w:rPr>
        <w:t>的</w:t>
      </w:r>
      <w:r>
        <w:rPr>
          <w:rFonts w:hint="default" w:ascii="Times New Roman" w:hAnsi="Times New Roman" w:eastAsia="方正仿宋_GBK" w:cs="Times New Roman"/>
          <w:sz w:val="32"/>
          <w:szCs w:val="32"/>
          <w:lang w:val="en-US" w:eastAsia="zh-CN"/>
        </w:rPr>
        <w:t>防洪</w:t>
      </w:r>
      <w:r>
        <w:rPr>
          <w:rFonts w:hint="eastAsia" w:ascii="Times New Roman" w:hAnsi="Times New Roman" w:eastAsia="方正仿宋_GBK" w:cs="Times New Roman"/>
          <w:sz w:val="32"/>
          <w:szCs w:val="32"/>
          <w:lang w:val="en-US" w:eastAsia="zh-CN"/>
        </w:rPr>
        <w:t>效果见</w:t>
      </w:r>
      <w:r>
        <w:rPr>
          <w:rFonts w:hint="default" w:ascii="Times New Roman" w:hAnsi="Times New Roman" w:eastAsia="方正仿宋_GBK" w:cs="Times New Roman"/>
          <w:sz w:val="32"/>
          <w:szCs w:val="32"/>
          <w:lang w:val="en-US" w:eastAsia="zh-CN"/>
        </w:rPr>
        <w:t>表6</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lang w:val="en-US" w:eastAsia="zh-CN"/>
        </w:rPr>
        <w:t>3</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lang w:val="en-US" w:eastAsia="zh-CN"/>
        </w:rPr>
        <w:t>2</w:t>
      </w:r>
      <w:r>
        <w:rPr>
          <w:rFonts w:hint="eastAsia" w:ascii="Times New Roman" w:hAnsi="Times New Roman" w:eastAsia="方正仿宋_GBK" w:cs="Times New Roman"/>
          <w:sz w:val="32"/>
          <w:szCs w:val="32"/>
          <w:lang w:val="en-US" w:eastAsia="zh-CN"/>
        </w:rPr>
        <w:t>。可以看出，对于</w:t>
      </w:r>
      <w:r>
        <w:rPr>
          <w:rFonts w:hint="default" w:ascii="Times New Roman" w:hAnsi="Times New Roman" w:eastAsia="方正仿宋_GBK" w:cs="Times New Roman"/>
          <w:sz w:val="32"/>
          <w:szCs w:val="32"/>
          <w:lang w:val="en-US" w:eastAsia="zh-CN"/>
        </w:rPr>
        <w:t>1977</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lang w:val="en-US" w:eastAsia="zh-CN"/>
        </w:rPr>
        <w:t>1980</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lang w:val="en-US" w:eastAsia="zh-CN"/>
        </w:rPr>
        <w:t>1983</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lang w:val="en-US" w:eastAsia="zh-CN"/>
        </w:rPr>
        <w:t>2005</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lang w:val="en-US" w:eastAsia="zh-CN"/>
        </w:rPr>
        <w:t>2016</w:t>
      </w:r>
      <w:r>
        <w:rPr>
          <w:rFonts w:hint="eastAsia" w:ascii="Times New Roman" w:hAnsi="Times New Roman" w:eastAsia="方正仿宋_GBK" w:cs="Times New Roman"/>
          <w:sz w:val="32"/>
          <w:szCs w:val="32"/>
          <w:lang w:val="en-US" w:eastAsia="zh-CN"/>
        </w:rPr>
        <w:t>年</w:t>
      </w:r>
      <w:r>
        <w:rPr>
          <w:rFonts w:hint="default" w:ascii="Times New Roman" w:hAnsi="Times New Roman" w:eastAsia="方正仿宋_GBK" w:cs="Times New Roman"/>
          <w:sz w:val="32"/>
          <w:szCs w:val="32"/>
          <w:lang w:val="en-US" w:eastAsia="zh-CN"/>
        </w:rPr>
        <w:t>20</w:t>
      </w:r>
      <w:r>
        <w:rPr>
          <w:rFonts w:hint="eastAsia" w:ascii="Times New Roman" w:hAnsi="Times New Roman" w:eastAsia="方正仿宋_GBK" w:cs="Times New Roman"/>
          <w:sz w:val="32"/>
          <w:szCs w:val="32"/>
          <w:lang w:val="en-US" w:eastAsia="zh-CN"/>
        </w:rPr>
        <w:t>年一遇设计洪水及2020年实际</w:t>
      </w:r>
      <w:r>
        <w:rPr>
          <w:rFonts w:hint="default" w:ascii="Times New Roman" w:hAnsi="Times New Roman" w:eastAsia="方正仿宋_GBK" w:cs="Times New Roman"/>
          <w:sz w:val="32"/>
          <w:szCs w:val="32"/>
          <w:lang w:val="en-US" w:eastAsia="zh-CN"/>
        </w:rPr>
        <w:t>洪水</w:t>
      </w:r>
      <w:r>
        <w:rPr>
          <w:rFonts w:hint="eastAsia" w:ascii="Times New Roman" w:hAnsi="Times New Roman" w:eastAsia="方正仿宋_GBK" w:cs="Times New Roman"/>
          <w:sz w:val="32"/>
          <w:szCs w:val="32"/>
          <w:lang w:val="en-US" w:eastAsia="zh-CN"/>
        </w:rPr>
        <w:t>，经藻渡水库拦蓄，綦江城区城北大桥的洪峰流量可控制在2</w:t>
      </w:r>
      <w:r>
        <w:rPr>
          <w:rFonts w:hint="default" w:ascii="Times New Roman" w:hAnsi="Times New Roman" w:eastAsia="方正仿宋_GBK" w:cs="Times New Roman"/>
          <w:sz w:val="32"/>
          <w:szCs w:val="32"/>
          <w:lang w:val="en-US" w:eastAsia="zh-CN"/>
        </w:rPr>
        <w:t>0年一遇</w:t>
      </w:r>
      <w:r>
        <w:rPr>
          <w:rFonts w:hint="eastAsia" w:ascii="Times New Roman" w:hAnsi="Times New Roman" w:eastAsia="方正仿宋_GBK" w:cs="Times New Roman"/>
          <w:sz w:val="32"/>
          <w:szCs w:val="32"/>
          <w:lang w:val="en-US" w:eastAsia="zh-CN"/>
        </w:rPr>
        <w:t>安全泄量</w:t>
      </w:r>
      <w:r>
        <w:rPr>
          <w:rFonts w:hint="default" w:ascii="Times New Roman" w:hAnsi="Times New Roman" w:eastAsia="方正仿宋_GBK" w:cs="Times New Roman"/>
          <w:sz w:val="32"/>
          <w:szCs w:val="32"/>
          <w:lang w:val="en-US" w:eastAsia="zh-CN"/>
        </w:rPr>
        <w:t>4120m</w:t>
      </w:r>
      <w:r>
        <w:rPr>
          <w:rFonts w:hint="eastAsia" w:ascii="Times New Roman" w:hAnsi="Times New Roman" w:eastAsia="方正仿宋_GBK" w:cs="Times New Roman"/>
          <w:kern w:val="2"/>
          <w:sz w:val="32"/>
          <w:szCs w:val="32"/>
          <w:vertAlign w:val="superscript"/>
          <w:lang w:val="en-US" w:eastAsia="zh-CN" w:bidi="ar-SA"/>
        </w:rPr>
        <w:t>3</w:t>
      </w:r>
      <w:r>
        <w:rPr>
          <w:rFonts w:hint="default" w:ascii="Times New Roman" w:hAnsi="Times New Roman" w:eastAsia="方正仿宋_GBK" w:cs="Times New Roman"/>
          <w:sz w:val="32"/>
          <w:szCs w:val="32"/>
          <w:lang w:val="en-US" w:eastAsia="zh-CN"/>
        </w:rPr>
        <w:t>/s</w:t>
      </w:r>
      <w:r>
        <w:rPr>
          <w:rFonts w:hint="eastAsia" w:ascii="Times New Roman" w:hAnsi="Times New Roman" w:eastAsia="方正仿宋_GBK" w:cs="Times New Roman"/>
          <w:sz w:val="32"/>
          <w:szCs w:val="32"/>
          <w:lang w:val="en-US" w:eastAsia="zh-CN"/>
        </w:rPr>
        <w:t>以内；对于</w:t>
      </w:r>
      <w:r>
        <w:rPr>
          <w:rFonts w:hint="default" w:ascii="Times New Roman" w:hAnsi="Times New Roman" w:eastAsia="方正仿宋_GBK" w:cs="Times New Roman"/>
          <w:sz w:val="32"/>
          <w:szCs w:val="32"/>
          <w:lang w:val="en-US" w:eastAsia="zh-CN"/>
        </w:rPr>
        <w:t>1976</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lang w:val="en-US" w:eastAsia="zh-CN"/>
        </w:rPr>
        <w:t>1979</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lang w:val="en-US" w:eastAsia="zh-CN"/>
        </w:rPr>
        <w:t>1998</w:t>
      </w:r>
      <w:r>
        <w:rPr>
          <w:rFonts w:hint="eastAsia" w:ascii="Times New Roman" w:hAnsi="Times New Roman" w:eastAsia="方正仿宋_GBK" w:cs="Times New Roman"/>
          <w:sz w:val="32"/>
          <w:szCs w:val="32"/>
          <w:lang w:val="en-US" w:eastAsia="zh-CN"/>
        </w:rPr>
        <w:t>年2</w:t>
      </w:r>
      <w:r>
        <w:rPr>
          <w:rFonts w:hint="default" w:ascii="Times New Roman" w:hAnsi="Times New Roman" w:eastAsia="方正仿宋_GBK" w:cs="Times New Roman"/>
          <w:sz w:val="32"/>
          <w:szCs w:val="32"/>
          <w:lang w:val="en-US" w:eastAsia="zh-CN"/>
        </w:rPr>
        <w:t>0</w:t>
      </w:r>
      <w:r>
        <w:rPr>
          <w:rFonts w:hint="eastAsia" w:ascii="Times New Roman" w:hAnsi="Times New Roman" w:eastAsia="方正仿宋_GBK" w:cs="Times New Roman"/>
          <w:sz w:val="32"/>
          <w:szCs w:val="32"/>
          <w:lang w:val="en-US" w:eastAsia="zh-CN"/>
        </w:rPr>
        <w:t>年一遇设计洪水，经藻渡水库拦蓄，可削减綦江城区洪峰</w:t>
      </w:r>
      <w:r>
        <w:rPr>
          <w:rFonts w:hint="default" w:ascii="Times New Roman" w:hAnsi="Times New Roman" w:eastAsia="方正仿宋_GBK" w:cs="Times New Roman"/>
          <w:sz w:val="32"/>
          <w:szCs w:val="32"/>
          <w:lang w:val="en-US" w:eastAsia="zh-CN"/>
        </w:rPr>
        <w:t>流量230</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lang w:val="en-US" w:eastAsia="zh-CN"/>
        </w:rPr>
        <w:t>64</w:t>
      </w:r>
      <w:r>
        <w:rPr>
          <w:rFonts w:hint="eastAsia" w:ascii="Times New Roman" w:hAnsi="Times New Roman" w:eastAsia="方正仿宋_GBK" w:cs="Times New Roman"/>
          <w:sz w:val="32"/>
          <w:szCs w:val="32"/>
          <w:lang w:val="en-US" w:eastAsia="zh-CN"/>
        </w:rPr>
        <w:t>0m</w:t>
      </w:r>
      <w:r>
        <w:rPr>
          <w:rFonts w:hint="eastAsia" w:ascii="Times New Roman" w:hAnsi="Times New Roman" w:eastAsia="方正仿宋_GBK" w:cs="Times New Roman"/>
          <w:kern w:val="2"/>
          <w:sz w:val="32"/>
          <w:szCs w:val="32"/>
          <w:vertAlign w:val="superscript"/>
          <w:lang w:val="en-US" w:eastAsia="zh-CN" w:bidi="ar-SA"/>
        </w:rPr>
        <w:t>3</w:t>
      </w:r>
      <w:r>
        <w:rPr>
          <w:rFonts w:hint="eastAsia" w:ascii="Times New Roman" w:hAnsi="Times New Roman" w:eastAsia="方正仿宋_GBK" w:cs="Times New Roman"/>
          <w:sz w:val="32"/>
          <w:szCs w:val="32"/>
          <w:lang w:val="en-US" w:eastAsia="zh-CN"/>
        </w:rPr>
        <w:t>/s，</w:t>
      </w:r>
      <w:r>
        <w:rPr>
          <w:rFonts w:hint="default" w:ascii="Times New Roman" w:hAnsi="Times New Roman" w:eastAsia="方正仿宋_GBK" w:cs="Times New Roman"/>
          <w:sz w:val="32"/>
          <w:szCs w:val="32"/>
          <w:lang w:val="en-US" w:eastAsia="zh-CN"/>
        </w:rPr>
        <w:t>减轻綦江城区洪水灾害</w:t>
      </w:r>
      <w:r>
        <w:rPr>
          <w:rFonts w:hint="eastAsia" w:ascii="Times New Roman" w:hAnsi="Times New Roman" w:eastAsia="方正仿宋_GBK" w:cs="Times New Roman"/>
          <w:sz w:val="32"/>
          <w:szCs w:val="32"/>
          <w:lang w:val="en-US" w:eastAsia="zh-CN"/>
        </w:rPr>
        <w:t>，但仍超出河道安全泄量</w:t>
      </w:r>
      <w:r>
        <w:rPr>
          <w:rFonts w:hint="default" w:ascii="Times New Roman" w:hAnsi="Times New Roman" w:eastAsia="方正仿宋_GBK" w:cs="Times New Roman"/>
          <w:sz w:val="32"/>
          <w:szCs w:val="32"/>
          <w:lang w:val="en-US" w:eastAsia="zh-CN"/>
        </w:rPr>
        <w:t>162</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lang w:val="en-US" w:eastAsia="zh-CN"/>
        </w:rPr>
        <w:t>565</w:t>
      </w:r>
      <w:r>
        <w:rPr>
          <w:rFonts w:hint="eastAsia" w:ascii="Times New Roman" w:hAnsi="Times New Roman" w:eastAsia="方正仿宋_GBK" w:cs="Times New Roman"/>
          <w:sz w:val="32"/>
          <w:szCs w:val="32"/>
          <w:lang w:val="en-US" w:eastAsia="zh-CN"/>
        </w:rPr>
        <w:t>m</w:t>
      </w:r>
      <w:r>
        <w:rPr>
          <w:rFonts w:hint="eastAsia" w:ascii="Times New Roman" w:hAnsi="Times New Roman" w:eastAsia="方正仿宋_GBK" w:cs="Times New Roman"/>
          <w:kern w:val="2"/>
          <w:sz w:val="32"/>
          <w:szCs w:val="32"/>
          <w:vertAlign w:val="superscript"/>
          <w:lang w:val="en-US" w:eastAsia="zh-CN" w:bidi="ar-SA"/>
        </w:rPr>
        <w:t>3</w:t>
      </w:r>
      <w:r>
        <w:rPr>
          <w:rFonts w:hint="eastAsia" w:ascii="Times New Roman" w:hAnsi="Times New Roman" w:eastAsia="方正仿宋_GBK" w:cs="Times New Roman"/>
          <w:sz w:val="32"/>
          <w:szCs w:val="32"/>
          <w:lang w:val="en-US" w:eastAsia="zh-CN"/>
        </w:rPr>
        <w:t>/s</w:t>
      </w:r>
      <w:r>
        <w:rPr>
          <w:rFonts w:hint="default" w:ascii="Times New Roman" w:hAns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因此，藻渡水库不能将綦江城区防洪能力由10年一遇全面提高至20年一遇。</w:t>
      </w:r>
    </w:p>
    <w:p>
      <w:pPr>
        <w:pStyle w:val="2312"/>
        <w:ind w:firstLine="240"/>
      </w:pPr>
      <w:r>
        <w:rPr>
          <w:rFonts w:hint="default" w:ascii="Times New Roman" w:hAnsi="Times New Roman" w:cs="Times New Roman"/>
        </w:rPr>
        <w:t>表6.3</w:t>
      </w:r>
      <w:r>
        <w:rPr>
          <w:rFonts w:hint="default" w:ascii="Times New Roman" w:hAnsi="Times New Roman" w:cs="Times New Roman"/>
          <w:lang w:eastAsia="zh-CN"/>
        </w:rPr>
        <w:t>—</w:t>
      </w:r>
      <w:r>
        <w:rPr>
          <w:rFonts w:hint="default" w:ascii="Times New Roman" w:hAnsi="Times New Roman" w:cs="Times New Roman"/>
        </w:rPr>
        <w:t>2　　　　　藻渡水库防洪效果（城北大桥安全泄量4120m</w:t>
      </w:r>
      <w:r>
        <w:rPr>
          <w:vertAlign w:val="superscript"/>
        </w:rPr>
        <w:t>3</w:t>
      </w:r>
      <w:r>
        <w:t>/s</w:t>
      </w:r>
      <w:r>
        <w:rPr>
          <w:rFonts w:hint="eastAsia"/>
        </w:rPr>
        <w:t>）</w:t>
      </w:r>
    </w:p>
    <w:tbl>
      <w:tblPr>
        <w:tblStyle w:val="88"/>
        <w:tblW w:w="5000"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28" w:type="dxa"/>
          <w:bottom w:w="0" w:type="dxa"/>
          <w:right w:w="28" w:type="dxa"/>
        </w:tblCellMar>
      </w:tblPr>
      <w:tblGrid>
        <w:gridCol w:w="810"/>
        <w:gridCol w:w="838"/>
        <w:gridCol w:w="940"/>
        <w:gridCol w:w="989"/>
        <w:gridCol w:w="989"/>
        <w:gridCol w:w="1420"/>
        <w:gridCol w:w="854"/>
        <w:gridCol w:w="1132"/>
        <w:gridCol w:w="1155"/>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28" w:type="dxa"/>
            <w:bottom w:w="0" w:type="dxa"/>
            <w:right w:w="28" w:type="dxa"/>
          </w:tblCellMar>
        </w:tblPrEx>
        <w:trPr>
          <w:trHeight w:val="340" w:hRule="atLeast"/>
          <w:tblHeader/>
          <w:jc w:val="center"/>
        </w:trPr>
        <w:tc>
          <w:tcPr>
            <w:tcW w:w="444"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洪水</w:t>
            </w:r>
          </w:p>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典型</w:t>
            </w:r>
          </w:p>
        </w:tc>
        <w:tc>
          <w:tcPr>
            <w:tcW w:w="459"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频率</w:t>
            </w:r>
          </w:p>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w:t>
            </w:r>
          </w:p>
        </w:tc>
        <w:tc>
          <w:tcPr>
            <w:tcW w:w="515"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藻渡坝址</w:t>
            </w:r>
          </w:p>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洪峰流量</w:t>
            </w:r>
          </w:p>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（m</w:t>
            </w:r>
            <w:r>
              <w:rPr>
                <w:rFonts w:hint="eastAsia" w:ascii="楷体_GB2312" w:hAnsi="楷体" w:eastAsia="楷体_GB2312"/>
                <w:bCs/>
                <w:kern w:val="0"/>
                <w:sz w:val="21"/>
                <w:szCs w:val="21"/>
                <w:vertAlign w:val="superscript"/>
              </w:rPr>
              <w:t>3</w:t>
            </w:r>
            <w:r>
              <w:rPr>
                <w:rFonts w:hint="eastAsia" w:ascii="楷体_GB2312" w:hAnsi="楷体" w:eastAsia="楷体_GB2312"/>
                <w:bCs/>
                <w:kern w:val="0"/>
                <w:sz w:val="21"/>
                <w:szCs w:val="21"/>
              </w:rPr>
              <w:t>/s）</w:t>
            </w:r>
          </w:p>
        </w:tc>
        <w:tc>
          <w:tcPr>
            <w:tcW w:w="542"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区间洪水</w:t>
            </w:r>
          </w:p>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洪峰流量</w:t>
            </w:r>
          </w:p>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（m</w:t>
            </w:r>
            <w:r>
              <w:rPr>
                <w:rFonts w:hint="eastAsia" w:ascii="楷体_GB2312" w:hAnsi="楷体" w:eastAsia="楷体_GB2312"/>
                <w:bCs/>
                <w:kern w:val="0"/>
                <w:sz w:val="21"/>
                <w:szCs w:val="21"/>
                <w:vertAlign w:val="superscript"/>
              </w:rPr>
              <w:t>3</w:t>
            </w:r>
            <w:r>
              <w:rPr>
                <w:rFonts w:hint="eastAsia" w:ascii="楷体_GB2312" w:hAnsi="楷体" w:eastAsia="楷体_GB2312"/>
                <w:bCs/>
                <w:kern w:val="0"/>
                <w:sz w:val="21"/>
                <w:szCs w:val="21"/>
              </w:rPr>
              <w:t>/s）</w:t>
            </w:r>
          </w:p>
        </w:tc>
        <w:tc>
          <w:tcPr>
            <w:tcW w:w="542"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动用防</w:t>
            </w:r>
          </w:p>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洪库容</w:t>
            </w:r>
          </w:p>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（万m</w:t>
            </w:r>
            <w:r>
              <w:rPr>
                <w:rFonts w:hint="eastAsia" w:ascii="楷体_GB2312" w:hAnsi="楷体" w:eastAsia="楷体_GB2312"/>
                <w:bCs/>
                <w:kern w:val="0"/>
                <w:sz w:val="21"/>
                <w:szCs w:val="21"/>
                <w:vertAlign w:val="superscript"/>
              </w:rPr>
              <w:t>3</w:t>
            </w:r>
            <w:r>
              <w:rPr>
                <w:rFonts w:hint="eastAsia" w:ascii="楷体_GB2312" w:hAnsi="楷体" w:eastAsia="楷体_GB2312"/>
                <w:bCs/>
                <w:kern w:val="0"/>
                <w:sz w:val="21"/>
                <w:szCs w:val="21"/>
              </w:rPr>
              <w:t>）</w:t>
            </w:r>
          </w:p>
        </w:tc>
        <w:tc>
          <w:tcPr>
            <w:tcW w:w="778"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调蓄后的綦江</w:t>
            </w:r>
          </w:p>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城区最大流量</w:t>
            </w:r>
          </w:p>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（m</w:t>
            </w:r>
            <w:r>
              <w:rPr>
                <w:rFonts w:hint="eastAsia" w:ascii="楷体_GB2312" w:hAnsi="楷体" w:eastAsia="楷体_GB2312"/>
                <w:bCs/>
                <w:kern w:val="0"/>
                <w:sz w:val="21"/>
                <w:szCs w:val="21"/>
                <w:vertAlign w:val="superscript"/>
              </w:rPr>
              <w:t>3</w:t>
            </w:r>
            <w:r>
              <w:rPr>
                <w:rFonts w:hint="eastAsia" w:ascii="楷体_GB2312" w:hAnsi="楷体" w:eastAsia="楷体_GB2312"/>
                <w:bCs/>
                <w:kern w:val="0"/>
                <w:sz w:val="21"/>
                <w:szCs w:val="21"/>
              </w:rPr>
              <w:t>/s）</w:t>
            </w:r>
          </w:p>
        </w:tc>
        <w:tc>
          <w:tcPr>
            <w:tcW w:w="468"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削减</w:t>
            </w:r>
          </w:p>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流量</w:t>
            </w:r>
          </w:p>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（m</w:t>
            </w:r>
            <w:r>
              <w:rPr>
                <w:rFonts w:hint="eastAsia" w:ascii="楷体_GB2312" w:hAnsi="楷体" w:eastAsia="楷体_GB2312"/>
                <w:bCs/>
                <w:kern w:val="0"/>
                <w:sz w:val="21"/>
                <w:szCs w:val="21"/>
                <w:vertAlign w:val="superscript"/>
              </w:rPr>
              <w:t>3</w:t>
            </w:r>
            <w:r>
              <w:rPr>
                <w:rFonts w:hint="eastAsia" w:ascii="楷体_GB2312" w:hAnsi="楷体" w:eastAsia="楷体_GB2312"/>
                <w:bCs/>
                <w:kern w:val="0"/>
                <w:sz w:val="21"/>
                <w:szCs w:val="21"/>
              </w:rPr>
              <w:t>/s）</w:t>
            </w:r>
          </w:p>
        </w:tc>
        <w:tc>
          <w:tcPr>
            <w:tcW w:w="620"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藻渡水库</w:t>
            </w:r>
          </w:p>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最高水位</w:t>
            </w:r>
          </w:p>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（m）</w:t>
            </w:r>
          </w:p>
        </w:tc>
        <w:tc>
          <w:tcPr>
            <w:tcW w:w="632"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藻渡水库</w:t>
            </w:r>
          </w:p>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最大下泄量</w:t>
            </w:r>
          </w:p>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（m</w:t>
            </w:r>
            <w:r>
              <w:rPr>
                <w:rFonts w:hint="eastAsia" w:ascii="楷体_GB2312" w:hAnsi="楷体" w:eastAsia="楷体_GB2312"/>
                <w:bCs/>
                <w:kern w:val="0"/>
                <w:sz w:val="21"/>
                <w:szCs w:val="21"/>
                <w:vertAlign w:val="superscript"/>
              </w:rPr>
              <w:t>3</w:t>
            </w:r>
            <w:r>
              <w:rPr>
                <w:rFonts w:hint="eastAsia" w:ascii="楷体_GB2312" w:hAnsi="楷体" w:eastAsia="楷体_GB2312"/>
                <w:bCs/>
                <w:kern w:val="0"/>
                <w:sz w:val="21"/>
                <w:szCs w:val="21"/>
              </w:rPr>
              <w:t>/s）</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28" w:type="dxa"/>
            <w:bottom w:w="0" w:type="dxa"/>
            <w:right w:w="28" w:type="dxa"/>
          </w:tblCellMar>
        </w:tblPrEx>
        <w:trPr>
          <w:trHeight w:val="340" w:hRule="atLeast"/>
          <w:tblHeader/>
          <w:jc w:val="center"/>
        </w:trPr>
        <w:tc>
          <w:tcPr>
            <w:tcW w:w="444"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1976</w:t>
            </w:r>
          </w:p>
        </w:tc>
        <w:tc>
          <w:tcPr>
            <w:tcW w:w="459"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5</w:t>
            </w:r>
          </w:p>
        </w:tc>
        <w:tc>
          <w:tcPr>
            <w:tcW w:w="515"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1761</w:t>
            </w:r>
          </w:p>
        </w:tc>
        <w:tc>
          <w:tcPr>
            <w:tcW w:w="542"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4084</w:t>
            </w:r>
          </w:p>
        </w:tc>
        <w:tc>
          <w:tcPr>
            <w:tcW w:w="542"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3133</w:t>
            </w:r>
          </w:p>
        </w:tc>
        <w:tc>
          <w:tcPr>
            <w:tcW w:w="778"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4282</w:t>
            </w:r>
          </w:p>
        </w:tc>
        <w:tc>
          <w:tcPr>
            <w:tcW w:w="468"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640</w:t>
            </w:r>
          </w:p>
        </w:tc>
        <w:tc>
          <w:tcPr>
            <w:tcW w:w="620"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372.79</w:t>
            </w:r>
          </w:p>
        </w:tc>
        <w:tc>
          <w:tcPr>
            <w:tcW w:w="632"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1710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28" w:type="dxa"/>
            <w:bottom w:w="0" w:type="dxa"/>
            <w:right w:w="28" w:type="dxa"/>
          </w:tblCellMar>
        </w:tblPrEx>
        <w:trPr>
          <w:trHeight w:val="340" w:hRule="atLeast"/>
          <w:tblHeader/>
          <w:jc w:val="center"/>
        </w:trPr>
        <w:tc>
          <w:tcPr>
            <w:tcW w:w="444"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1979</w:t>
            </w:r>
          </w:p>
        </w:tc>
        <w:tc>
          <w:tcPr>
            <w:tcW w:w="459"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5</w:t>
            </w:r>
          </w:p>
        </w:tc>
        <w:tc>
          <w:tcPr>
            <w:tcW w:w="515"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1428</w:t>
            </w:r>
          </w:p>
        </w:tc>
        <w:tc>
          <w:tcPr>
            <w:tcW w:w="542"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3884</w:t>
            </w:r>
          </w:p>
        </w:tc>
        <w:tc>
          <w:tcPr>
            <w:tcW w:w="542"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3559</w:t>
            </w:r>
          </w:p>
        </w:tc>
        <w:tc>
          <w:tcPr>
            <w:tcW w:w="778"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4604</w:t>
            </w:r>
          </w:p>
        </w:tc>
        <w:tc>
          <w:tcPr>
            <w:tcW w:w="468"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320</w:t>
            </w:r>
          </w:p>
        </w:tc>
        <w:tc>
          <w:tcPr>
            <w:tcW w:w="620"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373.56</w:t>
            </w:r>
          </w:p>
        </w:tc>
        <w:tc>
          <w:tcPr>
            <w:tcW w:w="632"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1110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28" w:type="dxa"/>
            <w:bottom w:w="0" w:type="dxa"/>
            <w:right w:w="28" w:type="dxa"/>
          </w:tblCellMar>
        </w:tblPrEx>
        <w:trPr>
          <w:trHeight w:val="340" w:hRule="atLeast"/>
          <w:tblHeader/>
          <w:jc w:val="center"/>
        </w:trPr>
        <w:tc>
          <w:tcPr>
            <w:tcW w:w="444"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1998</w:t>
            </w:r>
          </w:p>
        </w:tc>
        <w:tc>
          <w:tcPr>
            <w:tcW w:w="459"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5</w:t>
            </w:r>
          </w:p>
        </w:tc>
        <w:tc>
          <w:tcPr>
            <w:tcW w:w="515"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2739</w:t>
            </w:r>
          </w:p>
        </w:tc>
        <w:tc>
          <w:tcPr>
            <w:tcW w:w="542"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3487</w:t>
            </w:r>
          </w:p>
        </w:tc>
        <w:tc>
          <w:tcPr>
            <w:tcW w:w="542"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3744</w:t>
            </w:r>
          </w:p>
        </w:tc>
        <w:tc>
          <w:tcPr>
            <w:tcW w:w="778"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4685</w:t>
            </w:r>
          </w:p>
        </w:tc>
        <w:tc>
          <w:tcPr>
            <w:tcW w:w="468"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230</w:t>
            </w:r>
          </w:p>
        </w:tc>
        <w:tc>
          <w:tcPr>
            <w:tcW w:w="620"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373.89</w:t>
            </w:r>
          </w:p>
        </w:tc>
        <w:tc>
          <w:tcPr>
            <w:tcW w:w="632"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1510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28" w:type="dxa"/>
            <w:bottom w:w="0" w:type="dxa"/>
            <w:right w:w="28" w:type="dxa"/>
          </w:tblCellMar>
        </w:tblPrEx>
        <w:trPr>
          <w:trHeight w:val="340" w:hRule="atLeast"/>
          <w:jc w:val="center"/>
        </w:trPr>
        <w:tc>
          <w:tcPr>
            <w:tcW w:w="444"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1977</w:t>
            </w:r>
          </w:p>
        </w:tc>
        <w:tc>
          <w:tcPr>
            <w:tcW w:w="459"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5</w:t>
            </w:r>
          </w:p>
        </w:tc>
        <w:tc>
          <w:tcPr>
            <w:tcW w:w="515"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1333</w:t>
            </w:r>
          </w:p>
        </w:tc>
        <w:tc>
          <w:tcPr>
            <w:tcW w:w="542"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3926</w:t>
            </w:r>
          </w:p>
        </w:tc>
        <w:tc>
          <w:tcPr>
            <w:tcW w:w="542"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4230</w:t>
            </w:r>
          </w:p>
        </w:tc>
        <w:tc>
          <w:tcPr>
            <w:tcW w:w="778"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4079</w:t>
            </w:r>
          </w:p>
        </w:tc>
        <w:tc>
          <w:tcPr>
            <w:tcW w:w="468"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840</w:t>
            </w:r>
          </w:p>
        </w:tc>
        <w:tc>
          <w:tcPr>
            <w:tcW w:w="620"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374.77</w:t>
            </w:r>
          </w:p>
        </w:tc>
        <w:tc>
          <w:tcPr>
            <w:tcW w:w="632"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1150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28" w:type="dxa"/>
            <w:bottom w:w="0" w:type="dxa"/>
            <w:right w:w="28" w:type="dxa"/>
          </w:tblCellMar>
        </w:tblPrEx>
        <w:trPr>
          <w:trHeight w:val="340" w:hRule="atLeast"/>
          <w:jc w:val="center"/>
        </w:trPr>
        <w:tc>
          <w:tcPr>
            <w:tcW w:w="444"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1980</w:t>
            </w:r>
          </w:p>
        </w:tc>
        <w:tc>
          <w:tcPr>
            <w:tcW w:w="459"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5</w:t>
            </w:r>
          </w:p>
        </w:tc>
        <w:tc>
          <w:tcPr>
            <w:tcW w:w="515"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1599</w:t>
            </w:r>
          </w:p>
        </w:tc>
        <w:tc>
          <w:tcPr>
            <w:tcW w:w="542"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3506</w:t>
            </w:r>
          </w:p>
        </w:tc>
        <w:tc>
          <w:tcPr>
            <w:tcW w:w="542"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4893</w:t>
            </w:r>
          </w:p>
        </w:tc>
        <w:tc>
          <w:tcPr>
            <w:tcW w:w="778"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3841</w:t>
            </w:r>
          </w:p>
        </w:tc>
        <w:tc>
          <w:tcPr>
            <w:tcW w:w="468"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1080</w:t>
            </w:r>
          </w:p>
        </w:tc>
        <w:tc>
          <w:tcPr>
            <w:tcW w:w="620"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375.87</w:t>
            </w:r>
          </w:p>
        </w:tc>
        <w:tc>
          <w:tcPr>
            <w:tcW w:w="632"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1120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28" w:type="dxa"/>
            <w:bottom w:w="0" w:type="dxa"/>
            <w:right w:w="28" w:type="dxa"/>
          </w:tblCellMar>
        </w:tblPrEx>
        <w:trPr>
          <w:trHeight w:val="340" w:hRule="atLeast"/>
          <w:jc w:val="center"/>
        </w:trPr>
        <w:tc>
          <w:tcPr>
            <w:tcW w:w="444"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1983</w:t>
            </w:r>
          </w:p>
        </w:tc>
        <w:tc>
          <w:tcPr>
            <w:tcW w:w="459"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5</w:t>
            </w:r>
          </w:p>
        </w:tc>
        <w:tc>
          <w:tcPr>
            <w:tcW w:w="515"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1559</w:t>
            </w:r>
          </w:p>
        </w:tc>
        <w:tc>
          <w:tcPr>
            <w:tcW w:w="542"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3531</w:t>
            </w:r>
          </w:p>
        </w:tc>
        <w:tc>
          <w:tcPr>
            <w:tcW w:w="542"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4937</w:t>
            </w:r>
          </w:p>
        </w:tc>
        <w:tc>
          <w:tcPr>
            <w:tcW w:w="778"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3840</w:t>
            </w:r>
          </w:p>
        </w:tc>
        <w:tc>
          <w:tcPr>
            <w:tcW w:w="468"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1080</w:t>
            </w:r>
          </w:p>
        </w:tc>
        <w:tc>
          <w:tcPr>
            <w:tcW w:w="620"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375.94</w:t>
            </w:r>
          </w:p>
        </w:tc>
        <w:tc>
          <w:tcPr>
            <w:tcW w:w="632"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940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28" w:type="dxa"/>
            <w:bottom w:w="0" w:type="dxa"/>
            <w:right w:w="28" w:type="dxa"/>
          </w:tblCellMar>
        </w:tblPrEx>
        <w:trPr>
          <w:trHeight w:val="340" w:hRule="atLeast"/>
          <w:jc w:val="center"/>
        </w:trPr>
        <w:tc>
          <w:tcPr>
            <w:tcW w:w="444"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2005</w:t>
            </w:r>
          </w:p>
        </w:tc>
        <w:tc>
          <w:tcPr>
            <w:tcW w:w="459"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5</w:t>
            </w:r>
          </w:p>
        </w:tc>
        <w:tc>
          <w:tcPr>
            <w:tcW w:w="515"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2123</w:t>
            </w:r>
          </w:p>
        </w:tc>
        <w:tc>
          <w:tcPr>
            <w:tcW w:w="542"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3064</w:t>
            </w:r>
          </w:p>
        </w:tc>
        <w:tc>
          <w:tcPr>
            <w:tcW w:w="542"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4183</w:t>
            </w:r>
          </w:p>
        </w:tc>
        <w:tc>
          <w:tcPr>
            <w:tcW w:w="778"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3841</w:t>
            </w:r>
          </w:p>
        </w:tc>
        <w:tc>
          <w:tcPr>
            <w:tcW w:w="468"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1080</w:t>
            </w:r>
          </w:p>
        </w:tc>
        <w:tc>
          <w:tcPr>
            <w:tcW w:w="620"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374.68</w:t>
            </w:r>
          </w:p>
        </w:tc>
        <w:tc>
          <w:tcPr>
            <w:tcW w:w="632"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1580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28" w:type="dxa"/>
            <w:bottom w:w="0" w:type="dxa"/>
            <w:right w:w="28" w:type="dxa"/>
          </w:tblCellMar>
        </w:tblPrEx>
        <w:trPr>
          <w:trHeight w:val="340" w:hRule="atLeast"/>
          <w:jc w:val="center"/>
        </w:trPr>
        <w:tc>
          <w:tcPr>
            <w:tcW w:w="444"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2016</w:t>
            </w:r>
          </w:p>
        </w:tc>
        <w:tc>
          <w:tcPr>
            <w:tcW w:w="459"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5</w:t>
            </w:r>
          </w:p>
        </w:tc>
        <w:tc>
          <w:tcPr>
            <w:tcW w:w="515"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2966</w:t>
            </w:r>
          </w:p>
        </w:tc>
        <w:tc>
          <w:tcPr>
            <w:tcW w:w="542"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2208</w:t>
            </w:r>
          </w:p>
        </w:tc>
        <w:tc>
          <w:tcPr>
            <w:tcW w:w="542"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4680</w:t>
            </w:r>
          </w:p>
        </w:tc>
        <w:tc>
          <w:tcPr>
            <w:tcW w:w="778"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3658</w:t>
            </w:r>
          </w:p>
        </w:tc>
        <w:tc>
          <w:tcPr>
            <w:tcW w:w="468"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1260</w:t>
            </w:r>
          </w:p>
        </w:tc>
        <w:tc>
          <w:tcPr>
            <w:tcW w:w="620"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375.52</w:t>
            </w:r>
          </w:p>
        </w:tc>
        <w:tc>
          <w:tcPr>
            <w:tcW w:w="632"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2310</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28" w:type="dxa"/>
            <w:bottom w:w="0" w:type="dxa"/>
            <w:right w:w="28" w:type="dxa"/>
          </w:tblCellMar>
        </w:tblPrEx>
        <w:trPr>
          <w:trHeight w:val="340" w:hRule="atLeast"/>
          <w:jc w:val="center"/>
        </w:trPr>
        <w:tc>
          <w:tcPr>
            <w:tcW w:w="903" w:type="pct"/>
            <w:gridSpan w:val="2"/>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2020实际</w:t>
            </w:r>
          </w:p>
        </w:tc>
        <w:tc>
          <w:tcPr>
            <w:tcW w:w="515"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3010</w:t>
            </w:r>
          </w:p>
        </w:tc>
        <w:tc>
          <w:tcPr>
            <w:tcW w:w="542"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3838</w:t>
            </w:r>
          </w:p>
        </w:tc>
        <w:tc>
          <w:tcPr>
            <w:tcW w:w="542"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3088</w:t>
            </w:r>
          </w:p>
        </w:tc>
        <w:tc>
          <w:tcPr>
            <w:tcW w:w="778"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3984</w:t>
            </w:r>
          </w:p>
        </w:tc>
        <w:tc>
          <w:tcPr>
            <w:tcW w:w="468"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1080</w:t>
            </w:r>
          </w:p>
        </w:tc>
        <w:tc>
          <w:tcPr>
            <w:tcW w:w="620"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372.71</w:t>
            </w:r>
          </w:p>
        </w:tc>
        <w:tc>
          <w:tcPr>
            <w:tcW w:w="632" w:type="pct"/>
            <w:noWrap w:val="0"/>
            <w:vAlign w:val="center"/>
          </w:tcPr>
          <w:p>
            <w:pPr>
              <w:snapToGrid w:val="0"/>
              <w:spacing w:line="0" w:lineRule="atLeas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2010</w:t>
            </w:r>
          </w:p>
        </w:tc>
      </w:tr>
    </w:tbl>
    <w:p>
      <w:pPr>
        <w:keepNext w:val="0"/>
        <w:keepLines w:val="0"/>
        <w:pageBreakBefore w:val="0"/>
        <w:widowControl w:val="0"/>
        <w:kinsoku/>
        <w:wordWrap/>
        <w:overflowPunct/>
        <w:topLinePunct w:val="0"/>
        <w:autoSpaceDE/>
        <w:autoSpaceDN/>
        <w:bidi w:val="0"/>
        <w:adjustRightInd/>
        <w:snapToGrid/>
        <w:ind w:firstLine="640" w:firstLineChars="200"/>
        <w:textAlignment w:val="auto"/>
        <w:outlineLvl w:val="1"/>
        <w:rPr>
          <w:rFonts w:hint="eastAsia" w:ascii="方正楷体_GBK" w:hAnsi="方正楷体_GBK" w:eastAsia="方正楷体_GBK" w:cs="方正楷体_GBK"/>
          <w:bCs/>
          <w:sz w:val="32"/>
        </w:rPr>
      </w:pPr>
      <w:bookmarkStart w:id="149" w:name="_Toc71665877"/>
      <w:bookmarkStart w:id="150" w:name="_Toc31207"/>
      <w:bookmarkStart w:id="151" w:name="_Toc71782092"/>
      <w:bookmarkStart w:id="152" w:name="_Toc15564"/>
      <w:r>
        <w:rPr>
          <w:rFonts w:hint="eastAsia" w:ascii="方正楷体_GBK" w:hAnsi="方正楷体_GBK" w:eastAsia="方正楷体_GBK" w:cs="方正楷体_GBK"/>
          <w:bCs/>
          <w:sz w:val="32"/>
          <w:lang w:eastAsia="zh-CN"/>
        </w:rPr>
        <w:t>（</w:t>
      </w:r>
      <w:r>
        <w:rPr>
          <w:rFonts w:hint="eastAsia" w:ascii="方正楷体_GBK" w:hAnsi="方正楷体_GBK" w:eastAsia="方正楷体_GBK" w:cs="方正楷体_GBK"/>
          <w:bCs/>
          <w:sz w:val="32"/>
          <w:lang w:val="en-US" w:eastAsia="zh-CN"/>
        </w:rPr>
        <w:t>四</w:t>
      </w:r>
      <w:r>
        <w:rPr>
          <w:rFonts w:hint="eastAsia" w:ascii="方正楷体_GBK" w:hAnsi="方正楷体_GBK" w:eastAsia="方正楷体_GBK" w:cs="方正楷体_GBK"/>
          <w:bCs/>
          <w:sz w:val="32"/>
          <w:lang w:eastAsia="zh-CN"/>
        </w:rPr>
        <w:t>）</w:t>
      </w:r>
      <w:r>
        <w:rPr>
          <w:rFonts w:hint="eastAsia" w:ascii="方正楷体_GBK" w:hAnsi="方正楷体_GBK" w:eastAsia="方正楷体_GBK" w:cs="方正楷体_GBK"/>
          <w:bCs/>
          <w:sz w:val="32"/>
        </w:rPr>
        <w:t>防洪工程规划方案</w:t>
      </w:r>
      <w:bookmarkEnd w:id="149"/>
      <w:bookmarkEnd w:id="150"/>
      <w:bookmarkEnd w:id="151"/>
      <w:bookmarkEnd w:id="152"/>
    </w:p>
    <w:p>
      <w:pPr>
        <w:pStyle w:val="2953"/>
        <w:ind w:firstLine="560"/>
        <w:rPr>
          <w:rFonts w:hint="default" w:ascii="Times New Roman" w:hAnsi="Times New Roman" w:eastAsia="方正仿宋_GBK" w:cs="Times New Roman"/>
          <w:sz w:val="32"/>
          <w:szCs w:val="32"/>
        </w:rPr>
      </w:pPr>
      <w:r>
        <w:rPr>
          <w:rFonts w:hint="default" w:ascii="Times New Roman" w:hAnsi="Times New Roman" w:eastAsia="方正仿宋_GBK" w:cs="Times New Roman"/>
          <w:kern w:val="0"/>
          <w:sz w:val="32"/>
          <w:szCs w:val="32"/>
        </w:rPr>
        <w:t>综上分析，本次规划推荐采用堤库结合方案。</w:t>
      </w:r>
      <w:r>
        <w:rPr>
          <w:rFonts w:hint="default" w:ascii="Times New Roman" w:hAnsi="Times New Roman" w:eastAsia="方正仿宋_GBK" w:cs="Times New Roman"/>
          <w:sz w:val="32"/>
          <w:szCs w:val="32"/>
        </w:rPr>
        <w:t>綦江城区现状防洪能力仅为2年一遇，通过河道综合整治措施（河道疏浚、大常枢纽改造、石溪口枢纽改造），扩大城区河道的行洪能力，将其防洪能力由现状不足5年一遇提高至接近5年一遇；通过堤防建设和征地拆迁将城区的防洪能力由约5年一遇提高至20年一遇；在此基础上，实施藻渡水库工程，发挥其拦蓄上游洪水作用，将主城区的防洪能力由20年一遇提高至约50年一遇。</w:t>
      </w:r>
    </w:p>
    <w:p>
      <w:pPr>
        <w:pStyle w:val="2953"/>
        <w:ind w:firstLine="560"/>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工程实施后，将极大提高綦江城区应对大洪水的灵活性，同时大幅提升城市景观和品味，以进一步升级綦江旅游度假区。届时，綦江城区江滩公园将从綦江火车站至城北大桥连成一片，并与国家地质公园（老瀛山、古剑山、凤凰山）、国家历史名镇（东溪古镇）、全国特色景观旅游名镇名村示范点（永新镇石坪村）、中国传统村落（东溪永乐村）、全国美丽宜居村庄示范村（永城镇中华村）、全</w:t>
      </w:r>
      <w:r>
        <w:rPr>
          <w:rFonts w:hint="eastAsia" w:ascii="方正仿宋_GBK" w:hAnsi="方正仿宋_GBK" w:eastAsia="方正仿宋_GBK" w:cs="方正仿宋_GBK"/>
          <w:sz w:val="32"/>
          <w:szCs w:val="32"/>
        </w:rPr>
        <w:t>国“美丽乡村”创建试</w:t>
      </w:r>
      <w:r>
        <w:rPr>
          <w:rFonts w:hint="default" w:ascii="Times New Roman" w:hAnsi="Times New Roman" w:eastAsia="方正仿宋_GBK" w:cs="Times New Roman"/>
          <w:sz w:val="32"/>
          <w:szCs w:val="32"/>
        </w:rPr>
        <w:t>点乡村（永城镇复兴村）、国家4A级景区（古剑山风景区、老瀛山景区）等国家级景点融为一体，</w:t>
      </w:r>
      <w:r>
        <w:rPr>
          <w:rFonts w:hint="eastAsia" w:ascii="方正仿宋_GBK" w:hAnsi="方正仿宋_GBK" w:eastAsia="方正仿宋_GBK" w:cs="方正仿宋_GBK"/>
          <w:sz w:val="32"/>
          <w:szCs w:val="32"/>
        </w:rPr>
        <w:t>让“主城工作、綦江度假”的梦想变为</w:t>
      </w:r>
      <w:r>
        <w:rPr>
          <w:rFonts w:hint="default" w:ascii="Times New Roman" w:hAnsi="Times New Roman" w:eastAsia="方正仿宋_GBK" w:cs="Times New Roman"/>
          <w:sz w:val="32"/>
          <w:szCs w:val="32"/>
        </w:rPr>
        <w:t>现实。</w:t>
      </w:r>
    </w:p>
    <w:bookmarkEnd w:id="115"/>
    <w:p>
      <w:pPr>
        <w:pStyle w:val="1381"/>
        <w:spacing w:line="20" w:lineRule="exact"/>
        <w:rPr>
          <w:sz w:val="10"/>
          <w:szCs w:val="10"/>
        </w:rPr>
      </w:pPr>
      <w:bookmarkStart w:id="153" w:name="_Toc71782093"/>
      <w:bookmarkStart w:id="154" w:name="_Toc1818"/>
      <w:bookmarkStart w:id="155" w:name="_Toc455998717"/>
      <w:bookmarkStart w:id="156" w:name="_Toc71665878"/>
      <w:bookmarkStart w:id="157" w:name="_Toc250624552"/>
    </w:p>
    <w:p>
      <w:pPr>
        <w:pStyle w:val="153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方正黑体_GBK" w:hAnsi="方正黑体_GBK" w:eastAsia="方正黑体_GBK" w:cs="方正黑体_GBK"/>
          <w:sz w:val="32"/>
          <w:szCs w:val="32"/>
        </w:rPr>
      </w:pPr>
      <w:bookmarkStart w:id="158" w:name="_Toc4711"/>
      <w:r>
        <w:rPr>
          <w:rFonts w:hint="eastAsia" w:ascii="方正黑体_GBK" w:hAnsi="方正黑体_GBK" w:eastAsia="方正黑体_GBK" w:cs="方正黑体_GBK"/>
          <w:sz w:val="32"/>
          <w:szCs w:val="32"/>
          <w:lang w:val="en-US" w:eastAsia="zh-CN"/>
        </w:rPr>
        <w:t>七、</w:t>
      </w:r>
      <w:r>
        <w:rPr>
          <w:rFonts w:hint="eastAsia" w:ascii="方正黑体_GBK" w:hAnsi="方正黑体_GBK" w:eastAsia="方正黑体_GBK" w:cs="方正黑体_GBK"/>
          <w:sz w:val="32"/>
          <w:szCs w:val="32"/>
        </w:rPr>
        <w:t>排涝规划</w:t>
      </w:r>
      <w:bookmarkEnd w:id="158"/>
    </w:p>
    <w:p>
      <w:pPr>
        <w:pStyle w:val="1795"/>
        <w:keepNext w:val="0"/>
        <w:keepLines w:val="0"/>
        <w:pageBreakBefore w:val="0"/>
        <w:widowControl w:val="0"/>
        <w:kinsoku/>
        <w:wordWrap/>
        <w:overflowPunct/>
        <w:topLinePunct w:val="0"/>
        <w:autoSpaceDE/>
        <w:autoSpaceDN/>
        <w:bidi w:val="0"/>
        <w:adjustRightInd w:val="0"/>
        <w:snapToGrid/>
        <w:spacing w:before="0" w:after="0"/>
        <w:ind w:firstLine="640" w:firstLineChars="200"/>
        <w:textAlignment w:val="auto"/>
        <w:rPr>
          <w:rFonts w:hint="eastAsia" w:ascii="方正楷体_GBK" w:hAnsi="方正楷体_GBK" w:eastAsia="方正楷体_GBK" w:cs="方正楷体_GBK"/>
        </w:rPr>
      </w:pPr>
      <w:bookmarkStart w:id="159" w:name="_Toc7586"/>
      <w:r>
        <w:rPr>
          <w:rFonts w:hint="eastAsia" w:ascii="方正楷体_GBK" w:hAnsi="方正楷体_GBK" w:eastAsia="方正楷体_GBK" w:cs="方正楷体_GBK"/>
          <w:lang w:eastAsia="zh-CN"/>
        </w:rPr>
        <w:t>（</w:t>
      </w:r>
      <w:r>
        <w:rPr>
          <w:rFonts w:hint="eastAsia" w:ascii="方正楷体_GBK" w:hAnsi="方正楷体_GBK" w:eastAsia="方正楷体_GBK" w:cs="方正楷体_GBK"/>
          <w:lang w:val="en-US" w:eastAsia="zh-CN"/>
        </w:rPr>
        <w:t>一</w:t>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rPr>
        <w:t>涝区分布</w:t>
      </w:r>
      <w:bookmarkEnd w:id="159"/>
    </w:p>
    <w:p>
      <w:pPr>
        <w:pStyle w:val="1795"/>
        <w:keepNext w:val="0"/>
        <w:keepLines w:val="0"/>
        <w:pageBreakBefore w:val="0"/>
        <w:widowControl w:val="0"/>
        <w:kinsoku/>
        <w:wordWrap/>
        <w:overflowPunct/>
        <w:topLinePunct w:val="0"/>
        <w:autoSpaceDE/>
        <w:autoSpaceDN/>
        <w:bidi w:val="0"/>
        <w:adjustRightInd w:val="0"/>
        <w:snapToGrid/>
        <w:spacing w:before="0" w:after="0"/>
        <w:ind w:firstLine="640" w:firstLineChars="200"/>
        <w:textAlignment w:val="auto"/>
        <w:rPr>
          <w:rFonts w:hint="eastAsia" w:ascii="方正楷体_GBK" w:hAnsi="方正楷体_GBK" w:eastAsia="方正楷体_GBK" w:cs="方正楷体_GBK"/>
          <w:lang w:eastAsia="zh-CN"/>
        </w:rPr>
      </w:pPr>
      <w:bookmarkStart w:id="160" w:name="_Toc16703"/>
      <w:r>
        <w:rPr>
          <w:rFonts w:hint="default" w:ascii="Times New Roman" w:hAnsi="Times New Roman" w:eastAsia="方正仿宋_GBK" w:cs="Times New Roman"/>
          <w:sz w:val="32"/>
          <w:szCs w:val="32"/>
        </w:rPr>
        <w:t>綦江左岸菜坝片区房屋拆迁后抬高建基面高程至20年一遇防洪标准，綦江右岸碧水蓝湾至交警队片区洪水位以下区域实施封堵和回填，不涉及新增内涝问题，原排水管网需结合旧城改造进行优化升级，避免綦江干流洪水倒灌或顶托影响；綦江右岸通惠河口</w:t>
      </w:r>
      <w:r>
        <w:rPr>
          <w:rFonts w:hint="eastAsia" w:ascii="Times New Roman" w:hAnsi="Times New Roman" w:eastAsia="方正仿宋_GBK" w:cs="Times New Roman"/>
          <w:sz w:val="32"/>
          <w:szCs w:val="32"/>
          <w:lang w:eastAsia="zh-CN"/>
        </w:rPr>
        <w:t>—</w:t>
      </w:r>
      <w:r>
        <w:rPr>
          <w:rFonts w:hint="default" w:ascii="Times New Roman" w:hAnsi="Times New Roman" w:eastAsia="方正仿宋_GBK" w:cs="Times New Roman"/>
          <w:sz w:val="32"/>
          <w:szCs w:val="32"/>
        </w:rPr>
        <w:t>綦江大桥片区、古南水文站至碧水蓝湾片区以及綦江左岸御景江城建筑</w:t>
      </w:r>
      <w:r>
        <w:rPr>
          <w:rFonts w:hint="eastAsia" w:ascii="Times New Roman" w:hAnsi="Times New Roman" w:eastAsia="方正仿宋_GBK" w:cs="Times New Roman"/>
          <w:sz w:val="32"/>
          <w:szCs w:val="32"/>
          <w:lang w:eastAsia="zh-CN"/>
        </w:rPr>
        <w:t>—</w:t>
      </w:r>
      <w:r>
        <w:rPr>
          <w:rFonts w:hint="default" w:ascii="Times New Roman" w:hAnsi="Times New Roman" w:eastAsia="方正仿宋_GBK" w:cs="Times New Roman"/>
          <w:sz w:val="32"/>
          <w:szCs w:val="32"/>
        </w:rPr>
        <w:t>沙溪河口片区、沱湾大桥片区采取应急避险转移非工程措施，不涉及新增内涝问题；綦江左岸北渡老街片区房屋拆迁后建设亲水公园，不涉及内涝问题；綦江左岸古南中学片区仅有0.25km堤段新建防洪墙，区域涝水可通过城北大桥附近低洼地带排走。綦江左岸中国石化</w:t>
      </w:r>
      <w:r>
        <w:rPr>
          <w:rFonts w:hint="eastAsia" w:ascii="Times New Roman" w:hAnsi="Times New Roman" w:eastAsia="方正仿宋_GBK" w:cs="Times New Roman"/>
          <w:sz w:val="32"/>
          <w:szCs w:val="32"/>
          <w:lang w:eastAsia="zh-CN"/>
        </w:rPr>
        <w:t>—</w:t>
      </w:r>
      <w:r>
        <w:rPr>
          <w:rFonts w:hint="default" w:ascii="Times New Roman" w:hAnsi="Times New Roman" w:eastAsia="方正仿宋_GBK" w:cs="Times New Roman"/>
          <w:sz w:val="32"/>
          <w:szCs w:val="32"/>
        </w:rPr>
        <w:t>沱湾大桥片区、滨江路至下北街片区堤防加高后会引起局部区域新增内涝问题，本次重点考虑这些涝片和其他易涝点的治理。</w:t>
      </w:r>
      <w:bookmarkEnd w:id="160"/>
    </w:p>
    <w:p>
      <w:pPr>
        <w:pStyle w:val="1795"/>
        <w:keepNext w:val="0"/>
        <w:keepLines w:val="0"/>
        <w:pageBreakBefore w:val="0"/>
        <w:widowControl w:val="0"/>
        <w:kinsoku/>
        <w:wordWrap/>
        <w:overflowPunct/>
        <w:topLinePunct w:val="0"/>
        <w:autoSpaceDE/>
        <w:autoSpaceDN/>
        <w:bidi w:val="0"/>
        <w:adjustRightInd w:val="0"/>
        <w:snapToGrid/>
        <w:spacing w:before="0" w:after="0"/>
        <w:ind w:firstLine="640" w:firstLineChars="200"/>
        <w:textAlignment w:val="auto"/>
        <w:rPr>
          <w:rFonts w:hint="eastAsia" w:ascii="方正楷体_GBK" w:hAnsi="方正楷体_GBK" w:eastAsia="方正楷体_GBK" w:cs="方正楷体_GBK"/>
          <w:lang w:eastAsia="zh-CN"/>
        </w:rPr>
      </w:pPr>
      <w:bookmarkStart w:id="161" w:name="_Toc2608"/>
      <w:r>
        <w:rPr>
          <w:rFonts w:hint="eastAsia" w:ascii="方正楷体_GBK" w:hAnsi="方正楷体_GBK" w:eastAsia="方正楷体_GBK" w:cs="方正楷体_GBK"/>
          <w:lang w:eastAsia="zh-CN"/>
        </w:rPr>
        <w:t>（</w:t>
      </w:r>
      <w:r>
        <w:rPr>
          <w:rFonts w:hint="eastAsia" w:ascii="方正楷体_GBK" w:hAnsi="方正楷体_GBK" w:eastAsia="方正楷体_GBK" w:cs="方正楷体_GBK"/>
          <w:lang w:val="en-US" w:eastAsia="zh-CN"/>
        </w:rPr>
        <w:t>二</w:t>
      </w:r>
      <w:r>
        <w:rPr>
          <w:rFonts w:hint="eastAsia" w:ascii="方正楷体_GBK" w:hAnsi="方正楷体_GBK" w:eastAsia="方正楷体_GBK" w:cs="方正楷体_GBK"/>
          <w:lang w:eastAsia="zh-CN"/>
        </w:rPr>
        <w:t>）治涝原则、标准及目标</w:t>
      </w:r>
      <w:bookmarkEnd w:id="161"/>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bCs/>
          <w:kern w:val="2"/>
          <w:sz w:val="32"/>
          <w:szCs w:val="32"/>
          <w:lang w:val="en-US" w:eastAsia="zh-CN" w:bidi="ar-SA"/>
        </w:rPr>
      </w:pPr>
      <w:r>
        <w:rPr>
          <w:rFonts w:hint="eastAsia" w:ascii="Times New Roman" w:hAnsi="Times New Roman" w:eastAsia="方正仿宋_GBK" w:cs="Times New Roman"/>
          <w:bCs/>
          <w:kern w:val="2"/>
          <w:sz w:val="32"/>
          <w:szCs w:val="32"/>
          <w:lang w:val="en-US" w:eastAsia="zh-CN" w:bidi="ar-SA"/>
        </w:rPr>
        <w:t>1</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bCs/>
          <w:kern w:val="2"/>
          <w:sz w:val="32"/>
          <w:szCs w:val="32"/>
          <w:lang w:val="en-US" w:eastAsia="zh-CN" w:bidi="ar-SA"/>
        </w:rPr>
        <w:t>治涝原则</w:t>
      </w:r>
    </w:p>
    <w:p>
      <w:pPr>
        <w:pStyle w:val="2953"/>
        <w:keepNext w:val="0"/>
        <w:keepLines w:val="0"/>
        <w:pageBreakBefore w:val="0"/>
        <w:widowControl w:val="0"/>
        <w:kinsoku/>
        <w:wordWrap/>
        <w:overflowPunct/>
        <w:topLinePunct w:val="0"/>
        <w:autoSpaceDE/>
        <w:autoSpaceDN/>
        <w:bidi w:val="0"/>
        <w:adjustRightInd/>
        <w:snapToGrid/>
        <w:spacing w:line="550" w:lineRule="exact"/>
        <w:ind w:firstLine="640" w:firstLineChars="200"/>
        <w:textAlignment w:val="auto"/>
        <w:rPr>
          <w:rFonts w:hint="default" w:ascii="Times New Roman" w:hAnsi="Times New Roman" w:eastAsia="方正仿宋_GBK" w:cs="Times New Roman"/>
          <w:bCs/>
          <w:kern w:val="2"/>
          <w:sz w:val="32"/>
          <w:szCs w:val="32"/>
          <w:lang w:val="en-US" w:eastAsia="zh-CN" w:bidi="ar-SA"/>
        </w:rPr>
      </w:pPr>
      <w:r>
        <w:rPr>
          <w:rFonts w:hint="eastAsia" w:ascii="Times New Roman" w:hAnsi="Times New Roman" w:eastAsia="方正仿宋_GBK" w:cs="Times New Roman"/>
          <w:bCs/>
          <w:kern w:val="2"/>
          <w:sz w:val="32"/>
          <w:szCs w:val="32"/>
          <w:lang w:val="en-US" w:eastAsia="zh-CN" w:bidi="ar-SA"/>
        </w:rPr>
        <w:t>根据自然地理条件的差异，从实际出发，因地制宜，在充分利用现有排涝设施的基础上，全面规划，综合治理，自排与提排相结合</w:t>
      </w:r>
      <w:r>
        <w:rPr>
          <w:rFonts w:hint="eastAsia" w:ascii="Times New Roman" w:eastAsia="方正仿宋_GBK" w:cs="Times New Roman"/>
          <w:bCs/>
          <w:kern w:val="2"/>
          <w:sz w:val="32"/>
          <w:szCs w:val="32"/>
          <w:lang w:val="en-US" w:eastAsia="zh-CN" w:bidi="ar-SA"/>
        </w:rPr>
        <w:t>，</w:t>
      </w:r>
      <w:r>
        <w:rPr>
          <w:rFonts w:hint="eastAsia" w:ascii="Times New Roman" w:hAnsi="Times New Roman" w:eastAsia="方正仿宋_GBK" w:cs="Times New Roman"/>
          <w:bCs/>
          <w:kern w:val="2"/>
          <w:sz w:val="32"/>
          <w:szCs w:val="32"/>
          <w:lang w:val="en-US" w:eastAsia="zh-CN" w:bidi="ar-SA"/>
        </w:rPr>
        <w:t>统筹协调防洪与排涝的关系。</w:t>
      </w:r>
    </w:p>
    <w:p>
      <w:pPr>
        <w:pStyle w:val="2260"/>
        <w:keepNext w:val="0"/>
        <w:keepLines w:val="0"/>
        <w:pageBreakBefore w:val="0"/>
        <w:widowControl w:val="0"/>
        <w:kinsoku/>
        <w:wordWrap/>
        <w:overflowPunct/>
        <w:topLinePunct w:val="0"/>
        <w:autoSpaceDE/>
        <w:autoSpaceDN/>
        <w:bidi w:val="0"/>
        <w:adjustRightInd/>
        <w:snapToGrid/>
        <w:spacing w:line="550" w:lineRule="exact"/>
        <w:ind w:firstLine="640" w:firstLineChars="200"/>
        <w:textAlignment w:val="auto"/>
        <w:rPr>
          <w:rFonts w:hint="default" w:ascii="Times New Roman" w:hAnsi="Times New Roman" w:eastAsia="方正仿宋_GBK" w:cs="Times New Roman"/>
          <w:bCs/>
          <w:kern w:val="2"/>
          <w:sz w:val="32"/>
          <w:szCs w:val="32"/>
          <w:lang w:val="en-US" w:eastAsia="zh-CN" w:bidi="ar-SA"/>
        </w:rPr>
      </w:pPr>
      <w:r>
        <w:rPr>
          <w:rFonts w:hint="eastAsia" w:ascii="Times New Roman" w:hAnsi="Times New Roman" w:eastAsia="方正仿宋_GBK" w:cs="Times New Roman"/>
          <w:bCs/>
          <w:kern w:val="2"/>
          <w:sz w:val="32"/>
          <w:szCs w:val="32"/>
          <w:lang w:val="en-US" w:eastAsia="zh-CN" w:bidi="ar-SA"/>
        </w:rPr>
        <w:t>2</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bCs/>
          <w:kern w:val="2"/>
          <w:sz w:val="32"/>
          <w:szCs w:val="32"/>
          <w:lang w:val="en-US" w:eastAsia="zh-CN" w:bidi="ar-SA"/>
        </w:rPr>
        <w:t>治涝标准</w:t>
      </w:r>
    </w:p>
    <w:p>
      <w:pPr>
        <w:pStyle w:val="2953"/>
        <w:keepNext w:val="0"/>
        <w:keepLines w:val="0"/>
        <w:pageBreakBefore w:val="0"/>
        <w:widowControl w:val="0"/>
        <w:kinsoku/>
        <w:wordWrap/>
        <w:overflowPunct/>
        <w:topLinePunct w:val="0"/>
        <w:autoSpaceDE/>
        <w:autoSpaceDN/>
        <w:bidi w:val="0"/>
        <w:adjustRightInd/>
        <w:snapToGrid/>
        <w:spacing w:line="550" w:lineRule="exact"/>
        <w:ind w:firstLine="640" w:firstLineChars="200"/>
        <w:textAlignment w:val="auto"/>
        <w:rPr>
          <w:rFonts w:hint="default" w:ascii="Times New Roman" w:hAnsi="Times New Roman" w:eastAsia="方正仿宋_GBK" w:cs="Times New Roman"/>
          <w:bCs/>
          <w:kern w:val="2"/>
          <w:sz w:val="32"/>
          <w:szCs w:val="32"/>
          <w:lang w:val="en-US" w:eastAsia="zh-CN" w:bidi="ar-SA"/>
        </w:rPr>
      </w:pPr>
      <w:r>
        <w:rPr>
          <w:rFonts w:hint="eastAsia" w:ascii="Times New Roman" w:hAnsi="Times New Roman" w:eastAsia="方正仿宋_GBK" w:cs="Times New Roman"/>
          <w:bCs/>
          <w:kern w:val="2"/>
          <w:sz w:val="32"/>
          <w:szCs w:val="32"/>
          <w:lang w:val="en-US" w:eastAsia="zh-CN" w:bidi="ar-SA"/>
        </w:rPr>
        <w:t>依据《治涝标准》（SL723</w:t>
      </w:r>
      <w:r>
        <w:rPr>
          <w:rFonts w:hint="eastAsia" w:ascii="Times New Roman" w:eastAsia="方正仿宋_GBK" w:cs="Times New Roman"/>
          <w:bCs/>
          <w:kern w:val="2"/>
          <w:sz w:val="32"/>
          <w:szCs w:val="32"/>
          <w:lang w:val="en-US" w:eastAsia="zh-CN" w:bidi="ar-SA"/>
        </w:rPr>
        <w:t>—</w:t>
      </w:r>
      <w:r>
        <w:rPr>
          <w:rFonts w:hint="eastAsia" w:ascii="Times New Roman" w:hAnsi="Times New Roman" w:eastAsia="方正仿宋_GBK" w:cs="Times New Roman"/>
          <w:bCs/>
          <w:kern w:val="2"/>
          <w:sz w:val="32"/>
          <w:szCs w:val="32"/>
          <w:lang w:val="en-US" w:eastAsia="zh-CN" w:bidi="ar-SA"/>
        </w:rPr>
        <w:t>2016），考虑綦江城区政治经济地位的重要性、常住人口或当量经济规模指标，拟定綦江城区治涝标准为</w:t>
      </w:r>
      <w:r>
        <w:rPr>
          <w:rFonts w:hint="default" w:ascii="Times New Roman" w:hAnsi="Times New Roman" w:eastAsia="方正仿宋_GBK" w:cs="Times New Roman"/>
          <w:bCs/>
          <w:kern w:val="2"/>
          <w:sz w:val="32"/>
          <w:szCs w:val="32"/>
          <w:lang w:val="en-US" w:eastAsia="zh-CN" w:bidi="ar-SA"/>
        </w:rPr>
        <w:t>20</w:t>
      </w:r>
      <w:r>
        <w:rPr>
          <w:rFonts w:hint="eastAsia" w:ascii="Times New Roman" w:hAnsi="Times New Roman" w:eastAsia="方正仿宋_GBK" w:cs="Times New Roman"/>
          <w:bCs/>
          <w:kern w:val="2"/>
          <w:sz w:val="32"/>
          <w:szCs w:val="32"/>
          <w:lang w:val="en-US" w:eastAsia="zh-CN" w:bidi="ar-SA"/>
        </w:rPr>
        <w:t>年一遇</w:t>
      </w:r>
      <w:r>
        <w:rPr>
          <w:rFonts w:hint="default" w:ascii="Times New Roman" w:hAnsi="Times New Roman" w:eastAsia="方正仿宋_GBK" w:cs="Times New Roman"/>
          <w:bCs/>
          <w:kern w:val="2"/>
          <w:sz w:val="32"/>
          <w:szCs w:val="32"/>
          <w:lang w:val="en-US" w:eastAsia="zh-CN" w:bidi="ar-SA"/>
        </w:rPr>
        <w:t>24</w:t>
      </w:r>
      <w:r>
        <w:rPr>
          <w:rFonts w:hint="eastAsia" w:ascii="Times New Roman" w:hAnsi="Times New Roman" w:eastAsia="方正仿宋_GBK" w:cs="Times New Roman"/>
          <w:bCs/>
          <w:kern w:val="2"/>
          <w:sz w:val="32"/>
          <w:szCs w:val="32"/>
          <w:lang w:val="en-US" w:eastAsia="zh-CN" w:bidi="ar-SA"/>
        </w:rPr>
        <w:t>小时暴雨24小时排除。今后随着</w:t>
      </w:r>
      <w:r>
        <w:rPr>
          <w:rFonts w:hint="default" w:ascii="Times New Roman" w:hAnsi="Times New Roman" w:eastAsia="方正仿宋_GBK" w:cs="Times New Roman"/>
          <w:bCs/>
          <w:kern w:val="2"/>
          <w:sz w:val="32"/>
          <w:szCs w:val="32"/>
          <w:lang w:val="en-US" w:eastAsia="zh-CN" w:bidi="ar-SA"/>
        </w:rPr>
        <w:t>经济社会</w:t>
      </w:r>
      <w:r>
        <w:rPr>
          <w:rFonts w:hint="eastAsia" w:ascii="Times New Roman" w:hAnsi="Times New Roman" w:eastAsia="方正仿宋_GBK" w:cs="Times New Roman"/>
          <w:bCs/>
          <w:kern w:val="2"/>
          <w:sz w:val="32"/>
          <w:szCs w:val="32"/>
          <w:lang w:val="en-US" w:eastAsia="zh-CN" w:bidi="ar-SA"/>
        </w:rPr>
        <w:t>的</w:t>
      </w:r>
      <w:r>
        <w:rPr>
          <w:rFonts w:hint="default" w:ascii="Times New Roman" w:hAnsi="Times New Roman" w:eastAsia="方正仿宋_GBK" w:cs="Times New Roman"/>
          <w:bCs/>
          <w:kern w:val="2"/>
          <w:sz w:val="32"/>
          <w:szCs w:val="32"/>
          <w:lang w:val="en-US" w:eastAsia="zh-CN" w:bidi="ar-SA"/>
        </w:rPr>
        <w:t>发展，有条件的地方可适当提高治涝标准。</w:t>
      </w:r>
    </w:p>
    <w:p>
      <w:pPr>
        <w:pStyle w:val="2953"/>
        <w:keepNext w:val="0"/>
        <w:keepLines w:val="0"/>
        <w:pageBreakBefore w:val="0"/>
        <w:widowControl w:val="0"/>
        <w:kinsoku/>
        <w:wordWrap/>
        <w:overflowPunct/>
        <w:topLinePunct w:val="0"/>
        <w:autoSpaceDE/>
        <w:autoSpaceDN/>
        <w:bidi w:val="0"/>
        <w:adjustRightInd/>
        <w:snapToGrid/>
        <w:spacing w:line="550" w:lineRule="exact"/>
        <w:ind w:firstLine="640" w:firstLineChars="200"/>
        <w:textAlignment w:val="auto"/>
        <w:rPr>
          <w:rFonts w:hint="eastAsia" w:ascii="Times New Roman" w:hAnsi="Times New Roman" w:eastAsia="方正仿宋_GBK" w:cs="Times New Roman"/>
          <w:bCs/>
          <w:kern w:val="2"/>
          <w:sz w:val="32"/>
          <w:szCs w:val="32"/>
          <w:lang w:val="en-US" w:eastAsia="zh-CN" w:bidi="ar-SA"/>
        </w:rPr>
      </w:pPr>
      <w:r>
        <w:rPr>
          <w:rFonts w:hint="eastAsia" w:ascii="Times New Roman" w:hAnsi="Times New Roman" w:eastAsia="方正仿宋_GBK" w:cs="Times New Roman"/>
          <w:bCs/>
          <w:kern w:val="2"/>
          <w:sz w:val="32"/>
          <w:szCs w:val="32"/>
          <w:lang w:val="en-US" w:eastAsia="zh-CN" w:bidi="ar-SA"/>
        </w:rPr>
        <w:t>3</w:t>
      </w:r>
      <w:r>
        <w:rPr>
          <w:rFonts w:hint="eastAsia" w:ascii="Times New Roman" w:hAnsi="Times New Roman" w:eastAsia="方正仿宋_GBK" w:cs="Times New Roman"/>
          <w:sz w:val="32"/>
          <w:szCs w:val="32"/>
          <w:lang w:val="en-US" w:eastAsia="zh-CN"/>
        </w:rPr>
        <w:t>．</w:t>
      </w:r>
      <w:r>
        <w:rPr>
          <w:rFonts w:hint="eastAsia" w:ascii="Times New Roman" w:hAnsi="Times New Roman" w:eastAsia="方正仿宋_GBK" w:cs="Times New Roman"/>
          <w:bCs/>
          <w:kern w:val="2"/>
          <w:sz w:val="32"/>
          <w:szCs w:val="32"/>
          <w:lang w:val="en-US" w:eastAsia="zh-CN" w:bidi="ar-SA"/>
        </w:rPr>
        <w:t>治涝目标</w:t>
      </w:r>
    </w:p>
    <w:p>
      <w:pPr>
        <w:pStyle w:val="2953"/>
        <w:keepNext w:val="0"/>
        <w:keepLines w:val="0"/>
        <w:pageBreakBefore w:val="0"/>
        <w:widowControl w:val="0"/>
        <w:kinsoku/>
        <w:wordWrap/>
        <w:overflowPunct/>
        <w:topLinePunct w:val="0"/>
        <w:autoSpaceDE/>
        <w:autoSpaceDN/>
        <w:bidi w:val="0"/>
        <w:adjustRightInd/>
        <w:snapToGrid/>
        <w:spacing w:line="550" w:lineRule="exact"/>
        <w:ind w:firstLine="640" w:firstLineChars="200"/>
        <w:textAlignment w:val="auto"/>
        <w:rPr>
          <w:rFonts w:hint="eastAsia" w:ascii="Times New Roman" w:hAnsi="Times New Roman" w:eastAsia="方正仿宋_GBK" w:cs="Times New Roman"/>
          <w:bCs/>
          <w:kern w:val="2"/>
          <w:sz w:val="32"/>
          <w:szCs w:val="32"/>
          <w:lang w:val="en-US" w:eastAsia="zh-CN" w:bidi="ar-SA"/>
        </w:rPr>
      </w:pPr>
      <w:r>
        <w:rPr>
          <w:rFonts w:hint="eastAsia" w:ascii="Times New Roman" w:hAnsi="Times New Roman" w:eastAsia="方正仿宋_GBK" w:cs="Times New Roman"/>
          <w:bCs/>
          <w:kern w:val="2"/>
          <w:sz w:val="32"/>
          <w:szCs w:val="32"/>
          <w:lang w:val="en-US" w:eastAsia="zh-CN" w:bidi="ar-SA"/>
        </w:rPr>
        <w:t>开展綦江城区治涝工程建设，因地制宜实施工程和非工程措施建设，使其在规划期内达到所拟定的治涝标准。</w:t>
      </w:r>
    </w:p>
    <w:p>
      <w:pPr>
        <w:pStyle w:val="2953"/>
        <w:keepNext w:val="0"/>
        <w:keepLines w:val="0"/>
        <w:pageBreakBefore w:val="0"/>
        <w:widowControl w:val="0"/>
        <w:kinsoku/>
        <w:wordWrap/>
        <w:overflowPunct/>
        <w:topLinePunct w:val="0"/>
        <w:autoSpaceDE/>
        <w:autoSpaceDN/>
        <w:bidi w:val="0"/>
        <w:adjustRightInd/>
        <w:snapToGrid/>
        <w:spacing w:line="550" w:lineRule="exact"/>
        <w:ind w:firstLine="640" w:firstLineChars="200"/>
        <w:textAlignment w:val="auto"/>
        <w:rPr>
          <w:rFonts w:hint="eastAsia" w:ascii="方正楷体_GBK" w:hAnsi="方正楷体_GBK" w:eastAsia="方正楷体_GBK" w:cs="方正楷体_GBK"/>
          <w:bCs/>
          <w:kern w:val="2"/>
          <w:sz w:val="32"/>
          <w:szCs w:val="32"/>
          <w:lang w:val="en-US" w:eastAsia="zh-CN" w:bidi="ar-SA"/>
        </w:rPr>
      </w:pPr>
      <w:r>
        <w:rPr>
          <w:rFonts w:hint="eastAsia" w:ascii="方正楷体_GBK" w:hAnsi="方正楷体_GBK" w:eastAsia="方正楷体_GBK" w:cs="方正楷体_GBK"/>
          <w:bCs/>
          <w:kern w:val="2"/>
          <w:sz w:val="32"/>
          <w:szCs w:val="32"/>
          <w:lang w:val="en-US" w:eastAsia="zh-CN" w:bidi="ar-SA"/>
        </w:rPr>
        <w:t>（三）治涝水文分析计算</w:t>
      </w:r>
    </w:p>
    <w:p>
      <w:pPr>
        <w:pStyle w:val="2260"/>
        <w:keepNext w:val="0"/>
        <w:keepLines w:val="0"/>
        <w:pageBreakBefore w:val="0"/>
        <w:widowControl w:val="0"/>
        <w:kinsoku/>
        <w:wordWrap/>
        <w:overflowPunct/>
        <w:topLinePunct w:val="0"/>
        <w:autoSpaceDE/>
        <w:autoSpaceDN/>
        <w:bidi w:val="0"/>
        <w:adjustRightInd/>
        <w:snapToGrid/>
        <w:spacing w:line="550" w:lineRule="exact"/>
        <w:ind w:firstLine="640" w:firstLineChars="200"/>
        <w:textAlignment w:val="auto"/>
        <w:rPr>
          <w:rFonts w:hint="eastAsia" w:ascii="Times New Roman" w:hAnsi="Times New Roman" w:eastAsia="方正仿宋_GBK" w:cs="Times New Roman"/>
          <w:bCs/>
          <w:kern w:val="2"/>
          <w:sz w:val="32"/>
          <w:szCs w:val="32"/>
          <w:lang w:val="en-US" w:eastAsia="zh-CN" w:bidi="ar-SA"/>
        </w:rPr>
      </w:pPr>
      <w:r>
        <w:rPr>
          <w:rFonts w:hint="eastAsia" w:ascii="Times New Roman" w:hAnsi="Times New Roman" w:eastAsia="方正仿宋_GBK" w:cs="Times New Roman"/>
          <w:bCs/>
          <w:kern w:val="2"/>
          <w:sz w:val="32"/>
          <w:szCs w:val="32"/>
          <w:lang w:val="en-US" w:eastAsia="zh-CN" w:bidi="ar-SA"/>
        </w:rPr>
        <w:t>1</w:t>
      </w:r>
      <w:r>
        <w:rPr>
          <w:rFonts w:hint="eastAsia" w:ascii="Times New Roman" w:hAnsi="Times New Roman" w:eastAsia="方正仿宋_GBK" w:cs="Times New Roman"/>
          <w:sz w:val="32"/>
          <w:szCs w:val="32"/>
          <w:lang w:val="en-US" w:eastAsia="zh-CN"/>
        </w:rPr>
        <w:t>．</w:t>
      </w:r>
      <w:r>
        <w:rPr>
          <w:rFonts w:hint="eastAsia" w:ascii="Times New Roman" w:hAnsi="Times New Roman" w:eastAsia="方正仿宋_GBK" w:cs="Times New Roman"/>
          <w:bCs/>
          <w:kern w:val="2"/>
          <w:sz w:val="32"/>
          <w:szCs w:val="32"/>
          <w:lang w:val="en-US" w:eastAsia="zh-CN" w:bidi="ar-SA"/>
        </w:rPr>
        <w:t>设计净雨计算</w:t>
      </w:r>
    </w:p>
    <w:p>
      <w:pPr>
        <w:pStyle w:val="2260"/>
        <w:keepNext w:val="0"/>
        <w:keepLines w:val="0"/>
        <w:pageBreakBefore w:val="0"/>
        <w:widowControl w:val="0"/>
        <w:kinsoku/>
        <w:wordWrap/>
        <w:overflowPunct/>
        <w:topLinePunct w:val="0"/>
        <w:autoSpaceDE/>
        <w:autoSpaceDN/>
        <w:bidi w:val="0"/>
        <w:adjustRightInd/>
        <w:snapToGrid/>
        <w:spacing w:line="550" w:lineRule="exact"/>
        <w:ind w:firstLine="640" w:firstLineChars="200"/>
        <w:textAlignment w:val="auto"/>
        <w:rPr>
          <w:rFonts w:hint="eastAsia" w:ascii="Times New Roman" w:hAnsi="Times New Roman" w:eastAsia="方正仿宋_GBK" w:cs="Times New Roman"/>
          <w:bCs/>
          <w:kern w:val="2"/>
          <w:sz w:val="32"/>
          <w:szCs w:val="32"/>
          <w:lang w:val="en-US" w:eastAsia="zh-CN" w:bidi="ar-SA"/>
        </w:rPr>
      </w:pPr>
      <w:r>
        <w:rPr>
          <w:rFonts w:hint="eastAsia" w:ascii="Times New Roman" w:hAnsi="Times New Roman" w:eastAsia="方正仿宋_GBK" w:cs="Times New Roman"/>
          <w:bCs/>
          <w:kern w:val="2"/>
          <w:sz w:val="32"/>
          <w:szCs w:val="32"/>
          <w:lang w:val="en-US" w:eastAsia="zh-CN" w:bidi="ar-SA"/>
        </w:rPr>
        <w:t>1.1 设计暴雨计算</w:t>
      </w:r>
    </w:p>
    <w:p>
      <w:pPr>
        <w:pStyle w:val="2260"/>
        <w:keepNext w:val="0"/>
        <w:keepLines w:val="0"/>
        <w:pageBreakBefore w:val="0"/>
        <w:widowControl w:val="0"/>
        <w:kinsoku/>
        <w:wordWrap/>
        <w:overflowPunct/>
        <w:topLinePunct w:val="0"/>
        <w:autoSpaceDE/>
        <w:autoSpaceDN/>
        <w:bidi w:val="0"/>
        <w:adjustRightInd/>
        <w:snapToGrid/>
        <w:spacing w:line="550" w:lineRule="exact"/>
        <w:ind w:firstLine="640" w:firstLineChars="200"/>
        <w:textAlignment w:val="auto"/>
        <w:rPr>
          <w:rFonts w:hint="eastAsia" w:ascii="Times New Roman" w:hAnsi="Times New Roman" w:eastAsia="方正仿宋_GBK" w:cs="Times New Roman"/>
          <w:bCs/>
          <w:kern w:val="2"/>
          <w:sz w:val="32"/>
          <w:szCs w:val="32"/>
          <w:lang w:val="en-US" w:eastAsia="zh-CN" w:bidi="ar-SA"/>
        </w:rPr>
      </w:pPr>
      <w:r>
        <w:rPr>
          <w:rFonts w:hint="eastAsia" w:ascii="Times New Roman" w:hAnsi="Times New Roman" w:eastAsia="方正仿宋_GBK" w:cs="Times New Roman"/>
          <w:bCs/>
          <w:kern w:val="2"/>
          <w:sz w:val="32"/>
          <w:szCs w:val="32"/>
          <w:lang w:val="en-US" w:eastAsia="zh-CN" w:bidi="ar-SA"/>
        </w:rPr>
        <w:t>采用綦江气象站1961—2016年24h暴雨资料，对其进行频率计算，用P—Ⅲ型曲线适线，适线时曲线在通过点群重心的同时尽量照顾上部，分析计算得出綦江气象站的年最大24小时设计暴雨成果见表7.3—1。</w:t>
      </w:r>
    </w:p>
    <w:p>
      <w:pPr>
        <w:pStyle w:val="2312"/>
        <w:ind w:firstLine="240"/>
        <w:rPr>
          <w:rFonts w:hint="default" w:ascii="Times New Roman" w:hAnsi="Times New Roman" w:cs="Times New Roman"/>
        </w:rPr>
      </w:pPr>
      <w:r>
        <w:rPr>
          <w:rFonts w:hint="default" w:ascii="Times New Roman" w:hAnsi="Times New Roman" w:cs="Times New Roman"/>
        </w:rPr>
        <w:t>表7.3</w:t>
      </w:r>
      <w:r>
        <w:rPr>
          <w:rFonts w:hint="default" w:ascii="Times New Roman" w:hAnsi="Times New Roman" w:cs="Times New Roman"/>
          <w:lang w:eastAsia="zh-CN"/>
        </w:rPr>
        <w:t>—</w:t>
      </w:r>
      <w:r>
        <w:rPr>
          <w:rFonts w:hint="default" w:ascii="Times New Roman" w:hAnsi="Times New Roman" w:cs="Times New Roman"/>
        </w:rPr>
        <w:t>1                  设计暴雨成果表</w:t>
      </w:r>
    </w:p>
    <w:tbl>
      <w:tblPr>
        <w:tblStyle w:val="8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94"/>
        <w:gridCol w:w="1499"/>
        <w:gridCol w:w="1499"/>
        <w:gridCol w:w="1497"/>
        <w:gridCol w:w="1497"/>
        <w:gridCol w:w="14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66" w:type="pct"/>
            <w:vMerge w:val="restart"/>
            <w:noWrap w:val="0"/>
            <w:vAlign w:val="center"/>
          </w:tcPr>
          <w:p>
            <w:pPr>
              <w:spacing w:line="240" w:lineRule="exac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站点</w:t>
            </w:r>
          </w:p>
        </w:tc>
        <w:tc>
          <w:tcPr>
            <w:tcW w:w="807" w:type="pct"/>
            <w:vMerge w:val="restart"/>
            <w:noWrap w:val="0"/>
            <w:vAlign w:val="center"/>
          </w:tcPr>
          <w:p>
            <w:pPr>
              <w:spacing w:line="240" w:lineRule="exac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均值（mm）</w:t>
            </w:r>
          </w:p>
        </w:tc>
        <w:tc>
          <w:tcPr>
            <w:tcW w:w="807" w:type="pct"/>
            <w:vMerge w:val="restart"/>
            <w:noWrap w:val="0"/>
            <w:vAlign w:val="center"/>
          </w:tcPr>
          <w:p>
            <w:pPr>
              <w:spacing w:line="240" w:lineRule="exac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Cv</w:t>
            </w:r>
          </w:p>
        </w:tc>
        <w:tc>
          <w:tcPr>
            <w:tcW w:w="806" w:type="pct"/>
            <w:vMerge w:val="restart"/>
            <w:noWrap w:val="0"/>
            <w:vAlign w:val="center"/>
          </w:tcPr>
          <w:p>
            <w:pPr>
              <w:spacing w:line="240" w:lineRule="exac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Cs/Cv</w:t>
            </w:r>
          </w:p>
        </w:tc>
        <w:tc>
          <w:tcPr>
            <w:tcW w:w="1612" w:type="pct"/>
            <w:gridSpan w:val="2"/>
            <w:noWrap w:val="0"/>
            <w:vAlign w:val="center"/>
          </w:tcPr>
          <w:p>
            <w:pPr>
              <w:spacing w:line="240" w:lineRule="exac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设计频率暴雨（mm）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66" w:type="pct"/>
            <w:vMerge w:val="continue"/>
            <w:noWrap w:val="0"/>
            <w:vAlign w:val="center"/>
          </w:tcPr>
          <w:p>
            <w:pPr>
              <w:spacing w:line="240" w:lineRule="exact"/>
              <w:ind w:firstLine="0" w:firstLineChars="0"/>
              <w:jc w:val="center"/>
              <w:rPr>
                <w:rFonts w:hint="eastAsia" w:ascii="楷体_GB2312" w:hAnsi="楷体" w:eastAsia="楷体_GB2312"/>
                <w:bCs/>
                <w:kern w:val="0"/>
                <w:sz w:val="21"/>
                <w:szCs w:val="21"/>
              </w:rPr>
            </w:pPr>
          </w:p>
        </w:tc>
        <w:tc>
          <w:tcPr>
            <w:tcW w:w="807" w:type="pct"/>
            <w:vMerge w:val="continue"/>
            <w:noWrap w:val="0"/>
            <w:vAlign w:val="center"/>
          </w:tcPr>
          <w:p>
            <w:pPr>
              <w:spacing w:line="240" w:lineRule="exact"/>
              <w:ind w:firstLine="0" w:firstLineChars="0"/>
              <w:jc w:val="center"/>
              <w:rPr>
                <w:rFonts w:hint="eastAsia" w:ascii="楷体_GB2312" w:hAnsi="楷体" w:eastAsia="楷体_GB2312"/>
                <w:bCs/>
                <w:kern w:val="0"/>
                <w:sz w:val="21"/>
                <w:szCs w:val="21"/>
              </w:rPr>
            </w:pPr>
          </w:p>
        </w:tc>
        <w:tc>
          <w:tcPr>
            <w:tcW w:w="807" w:type="pct"/>
            <w:vMerge w:val="continue"/>
            <w:noWrap w:val="0"/>
            <w:vAlign w:val="center"/>
          </w:tcPr>
          <w:p>
            <w:pPr>
              <w:spacing w:line="240" w:lineRule="exact"/>
              <w:ind w:firstLine="0" w:firstLineChars="0"/>
              <w:jc w:val="center"/>
              <w:rPr>
                <w:rFonts w:hint="eastAsia" w:ascii="楷体_GB2312" w:hAnsi="楷体" w:eastAsia="楷体_GB2312"/>
                <w:bCs/>
                <w:kern w:val="0"/>
                <w:sz w:val="21"/>
                <w:szCs w:val="21"/>
              </w:rPr>
            </w:pPr>
          </w:p>
        </w:tc>
        <w:tc>
          <w:tcPr>
            <w:tcW w:w="806" w:type="pct"/>
            <w:vMerge w:val="continue"/>
            <w:noWrap w:val="0"/>
            <w:vAlign w:val="center"/>
          </w:tcPr>
          <w:p>
            <w:pPr>
              <w:spacing w:line="240" w:lineRule="exact"/>
              <w:ind w:firstLine="0" w:firstLineChars="0"/>
              <w:jc w:val="center"/>
              <w:rPr>
                <w:rFonts w:hint="eastAsia" w:ascii="楷体_GB2312" w:hAnsi="楷体" w:eastAsia="楷体_GB2312"/>
                <w:bCs/>
                <w:kern w:val="0"/>
                <w:sz w:val="21"/>
                <w:szCs w:val="21"/>
              </w:rPr>
            </w:pPr>
          </w:p>
        </w:tc>
        <w:tc>
          <w:tcPr>
            <w:tcW w:w="806" w:type="pct"/>
            <w:noWrap w:val="0"/>
            <w:vAlign w:val="center"/>
          </w:tcPr>
          <w:p>
            <w:pPr>
              <w:spacing w:line="240" w:lineRule="exac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P=5%</w:t>
            </w:r>
          </w:p>
        </w:tc>
        <w:tc>
          <w:tcPr>
            <w:tcW w:w="806" w:type="pct"/>
            <w:noWrap w:val="0"/>
            <w:vAlign w:val="center"/>
          </w:tcPr>
          <w:p>
            <w:pPr>
              <w:spacing w:line="240" w:lineRule="exac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P=10%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66" w:type="pct"/>
            <w:noWrap w:val="0"/>
            <w:vAlign w:val="center"/>
          </w:tcPr>
          <w:p>
            <w:pPr>
              <w:snapToGrid w:val="0"/>
              <w:spacing w:line="240" w:lineRule="exac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綦江气象站</w:t>
            </w:r>
          </w:p>
        </w:tc>
        <w:tc>
          <w:tcPr>
            <w:tcW w:w="807" w:type="pct"/>
            <w:noWrap w:val="0"/>
            <w:vAlign w:val="center"/>
          </w:tcPr>
          <w:p>
            <w:pPr>
              <w:snapToGrid w:val="0"/>
              <w:spacing w:line="240" w:lineRule="exac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78.3</w:t>
            </w:r>
          </w:p>
        </w:tc>
        <w:tc>
          <w:tcPr>
            <w:tcW w:w="807" w:type="pct"/>
            <w:noWrap w:val="0"/>
            <w:vAlign w:val="center"/>
          </w:tcPr>
          <w:p>
            <w:pPr>
              <w:snapToGrid w:val="0"/>
              <w:spacing w:line="240" w:lineRule="exac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0.45</w:t>
            </w:r>
          </w:p>
        </w:tc>
        <w:tc>
          <w:tcPr>
            <w:tcW w:w="806" w:type="pct"/>
            <w:noWrap w:val="0"/>
            <w:vAlign w:val="center"/>
          </w:tcPr>
          <w:p>
            <w:pPr>
              <w:snapToGrid w:val="0"/>
              <w:spacing w:line="240" w:lineRule="exac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3.5</w:t>
            </w:r>
          </w:p>
        </w:tc>
        <w:tc>
          <w:tcPr>
            <w:tcW w:w="806" w:type="pct"/>
            <w:noWrap w:val="0"/>
            <w:vAlign w:val="center"/>
          </w:tcPr>
          <w:p>
            <w:pPr>
              <w:snapToGrid w:val="0"/>
              <w:spacing w:line="240" w:lineRule="exac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147</w:t>
            </w:r>
          </w:p>
        </w:tc>
        <w:tc>
          <w:tcPr>
            <w:tcW w:w="806" w:type="pct"/>
            <w:noWrap w:val="0"/>
            <w:vAlign w:val="center"/>
          </w:tcPr>
          <w:p>
            <w:pPr>
              <w:snapToGrid w:val="0"/>
              <w:spacing w:line="240" w:lineRule="exac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125</w:t>
            </w:r>
          </w:p>
        </w:tc>
      </w:tr>
    </w:tbl>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bCs/>
          <w:kern w:val="2"/>
          <w:sz w:val="32"/>
          <w:szCs w:val="32"/>
          <w:lang w:val="en-US" w:eastAsia="zh-CN" w:bidi="ar-SA"/>
        </w:rPr>
      </w:pPr>
      <w:r>
        <w:rPr>
          <w:rFonts w:hint="eastAsia" w:ascii="Times New Roman" w:hAnsi="Times New Roman" w:eastAsia="方正仿宋_GBK" w:cs="Times New Roman"/>
          <w:bCs/>
          <w:kern w:val="2"/>
          <w:sz w:val="32"/>
          <w:szCs w:val="32"/>
          <w:lang w:val="en-US" w:eastAsia="zh-CN" w:bidi="ar-SA"/>
        </w:rPr>
        <w:t>1.2 设计净雨计算</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bCs/>
          <w:kern w:val="2"/>
          <w:sz w:val="32"/>
          <w:szCs w:val="32"/>
          <w:lang w:val="en-US" w:eastAsia="zh-CN" w:bidi="ar-SA"/>
        </w:rPr>
      </w:pPr>
      <w:r>
        <w:rPr>
          <w:rFonts w:hint="eastAsia" w:ascii="Times New Roman" w:hAnsi="Times New Roman" w:eastAsia="方正仿宋_GBK" w:cs="Times New Roman"/>
          <w:bCs/>
          <w:kern w:val="2"/>
          <w:sz w:val="32"/>
          <w:szCs w:val="32"/>
          <w:lang w:val="en-US" w:eastAsia="zh-CN" w:bidi="ar-SA"/>
        </w:rPr>
        <w:t>依据綦江干流五岔站以上流域降雨径流P—Pa—R相关图（见图7.3—1），当降雨为147mm时，净雨（径流深）最大为104.5mm(Pa=40mm)。因此流域20年一遇设计净雨量为104.5mm。</w:t>
      </w:r>
    </w:p>
    <w:p>
      <w:pPr>
        <w:pStyle w:val="6"/>
        <w:spacing w:line="360" w:lineRule="auto"/>
        <w:ind w:firstLine="0" w:firstLineChars="0"/>
        <w:jc w:val="center"/>
        <w:rPr>
          <w:rFonts w:hint="eastAsia" w:ascii="宋体" w:hAnsi="宋体"/>
          <w:sz w:val="32"/>
        </w:rPr>
      </w:pPr>
      <w:r>
        <w:rPr>
          <w:rFonts w:hint="eastAsia" w:ascii="宋体" w:hAnsi="宋体"/>
          <w:sz w:val="32"/>
        </w:rPr>
        <w:drawing>
          <wp:inline distT="0" distB="0" distL="114300" distR="114300">
            <wp:extent cx="3221990" cy="2403475"/>
            <wp:effectExtent l="0" t="0" r="8890" b="4445"/>
            <wp:docPr id="219" name="图片 360" descr="五岔PPAR"/>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9" name="图片 360" descr="五岔PPAR"/>
                    <pic:cNvPicPr>
                      <a:picLocks noChangeAspect="true"/>
                    </pic:cNvPicPr>
                  </pic:nvPicPr>
                  <pic:blipFill>
                    <a:blip r:embed="rId259"/>
                    <a:stretch>
                      <a:fillRect/>
                    </a:stretch>
                  </pic:blipFill>
                  <pic:spPr>
                    <a:xfrm>
                      <a:off x="0" y="0"/>
                      <a:ext cx="3221990" cy="2403475"/>
                    </a:xfrm>
                    <a:prstGeom prst="rect">
                      <a:avLst/>
                    </a:prstGeom>
                    <a:noFill/>
                    <a:ln>
                      <a:noFill/>
                    </a:ln>
                  </pic:spPr>
                </pic:pic>
              </a:graphicData>
            </a:graphic>
          </wp:inline>
        </w:drawing>
      </w:r>
    </w:p>
    <w:p>
      <w:pPr>
        <w:pStyle w:val="2886"/>
        <w:rPr>
          <w:rFonts w:hint="eastAsia"/>
        </w:rPr>
      </w:pPr>
      <w:r>
        <w:rPr>
          <w:rFonts w:hint="default" w:ascii="Times New Roman" w:hAnsi="Times New Roman" w:cs="Times New Roman"/>
        </w:rPr>
        <w:t>图7.3</w:t>
      </w:r>
      <w:r>
        <w:rPr>
          <w:rFonts w:hint="default" w:ascii="Times New Roman" w:hAnsi="Times New Roman" w:cs="Times New Roman"/>
          <w:lang w:eastAsia="zh-CN"/>
        </w:rPr>
        <w:t>—</w:t>
      </w:r>
      <w:r>
        <w:rPr>
          <w:rFonts w:hint="default" w:ascii="Times New Roman" w:hAnsi="Times New Roman" w:cs="Times New Roman"/>
        </w:rPr>
        <w:t>1   綦江干流五岔站以上流域P</w:t>
      </w:r>
      <w:r>
        <w:rPr>
          <w:rFonts w:hint="default" w:ascii="Times New Roman" w:hAnsi="Times New Roman" w:cs="Times New Roman"/>
          <w:lang w:eastAsia="zh-CN"/>
        </w:rPr>
        <w:t>—</w:t>
      </w:r>
      <w:r>
        <w:rPr>
          <w:rFonts w:hint="default" w:ascii="Times New Roman" w:hAnsi="Times New Roman" w:cs="Times New Roman"/>
        </w:rPr>
        <w:t>Pa</w:t>
      </w:r>
      <w:r>
        <w:rPr>
          <w:rFonts w:hint="default" w:ascii="Times New Roman" w:hAnsi="Times New Roman" w:cs="Times New Roman"/>
          <w:lang w:eastAsia="zh-CN"/>
        </w:rPr>
        <w:t>—</w:t>
      </w:r>
      <w:r>
        <w:rPr>
          <w:rFonts w:hint="default" w:ascii="Times New Roman" w:hAnsi="Times New Roman" w:cs="Times New Roman"/>
        </w:rPr>
        <w:t>R</w:t>
      </w:r>
      <w:r>
        <w:rPr>
          <w:rFonts w:hint="eastAsia"/>
        </w:rPr>
        <w:t>相关图</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bCs/>
          <w:kern w:val="2"/>
          <w:sz w:val="32"/>
          <w:szCs w:val="32"/>
          <w:lang w:val="en-US" w:eastAsia="zh-CN" w:bidi="ar-SA"/>
        </w:rPr>
      </w:pPr>
      <w:r>
        <w:rPr>
          <w:rFonts w:hint="eastAsia" w:ascii="Times New Roman" w:hAnsi="Times New Roman" w:eastAsia="方正仿宋_GBK" w:cs="Times New Roman"/>
          <w:bCs/>
          <w:kern w:val="2"/>
          <w:sz w:val="32"/>
          <w:szCs w:val="32"/>
          <w:lang w:val="en-US" w:eastAsia="zh-CN" w:bidi="ar-SA"/>
        </w:rPr>
        <w:t>考虑綦江城区街道、楼房、道路等不透水建筑物占比高，径流系数大于五岔站以上流域，经综合分析，綦江城区20年一遇设计净雨量为114.5mm。</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bCs/>
          <w:kern w:val="2"/>
          <w:sz w:val="32"/>
          <w:szCs w:val="32"/>
          <w:lang w:val="en-US" w:eastAsia="zh-CN" w:bidi="ar-SA"/>
        </w:rPr>
      </w:pPr>
      <w:r>
        <w:rPr>
          <w:rFonts w:hint="eastAsia" w:ascii="Times New Roman" w:hAnsi="Times New Roman" w:eastAsia="方正仿宋_GBK" w:cs="Times New Roman"/>
          <w:bCs/>
          <w:kern w:val="2"/>
          <w:sz w:val="32"/>
          <w:szCs w:val="32"/>
          <w:lang w:val="en-US" w:eastAsia="zh-CN" w:bidi="ar-SA"/>
        </w:rPr>
        <w:t>2</w:t>
      </w:r>
      <w:r>
        <w:rPr>
          <w:rFonts w:hint="eastAsia" w:ascii="Times New Roman" w:hAnsi="Times New Roman" w:eastAsia="方正仿宋_GBK" w:cs="Times New Roman"/>
          <w:sz w:val="32"/>
          <w:szCs w:val="32"/>
          <w:lang w:val="en-US" w:eastAsia="zh-CN"/>
        </w:rPr>
        <w:t>．</w:t>
      </w:r>
      <w:r>
        <w:rPr>
          <w:rFonts w:hint="eastAsia" w:ascii="Times New Roman" w:hAnsi="Times New Roman" w:eastAsia="方正仿宋_GBK" w:cs="Times New Roman"/>
          <w:bCs/>
          <w:kern w:val="2"/>
          <w:sz w:val="32"/>
          <w:szCs w:val="32"/>
          <w:lang w:val="en-US" w:eastAsia="zh-CN" w:bidi="ar-SA"/>
        </w:rPr>
        <w:t>排涝流量计算</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hAnsi="Times New Roman"/>
          <w:sz w:val="32"/>
          <w:szCs w:val="32"/>
        </w:rPr>
      </w:pPr>
      <w:r>
        <w:rPr>
          <w:rFonts w:hint="eastAsia" w:ascii="Times New Roman" w:hAnsi="Times New Roman" w:eastAsia="方正仿宋_GBK" w:cs="Times New Roman"/>
          <w:bCs/>
          <w:kern w:val="2"/>
          <w:sz w:val="32"/>
          <w:szCs w:val="32"/>
          <w:lang w:val="en-US" w:eastAsia="zh-CN" w:bidi="ar-SA"/>
        </w:rPr>
        <w:t>依据不同涝片所拟定的治涝标准及涝区面积内产生的净雨，涝水采用泵站外排。根据各涝片的面积、设计暴雨（考虑径流系数计算设计净雨）、涝水排除时间等，采用平均排除法计算各涝</w:t>
      </w:r>
      <w:r>
        <w:rPr>
          <w:rFonts w:hint="eastAsia" w:ascii="Times New Roman" w:hAnsi="Times New Roman" w:eastAsia="方正仿宋_GBK" w:cs="Times New Roman"/>
          <w:bCs/>
          <w:spacing w:val="-11"/>
          <w:kern w:val="2"/>
          <w:sz w:val="32"/>
          <w:szCs w:val="32"/>
          <w:lang w:val="en-US" w:eastAsia="zh-CN" w:bidi="ar-SA"/>
        </w:rPr>
        <w:t>片的抽排流量（一天按22小时计算），各涝片计算成果见表7.3</w:t>
      </w:r>
      <w:r>
        <w:rPr>
          <w:rFonts w:hint="eastAsia" w:ascii="Times New Roman" w:hAnsi="Times New Roman" w:eastAsia="方正仿宋_GBK" w:cs="Times New Roman"/>
          <w:bCs/>
          <w:kern w:val="2"/>
          <w:sz w:val="32"/>
          <w:szCs w:val="32"/>
          <w:lang w:val="en-US" w:eastAsia="zh-CN" w:bidi="ar-SA"/>
        </w:rPr>
        <w:t>—2。</w:t>
      </w:r>
    </w:p>
    <w:p>
      <w:pPr>
        <w:pStyle w:val="2521"/>
        <w:ind w:firstLine="240"/>
      </w:pPr>
      <w:r>
        <w:rPr>
          <w:rFonts w:hint="default" w:ascii="Times New Roman" w:hAnsi="Times New Roman" w:cs="Times New Roman"/>
        </w:rPr>
        <w:t>表7.3</w:t>
      </w:r>
      <w:r>
        <w:rPr>
          <w:rFonts w:hint="default" w:ascii="Times New Roman" w:hAnsi="Times New Roman" w:cs="Times New Roman"/>
          <w:lang w:eastAsia="zh-CN"/>
        </w:rPr>
        <w:t>—</w:t>
      </w:r>
      <w:r>
        <w:rPr>
          <w:rFonts w:hint="default" w:ascii="Times New Roman" w:hAnsi="Times New Roman" w:cs="Times New Roman"/>
        </w:rPr>
        <w:t>2            綦江干流各涝片抽排流量计算</w:t>
      </w:r>
      <w:r>
        <w:t>成果表</w:t>
      </w:r>
    </w:p>
    <w:tbl>
      <w:tblPr>
        <w:tblStyle w:val="88"/>
        <w:tblW w:w="4996" w:type="pct"/>
        <w:tblInd w:w="0" w:type="dxa"/>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108" w:type="dxa"/>
          <w:bottom w:w="0" w:type="dxa"/>
          <w:right w:w="108" w:type="dxa"/>
        </w:tblCellMar>
      </w:tblPr>
      <w:tblGrid>
        <w:gridCol w:w="959"/>
        <w:gridCol w:w="1062"/>
        <w:gridCol w:w="3203"/>
        <w:gridCol w:w="1912"/>
        <w:gridCol w:w="2144"/>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517" w:type="pct"/>
            <w:noWrap w:val="0"/>
            <w:vAlign w:val="center"/>
          </w:tcPr>
          <w:p>
            <w:pPr>
              <w:spacing w:line="240" w:lineRule="exac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序号</w:t>
            </w:r>
          </w:p>
        </w:tc>
        <w:tc>
          <w:tcPr>
            <w:tcW w:w="572" w:type="pct"/>
            <w:tcBorders>
              <w:right w:val="single" w:color="auto" w:sz="4" w:space="0"/>
            </w:tcBorders>
            <w:noWrap/>
            <w:vAlign w:val="center"/>
          </w:tcPr>
          <w:p>
            <w:pPr>
              <w:spacing w:line="240" w:lineRule="exac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岸别</w:t>
            </w:r>
          </w:p>
        </w:tc>
        <w:tc>
          <w:tcPr>
            <w:tcW w:w="1726" w:type="pct"/>
            <w:tcBorders>
              <w:left w:val="single" w:color="auto" w:sz="4" w:space="0"/>
            </w:tcBorders>
            <w:noWrap w:val="0"/>
            <w:vAlign w:val="center"/>
          </w:tcPr>
          <w:p>
            <w:pPr>
              <w:spacing w:line="240" w:lineRule="exact"/>
              <w:ind w:firstLine="42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涝区名称</w:t>
            </w:r>
          </w:p>
        </w:tc>
        <w:tc>
          <w:tcPr>
            <w:tcW w:w="1030" w:type="pct"/>
            <w:noWrap w:val="0"/>
            <w:vAlign w:val="center"/>
          </w:tcPr>
          <w:p>
            <w:pPr>
              <w:spacing w:line="240" w:lineRule="exac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涝区面积（km</w:t>
            </w:r>
            <w:r>
              <w:rPr>
                <w:rFonts w:hint="eastAsia" w:ascii="楷体_GB2312" w:hAnsi="楷体" w:eastAsia="楷体_GB2312"/>
                <w:bCs/>
                <w:kern w:val="0"/>
                <w:sz w:val="21"/>
                <w:szCs w:val="21"/>
                <w:vertAlign w:val="superscript"/>
              </w:rPr>
              <w:t>2</w:t>
            </w:r>
            <w:r>
              <w:rPr>
                <w:rFonts w:hint="eastAsia" w:ascii="楷体_GB2312" w:hAnsi="楷体" w:eastAsia="楷体_GB2312"/>
                <w:bCs/>
                <w:kern w:val="0"/>
                <w:sz w:val="21"/>
                <w:szCs w:val="21"/>
              </w:rPr>
              <w:t>）</w:t>
            </w:r>
          </w:p>
        </w:tc>
        <w:tc>
          <w:tcPr>
            <w:tcW w:w="1155" w:type="pct"/>
            <w:noWrap w:val="0"/>
            <w:vAlign w:val="center"/>
          </w:tcPr>
          <w:p>
            <w:pPr>
              <w:spacing w:line="240" w:lineRule="exac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抽排流量（m</w:t>
            </w:r>
            <w:r>
              <w:rPr>
                <w:rFonts w:hint="eastAsia" w:ascii="楷体_GB2312" w:hAnsi="楷体" w:eastAsia="楷体_GB2312"/>
                <w:bCs/>
                <w:kern w:val="0"/>
                <w:sz w:val="21"/>
                <w:szCs w:val="21"/>
                <w:vertAlign w:val="superscript"/>
              </w:rPr>
              <w:t>3</w:t>
            </w:r>
            <w:r>
              <w:rPr>
                <w:rFonts w:hint="eastAsia" w:ascii="楷体_GB2312" w:hAnsi="楷体" w:eastAsia="楷体_GB2312"/>
                <w:bCs/>
                <w:kern w:val="0"/>
                <w:sz w:val="21"/>
                <w:szCs w:val="21"/>
              </w:rPr>
              <w:t>/s）</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trPr>
        <w:tc>
          <w:tcPr>
            <w:tcW w:w="517" w:type="pct"/>
            <w:noWrap/>
            <w:vAlign w:val="center"/>
          </w:tcPr>
          <w:p>
            <w:pPr>
              <w:spacing w:line="240" w:lineRule="exact"/>
              <w:ind w:firstLine="0" w:firstLineChars="0"/>
              <w:jc w:val="center"/>
              <w:rPr>
                <w:rFonts w:hint="eastAsia" w:ascii="楷体_GB2312" w:hAnsi="楷体" w:eastAsia="楷体_GB2312"/>
                <w:bCs/>
                <w:kern w:val="0"/>
                <w:sz w:val="21"/>
                <w:szCs w:val="21"/>
              </w:rPr>
            </w:pPr>
            <w:r>
              <w:rPr>
                <w:rFonts w:ascii="楷体_GB2312" w:hAnsi="楷体" w:eastAsia="楷体_GB2312"/>
                <w:bCs/>
                <w:kern w:val="0"/>
                <w:sz w:val="21"/>
                <w:szCs w:val="21"/>
              </w:rPr>
              <w:t>1</w:t>
            </w:r>
          </w:p>
        </w:tc>
        <w:tc>
          <w:tcPr>
            <w:tcW w:w="572" w:type="pct"/>
            <w:tcBorders>
              <w:right w:val="single" w:color="auto" w:sz="4" w:space="0"/>
            </w:tcBorders>
            <w:noWrap w:val="0"/>
            <w:vAlign w:val="center"/>
          </w:tcPr>
          <w:p>
            <w:pPr>
              <w:spacing w:line="240" w:lineRule="exac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左岸</w:t>
            </w:r>
          </w:p>
        </w:tc>
        <w:tc>
          <w:tcPr>
            <w:tcW w:w="1726" w:type="pct"/>
            <w:tcBorders>
              <w:left w:val="single" w:color="auto" w:sz="4" w:space="0"/>
            </w:tcBorders>
            <w:noWrap w:val="0"/>
            <w:vAlign w:val="center"/>
          </w:tcPr>
          <w:p>
            <w:pPr>
              <w:spacing w:line="240" w:lineRule="exac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中国石化</w:t>
            </w:r>
            <w:r>
              <w:rPr>
                <w:rFonts w:hint="eastAsia" w:ascii="楷体_GB2312" w:hAnsi="楷体" w:eastAsia="楷体_GB2312"/>
                <w:bCs/>
                <w:kern w:val="0"/>
                <w:sz w:val="21"/>
                <w:szCs w:val="21"/>
                <w:lang w:eastAsia="zh-CN"/>
              </w:rPr>
              <w:t>—</w:t>
            </w:r>
            <w:r>
              <w:rPr>
                <w:rFonts w:hint="eastAsia" w:ascii="楷体_GB2312" w:hAnsi="楷体" w:eastAsia="楷体_GB2312"/>
                <w:bCs/>
                <w:kern w:val="0"/>
                <w:sz w:val="21"/>
                <w:szCs w:val="21"/>
              </w:rPr>
              <w:t>沱湾大桥片区</w:t>
            </w:r>
          </w:p>
        </w:tc>
        <w:tc>
          <w:tcPr>
            <w:tcW w:w="1030" w:type="pct"/>
            <w:noWrap/>
            <w:vAlign w:val="center"/>
          </w:tcPr>
          <w:p>
            <w:pPr>
              <w:spacing w:line="240" w:lineRule="exac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0.71</w:t>
            </w:r>
          </w:p>
        </w:tc>
        <w:tc>
          <w:tcPr>
            <w:tcW w:w="1155" w:type="pct"/>
            <w:noWrap/>
            <w:vAlign w:val="center"/>
          </w:tcPr>
          <w:p>
            <w:pPr>
              <w:spacing w:line="240" w:lineRule="exact"/>
              <w:ind w:firstLine="0" w:firstLineChars="0"/>
              <w:jc w:val="center"/>
              <w:rPr>
                <w:rFonts w:hint="eastAsia" w:ascii="楷体_GB2312" w:hAnsi="楷体" w:eastAsia="楷体_GB2312"/>
                <w:bCs/>
                <w:kern w:val="0"/>
                <w:sz w:val="21"/>
                <w:szCs w:val="21"/>
                <w:lang w:bidi="ar"/>
              </w:rPr>
            </w:pPr>
            <w:r>
              <w:rPr>
                <w:rFonts w:hint="eastAsia" w:ascii="楷体_GB2312" w:hAnsi="楷体" w:eastAsia="楷体_GB2312"/>
                <w:bCs/>
                <w:kern w:val="0"/>
                <w:sz w:val="21"/>
                <w:szCs w:val="21"/>
                <w:lang w:bidi="ar"/>
              </w:rPr>
              <w:t xml:space="preserve">1.03 </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517" w:type="pct"/>
            <w:noWrap/>
            <w:vAlign w:val="center"/>
          </w:tcPr>
          <w:p>
            <w:pPr>
              <w:spacing w:line="240" w:lineRule="exact"/>
              <w:ind w:firstLine="0" w:firstLineChars="0"/>
              <w:jc w:val="center"/>
              <w:rPr>
                <w:rFonts w:hint="eastAsia" w:ascii="楷体_GB2312" w:hAnsi="楷体" w:eastAsia="楷体_GB2312"/>
                <w:bCs/>
                <w:kern w:val="0"/>
                <w:sz w:val="21"/>
                <w:szCs w:val="21"/>
              </w:rPr>
            </w:pPr>
            <w:r>
              <w:rPr>
                <w:rFonts w:ascii="楷体_GB2312" w:hAnsi="楷体" w:eastAsia="楷体_GB2312"/>
                <w:bCs/>
                <w:kern w:val="0"/>
                <w:sz w:val="21"/>
                <w:szCs w:val="21"/>
              </w:rPr>
              <w:t>2</w:t>
            </w:r>
          </w:p>
        </w:tc>
        <w:tc>
          <w:tcPr>
            <w:tcW w:w="572" w:type="pct"/>
            <w:tcBorders>
              <w:right w:val="single" w:color="auto" w:sz="4" w:space="0"/>
            </w:tcBorders>
            <w:noWrap w:val="0"/>
            <w:vAlign w:val="center"/>
          </w:tcPr>
          <w:p>
            <w:pPr>
              <w:spacing w:line="240" w:lineRule="exac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左岸</w:t>
            </w:r>
          </w:p>
        </w:tc>
        <w:tc>
          <w:tcPr>
            <w:tcW w:w="1726" w:type="pct"/>
            <w:tcBorders>
              <w:left w:val="single" w:color="auto" w:sz="4" w:space="0"/>
            </w:tcBorders>
            <w:noWrap w:val="0"/>
            <w:vAlign w:val="center"/>
          </w:tcPr>
          <w:p>
            <w:pPr>
              <w:spacing w:line="240" w:lineRule="exac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滨江路至下北街片区</w:t>
            </w:r>
          </w:p>
        </w:tc>
        <w:tc>
          <w:tcPr>
            <w:tcW w:w="1030" w:type="pct"/>
            <w:noWrap/>
            <w:vAlign w:val="center"/>
          </w:tcPr>
          <w:p>
            <w:pPr>
              <w:spacing w:line="240" w:lineRule="exac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0.50</w:t>
            </w:r>
          </w:p>
        </w:tc>
        <w:tc>
          <w:tcPr>
            <w:tcW w:w="1155" w:type="pct"/>
            <w:noWrap/>
            <w:vAlign w:val="center"/>
          </w:tcPr>
          <w:p>
            <w:pPr>
              <w:spacing w:line="240" w:lineRule="exact"/>
              <w:ind w:firstLine="0" w:firstLineChars="0"/>
              <w:jc w:val="center"/>
              <w:rPr>
                <w:rFonts w:hint="eastAsia" w:ascii="楷体_GB2312" w:hAnsi="楷体" w:eastAsia="楷体_GB2312"/>
                <w:bCs/>
                <w:kern w:val="0"/>
                <w:sz w:val="21"/>
                <w:szCs w:val="21"/>
                <w:lang w:bidi="ar"/>
              </w:rPr>
            </w:pPr>
            <w:r>
              <w:rPr>
                <w:rFonts w:hint="eastAsia" w:ascii="楷体_GB2312" w:hAnsi="楷体" w:eastAsia="楷体_GB2312"/>
                <w:bCs/>
                <w:kern w:val="0"/>
                <w:sz w:val="21"/>
                <w:szCs w:val="21"/>
                <w:lang w:bidi="ar"/>
              </w:rPr>
              <w:t xml:space="preserve">0.71 </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trPr>
        <w:tc>
          <w:tcPr>
            <w:tcW w:w="2815" w:type="pct"/>
            <w:gridSpan w:val="3"/>
            <w:noWrap/>
            <w:vAlign w:val="center"/>
          </w:tcPr>
          <w:p>
            <w:pPr>
              <w:spacing w:line="240" w:lineRule="exact"/>
              <w:ind w:firstLine="0" w:firstLineChars="0"/>
              <w:jc w:val="center"/>
              <w:rPr>
                <w:rFonts w:hint="eastAsia" w:ascii="楷体_GB2312" w:hAnsi="楷体" w:eastAsia="楷体_GB2312"/>
                <w:bCs/>
                <w:kern w:val="0"/>
                <w:sz w:val="21"/>
                <w:szCs w:val="21"/>
              </w:rPr>
            </w:pPr>
            <w:r>
              <w:rPr>
                <w:rFonts w:hint="eastAsia" w:ascii="楷体_GB2312" w:hAnsi="楷体" w:eastAsia="楷体_GB2312"/>
                <w:bCs/>
                <w:kern w:val="0"/>
                <w:sz w:val="21"/>
                <w:szCs w:val="21"/>
              </w:rPr>
              <w:t>合计</w:t>
            </w:r>
          </w:p>
        </w:tc>
        <w:tc>
          <w:tcPr>
            <w:tcW w:w="1030" w:type="pct"/>
            <w:noWrap/>
            <w:vAlign w:val="center"/>
          </w:tcPr>
          <w:p>
            <w:pPr>
              <w:spacing w:line="240" w:lineRule="exact"/>
              <w:ind w:firstLine="0" w:firstLineChars="0"/>
              <w:jc w:val="center"/>
              <w:rPr>
                <w:rFonts w:ascii="楷体_GB2312" w:hAnsi="楷体" w:eastAsia="楷体_GB2312"/>
                <w:bCs/>
                <w:kern w:val="0"/>
                <w:sz w:val="21"/>
                <w:szCs w:val="21"/>
              </w:rPr>
            </w:pPr>
            <w:r>
              <w:rPr>
                <w:rFonts w:hint="eastAsia" w:ascii="楷体_GB2312" w:hAnsi="楷体" w:eastAsia="楷体_GB2312"/>
                <w:bCs/>
                <w:kern w:val="0"/>
                <w:sz w:val="21"/>
                <w:szCs w:val="21"/>
              </w:rPr>
              <w:t>1.21</w:t>
            </w:r>
          </w:p>
        </w:tc>
        <w:tc>
          <w:tcPr>
            <w:tcW w:w="1155" w:type="pct"/>
            <w:noWrap/>
            <w:vAlign w:val="center"/>
          </w:tcPr>
          <w:p>
            <w:pPr>
              <w:spacing w:line="240" w:lineRule="exact"/>
              <w:ind w:firstLine="0" w:firstLineChars="0"/>
              <w:jc w:val="center"/>
              <w:rPr>
                <w:rFonts w:ascii="楷体_GB2312" w:hAnsi="楷体" w:eastAsia="楷体_GB2312"/>
                <w:bCs/>
                <w:kern w:val="0"/>
                <w:sz w:val="21"/>
                <w:szCs w:val="21"/>
              </w:rPr>
            </w:pPr>
            <w:r>
              <w:rPr>
                <w:rFonts w:hint="eastAsia" w:ascii="楷体_GB2312" w:hAnsi="楷体" w:eastAsia="楷体_GB2312"/>
                <w:bCs/>
                <w:kern w:val="0"/>
                <w:sz w:val="21"/>
                <w:szCs w:val="21"/>
              </w:rPr>
              <w:t>1.74</w:t>
            </w:r>
          </w:p>
        </w:tc>
      </w:tr>
    </w:tbl>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方正楷体_GBK" w:hAnsi="方正楷体_GBK" w:eastAsia="方正楷体_GBK" w:cs="方正楷体_GBK"/>
          <w:bCs/>
          <w:kern w:val="2"/>
          <w:sz w:val="32"/>
          <w:szCs w:val="32"/>
          <w:lang w:val="en-US" w:eastAsia="zh-CN" w:bidi="ar-SA"/>
        </w:rPr>
      </w:pPr>
      <w:r>
        <w:rPr>
          <w:rFonts w:hint="eastAsia" w:ascii="方正楷体_GBK" w:hAnsi="方正楷体_GBK" w:eastAsia="方正楷体_GBK" w:cs="方正楷体_GBK"/>
          <w:bCs/>
          <w:kern w:val="2"/>
          <w:sz w:val="32"/>
          <w:szCs w:val="32"/>
          <w:lang w:val="en-US" w:eastAsia="zh-CN" w:bidi="ar-SA"/>
        </w:rPr>
        <w:t>（四）治涝规划布局</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bCs/>
          <w:kern w:val="2"/>
          <w:sz w:val="32"/>
          <w:szCs w:val="32"/>
          <w:lang w:val="en-US" w:eastAsia="zh-CN" w:bidi="ar-SA"/>
        </w:rPr>
      </w:pPr>
      <w:r>
        <w:rPr>
          <w:rFonts w:hint="eastAsia" w:ascii="Times New Roman" w:hAnsi="Times New Roman" w:eastAsia="方正仿宋_GBK" w:cs="Times New Roman"/>
          <w:bCs/>
          <w:kern w:val="2"/>
          <w:sz w:val="32"/>
          <w:szCs w:val="32"/>
          <w:lang w:val="en-US" w:eastAsia="zh-CN" w:bidi="ar-SA"/>
        </w:rPr>
        <w:t>涝区治理以排水沟渠自排为主，水系自排与泵站抽排相结合、工程与非工程措施相结合的方式达到各区域治涝标准。</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bCs/>
          <w:kern w:val="2"/>
          <w:sz w:val="32"/>
          <w:szCs w:val="32"/>
          <w:lang w:val="en-US" w:eastAsia="zh-CN" w:bidi="ar-SA"/>
        </w:rPr>
      </w:pPr>
      <w:r>
        <w:rPr>
          <w:rFonts w:hint="eastAsia" w:ascii="Times New Roman" w:hAnsi="Times New Roman" w:eastAsia="方正仿宋_GBK" w:cs="Times New Roman"/>
          <w:bCs/>
          <w:kern w:val="2"/>
          <w:sz w:val="32"/>
          <w:szCs w:val="32"/>
          <w:lang w:val="en-US" w:eastAsia="zh-CN" w:bidi="ar-SA"/>
        </w:rPr>
        <w:t>规划遵循“渗、滞、蓄、净、用、排”理念，加快推进“韧性城市”建设，构建山水园林交错的城市生态体系，打造綦江沿岸湿地公园漫步系统和城区周边森林屏障景观。</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方正楷体_GBK" w:hAnsi="方正楷体_GBK" w:eastAsia="方正楷体_GBK" w:cs="方正楷体_GBK"/>
          <w:bCs/>
          <w:kern w:val="2"/>
          <w:sz w:val="32"/>
          <w:szCs w:val="32"/>
          <w:lang w:val="en-US" w:eastAsia="zh-CN" w:bidi="ar-SA"/>
        </w:rPr>
      </w:pPr>
      <w:r>
        <w:rPr>
          <w:rFonts w:hint="eastAsia" w:ascii="方正楷体_GBK" w:hAnsi="方正楷体_GBK" w:eastAsia="方正楷体_GBK" w:cs="方正楷体_GBK"/>
          <w:bCs/>
          <w:kern w:val="2"/>
          <w:sz w:val="32"/>
          <w:szCs w:val="32"/>
          <w:lang w:val="en-US" w:eastAsia="zh-CN" w:bidi="ar-SA"/>
        </w:rPr>
        <w:t>（五）治涝工程规划</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bCs/>
          <w:kern w:val="2"/>
          <w:sz w:val="32"/>
          <w:szCs w:val="32"/>
          <w:lang w:val="en-US" w:eastAsia="zh-CN" w:bidi="ar-SA"/>
        </w:rPr>
      </w:pPr>
      <w:r>
        <w:rPr>
          <w:rFonts w:hint="eastAsia" w:ascii="Times New Roman" w:hAnsi="Times New Roman" w:eastAsia="方正仿宋_GBK" w:cs="Times New Roman"/>
          <w:bCs/>
          <w:kern w:val="2"/>
          <w:sz w:val="32"/>
          <w:szCs w:val="32"/>
          <w:lang w:val="en-US" w:eastAsia="zh-CN" w:bidi="ar-SA"/>
        </w:rPr>
        <w:t>针对沿江堤防加高引起的排涝问题以及现有市政设施抵御洪灾能力不足等问题，在城市建设和沿江设施补短板中融入韧性城市理念，整治排水防涝设施，完善城市供水、园林绿化、污水、环卫、电力、燃气、通信等设施，统筹城市防洪排涝与生命线工程建设，体现绿色化、智能化，增强沿江设施防洪抗灾能力。</w:t>
      </w:r>
    </w:p>
    <w:p>
      <w:pPr>
        <w:pStyle w:val="2260"/>
        <w:keepNext w:val="0"/>
        <w:keepLines w:val="0"/>
        <w:pageBreakBefore w:val="0"/>
        <w:widowControl w:val="0"/>
        <w:kinsoku/>
        <w:wordWrap/>
        <w:overflowPunct/>
        <w:topLinePunct w:val="0"/>
        <w:autoSpaceDE/>
        <w:autoSpaceDN/>
        <w:bidi w:val="0"/>
        <w:adjustRightInd/>
        <w:spacing w:line="560" w:lineRule="exact"/>
        <w:ind w:firstLine="640" w:firstLineChars="200"/>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1</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rPr>
        <w:t>推进海绵城市建设</w:t>
      </w:r>
    </w:p>
    <w:p>
      <w:pPr>
        <w:pStyle w:val="1381"/>
        <w:keepNext w:val="0"/>
        <w:keepLines w:val="0"/>
        <w:pageBreakBefore w:val="0"/>
        <w:widowControl w:val="0"/>
        <w:kinsoku/>
        <w:wordWrap/>
        <w:overflowPunct/>
        <w:topLinePunct w:val="0"/>
        <w:autoSpaceDE/>
        <w:autoSpaceDN/>
        <w:bidi w:val="0"/>
        <w:adjustRightInd/>
        <w:spacing w:line="560" w:lineRule="exact"/>
        <w:ind w:firstLine="640" w:firstLineChars="200"/>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结合城市更新增绿留白，在城市公园、绿地、建筑、道路、广场等新建改建项目中，因地制宜建设屋顶绿化、植草沟、干湿塘、旱溪、下沉式绿地、地下调蓄池等设施，整体提升城市对雨水的蓄滞、净化能力。加强城市雨水利用设施建设，将雨水纳入城市水资源配置，雨季蓄水、旱季用水。推广城市透水铺装，建设雨水下渗设施。</w:t>
      </w:r>
    </w:p>
    <w:p>
      <w:pPr>
        <w:pStyle w:val="2260"/>
        <w:keepNext w:val="0"/>
        <w:keepLines w:val="0"/>
        <w:pageBreakBefore w:val="0"/>
        <w:widowControl w:val="0"/>
        <w:kinsoku/>
        <w:wordWrap/>
        <w:overflowPunct/>
        <w:topLinePunct w:val="0"/>
        <w:autoSpaceDE/>
        <w:autoSpaceDN/>
        <w:bidi w:val="0"/>
        <w:adjustRightInd/>
        <w:spacing w:line="560" w:lineRule="exact"/>
        <w:ind w:firstLine="640" w:firstLineChars="200"/>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2.</w:t>
      </w:r>
      <w:r>
        <w:rPr>
          <w:rFonts w:hint="default" w:ascii="Times New Roman" w:hAnsi="Times New Roman" w:eastAsia="方正仿宋_GBK" w:cs="Times New Roman"/>
          <w:sz w:val="32"/>
          <w:szCs w:val="32"/>
        </w:rPr>
        <w:t>整治排水防涝设施</w:t>
      </w:r>
    </w:p>
    <w:p>
      <w:pPr>
        <w:pStyle w:val="1381"/>
        <w:keepNext w:val="0"/>
        <w:keepLines w:val="0"/>
        <w:pageBreakBefore w:val="0"/>
        <w:widowControl w:val="0"/>
        <w:kinsoku/>
        <w:wordWrap/>
        <w:overflowPunct/>
        <w:topLinePunct w:val="0"/>
        <w:autoSpaceDE/>
        <w:autoSpaceDN/>
        <w:bidi w:val="0"/>
        <w:adjustRightInd/>
        <w:spacing w:line="560" w:lineRule="exact"/>
        <w:ind w:firstLine="640" w:firstLineChars="200"/>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精细化排查沿江排水管网，清理淤积管涵，修复破损管道。优先改造沿江存在倒灌风险的雨水排口，改扩建过流能力不足的雨水管网。排查沿江下穿道、隧道涵洞、低洼建筑与小区等易涝风险区，系统推进易涝区域整治。</w:t>
      </w:r>
    </w:p>
    <w:p>
      <w:pPr>
        <w:pStyle w:val="2260"/>
        <w:keepNext w:val="0"/>
        <w:keepLines w:val="0"/>
        <w:pageBreakBefore w:val="0"/>
        <w:widowControl w:val="0"/>
        <w:kinsoku/>
        <w:wordWrap/>
        <w:overflowPunct/>
        <w:topLinePunct w:val="0"/>
        <w:autoSpaceDE/>
        <w:autoSpaceDN/>
        <w:bidi w:val="0"/>
        <w:adjustRightInd/>
        <w:spacing w:line="560" w:lineRule="exact"/>
        <w:ind w:firstLine="640" w:firstLineChars="200"/>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3</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rPr>
        <w:t>新增排涝设施</w:t>
      </w:r>
    </w:p>
    <w:p>
      <w:pPr>
        <w:pStyle w:val="1381"/>
        <w:keepNext w:val="0"/>
        <w:keepLines w:val="0"/>
        <w:pageBreakBefore w:val="0"/>
        <w:widowControl w:val="0"/>
        <w:kinsoku/>
        <w:wordWrap/>
        <w:overflowPunct/>
        <w:topLinePunct w:val="0"/>
        <w:autoSpaceDE/>
        <w:autoSpaceDN/>
        <w:bidi w:val="0"/>
        <w:adjustRightInd/>
        <w:spacing w:line="560" w:lineRule="exact"/>
        <w:ind w:firstLine="640" w:firstLineChars="200"/>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针对建堤引起的排涝问题，规划新建泵站2座，总设计抽排流量1.74m</w:t>
      </w:r>
      <w:r>
        <w:rPr>
          <w:rFonts w:hint="default" w:ascii="Times New Roman" w:hAnsi="Times New Roman" w:eastAsia="方正仿宋_GBK" w:cs="Times New Roman"/>
          <w:sz w:val="32"/>
          <w:szCs w:val="32"/>
          <w:vertAlign w:val="superscript"/>
        </w:rPr>
        <w:t>3</w:t>
      </w:r>
      <w:r>
        <w:rPr>
          <w:rFonts w:hint="default" w:ascii="Times New Roman" w:hAnsi="Times New Roman" w:eastAsia="方正仿宋_GBK" w:cs="Times New Roman"/>
          <w:sz w:val="32"/>
          <w:szCs w:val="32"/>
        </w:rPr>
        <w:t>/s。各涝片排涝流量见表7.</w:t>
      </w:r>
      <w:r>
        <w:rPr>
          <w:rFonts w:hint="eastAsia" w:ascii="Times New Roman" w:hAnsi="Times New Roman" w:eastAsia="方正仿宋_GBK" w:cs="Times New Roman"/>
          <w:sz w:val="32"/>
          <w:szCs w:val="32"/>
          <w:lang w:val="en-US" w:eastAsia="zh-CN"/>
        </w:rPr>
        <w:t>3</w:t>
      </w:r>
      <w:r>
        <w:rPr>
          <w:rFonts w:hint="eastAsia" w:ascii="Times New Roman" w:hAnsi="Times New Roman" w:eastAsia="方正仿宋_GBK" w:cs="Times New Roman"/>
          <w:sz w:val="32"/>
          <w:szCs w:val="32"/>
          <w:lang w:eastAsia="zh-CN"/>
        </w:rPr>
        <w:t>—</w:t>
      </w:r>
      <w:r>
        <w:rPr>
          <w:rFonts w:hint="default" w:ascii="Times New Roman" w:hAnsi="Times New Roman" w:eastAsia="方正仿宋_GBK" w:cs="Times New Roman"/>
          <w:sz w:val="32"/>
          <w:szCs w:val="32"/>
        </w:rPr>
        <w:t>2。</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方正楷体_GBK" w:hAnsi="方正楷体_GBK" w:eastAsia="方正楷体_GBK" w:cs="方正楷体_GBK"/>
          <w:bCs/>
          <w:kern w:val="2"/>
          <w:sz w:val="32"/>
          <w:szCs w:val="32"/>
          <w:lang w:val="en-US" w:eastAsia="zh-CN" w:bidi="ar-SA"/>
        </w:rPr>
      </w:pPr>
      <w:r>
        <w:rPr>
          <w:rFonts w:hint="eastAsia" w:ascii="方正楷体_GBK" w:hAnsi="方正楷体_GBK" w:eastAsia="方正楷体_GBK" w:cs="方正楷体_GBK"/>
          <w:bCs/>
          <w:kern w:val="2"/>
          <w:sz w:val="32"/>
          <w:szCs w:val="32"/>
          <w:lang w:val="en-US" w:eastAsia="zh-CN" w:bidi="ar-SA"/>
        </w:rPr>
        <w:t>（六）治涝非工程措施</w:t>
      </w:r>
    </w:p>
    <w:p>
      <w:pPr>
        <w:pStyle w:val="2260"/>
        <w:keepNext w:val="0"/>
        <w:keepLines w:val="0"/>
        <w:pageBreakBefore w:val="0"/>
        <w:widowControl w:val="0"/>
        <w:kinsoku/>
        <w:wordWrap/>
        <w:overflowPunct/>
        <w:topLinePunct w:val="0"/>
        <w:autoSpaceDE/>
        <w:autoSpaceDN/>
        <w:bidi w:val="0"/>
        <w:adjustRightInd/>
        <w:spacing w:line="560" w:lineRule="exact"/>
        <w:ind w:firstLine="640" w:firstLineChars="200"/>
        <w:rPr>
          <w:rFonts w:hint="default"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1．完善排涝应急预案</w:t>
      </w:r>
    </w:p>
    <w:p>
      <w:pPr>
        <w:pStyle w:val="2260"/>
        <w:keepNext w:val="0"/>
        <w:keepLines w:val="0"/>
        <w:pageBreakBefore w:val="0"/>
        <w:widowControl w:val="0"/>
        <w:kinsoku/>
        <w:wordWrap/>
        <w:overflowPunct/>
        <w:topLinePunct w:val="0"/>
        <w:autoSpaceDE/>
        <w:autoSpaceDN/>
        <w:bidi w:val="0"/>
        <w:adjustRightInd/>
        <w:spacing w:line="560" w:lineRule="exact"/>
        <w:ind w:firstLine="640" w:firstLineChars="200"/>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优化完善涵盖组织体系、预警预防、应急响应、灾后处理等内容的排涝应急预案，明确部门职责任务、应急响应启动条件和响应措施、灾后恢复方案等方面内容，指导各级各部门组织应急抢险和灾后恢复。</w:t>
      </w:r>
    </w:p>
    <w:p>
      <w:pPr>
        <w:pStyle w:val="2260"/>
        <w:keepNext w:val="0"/>
        <w:keepLines w:val="0"/>
        <w:pageBreakBefore w:val="0"/>
        <w:widowControl w:val="0"/>
        <w:kinsoku/>
        <w:wordWrap/>
        <w:overflowPunct/>
        <w:topLinePunct w:val="0"/>
        <w:autoSpaceDE/>
        <w:autoSpaceDN/>
        <w:bidi w:val="0"/>
        <w:adjustRightInd/>
        <w:spacing w:line="560" w:lineRule="exact"/>
        <w:ind w:firstLine="640" w:firstLineChars="200"/>
        <w:rPr>
          <w:rFonts w:hint="default"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2．强化监测预警和应急处置</w:t>
      </w:r>
    </w:p>
    <w:p>
      <w:pPr>
        <w:pStyle w:val="2260"/>
        <w:keepNext w:val="0"/>
        <w:keepLines w:val="0"/>
        <w:pageBreakBefore w:val="0"/>
        <w:widowControl w:val="0"/>
        <w:kinsoku/>
        <w:wordWrap/>
        <w:overflowPunct/>
        <w:topLinePunct w:val="0"/>
        <w:autoSpaceDE/>
        <w:autoSpaceDN/>
        <w:bidi w:val="0"/>
        <w:adjustRightInd/>
        <w:spacing w:line="560" w:lineRule="exact"/>
        <w:ind w:firstLine="640" w:firstLineChars="200"/>
        <w:rPr>
          <w:rFonts w:hint="default"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根据涝区实际情况和存在问题，规划</w:t>
      </w:r>
      <w:r>
        <w:rPr>
          <w:rFonts w:hint="default" w:ascii="Times New Roman" w:hAnsi="Times New Roman" w:eastAsia="方正仿宋_GBK" w:cs="Times New Roman"/>
          <w:sz w:val="32"/>
          <w:szCs w:val="32"/>
          <w:lang w:val="en-US" w:eastAsia="zh-CN"/>
        </w:rPr>
        <w:t>采取</w:t>
      </w:r>
      <w:r>
        <w:rPr>
          <w:rFonts w:hint="eastAsia" w:ascii="Times New Roman" w:hAnsi="Times New Roman" w:eastAsia="方正仿宋_GBK" w:cs="Times New Roman"/>
          <w:sz w:val="32"/>
          <w:szCs w:val="32"/>
          <w:lang w:val="en-US" w:eastAsia="zh-CN"/>
        </w:rPr>
        <w:t>预警预报等非工程措施，增强排涝工作的主动性。依据涝区气象预报，做好涝区及影响区域的雨情、水情预报。在暴雨来临前，通过水闸、管网等进行预排，腾出区域的蓄涝容积，为涝水的消纳提供空间，减轻排涝负担。建立排涝预警预报系统，及时预报和发布暴雨公告，争取时间，减少涝灾损失。</w:t>
      </w:r>
    </w:p>
    <w:p>
      <w:pPr>
        <w:pStyle w:val="2260"/>
        <w:keepNext w:val="0"/>
        <w:keepLines w:val="0"/>
        <w:pageBreakBefore w:val="0"/>
        <w:widowControl w:val="0"/>
        <w:kinsoku/>
        <w:wordWrap/>
        <w:overflowPunct/>
        <w:topLinePunct w:val="0"/>
        <w:autoSpaceDE/>
        <w:autoSpaceDN/>
        <w:bidi w:val="0"/>
        <w:adjustRightInd/>
        <w:spacing w:line="560" w:lineRule="exact"/>
        <w:ind w:firstLine="640" w:firstLineChars="200"/>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加强应急处置硬件建设，配齐橡皮艇、应急泵车等排涝应急设备；加大排涝物资储备力度，增加物资储备种类和数量，优化调整储备仓库布局，全面提升应急处置能力。</w:t>
      </w:r>
      <w:bookmarkStart w:id="162" w:name="_Toc18674"/>
    </w:p>
    <w:p>
      <w:pPr>
        <w:pStyle w:val="2260"/>
        <w:keepNext w:val="0"/>
        <w:keepLines w:val="0"/>
        <w:pageBreakBefore w:val="0"/>
        <w:widowControl w:val="0"/>
        <w:kinsoku/>
        <w:wordWrap/>
        <w:overflowPunct/>
        <w:topLinePunct w:val="0"/>
        <w:autoSpaceDE/>
        <w:autoSpaceDN/>
        <w:bidi w:val="0"/>
        <w:adjustRightInd/>
        <w:spacing w:line="560" w:lineRule="exact"/>
        <w:ind w:firstLine="640" w:firstLineChars="200"/>
        <w:rPr>
          <w:rFonts w:hint="eastAsia" w:ascii="方正黑体_GBK" w:hAnsi="方正黑体_GBK" w:eastAsia="方正黑体_GBK" w:cs="方正黑体_GBK"/>
          <w:sz w:val="32"/>
          <w:szCs w:val="32"/>
        </w:rPr>
      </w:pPr>
      <w:r>
        <w:rPr>
          <w:rFonts w:hint="eastAsia" w:ascii="方正黑体_GBK" w:hAnsi="方正黑体_GBK" w:eastAsia="方正黑体_GBK" w:cs="方正黑体_GBK"/>
          <w:sz w:val="32"/>
          <w:szCs w:val="32"/>
          <w:lang w:val="en-US" w:eastAsia="zh-CN"/>
        </w:rPr>
        <w:t>八、</w:t>
      </w:r>
      <w:r>
        <w:rPr>
          <w:rFonts w:hint="eastAsia" w:ascii="方正黑体_GBK" w:hAnsi="方正黑体_GBK" w:eastAsia="方正黑体_GBK" w:cs="方正黑体_GBK"/>
          <w:sz w:val="32"/>
          <w:szCs w:val="32"/>
        </w:rPr>
        <w:t>防洪非工程措施规划</w:t>
      </w:r>
      <w:bookmarkEnd w:id="153"/>
      <w:bookmarkEnd w:id="154"/>
      <w:bookmarkEnd w:id="155"/>
      <w:bookmarkEnd w:id="156"/>
      <w:bookmarkEnd w:id="157"/>
      <w:bookmarkEnd w:id="162"/>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方正仿宋_GBK" w:hAnsi="方正仿宋_GBK" w:eastAsia="方正仿宋_GBK" w:cs="方正仿宋_GBK"/>
          <w:kern w:val="0"/>
          <w:sz w:val="32"/>
          <w:szCs w:val="32"/>
          <w:lang w:val="zh-CN"/>
        </w:rPr>
      </w:pPr>
      <w:bookmarkStart w:id="163" w:name="_Toc250624553"/>
      <w:bookmarkStart w:id="164" w:name="_Toc455998718"/>
      <w:r>
        <w:rPr>
          <w:rFonts w:hint="eastAsia" w:ascii="方正仿宋_GBK" w:hAnsi="方正仿宋_GBK" w:eastAsia="方正仿宋_GBK" w:cs="方正仿宋_GBK"/>
          <w:sz w:val="32"/>
          <w:szCs w:val="32"/>
        </w:rPr>
        <w:t>防洪非工程措施是綦江城区防洪体系的重要组成部分，包括防汛指挥系统、防汛应急预案、管理体制建设等内容。防洪非工程措施与工程措施相结合，利用现代电子信息管理技术及通过法律、行政、经济手段</w:t>
      </w:r>
      <w:r>
        <w:rPr>
          <w:rFonts w:hint="eastAsia" w:ascii="方正仿宋_GBK" w:hAnsi="方正仿宋_GBK" w:eastAsia="方正仿宋_GBK" w:cs="方正仿宋_GBK"/>
          <w:kern w:val="0"/>
          <w:sz w:val="32"/>
          <w:szCs w:val="32"/>
          <w:lang w:val="zh-CN"/>
        </w:rPr>
        <w:t>以及其它手段</w:t>
      </w:r>
      <w:r>
        <w:rPr>
          <w:rFonts w:hint="eastAsia" w:ascii="方正仿宋_GBK" w:hAnsi="方正仿宋_GBK" w:eastAsia="方正仿宋_GBK" w:cs="方正仿宋_GBK"/>
          <w:sz w:val="32"/>
          <w:szCs w:val="32"/>
        </w:rPr>
        <w:t>，及时、准确掌握洪水规律，通过科学调度指挥，弥补工程设施的不足，充分发挥工程设施的作用，将自然灾害造成的损失降到最低，将对防洪抢险起着非常重要的作用。</w:t>
      </w:r>
      <w:r>
        <w:rPr>
          <w:rFonts w:hint="eastAsia" w:ascii="方正仿宋_GBK" w:hAnsi="方正仿宋_GBK" w:eastAsia="方正仿宋_GBK" w:cs="方正仿宋_GBK"/>
          <w:kern w:val="0"/>
          <w:sz w:val="32"/>
          <w:szCs w:val="32"/>
          <w:lang w:val="zh-CN"/>
        </w:rPr>
        <w:t>另外，防洪工程的实施只能防御设计标准内洪水，当发生超标准洪水时，需通过各项非工程措施的运用，最大限度地减少洪涝灾害损失。</w:t>
      </w:r>
    </w:p>
    <w:p>
      <w:pPr>
        <w:keepNext w:val="0"/>
        <w:keepLines w:val="0"/>
        <w:pageBreakBefore w:val="0"/>
        <w:widowControl w:val="0"/>
        <w:kinsoku/>
        <w:wordWrap/>
        <w:overflowPunct/>
        <w:topLinePunct w:val="0"/>
        <w:autoSpaceDE/>
        <w:autoSpaceDN/>
        <w:bidi w:val="0"/>
        <w:adjustRightInd/>
        <w:snapToGrid/>
        <w:ind w:firstLine="640" w:firstLineChars="200"/>
        <w:textAlignment w:val="auto"/>
        <w:outlineLvl w:val="1"/>
        <w:rPr>
          <w:rFonts w:hint="eastAsia" w:ascii="方正楷体_GBK" w:hAnsi="方正楷体_GBK" w:eastAsia="方正楷体_GBK" w:cs="方正楷体_GBK"/>
          <w:bCs/>
          <w:sz w:val="32"/>
        </w:rPr>
      </w:pPr>
      <w:bookmarkStart w:id="165" w:name="_Toc71782094"/>
      <w:bookmarkStart w:id="166" w:name="_Toc55829156"/>
      <w:bookmarkStart w:id="167" w:name="_Toc30197"/>
      <w:bookmarkStart w:id="168" w:name="_Toc35471264"/>
      <w:bookmarkStart w:id="169" w:name="_Toc56952903"/>
      <w:bookmarkStart w:id="170" w:name="_Toc3606"/>
      <w:bookmarkStart w:id="171" w:name="_Toc71665879"/>
      <w:bookmarkStart w:id="172" w:name="_Toc24856"/>
      <w:bookmarkStart w:id="173" w:name="_Toc17991"/>
      <w:bookmarkStart w:id="174" w:name="_Toc67419233"/>
      <w:bookmarkStart w:id="175" w:name="_Toc65154863"/>
      <w:bookmarkStart w:id="176" w:name="_Toc15979"/>
      <w:bookmarkStart w:id="177" w:name="_Toc44254608"/>
      <w:bookmarkStart w:id="178" w:name="_Toc62636752"/>
      <w:r>
        <w:rPr>
          <w:rFonts w:hint="eastAsia" w:ascii="方正楷体_GBK" w:hAnsi="方正楷体_GBK" w:eastAsia="方正楷体_GBK" w:cs="方正楷体_GBK"/>
          <w:bCs/>
          <w:sz w:val="32"/>
          <w:lang w:eastAsia="zh-CN"/>
        </w:rPr>
        <w:t>（</w:t>
      </w:r>
      <w:r>
        <w:rPr>
          <w:rFonts w:hint="eastAsia" w:ascii="方正楷体_GBK" w:hAnsi="方正楷体_GBK" w:eastAsia="方正楷体_GBK" w:cs="方正楷体_GBK"/>
          <w:bCs/>
          <w:sz w:val="32"/>
          <w:lang w:val="en-US" w:eastAsia="zh-CN"/>
        </w:rPr>
        <w:t>一</w:t>
      </w:r>
      <w:r>
        <w:rPr>
          <w:rFonts w:hint="eastAsia" w:ascii="方正楷体_GBK" w:hAnsi="方正楷体_GBK" w:eastAsia="方正楷体_GBK" w:cs="方正楷体_GBK"/>
          <w:bCs/>
          <w:sz w:val="32"/>
          <w:lang w:eastAsia="zh-CN"/>
        </w:rPr>
        <w:t>）</w:t>
      </w:r>
      <w:r>
        <w:rPr>
          <w:rFonts w:hint="eastAsia" w:ascii="方正楷体_GBK" w:hAnsi="方正楷体_GBK" w:eastAsia="方正楷体_GBK" w:cs="方正楷体_GBK"/>
          <w:bCs/>
          <w:sz w:val="32"/>
        </w:rPr>
        <w:t>防汛指挥系统</w:t>
      </w:r>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1</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rPr>
        <w:t>组织指挥体系</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sz w:val="32"/>
          <w:szCs w:val="32"/>
        </w:rPr>
      </w:pPr>
      <w:bookmarkStart w:id="179" w:name="_Toc44254609"/>
      <w:bookmarkStart w:id="180" w:name="_Toc35471265"/>
      <w:r>
        <w:rPr>
          <w:rFonts w:hint="default" w:ascii="Times New Roman" w:hAnsi="Times New Roman" w:eastAsia="方正仿宋_GBK" w:cs="Times New Roman"/>
          <w:sz w:val="32"/>
          <w:szCs w:val="32"/>
        </w:rPr>
        <w:t>依据《中华人民共和国防洪法》，綦江区政府设立防汛抗旱指挥部，负责全区的防汛抗旱工作及水旱灾害突发事件应对工作。各街镇、各相关部门要结合实际情况，设立相应的防汛抗旱组织机构，负责各自辖区及行业内防汛抗旱突发事件的应对工作。</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1.1</w:t>
      </w:r>
      <w:r>
        <w:rPr>
          <w:rFonts w:hint="eastAsia" w:ascii="Times New Roman" w:eastAsia="方正仿宋_GBK" w:cs="Times New Roman"/>
          <w:sz w:val="32"/>
          <w:szCs w:val="32"/>
          <w:lang w:val="en-US" w:eastAsia="zh-CN"/>
        </w:rPr>
        <w:t xml:space="preserve"> </w:t>
      </w:r>
      <w:r>
        <w:rPr>
          <w:rFonts w:hint="default" w:ascii="Times New Roman" w:hAnsi="Times New Roman" w:eastAsia="方正仿宋_GBK" w:cs="Times New Roman"/>
          <w:sz w:val="32"/>
          <w:szCs w:val="32"/>
        </w:rPr>
        <w:t>区防汛抗旱指挥部</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在重庆市綦江区减灾委员会（以下简称区减灾委）统一领导下，綦江区防汛抗旱指挥部（以下简称区防指）负责领导、组织全区范围内的防汛抗旱工作，分管副区长任指挥长，区政府办公室副主任、区应急局局长、区水利局局长、区气象局局长担任副指挥长。</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sz w:val="32"/>
          <w:szCs w:val="32"/>
        </w:rPr>
      </w:pPr>
      <w:r>
        <w:rPr>
          <w:rFonts w:hint="eastAsia" w:ascii="方正仿宋_GBK" w:hAnsi="方正仿宋_GBK" w:eastAsia="方正仿宋_GBK" w:cs="方正仿宋_GBK"/>
          <w:sz w:val="32"/>
          <w:szCs w:val="32"/>
        </w:rPr>
        <w:t>区防指成员单位：区人武部、区委宣传部（区融媒体中心）、区委网信办、区发展改革委、区教委、区经济信息委、区公安局、</w:t>
      </w:r>
      <w:r>
        <w:rPr>
          <w:rFonts w:hint="default" w:ascii="Times New Roman" w:hAnsi="Times New Roman" w:eastAsia="方正仿宋_GBK" w:cs="Times New Roman"/>
          <w:sz w:val="32"/>
          <w:szCs w:val="32"/>
        </w:rPr>
        <w:t>区财政局、区规划自然资源局、区生态环境局、区住房城乡建委、区城市管理局、区交通局、区水利局、区农业农村委、区商务委、区文化旅游委、区卫生健康委、区应急局、区国资委、区气象局、区消防救援支队、武警綦江中队等部门和单位组成。</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区防指职责：贯彻落实党中央、国务院关于防汛抗旱工作的决策部署和市委、市政府、区委、区政府工作要求；统筹协调全区洪旱灾害防治工作，负责全区防汛抗旱工作的领导、协调，组织拟订全区防汛抗旱制度，组织制定防汛抗旱规划、防汛抗旱应急预案；负责防汛抗旱处置工作；组织开展防汛抗旱知识与法律法规、政策的宣传培训及应急预案演练等。</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1.2</w:t>
      </w:r>
      <w:r>
        <w:rPr>
          <w:rFonts w:hint="eastAsia" w:ascii="Times New Roman" w:eastAsia="方正仿宋_GBK" w:cs="Times New Roman"/>
          <w:sz w:val="32"/>
          <w:szCs w:val="32"/>
          <w:lang w:val="en-US" w:eastAsia="zh-CN"/>
        </w:rPr>
        <w:t xml:space="preserve"> </w:t>
      </w:r>
      <w:r>
        <w:rPr>
          <w:rFonts w:hint="default" w:ascii="Times New Roman" w:hAnsi="Times New Roman" w:eastAsia="方正仿宋_GBK" w:cs="Times New Roman"/>
          <w:sz w:val="32"/>
          <w:szCs w:val="32"/>
        </w:rPr>
        <w:t>区防汛抗旱指挥部办公室</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区防指下设綦江区防汛抗旱指挥部办公室（以下简称区防办），办公室设在区应急局，办公室主任由分管负责人担任。区防办负责全区防汛抗旱应急管理和处置日常工作。</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1.3</w:t>
      </w:r>
      <w:r>
        <w:rPr>
          <w:rFonts w:hint="eastAsia" w:ascii="Times New Roman" w:eastAsia="方正仿宋_GBK" w:cs="Times New Roman"/>
          <w:sz w:val="32"/>
          <w:szCs w:val="32"/>
          <w:lang w:val="en-US" w:eastAsia="zh-CN"/>
        </w:rPr>
        <w:t xml:space="preserve"> </w:t>
      </w:r>
      <w:r>
        <w:rPr>
          <w:rFonts w:hint="default" w:ascii="Times New Roman" w:hAnsi="Times New Roman" w:eastAsia="方正仿宋_GBK" w:cs="Times New Roman"/>
          <w:sz w:val="32"/>
          <w:szCs w:val="32"/>
        </w:rPr>
        <w:t>各街镇及管委会</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在区防指的领导下，各街镇及管委会本辖区范围内的防汛抗旱工作由行政负责人指挥并负总责。</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主要职责：负责应急值守，做好本辖区重点河流、水库、塘坝及重要部位和区域的巡防、监控、预警工作，组织受洪水威胁群众的避险转移和灾民安置工作，及时上报水旱灾害信息；组建一支以机关干部、预备役民兵为骨干的不少于100人的应急抢险救援队伍；根据实际情况储备相关物资；适时编修防汛抗旱应急预案；负责完成区防指下达的各项防汛抗旱任务指令。</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1.4</w:t>
      </w:r>
      <w:r>
        <w:rPr>
          <w:rFonts w:hint="eastAsia" w:ascii="Times New Roman" w:eastAsia="方正仿宋_GBK" w:cs="Times New Roman"/>
          <w:sz w:val="32"/>
          <w:szCs w:val="32"/>
          <w:lang w:val="en-US" w:eastAsia="zh-CN"/>
        </w:rPr>
        <w:t xml:space="preserve"> </w:t>
      </w:r>
      <w:r>
        <w:rPr>
          <w:rFonts w:hint="default" w:ascii="Times New Roman" w:hAnsi="Times New Roman" w:eastAsia="方正仿宋_GBK" w:cs="Times New Roman"/>
          <w:sz w:val="32"/>
          <w:szCs w:val="32"/>
        </w:rPr>
        <w:t>防汛抗旱专家库</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区水利局建立防汛抗旱应急专家数据库。根据需要，适时调整专家组人员；区水利局及其内设机构是防汛抗旱应急处置的专业技术机构。</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主要职责：对预警级别以及采取的应急措施提出建议；对防汛应急准备提供咨询；参与制订、修订防汛抗旱应急预案和相关技术方案；对防汛抢险工作进行技术指导；对应急响应的结束、后期评估提出意见；承担区防指交办的其他工作。</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1.5</w:t>
      </w:r>
      <w:r>
        <w:rPr>
          <w:rFonts w:hint="eastAsia" w:ascii="Times New Roman" w:eastAsia="方正仿宋_GBK" w:cs="Times New Roman"/>
          <w:sz w:val="32"/>
          <w:szCs w:val="32"/>
          <w:lang w:val="en-US" w:eastAsia="zh-CN"/>
        </w:rPr>
        <w:t xml:space="preserve"> </w:t>
      </w:r>
      <w:r>
        <w:rPr>
          <w:rFonts w:hint="default" w:ascii="Times New Roman" w:hAnsi="Times New Roman" w:eastAsia="方正仿宋_GBK" w:cs="Times New Roman"/>
          <w:sz w:val="32"/>
          <w:szCs w:val="32"/>
        </w:rPr>
        <w:t>区防指成员单位职责</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区人武部：负责组织协调驻綦部队和民兵参加抢险救灾；指导街镇人武部系统组织民兵开展自然灾害抢险救援工作。完成区防指（区防办）交办的其他工作。</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区委宣传部（区融媒体中心）：负责组织媒体做好上级或区防指研究确定的防汛抗旱政策解读和成效宣传；指导有关部门做好重大洪旱灾害及突发事件信息发布和舆论引导；开展防汛抗旱新闻宣传和社会宣传；区融媒体中心根据区防指和区气象局等部门提供的汛情、旱情、灾情和气象等资料，及时向公众发布气象、汛情、旱情、灾情等信息；负责防汛防旱工作的宣传报道工作。完成区防指（区防办）交办的其他工作。</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区委网信办：负责统筹协调指导防灾减灾救灾网络舆情的引导处置工作。完成区防指（区防办）交办的其他工作。</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区发展改革委：负责指导防汛抗旱工程规划和建设工作；负责防汛抗旱设施建设、重点工程除险加固计划的协调安排和监督管理。完成区防指（区防办）交办的其他工作。</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区教委：负责制定防汛抗旱教育工作方案并协助实施；负责教育系统防洪安保工作。完成区防指（区防办）交办的其他工作。</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区经济信息委：负责全区经信系统的防汛抗旱抢险救灾工作，负责防汛抗旱信息化建设的技术支持，协调防汛抗旱信息的应急发布。负责防汛抗旱抢险救灾的通信保障，督促指导通信行业负责本系统的洪涝灾害应急处置工作，协调防汛抗旱信息的通信资源调度。负责防汛抗旱抢险救灾和灾后电力、燃气的供应和安全工作，督促指导电力和燃气部门（单位）负责本系统的洪涝灾害应急处置工作。完成区防指（区防办）交办的其他工作。</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区公安局：负责防汛抗旱交通秩序维护、治安管理和安全保卫工作，维护受灾地区正常的社会秩序，协助做好被洪水围困群众的撤离工作。完成区防指（区防办）交办的其他工作。</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区民政局：负责支持引导灾害社工等社会力量参与抢险救灾、救灾捐赠等工作，及时将符合条件的受灾人民纳入临时救助或最低生活保障范围；做好因灾遇难人员殡仪工作。完成区防指（区防办）交办的其他工作。</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区财政局：负责统筹中央、市防汛抗旱资金的申报，组织编制全区防汛抗旱和救灾经费预算并及时拨付，加强防汛抗旱资金监管和绩效评价。完成区防指（区防办）交办的其他工作。</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区规划自然资源局：负责全区因暴雨洪灾、洪旱灾害引发的地质灾害的群测群防、监测预警和应急处置工作。完成区防指（区防办）交办的其他工作。</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区生态环境局：负责组织全区因洪旱灾害引发的较大以上环境污染事故和生态破坏事件的环境应急处置，提出防止事态扩大</w:t>
      </w:r>
      <w:r>
        <w:rPr>
          <w:rFonts w:hint="eastAsia" w:ascii="方正仿宋_GBK" w:hAnsi="方正仿宋_GBK" w:eastAsia="方正仿宋_GBK" w:cs="方正仿宋_GBK"/>
          <w:spacing w:val="-11"/>
          <w:sz w:val="32"/>
          <w:szCs w:val="32"/>
        </w:rPr>
        <w:t>和控制污染的要求或建议。完成区防指（区防办）交办的其他工</w:t>
      </w:r>
      <w:r>
        <w:rPr>
          <w:rFonts w:hint="eastAsia" w:ascii="方正仿宋_GBK" w:hAnsi="方正仿宋_GBK" w:eastAsia="方正仿宋_GBK" w:cs="方正仿宋_GBK"/>
          <w:sz w:val="32"/>
          <w:szCs w:val="32"/>
        </w:rPr>
        <w:t>作。</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区住房城乡建委：负责做好已经和在建房屋建筑和市政基础设施工程施工现场的防洪安全工作，负责做好内涝地区的排水和防洪安全工作。完成区防指（区防办）交办的其他工作。</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区城市管理局：负责城市市政设施防洪安全，负责通知供水单位做好受灾群众饮水安全和防洪安全工作，组织、指导洪灾后清淤工作。完成区防指（区防办）交办的其他工作。</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区交通局：负责依法组织、指导开展因灾导致的交通基础设施损毁等突发事件的应急处置工作，为防汛抗旱抢险救灾提供交通运输保障。负责汛期綦江通航河段水上交通安全监督管理工作；根据水情通报，开展预警宣传，必要时实施交通管制；负责辖区内因洪水引发的水上险情的应急处置。协助开展因洪涝灾害造成铁路交通事故及水毁铁路交通设施的应急处置工作；协助联系保障洪旱灾害抢险救援铁路运输需要。完成区防指（区防办）交办的其他工作。</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区水利局：负责落实综合防灾减灾规划相关要求，组织编制洪水干旱灾害防治规划和防护标准并指导实施；承担水情旱情监测预警工作；负责跟踪收集綦河上游站点的水雨情监测和洪水预报情况；负责綦河水文站点的水雨情监测和洪水预报，及时向区防指及有关成员单位提供实时预测、预报信息，向有关街镇及其有关成员单位提供其辖区内站点的实时、预报信息。组织编制重要江河湖泊和重要水工程的防御洪水防御旱灾调度和应急水量调度方案，按程序报批并组织实施；承担防御洪水应急抢险的技术支撑工作。组织实施山洪灾害防治、水利水毁工程修复工作。负责指导、督促相关街镇抓好水库蓄水安全防范工作。完成区防指（区防办）交办的其他工作。</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区农业农村委：负责贯彻落实农业科技防御洪水抗御旱灾方针政策，指导全区农业防汛抗旱防灾减灾技术服务体系，组织维修人员到灾区帮助抢修农业机械，组织农技人员深入灾区，帮助指导群众开展生产自救，恢复农业生产，并做好农业生产受灾和损失分析统计工作，指导灾后恢复重建工作。完成区防指（区防办）交办的其他工作。</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区商务委：负责指导商业企业防洪抢险工作和组织协调商业企业参与抢险救援；组织和协调区内跨地区应急生活物资供应，按程序动用区级储备物资，稳定市场供应；协助组织自然灾害抢险救援相关物资。完成区防指（区防办）交办的其他工作。</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区文化旅游委：督促指导四级旅游景区防洪工作；负责督促涉文、涉体、涉旅生产经营单位进行安全处置和人员撤离。完成区防指（区防办）交办的其他工作。</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区卫生健康委：负责灾区医疗救护和疾病预防控制工作。组织、调配应急队伍抢救负伤人员，组织、指导洪灾后的消杀工作；建立疫情报告制度，并采取有效措施防止和控制传染病暴发性流行；加强生活饮用水卫生知识宣传工作，确保灾区群众饮水安全；及时向灾区提供所需药品和医疗器械。完成区防指（区防办）交办的其他工作。</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区应急局：负责区防办日常工作；配合区财政部门编制全区防汛抗旱和救灾经费预算；组织编制全区防汛抗旱应急预案，组织开展预案演练；按照分级负责原则，指导洪旱灾害应急救援；组织指导较大以上洪旱灾害应急救援工作，并按权限作出决定；承担区应对较大洪旱灾害指挥部工作，协助区委、区政府指定负责同志组织较大洪旱灾害应急处置工作；指导协调相关部门开展水旱灾害防治工作；组织建立应急管理平台，建立监测预警和灾情报告制度，依法统一发布灾情。负责联系市地震局加强对水工程地震观测及预报预警工作，开展水工程地震安全性评价，指导全区重点水工程防震减灾能力建设。负责制定和实施煤炭工业防洪减灾政策，指导全区煤炭工业防洪减灾技术服务体系，帮助指导煤炭工业开展生产自救，恢复生产，并做好煤矿受灾和损失分析统计工作，指导灾后恢复重建工作。完成区防指（区防办）交办的其他工作。</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区国资委：指导、督促、协调所监管国有企业组织开展防汛抗旱工作；监督、指导所监管国有企业开展涉及重点水源、城乡供水、污水处理、江河治理、地方水电、骨干渠系工程、土地储备及开发、火力发电项目等设施防汛安全检查，落实防汛安全措施，统计、核实、上报灾情等；协助开展防汛抗旱与抢险救灾的其他工作。完成区防指（区防办）交办的其他工作。</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区气象局：对影响汛情旱情的中长期天气形势做出分析和预测；汛期及时对全区及重点区域重要天气形势和灾害性天气做出及时预报及滚动监测预报；收集和核实气象灾害类别和等级；组织实施人工增雨作业，向区防办及有关成员单位提供气象信息，及时通报重要灾害天气信息。完成区防指（区防办）交办的其他工作。</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区消防救援支队：负责发挥防汛抗旱应急救援主力军作用，组织消防救援队伍参加洪旱灾害抢险救援，做好人员搜救、被困人员转移等工作。完成区防指（区防办）交办的其他工作。</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武警綦江中队：负责组织武警部队参与水旱灾害应急处置和抢险救灾行动，并配合公安机关维护当地社会秩序；保护重要目标安全，解救、转移和疏散受灾人员；抢救、运送重要物资。完成区防指（区防办）交办的其他工作。</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各街镇：在防洪工作中负责向沿河单位和群众传递洪水汛息；负责执行防汛抗旱指挥部的抢险救灾调度命令；组织沿河单位和群众积极开展防洪抢险救灾工作；负责制定辖区内防洪抢险人员撤离和财产转移的具体方案；组建以街镇工作人员和预备役民兵为基本力量的抢险救灾队伍；负责按照辖区内防洪抢险人员撤离和财产转移具体方案组织沿河单位和群众的安全撤离及财产转移工作。</w:t>
      </w:r>
    </w:p>
    <w:p>
      <w:pPr>
        <w:pStyle w:val="861"/>
      </w:pPr>
      <w:r>
        <w:drawing>
          <wp:inline distT="0" distB="0" distL="114300" distR="114300">
            <wp:extent cx="5759450" cy="5775325"/>
            <wp:effectExtent l="0" t="0" r="12700" b="15875"/>
            <wp:docPr id="220"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0" name="图片 1"/>
                    <pic:cNvPicPr>
                      <a:picLocks noChangeAspect="true"/>
                    </pic:cNvPicPr>
                  </pic:nvPicPr>
                  <pic:blipFill>
                    <a:blip r:embed="rId260"/>
                    <a:srcRect t="1088"/>
                    <a:stretch>
                      <a:fillRect/>
                    </a:stretch>
                  </pic:blipFill>
                  <pic:spPr>
                    <a:xfrm>
                      <a:off x="0" y="0"/>
                      <a:ext cx="5759450" cy="5775325"/>
                    </a:xfrm>
                    <a:prstGeom prst="rect">
                      <a:avLst/>
                    </a:prstGeom>
                    <a:noFill/>
                    <a:ln>
                      <a:noFill/>
                    </a:ln>
                  </pic:spPr>
                </pic:pic>
              </a:graphicData>
            </a:graphic>
          </wp:inline>
        </w:drawing>
      </w:r>
    </w:p>
    <w:p>
      <w:pPr>
        <w:pStyle w:val="2886"/>
        <w:rPr>
          <w:rFonts w:hint="default" w:ascii="Times New Roman" w:hAnsi="Times New Roman" w:cs="Times New Roman"/>
        </w:rPr>
      </w:pPr>
      <w:r>
        <w:rPr>
          <w:rFonts w:hint="default" w:ascii="Times New Roman" w:hAnsi="Times New Roman" w:cs="Times New Roman"/>
        </w:rPr>
        <w:t>图8.1</w:t>
      </w:r>
      <w:r>
        <w:rPr>
          <w:rFonts w:hint="default" w:ascii="Times New Roman" w:hAnsi="Times New Roman" w:cs="Times New Roman"/>
          <w:lang w:eastAsia="zh-CN"/>
        </w:rPr>
        <w:t>—</w:t>
      </w:r>
      <w:r>
        <w:rPr>
          <w:rFonts w:hint="default" w:ascii="Times New Roman" w:hAnsi="Times New Roman" w:cs="Times New Roman"/>
        </w:rPr>
        <w:t>1　　綦江区防汛抗旱应急组织体系框架图</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2</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rPr>
        <w:t>通信与信息保障</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以重庆市防指为中心，形成联接市防指、市政府、市防指各成员单位、区直属水利工程管理单位的一级通信网；以区防指为中心，形成联接市防指、区政府、防指成员单位、区属防洪工程管理单位、各办事处的二级通信网。通信网主要由电信部门的有线电话、移动电话组成，同时辅助广播、电视等其它必要手段，保证雨情、水情、工情、险情的及时传递，保证各种防洪抢险调度指令的及时准确下达。电信部门加强通信系统的维护，确保应急期间的通信畅通，并制定通信系统备用方案。</w:t>
      </w:r>
    </w:p>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汛前各级防汛部门将有关防汛通讯电话、手机等号码统计并打印成册。汛期区防指及电信、移动公司、联通公司等有关部门和单位24h专人值班，保证各种防汛信息的及时上传下达。区防指办公室及时向电信等通信部门通报防汛情况，电信等部门指定专人负责防汛电话的保障工作。紧急情况下，由电信等部门按制订的通讯应急方案采取应急措施，保证通信畅通。电信通信部门成立应急机动通信保障分队，一旦本地或长途干线中断，在抓紧抢修的同时，由应急机动通信保障分队迅速建立卫星或微波等机动通信通道，必要时，可紧急调用或征用其他部门和社会通信设施，确保信息畅通。</w:t>
      </w:r>
    </w:p>
    <w:p>
      <w:pPr>
        <w:pStyle w:val="1795"/>
        <w:keepNext w:val="0"/>
        <w:keepLines w:val="0"/>
        <w:pageBreakBefore w:val="0"/>
        <w:widowControl w:val="0"/>
        <w:kinsoku/>
        <w:wordWrap/>
        <w:overflowPunct/>
        <w:topLinePunct w:val="0"/>
        <w:autoSpaceDE/>
        <w:autoSpaceDN/>
        <w:bidi w:val="0"/>
        <w:adjustRightInd/>
        <w:snapToGrid/>
        <w:spacing w:before="0" w:after="0"/>
        <w:ind w:firstLine="640" w:firstLineChars="200"/>
        <w:textAlignment w:val="auto"/>
        <w:rPr>
          <w:rFonts w:hint="eastAsia" w:ascii="方正楷体_GBK" w:hAnsi="方正楷体_GBK" w:eastAsia="方正楷体_GBK" w:cs="方正楷体_GBK"/>
        </w:rPr>
      </w:pPr>
      <w:bookmarkStart w:id="181" w:name="_Toc6501"/>
      <w:bookmarkStart w:id="182" w:name="_Toc71665880"/>
      <w:bookmarkStart w:id="183" w:name="_Toc30673"/>
      <w:bookmarkStart w:id="184" w:name="_Toc71782095"/>
      <w:r>
        <w:rPr>
          <w:rFonts w:hint="eastAsia" w:ascii="方正楷体_GBK" w:hAnsi="方正楷体_GBK" w:eastAsia="方正楷体_GBK" w:cs="方正楷体_GBK"/>
          <w:lang w:eastAsia="zh-CN"/>
        </w:rPr>
        <w:t>（</w:t>
      </w:r>
      <w:r>
        <w:rPr>
          <w:rFonts w:hint="eastAsia" w:ascii="方正楷体_GBK" w:hAnsi="方正楷体_GBK" w:eastAsia="方正楷体_GBK" w:cs="方正楷体_GBK"/>
          <w:lang w:val="en-US" w:eastAsia="zh-CN"/>
        </w:rPr>
        <w:t>二</w:t>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rPr>
        <w:t>洪水监测预报预警</w:t>
      </w:r>
      <w:bookmarkEnd w:id="181"/>
      <w:bookmarkEnd w:id="182"/>
      <w:bookmarkEnd w:id="183"/>
      <w:bookmarkEnd w:id="184"/>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根据2016年、2020年等大洪水暴露出的问题，重点推进雨水情监测系统、洪水预报预警系统建设。</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1</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rPr>
        <w:t>水文监测</w:t>
      </w:r>
    </w:p>
    <w:p>
      <w:pPr>
        <w:pStyle w:val="2953"/>
        <w:keepNext w:val="0"/>
        <w:keepLines w:val="0"/>
        <w:pageBreakBefore w:val="0"/>
        <w:widowControl w:val="0"/>
        <w:kinsoku/>
        <w:wordWrap/>
        <w:overflowPunct/>
        <w:topLinePunct w:val="0"/>
        <w:autoSpaceDE/>
        <w:autoSpaceDN/>
        <w:bidi w:val="0"/>
        <w:adjustRightInd/>
        <w:snapToGrid/>
        <w:ind w:firstLine="640" w:firstLineChars="200"/>
        <w:textAlignment w:val="auto"/>
      </w:pPr>
      <w:r>
        <w:rPr>
          <w:rFonts w:hint="default" w:ascii="Times New Roman" w:hAnsi="Times New Roman" w:eastAsia="方正仿宋_GBK" w:cs="Times New Roman"/>
          <w:sz w:val="32"/>
          <w:szCs w:val="32"/>
        </w:rPr>
        <w:t>近期对綦江区现有防汛指挥综合平台进行完善，重点加强水文、气象站网建设，充实和更新改造流域内雨量站网、水文站网、气象站网等有关监测系统，推进綦江流域综合监测站网优化布设。为满足控制暴雨的时空变化，求得足够精度的面平均雨量值，探索降水量与径流之间的转化规律，依据《水文站网规划技术导则》（SL34）以及《綦江河流域防洪规划报告（2000</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2020年）》、《綦江航运综合开发规划》（2016年）等有关规划，规划增加万兴、横山、莲石、瀛山、高青、紫荆</w:t>
      </w:r>
      <w:r>
        <w:rPr>
          <w:rFonts w:hint="eastAsia"/>
          <w:sz w:val="32"/>
          <w:szCs w:val="32"/>
        </w:rPr>
        <w:t>、土台、坡</w:t>
      </w:r>
      <w:r>
        <w:rPr>
          <w:rFonts w:hint="eastAsia" w:ascii="Times New Roman" w:hAnsi="Times New Roman" w:eastAsia="方正仿宋_GBK" w:cs="Times New Roman"/>
          <w:sz w:val="32"/>
          <w:szCs w:val="32"/>
        </w:rPr>
        <w:t>渡、水坝塘、狮溪、芭蕉等11个雨量站；在五福、桥溪口、桥河、珠滩、盖石洞、羊蹄洞等6处枢纽处分别布设2处自动水位仪，观测梯级上、下游水位；綦江城区未控区间大，为提高藻渡</w:t>
      </w:r>
      <w:r>
        <w:rPr>
          <w:rFonts w:hint="default" w:ascii="Times New Roman" w:hAnsi="Times New Roman" w:eastAsia="方正仿宋_GBK" w:cs="Times New Roman"/>
          <w:sz w:val="32"/>
          <w:szCs w:val="32"/>
        </w:rPr>
        <w:t>等</w:t>
      </w:r>
      <w:r>
        <w:rPr>
          <w:rFonts w:hint="eastAsia" w:ascii="Times New Roman" w:hAnsi="Times New Roman" w:eastAsia="方正仿宋_GBK" w:cs="Times New Roman"/>
          <w:sz w:val="32"/>
          <w:szCs w:val="32"/>
        </w:rPr>
        <w:t>规划</w:t>
      </w:r>
      <w:r>
        <w:rPr>
          <w:rFonts w:hint="default" w:ascii="Times New Roman" w:hAnsi="Times New Roman" w:eastAsia="方正仿宋_GBK" w:cs="Times New Roman"/>
          <w:sz w:val="32"/>
          <w:szCs w:val="32"/>
        </w:rPr>
        <w:t>防洪</w:t>
      </w:r>
      <w:r>
        <w:rPr>
          <w:rFonts w:hint="eastAsia" w:ascii="Times New Roman" w:hAnsi="Times New Roman" w:eastAsia="方正仿宋_GBK" w:cs="Times New Roman"/>
          <w:sz w:val="32"/>
          <w:szCs w:val="32"/>
        </w:rPr>
        <w:t>水库今后调度的灵活性，需在扶欢河、郭扶河等集水面积超过100km</w:t>
      </w:r>
      <w:r>
        <w:rPr>
          <w:rFonts w:hint="eastAsia" w:ascii="Times New Roman" w:hAnsi="Times New Roman" w:eastAsia="方正仿宋_GBK" w:cs="Times New Roman"/>
          <w:sz w:val="32"/>
          <w:szCs w:val="32"/>
          <w:vertAlign w:val="superscript"/>
        </w:rPr>
        <w:t>2</w:t>
      </w:r>
      <w:r>
        <w:rPr>
          <w:rFonts w:hint="eastAsia" w:ascii="Times New Roman" w:hAnsi="Times New Roman" w:eastAsia="方正仿宋_GBK" w:cs="Times New Roman"/>
          <w:sz w:val="32"/>
          <w:szCs w:val="32"/>
        </w:rPr>
        <w:t>的支流建设水文站，对綦江城区古南水文站实施水毁修复和优化改造。藻渡水库水情自动测报系统包括7个水文站（其中新建羊蹬站作为入库站）、2个水位站（坝上和坝下水位站，均为新建）、19个雨量站（其中4个为新建），各遥测站点详细情况如表</w:t>
      </w:r>
      <w:r>
        <w:rPr>
          <w:rFonts w:hint="default" w:ascii="Times New Roman" w:hAnsi="Times New Roman" w:eastAsia="方正仿宋_GBK" w:cs="Times New Roman"/>
          <w:sz w:val="32"/>
          <w:szCs w:val="32"/>
        </w:rPr>
        <w:t>8.2</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1</w:t>
      </w:r>
      <w:r>
        <w:rPr>
          <w:rFonts w:hint="eastAsia" w:ascii="Times New Roman" w:hAnsi="Times New Roman" w:eastAsia="方正仿宋_GBK" w:cs="Times New Roman"/>
          <w:sz w:val="32"/>
          <w:szCs w:val="32"/>
        </w:rPr>
        <w:t>和表</w:t>
      </w:r>
      <w:r>
        <w:rPr>
          <w:rFonts w:hint="default" w:ascii="Times New Roman" w:hAnsi="Times New Roman" w:eastAsia="方正仿宋_GBK" w:cs="Times New Roman"/>
          <w:sz w:val="32"/>
          <w:szCs w:val="32"/>
        </w:rPr>
        <w:t>8.2</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2</w:t>
      </w:r>
      <w:r>
        <w:rPr>
          <w:rFonts w:hint="eastAsia" w:ascii="Times New Roman" w:hAnsi="Times New Roman" w:eastAsia="方正仿宋_GBK" w:cs="Times New Roman"/>
          <w:sz w:val="32"/>
          <w:szCs w:val="32"/>
        </w:rPr>
        <w:t>，站网布置图如图</w:t>
      </w:r>
      <w:r>
        <w:rPr>
          <w:rFonts w:hint="default" w:ascii="Times New Roman" w:hAnsi="Times New Roman" w:eastAsia="方正仿宋_GBK" w:cs="Times New Roman"/>
          <w:sz w:val="32"/>
          <w:szCs w:val="32"/>
        </w:rPr>
        <w:t>8.2</w:t>
      </w:r>
      <w:r>
        <w:rPr>
          <w:rFonts w:hint="eastAsia" w:ascii="Times New Roman" w:eastAsia="方正仿宋_GBK" w:cs="Times New Roman"/>
          <w:sz w:val="32"/>
          <w:szCs w:val="32"/>
          <w:lang w:eastAsia="zh-CN"/>
        </w:rPr>
        <w:t>—</w:t>
      </w:r>
      <w:r>
        <w:rPr>
          <w:rFonts w:hint="eastAsia" w:ascii="Times New Roman" w:hAnsi="Times New Roman" w:eastAsia="方正仿宋_GBK" w:cs="Times New Roman"/>
          <w:sz w:val="32"/>
          <w:szCs w:val="32"/>
        </w:rPr>
        <w:t>1。</w:t>
      </w:r>
    </w:p>
    <w:p>
      <w:pPr>
        <w:spacing w:after="60"/>
        <w:ind w:firstLine="240" w:firstLineChars="100"/>
        <w:outlineLvl w:val="6"/>
        <w:rPr>
          <w:rFonts w:hint="default" w:ascii="Times New Roman" w:hAnsi="Times New Roman" w:eastAsia="黑体" w:cs="Times New Roman"/>
          <w:sz w:val="24"/>
          <w:szCs w:val="20"/>
        </w:rPr>
      </w:pPr>
      <w:r>
        <w:rPr>
          <w:rFonts w:hint="default" w:ascii="Times New Roman" w:hAnsi="Times New Roman" w:eastAsia="黑体" w:cs="Times New Roman"/>
          <w:sz w:val="24"/>
          <w:szCs w:val="20"/>
        </w:rPr>
        <w:t>表8.2</w:t>
      </w:r>
      <w:r>
        <w:rPr>
          <w:rFonts w:hint="default" w:ascii="Times New Roman" w:hAnsi="Times New Roman" w:eastAsia="黑体" w:cs="Times New Roman"/>
          <w:sz w:val="24"/>
          <w:szCs w:val="20"/>
          <w:lang w:eastAsia="zh-CN"/>
        </w:rPr>
        <w:t>—</w:t>
      </w:r>
      <w:r>
        <w:rPr>
          <w:rFonts w:hint="default" w:ascii="Times New Roman" w:hAnsi="Times New Roman" w:eastAsia="黑体" w:cs="Times New Roman"/>
          <w:sz w:val="24"/>
          <w:szCs w:val="20"/>
        </w:rPr>
        <w:t>1　　藻渡水库水情自动测报系统水文/水位遥测站点情况一览表</w:t>
      </w:r>
    </w:p>
    <w:tbl>
      <w:tblPr>
        <w:tblStyle w:val="88"/>
        <w:tblW w:w="5062"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108" w:type="dxa"/>
          <w:bottom w:w="0" w:type="dxa"/>
          <w:right w:w="108" w:type="dxa"/>
        </w:tblCellMar>
      </w:tblPr>
      <w:tblGrid>
        <w:gridCol w:w="514"/>
        <w:gridCol w:w="848"/>
        <w:gridCol w:w="767"/>
        <w:gridCol w:w="935"/>
        <w:gridCol w:w="1216"/>
        <w:gridCol w:w="1016"/>
        <w:gridCol w:w="3047"/>
        <w:gridCol w:w="897"/>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 w:type="pct"/>
            <w:vMerge w:val="restar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序号</w:t>
            </w:r>
          </w:p>
        </w:tc>
        <w:tc>
          <w:tcPr>
            <w:tcW w:w="459" w:type="pct"/>
            <w:vMerge w:val="restar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站名</w:t>
            </w:r>
          </w:p>
        </w:tc>
        <w:tc>
          <w:tcPr>
            <w:tcW w:w="415" w:type="pct"/>
            <w:vMerge w:val="restar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站别</w:t>
            </w:r>
          </w:p>
        </w:tc>
        <w:tc>
          <w:tcPr>
            <w:tcW w:w="506" w:type="pct"/>
            <w:vMerge w:val="restar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集水面积（km</w:t>
            </w:r>
            <w:r>
              <w:rPr>
                <w:rFonts w:hint="eastAsia" w:ascii="楷体_GB2312" w:eastAsia="楷体_GB2312"/>
                <w:snapToGrid w:val="0"/>
                <w:kern w:val="0"/>
                <w:sz w:val="21"/>
                <w:szCs w:val="21"/>
                <w:vertAlign w:val="superscript"/>
              </w:rPr>
              <w:t>2</w:t>
            </w:r>
            <w:r>
              <w:rPr>
                <w:rFonts w:hint="eastAsia" w:ascii="楷体_GB2312" w:eastAsia="楷体_GB2312"/>
                <w:snapToGrid w:val="0"/>
                <w:kern w:val="0"/>
                <w:sz w:val="21"/>
                <w:szCs w:val="21"/>
              </w:rPr>
              <w:t>）</w:t>
            </w:r>
          </w:p>
        </w:tc>
        <w:tc>
          <w:tcPr>
            <w:tcW w:w="1208" w:type="pct"/>
            <w:gridSpan w:val="2"/>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坐标</w:t>
            </w:r>
          </w:p>
        </w:tc>
        <w:tc>
          <w:tcPr>
            <w:tcW w:w="1649" w:type="pct"/>
            <w:vMerge w:val="restar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地理位置</w:t>
            </w:r>
          </w:p>
        </w:tc>
        <w:tc>
          <w:tcPr>
            <w:tcW w:w="486" w:type="pct"/>
            <w:vMerge w:val="restar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备注</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 w:type="pct"/>
            <w:vMerge w:val="continue"/>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p>
        </w:tc>
        <w:tc>
          <w:tcPr>
            <w:tcW w:w="459" w:type="pct"/>
            <w:vMerge w:val="continue"/>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p>
        </w:tc>
        <w:tc>
          <w:tcPr>
            <w:tcW w:w="415" w:type="pct"/>
            <w:vMerge w:val="continue"/>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p>
        </w:tc>
        <w:tc>
          <w:tcPr>
            <w:tcW w:w="506" w:type="pct"/>
            <w:vMerge w:val="continue"/>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p>
        </w:tc>
        <w:tc>
          <w:tcPr>
            <w:tcW w:w="658"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东经</w:t>
            </w:r>
          </w:p>
        </w:tc>
        <w:tc>
          <w:tcPr>
            <w:tcW w:w="550"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北纬</w:t>
            </w:r>
          </w:p>
        </w:tc>
        <w:tc>
          <w:tcPr>
            <w:tcW w:w="1649" w:type="pct"/>
            <w:vMerge w:val="continue"/>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p>
        </w:tc>
        <w:tc>
          <w:tcPr>
            <w:tcW w:w="486" w:type="pct"/>
            <w:vMerge w:val="continue"/>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1</w:t>
            </w:r>
          </w:p>
        </w:tc>
        <w:tc>
          <w:tcPr>
            <w:tcW w:w="459"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松坎</w:t>
            </w:r>
          </w:p>
        </w:tc>
        <w:tc>
          <w:tcPr>
            <w:tcW w:w="415"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水文</w:t>
            </w:r>
          </w:p>
        </w:tc>
        <w:tc>
          <w:tcPr>
            <w:tcW w:w="506"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639</w:t>
            </w:r>
          </w:p>
        </w:tc>
        <w:tc>
          <w:tcPr>
            <w:tcW w:w="658"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106°51′</w:t>
            </w:r>
          </w:p>
        </w:tc>
        <w:tc>
          <w:tcPr>
            <w:tcW w:w="550"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28°32′</w:t>
            </w:r>
          </w:p>
        </w:tc>
        <w:tc>
          <w:tcPr>
            <w:tcW w:w="1649"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贵州桐梓县三元镇</w:t>
            </w:r>
          </w:p>
        </w:tc>
        <w:tc>
          <w:tcPr>
            <w:tcW w:w="486"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2</w:t>
            </w:r>
          </w:p>
        </w:tc>
        <w:tc>
          <w:tcPr>
            <w:tcW w:w="459"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赶水</w:t>
            </w:r>
          </w:p>
        </w:tc>
        <w:tc>
          <w:tcPr>
            <w:tcW w:w="415"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水文</w:t>
            </w:r>
          </w:p>
        </w:tc>
        <w:tc>
          <w:tcPr>
            <w:tcW w:w="506"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366</w:t>
            </w:r>
          </w:p>
        </w:tc>
        <w:tc>
          <w:tcPr>
            <w:tcW w:w="658"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106°43′</w:t>
            </w:r>
          </w:p>
        </w:tc>
        <w:tc>
          <w:tcPr>
            <w:tcW w:w="550"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28°41′</w:t>
            </w:r>
          </w:p>
        </w:tc>
        <w:tc>
          <w:tcPr>
            <w:tcW w:w="1649"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綦江区赶水镇麻柳村5社石沟桥</w:t>
            </w:r>
          </w:p>
        </w:tc>
        <w:tc>
          <w:tcPr>
            <w:tcW w:w="486"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羊渡河</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3</w:t>
            </w:r>
          </w:p>
        </w:tc>
        <w:tc>
          <w:tcPr>
            <w:tcW w:w="459"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羊蹬</w:t>
            </w:r>
          </w:p>
        </w:tc>
        <w:tc>
          <w:tcPr>
            <w:tcW w:w="415"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水文</w:t>
            </w:r>
          </w:p>
        </w:tc>
        <w:tc>
          <w:tcPr>
            <w:tcW w:w="506"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1067</w:t>
            </w:r>
          </w:p>
        </w:tc>
        <w:tc>
          <w:tcPr>
            <w:tcW w:w="658"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106°58′</w:t>
            </w:r>
          </w:p>
        </w:tc>
        <w:tc>
          <w:tcPr>
            <w:tcW w:w="550"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28°44′</w:t>
            </w:r>
          </w:p>
        </w:tc>
        <w:tc>
          <w:tcPr>
            <w:tcW w:w="1649"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贵州桐梓县羊蹬镇</w:t>
            </w:r>
          </w:p>
        </w:tc>
        <w:tc>
          <w:tcPr>
            <w:tcW w:w="486"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入库站</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4</w:t>
            </w:r>
          </w:p>
        </w:tc>
        <w:tc>
          <w:tcPr>
            <w:tcW w:w="459"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新炉</w:t>
            </w:r>
          </w:p>
        </w:tc>
        <w:tc>
          <w:tcPr>
            <w:tcW w:w="415"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水文</w:t>
            </w:r>
          </w:p>
        </w:tc>
        <w:tc>
          <w:tcPr>
            <w:tcW w:w="506"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1187</w:t>
            </w:r>
          </w:p>
        </w:tc>
        <w:tc>
          <w:tcPr>
            <w:tcW w:w="658"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106°43′</w:t>
            </w:r>
          </w:p>
        </w:tc>
        <w:tc>
          <w:tcPr>
            <w:tcW w:w="550"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28°45′</w:t>
            </w:r>
          </w:p>
        </w:tc>
        <w:tc>
          <w:tcPr>
            <w:tcW w:w="1649"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綦江区赶水镇新炉村1社瓦窑滩</w:t>
            </w:r>
          </w:p>
        </w:tc>
        <w:tc>
          <w:tcPr>
            <w:tcW w:w="486"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5</w:t>
            </w:r>
          </w:p>
        </w:tc>
        <w:tc>
          <w:tcPr>
            <w:tcW w:w="459"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东溪</w:t>
            </w:r>
          </w:p>
        </w:tc>
        <w:tc>
          <w:tcPr>
            <w:tcW w:w="415"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水文</w:t>
            </w:r>
          </w:p>
        </w:tc>
        <w:tc>
          <w:tcPr>
            <w:tcW w:w="506"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3097</w:t>
            </w:r>
          </w:p>
        </w:tc>
        <w:tc>
          <w:tcPr>
            <w:tcW w:w="658"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106°40′</w:t>
            </w:r>
          </w:p>
        </w:tc>
        <w:tc>
          <w:tcPr>
            <w:tcW w:w="550"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28°47′</w:t>
            </w:r>
          </w:p>
        </w:tc>
        <w:tc>
          <w:tcPr>
            <w:tcW w:w="1649"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重庆市綦江区东溪镇承平滩</w:t>
            </w:r>
          </w:p>
        </w:tc>
        <w:tc>
          <w:tcPr>
            <w:tcW w:w="486"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 w:type="pct"/>
            <w:noWrap w:val="0"/>
            <w:tcMar>
              <w:left w:w="28" w:type="dxa"/>
              <w:right w:w="28" w:type="dxa"/>
            </w:tcMar>
            <w:vAlign w:val="center"/>
          </w:tcPr>
          <w:p>
            <w:pPr>
              <w:spacing w:line="240" w:lineRule="exact"/>
              <w:ind w:firstLine="0" w:firstLineChars="0"/>
              <w:jc w:val="center"/>
              <w:rPr>
                <w:rFonts w:hint="eastAsia" w:ascii="楷体_GB2312" w:hAnsi="宋体" w:eastAsia="楷体_GB2312" w:cs="宋体"/>
                <w:snapToGrid w:val="0"/>
                <w:kern w:val="0"/>
                <w:sz w:val="21"/>
                <w:szCs w:val="21"/>
              </w:rPr>
            </w:pPr>
            <w:r>
              <w:rPr>
                <w:rFonts w:hint="eastAsia" w:ascii="楷体_GB2312" w:eastAsia="楷体_GB2312"/>
                <w:snapToGrid w:val="0"/>
                <w:kern w:val="0"/>
                <w:sz w:val="21"/>
                <w:szCs w:val="21"/>
              </w:rPr>
              <w:t>6</w:t>
            </w:r>
          </w:p>
        </w:tc>
        <w:tc>
          <w:tcPr>
            <w:tcW w:w="459"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石角</w:t>
            </w:r>
          </w:p>
        </w:tc>
        <w:tc>
          <w:tcPr>
            <w:tcW w:w="415"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水文</w:t>
            </w:r>
          </w:p>
        </w:tc>
        <w:tc>
          <w:tcPr>
            <w:tcW w:w="506"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707</w:t>
            </w:r>
          </w:p>
        </w:tc>
        <w:tc>
          <w:tcPr>
            <w:tcW w:w="658"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106°48′</w:t>
            </w:r>
          </w:p>
        </w:tc>
        <w:tc>
          <w:tcPr>
            <w:tcW w:w="550"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28°56′</w:t>
            </w:r>
          </w:p>
        </w:tc>
        <w:tc>
          <w:tcPr>
            <w:tcW w:w="1649"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重庆市綦江区石角镇桃花村</w:t>
            </w:r>
          </w:p>
        </w:tc>
        <w:tc>
          <w:tcPr>
            <w:tcW w:w="486"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 w:type="pct"/>
            <w:noWrap w:val="0"/>
            <w:tcMar>
              <w:left w:w="28" w:type="dxa"/>
              <w:right w:w="28" w:type="dxa"/>
            </w:tcMar>
            <w:vAlign w:val="center"/>
          </w:tcPr>
          <w:p>
            <w:pPr>
              <w:spacing w:line="240" w:lineRule="exact"/>
              <w:ind w:firstLine="0" w:firstLineChars="0"/>
              <w:jc w:val="center"/>
              <w:rPr>
                <w:rFonts w:hint="eastAsia" w:ascii="楷体_GB2312" w:hAnsi="宋体" w:eastAsia="楷体_GB2312" w:cs="宋体"/>
                <w:snapToGrid w:val="0"/>
                <w:kern w:val="0"/>
                <w:sz w:val="21"/>
                <w:szCs w:val="21"/>
              </w:rPr>
            </w:pPr>
            <w:r>
              <w:rPr>
                <w:rFonts w:hint="eastAsia" w:ascii="楷体_GB2312" w:eastAsia="楷体_GB2312"/>
                <w:snapToGrid w:val="0"/>
                <w:kern w:val="0"/>
                <w:sz w:val="21"/>
                <w:szCs w:val="21"/>
              </w:rPr>
              <w:t>7</w:t>
            </w:r>
          </w:p>
        </w:tc>
        <w:tc>
          <w:tcPr>
            <w:tcW w:w="459"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羊市</w:t>
            </w:r>
          </w:p>
        </w:tc>
        <w:tc>
          <w:tcPr>
            <w:tcW w:w="415"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水文</w:t>
            </w:r>
          </w:p>
        </w:tc>
        <w:tc>
          <w:tcPr>
            <w:tcW w:w="506"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4723</w:t>
            </w:r>
          </w:p>
        </w:tc>
        <w:tc>
          <w:tcPr>
            <w:tcW w:w="658"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106°40′</w:t>
            </w:r>
          </w:p>
        </w:tc>
        <w:tc>
          <w:tcPr>
            <w:tcW w:w="550"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29°02′</w:t>
            </w:r>
          </w:p>
        </w:tc>
        <w:tc>
          <w:tcPr>
            <w:tcW w:w="1649"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綦江城区彩虹桥下游50米左右</w:t>
            </w:r>
          </w:p>
        </w:tc>
        <w:tc>
          <w:tcPr>
            <w:tcW w:w="486"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 w:type="pct"/>
            <w:noWrap w:val="0"/>
            <w:tcMar>
              <w:left w:w="28" w:type="dxa"/>
              <w:right w:w="28" w:type="dxa"/>
            </w:tcMar>
            <w:vAlign w:val="center"/>
          </w:tcPr>
          <w:p>
            <w:pPr>
              <w:spacing w:line="240" w:lineRule="exact"/>
              <w:ind w:firstLine="0" w:firstLineChars="0"/>
              <w:jc w:val="center"/>
              <w:rPr>
                <w:rFonts w:hint="eastAsia" w:ascii="楷体_GB2312" w:hAnsi="宋体" w:eastAsia="楷体_GB2312" w:cs="宋体"/>
                <w:snapToGrid w:val="0"/>
                <w:kern w:val="0"/>
                <w:sz w:val="21"/>
                <w:szCs w:val="21"/>
              </w:rPr>
            </w:pPr>
            <w:r>
              <w:rPr>
                <w:rFonts w:hint="eastAsia" w:ascii="楷体_GB2312" w:eastAsia="楷体_GB2312"/>
                <w:snapToGrid w:val="0"/>
                <w:kern w:val="0"/>
                <w:sz w:val="21"/>
                <w:szCs w:val="21"/>
              </w:rPr>
              <w:t>8</w:t>
            </w:r>
          </w:p>
        </w:tc>
        <w:tc>
          <w:tcPr>
            <w:tcW w:w="459"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坝上</w:t>
            </w:r>
          </w:p>
        </w:tc>
        <w:tc>
          <w:tcPr>
            <w:tcW w:w="415"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水位</w:t>
            </w:r>
          </w:p>
        </w:tc>
        <w:tc>
          <w:tcPr>
            <w:tcW w:w="506"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1179</w:t>
            </w:r>
          </w:p>
        </w:tc>
        <w:tc>
          <w:tcPr>
            <w:tcW w:w="658"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106°44′</w:t>
            </w:r>
          </w:p>
        </w:tc>
        <w:tc>
          <w:tcPr>
            <w:tcW w:w="550"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28°45′</w:t>
            </w:r>
          </w:p>
        </w:tc>
        <w:tc>
          <w:tcPr>
            <w:tcW w:w="1649"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重庆市綦江区</w:t>
            </w:r>
            <w:r>
              <w:rPr>
                <w:rFonts w:hint="eastAsia" w:ascii="楷体_GB2312" w:hAnsi="宋体" w:eastAsia="楷体_GB2312" w:cs="宋体"/>
                <w:snapToGrid w:val="0"/>
                <w:kern w:val="0"/>
                <w:sz w:val="21"/>
                <w:szCs w:val="21"/>
              </w:rPr>
              <w:t>赶水镇</w:t>
            </w:r>
          </w:p>
        </w:tc>
        <w:tc>
          <w:tcPr>
            <w:tcW w:w="486"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新建</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 w:type="pct"/>
            <w:noWrap w:val="0"/>
            <w:tcMar>
              <w:left w:w="28" w:type="dxa"/>
              <w:right w:w="28" w:type="dxa"/>
            </w:tcMar>
            <w:vAlign w:val="center"/>
          </w:tcPr>
          <w:p>
            <w:pPr>
              <w:spacing w:line="240" w:lineRule="exact"/>
              <w:ind w:firstLine="0" w:firstLineChars="0"/>
              <w:jc w:val="center"/>
              <w:rPr>
                <w:rFonts w:hint="eastAsia" w:ascii="楷体_GB2312" w:hAnsi="宋体" w:eastAsia="楷体_GB2312" w:cs="宋体"/>
                <w:snapToGrid w:val="0"/>
                <w:kern w:val="0"/>
                <w:sz w:val="21"/>
                <w:szCs w:val="21"/>
              </w:rPr>
            </w:pPr>
            <w:r>
              <w:rPr>
                <w:rFonts w:hint="eastAsia" w:ascii="楷体_GB2312" w:eastAsia="楷体_GB2312"/>
                <w:snapToGrid w:val="0"/>
                <w:kern w:val="0"/>
                <w:sz w:val="21"/>
                <w:szCs w:val="21"/>
              </w:rPr>
              <w:t>9</w:t>
            </w:r>
          </w:p>
        </w:tc>
        <w:tc>
          <w:tcPr>
            <w:tcW w:w="459"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坝下</w:t>
            </w:r>
          </w:p>
        </w:tc>
        <w:tc>
          <w:tcPr>
            <w:tcW w:w="415"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水位</w:t>
            </w:r>
          </w:p>
        </w:tc>
        <w:tc>
          <w:tcPr>
            <w:tcW w:w="506"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1179</w:t>
            </w:r>
          </w:p>
        </w:tc>
        <w:tc>
          <w:tcPr>
            <w:tcW w:w="658"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106°44′</w:t>
            </w:r>
          </w:p>
        </w:tc>
        <w:tc>
          <w:tcPr>
            <w:tcW w:w="550"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28°45′</w:t>
            </w:r>
          </w:p>
        </w:tc>
        <w:tc>
          <w:tcPr>
            <w:tcW w:w="1649"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重庆市綦江区</w:t>
            </w:r>
            <w:r>
              <w:rPr>
                <w:rFonts w:hint="eastAsia" w:ascii="楷体_GB2312" w:hAnsi="宋体" w:eastAsia="楷体_GB2312" w:cs="宋体"/>
                <w:snapToGrid w:val="0"/>
                <w:kern w:val="0"/>
                <w:sz w:val="21"/>
                <w:szCs w:val="21"/>
              </w:rPr>
              <w:t>赶水镇</w:t>
            </w:r>
          </w:p>
        </w:tc>
        <w:tc>
          <w:tcPr>
            <w:tcW w:w="486" w:type="pct"/>
            <w:noWrap w:val="0"/>
            <w:tcMar>
              <w:left w:w="28" w:type="dxa"/>
              <w:right w:w="28" w:type="dxa"/>
            </w:tcMar>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新建</w:t>
            </w:r>
          </w:p>
        </w:tc>
      </w:tr>
    </w:tbl>
    <w:p>
      <w:pPr>
        <w:spacing w:after="60"/>
        <w:ind w:firstLine="240" w:firstLineChars="100"/>
        <w:outlineLvl w:val="6"/>
        <w:rPr>
          <w:rFonts w:hint="default" w:ascii="Times New Roman" w:hAnsi="Times New Roman" w:eastAsia="黑体" w:cs="Times New Roman"/>
          <w:sz w:val="24"/>
          <w:szCs w:val="20"/>
        </w:rPr>
      </w:pPr>
      <w:r>
        <w:rPr>
          <w:rFonts w:hint="default" w:ascii="Times New Roman" w:hAnsi="Times New Roman" w:eastAsia="黑体" w:cs="Times New Roman"/>
          <w:sz w:val="24"/>
          <w:szCs w:val="20"/>
        </w:rPr>
        <w:t>表8.2</w:t>
      </w:r>
      <w:r>
        <w:rPr>
          <w:rFonts w:hint="default" w:ascii="Times New Roman" w:hAnsi="Times New Roman" w:eastAsia="黑体" w:cs="Times New Roman"/>
          <w:sz w:val="24"/>
          <w:szCs w:val="20"/>
          <w:lang w:eastAsia="zh-CN"/>
        </w:rPr>
        <w:t>—</w:t>
      </w:r>
      <w:r>
        <w:rPr>
          <w:rFonts w:hint="default" w:ascii="Times New Roman" w:hAnsi="Times New Roman" w:eastAsia="黑体" w:cs="Times New Roman"/>
          <w:sz w:val="24"/>
          <w:szCs w:val="20"/>
        </w:rPr>
        <w:t>2　  　藻渡水库水情自动测报系统雨量遥测站点情况一览表</w:t>
      </w:r>
    </w:p>
    <w:tbl>
      <w:tblPr>
        <w:tblStyle w:val="88"/>
        <w:tblW w:w="5000"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108" w:type="dxa"/>
          <w:bottom w:w="0" w:type="dxa"/>
          <w:right w:w="108" w:type="dxa"/>
        </w:tblCellMar>
      </w:tblPr>
      <w:tblGrid>
        <w:gridCol w:w="672"/>
        <w:gridCol w:w="896"/>
        <w:gridCol w:w="673"/>
        <w:gridCol w:w="1231"/>
        <w:gridCol w:w="1121"/>
        <w:gridCol w:w="4019"/>
        <w:gridCol w:w="675"/>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62" w:type="pct"/>
            <w:vMerge w:val="restar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序号</w:t>
            </w:r>
          </w:p>
        </w:tc>
        <w:tc>
          <w:tcPr>
            <w:tcW w:w="482" w:type="pct"/>
            <w:vMerge w:val="restar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站名</w:t>
            </w:r>
          </w:p>
        </w:tc>
        <w:tc>
          <w:tcPr>
            <w:tcW w:w="362" w:type="pct"/>
            <w:vMerge w:val="restar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站别</w:t>
            </w:r>
          </w:p>
        </w:tc>
        <w:tc>
          <w:tcPr>
            <w:tcW w:w="1265" w:type="pct"/>
            <w:gridSpan w:val="2"/>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坐标</w:t>
            </w:r>
          </w:p>
        </w:tc>
        <w:tc>
          <w:tcPr>
            <w:tcW w:w="2162" w:type="pct"/>
            <w:vMerge w:val="restar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地理位置</w:t>
            </w:r>
          </w:p>
        </w:tc>
        <w:tc>
          <w:tcPr>
            <w:tcW w:w="363" w:type="pct"/>
            <w:vMerge w:val="restar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备注</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62" w:type="pct"/>
            <w:vMerge w:val="continue"/>
            <w:noWrap w:val="0"/>
            <w:vAlign w:val="center"/>
          </w:tcPr>
          <w:p>
            <w:pPr>
              <w:spacing w:line="240" w:lineRule="exact"/>
              <w:ind w:firstLine="0" w:firstLineChars="0"/>
              <w:jc w:val="center"/>
              <w:rPr>
                <w:rFonts w:hint="eastAsia" w:ascii="楷体_GB2312" w:eastAsia="楷体_GB2312"/>
                <w:snapToGrid w:val="0"/>
                <w:kern w:val="0"/>
                <w:sz w:val="21"/>
                <w:szCs w:val="21"/>
              </w:rPr>
            </w:pPr>
          </w:p>
        </w:tc>
        <w:tc>
          <w:tcPr>
            <w:tcW w:w="482" w:type="pct"/>
            <w:vMerge w:val="continue"/>
            <w:noWrap w:val="0"/>
            <w:vAlign w:val="center"/>
          </w:tcPr>
          <w:p>
            <w:pPr>
              <w:spacing w:line="240" w:lineRule="exact"/>
              <w:ind w:firstLine="0" w:firstLineChars="0"/>
              <w:jc w:val="center"/>
              <w:rPr>
                <w:rFonts w:hint="eastAsia" w:ascii="楷体_GB2312" w:eastAsia="楷体_GB2312"/>
                <w:snapToGrid w:val="0"/>
                <w:kern w:val="0"/>
                <w:sz w:val="21"/>
                <w:szCs w:val="21"/>
              </w:rPr>
            </w:pPr>
          </w:p>
        </w:tc>
        <w:tc>
          <w:tcPr>
            <w:tcW w:w="362" w:type="pct"/>
            <w:vMerge w:val="continue"/>
            <w:noWrap w:val="0"/>
            <w:vAlign w:val="center"/>
          </w:tcPr>
          <w:p>
            <w:pPr>
              <w:spacing w:line="240" w:lineRule="exact"/>
              <w:ind w:firstLine="0" w:firstLineChars="0"/>
              <w:jc w:val="center"/>
              <w:rPr>
                <w:rFonts w:hint="eastAsia" w:ascii="楷体_GB2312" w:eastAsia="楷体_GB2312"/>
                <w:snapToGrid w:val="0"/>
                <w:kern w:val="0"/>
                <w:sz w:val="21"/>
                <w:szCs w:val="21"/>
              </w:rPr>
            </w:pPr>
          </w:p>
        </w:tc>
        <w:tc>
          <w:tcPr>
            <w:tcW w:w="6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东经</w:t>
            </w:r>
          </w:p>
        </w:tc>
        <w:tc>
          <w:tcPr>
            <w:tcW w:w="60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北纬</w:t>
            </w:r>
          </w:p>
        </w:tc>
        <w:tc>
          <w:tcPr>
            <w:tcW w:w="2162" w:type="pct"/>
            <w:vMerge w:val="continue"/>
            <w:noWrap w:val="0"/>
            <w:vAlign w:val="center"/>
          </w:tcPr>
          <w:p>
            <w:pPr>
              <w:spacing w:line="240" w:lineRule="exact"/>
              <w:ind w:firstLine="0" w:firstLineChars="0"/>
              <w:jc w:val="center"/>
              <w:rPr>
                <w:rFonts w:hint="eastAsia" w:ascii="楷体_GB2312" w:eastAsia="楷体_GB2312"/>
                <w:snapToGrid w:val="0"/>
                <w:kern w:val="0"/>
                <w:sz w:val="21"/>
                <w:szCs w:val="21"/>
              </w:rPr>
            </w:pPr>
          </w:p>
        </w:tc>
        <w:tc>
          <w:tcPr>
            <w:tcW w:w="363" w:type="pct"/>
            <w:vMerge w:val="continue"/>
            <w:noWrap w:val="0"/>
            <w:vAlign w:val="center"/>
          </w:tcPr>
          <w:p>
            <w:pPr>
              <w:spacing w:line="240" w:lineRule="exact"/>
              <w:ind w:firstLine="0" w:firstLineChars="0"/>
              <w:jc w:val="center"/>
              <w:rPr>
                <w:rFonts w:hint="eastAsia" w:ascii="楷体_GB2312" w:eastAsia="楷体_GB2312"/>
                <w:snapToGrid w:val="0"/>
                <w:kern w:val="0"/>
                <w:sz w:val="21"/>
                <w:szCs w:val="21"/>
              </w:rPr>
            </w:pP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62" w:type="pct"/>
            <w:noWrap w:val="0"/>
            <w:vAlign w:val="center"/>
          </w:tcPr>
          <w:p>
            <w:pPr>
              <w:spacing w:line="240" w:lineRule="exact"/>
              <w:ind w:firstLine="0" w:firstLineChars="0"/>
              <w:jc w:val="center"/>
              <w:rPr>
                <w:rFonts w:hint="eastAsia" w:ascii="楷体_GB2312" w:hAnsi="宋体" w:eastAsia="楷体_GB2312" w:cs="宋体"/>
                <w:snapToGrid w:val="0"/>
                <w:kern w:val="0"/>
                <w:sz w:val="21"/>
                <w:szCs w:val="21"/>
              </w:rPr>
            </w:pPr>
            <w:r>
              <w:rPr>
                <w:rFonts w:hint="eastAsia" w:ascii="楷体_GB2312" w:eastAsia="楷体_GB2312"/>
                <w:snapToGrid w:val="0"/>
                <w:kern w:val="0"/>
                <w:sz w:val="21"/>
                <w:szCs w:val="21"/>
              </w:rPr>
              <w:t>1</w:t>
            </w:r>
          </w:p>
        </w:tc>
        <w:tc>
          <w:tcPr>
            <w:tcW w:w="48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小河坝</w:t>
            </w:r>
          </w:p>
        </w:tc>
        <w:tc>
          <w:tcPr>
            <w:tcW w:w="3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雨量</w:t>
            </w:r>
          </w:p>
        </w:tc>
        <w:tc>
          <w:tcPr>
            <w:tcW w:w="6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107°06′</w:t>
            </w:r>
          </w:p>
        </w:tc>
        <w:tc>
          <w:tcPr>
            <w:tcW w:w="60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28°56′</w:t>
            </w:r>
          </w:p>
        </w:tc>
        <w:tc>
          <w:tcPr>
            <w:tcW w:w="21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重庆市南川小河镇</w:t>
            </w:r>
          </w:p>
        </w:tc>
        <w:tc>
          <w:tcPr>
            <w:tcW w:w="363" w:type="pct"/>
            <w:noWrap w:val="0"/>
            <w:vAlign w:val="center"/>
          </w:tcPr>
          <w:p>
            <w:pPr>
              <w:spacing w:line="240" w:lineRule="exact"/>
              <w:ind w:firstLine="0" w:firstLineChars="0"/>
              <w:jc w:val="center"/>
              <w:rPr>
                <w:rFonts w:hint="eastAsia" w:ascii="楷体_GB2312" w:eastAsia="楷体_GB2312"/>
                <w:snapToGrid w:val="0"/>
                <w:kern w:val="0"/>
                <w:sz w:val="21"/>
                <w:szCs w:val="21"/>
              </w:rPr>
            </w:pP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62" w:type="pct"/>
            <w:noWrap w:val="0"/>
            <w:vAlign w:val="center"/>
          </w:tcPr>
          <w:p>
            <w:pPr>
              <w:spacing w:line="240" w:lineRule="exact"/>
              <w:ind w:firstLine="0" w:firstLineChars="0"/>
              <w:jc w:val="center"/>
              <w:rPr>
                <w:rFonts w:hint="eastAsia" w:ascii="楷体_GB2312" w:hAnsi="宋体" w:eastAsia="楷体_GB2312" w:cs="宋体"/>
                <w:snapToGrid w:val="0"/>
                <w:kern w:val="0"/>
                <w:sz w:val="21"/>
                <w:szCs w:val="21"/>
              </w:rPr>
            </w:pPr>
            <w:r>
              <w:rPr>
                <w:rFonts w:hint="eastAsia" w:ascii="楷体_GB2312" w:eastAsia="楷体_GB2312"/>
                <w:snapToGrid w:val="0"/>
                <w:kern w:val="0"/>
                <w:sz w:val="21"/>
                <w:szCs w:val="21"/>
              </w:rPr>
              <w:t>2</w:t>
            </w:r>
          </w:p>
        </w:tc>
        <w:tc>
          <w:tcPr>
            <w:tcW w:w="48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羊蹬</w:t>
            </w:r>
          </w:p>
        </w:tc>
        <w:tc>
          <w:tcPr>
            <w:tcW w:w="3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雨量</w:t>
            </w:r>
          </w:p>
        </w:tc>
        <w:tc>
          <w:tcPr>
            <w:tcW w:w="6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106°58′</w:t>
            </w:r>
          </w:p>
        </w:tc>
        <w:tc>
          <w:tcPr>
            <w:tcW w:w="60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28°44′</w:t>
            </w:r>
          </w:p>
        </w:tc>
        <w:tc>
          <w:tcPr>
            <w:tcW w:w="21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贵州桐梓县羊蹬镇</w:t>
            </w:r>
          </w:p>
        </w:tc>
        <w:tc>
          <w:tcPr>
            <w:tcW w:w="363" w:type="pct"/>
            <w:noWrap w:val="0"/>
            <w:vAlign w:val="center"/>
          </w:tcPr>
          <w:p>
            <w:pPr>
              <w:spacing w:line="240" w:lineRule="exact"/>
              <w:ind w:firstLine="0" w:firstLineChars="0"/>
              <w:jc w:val="center"/>
              <w:rPr>
                <w:rFonts w:hint="eastAsia" w:ascii="楷体_GB2312" w:eastAsia="楷体_GB2312"/>
                <w:snapToGrid w:val="0"/>
                <w:kern w:val="0"/>
                <w:sz w:val="21"/>
                <w:szCs w:val="21"/>
              </w:rPr>
            </w:pP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62" w:type="pct"/>
            <w:noWrap w:val="0"/>
            <w:vAlign w:val="center"/>
          </w:tcPr>
          <w:p>
            <w:pPr>
              <w:spacing w:line="240" w:lineRule="exact"/>
              <w:ind w:firstLine="0" w:firstLineChars="0"/>
              <w:jc w:val="center"/>
              <w:rPr>
                <w:rFonts w:hint="eastAsia" w:ascii="楷体_GB2312" w:hAnsi="宋体" w:eastAsia="楷体_GB2312" w:cs="宋体"/>
                <w:snapToGrid w:val="0"/>
                <w:kern w:val="0"/>
                <w:sz w:val="21"/>
                <w:szCs w:val="21"/>
              </w:rPr>
            </w:pPr>
            <w:r>
              <w:rPr>
                <w:rFonts w:hint="eastAsia" w:ascii="楷体_GB2312" w:eastAsia="楷体_GB2312"/>
                <w:snapToGrid w:val="0"/>
                <w:kern w:val="0"/>
                <w:sz w:val="21"/>
                <w:szCs w:val="21"/>
              </w:rPr>
              <w:t>3</w:t>
            </w:r>
          </w:p>
        </w:tc>
        <w:tc>
          <w:tcPr>
            <w:tcW w:w="48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藻渡</w:t>
            </w:r>
          </w:p>
        </w:tc>
        <w:tc>
          <w:tcPr>
            <w:tcW w:w="3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雨量</w:t>
            </w:r>
          </w:p>
        </w:tc>
        <w:tc>
          <w:tcPr>
            <w:tcW w:w="6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106°47′</w:t>
            </w:r>
          </w:p>
        </w:tc>
        <w:tc>
          <w:tcPr>
            <w:tcW w:w="60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28°45′</w:t>
            </w:r>
          </w:p>
        </w:tc>
        <w:tc>
          <w:tcPr>
            <w:tcW w:w="21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重庆市綦江区赶水镇藻渡村</w:t>
            </w:r>
          </w:p>
        </w:tc>
        <w:tc>
          <w:tcPr>
            <w:tcW w:w="363" w:type="pct"/>
            <w:noWrap w:val="0"/>
            <w:vAlign w:val="center"/>
          </w:tcPr>
          <w:p>
            <w:pPr>
              <w:spacing w:line="240" w:lineRule="exact"/>
              <w:ind w:firstLine="0" w:firstLineChars="0"/>
              <w:jc w:val="center"/>
              <w:rPr>
                <w:rFonts w:hint="eastAsia" w:ascii="楷体_GB2312" w:eastAsia="楷体_GB2312"/>
                <w:snapToGrid w:val="0"/>
                <w:kern w:val="0"/>
                <w:sz w:val="21"/>
                <w:szCs w:val="21"/>
              </w:rPr>
            </w:pP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62" w:type="pct"/>
            <w:noWrap w:val="0"/>
            <w:vAlign w:val="center"/>
          </w:tcPr>
          <w:p>
            <w:pPr>
              <w:spacing w:line="240" w:lineRule="exact"/>
              <w:ind w:firstLine="0" w:firstLineChars="0"/>
              <w:jc w:val="center"/>
              <w:rPr>
                <w:rFonts w:hint="eastAsia" w:ascii="楷体_GB2312" w:hAnsi="宋体" w:eastAsia="楷体_GB2312" w:cs="宋体"/>
                <w:snapToGrid w:val="0"/>
                <w:kern w:val="0"/>
                <w:sz w:val="21"/>
                <w:szCs w:val="21"/>
              </w:rPr>
            </w:pPr>
            <w:r>
              <w:rPr>
                <w:rFonts w:hint="eastAsia" w:ascii="楷体_GB2312" w:eastAsia="楷体_GB2312"/>
                <w:snapToGrid w:val="0"/>
                <w:kern w:val="0"/>
                <w:sz w:val="21"/>
                <w:szCs w:val="21"/>
              </w:rPr>
              <w:t>4</w:t>
            </w:r>
          </w:p>
        </w:tc>
        <w:tc>
          <w:tcPr>
            <w:tcW w:w="48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沙岗</w:t>
            </w:r>
          </w:p>
        </w:tc>
        <w:tc>
          <w:tcPr>
            <w:tcW w:w="3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雨量</w:t>
            </w:r>
          </w:p>
        </w:tc>
        <w:tc>
          <w:tcPr>
            <w:tcW w:w="6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106°59′</w:t>
            </w:r>
          </w:p>
        </w:tc>
        <w:tc>
          <w:tcPr>
            <w:tcW w:w="60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28°47′</w:t>
            </w:r>
          </w:p>
        </w:tc>
        <w:tc>
          <w:tcPr>
            <w:tcW w:w="21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重庆万盛区石林镇茶园村 （鲤鱼河）</w:t>
            </w:r>
          </w:p>
        </w:tc>
        <w:tc>
          <w:tcPr>
            <w:tcW w:w="363" w:type="pct"/>
            <w:noWrap w:val="0"/>
            <w:vAlign w:val="center"/>
          </w:tcPr>
          <w:p>
            <w:pPr>
              <w:spacing w:line="240" w:lineRule="exact"/>
              <w:ind w:firstLine="0" w:firstLineChars="0"/>
              <w:jc w:val="center"/>
              <w:rPr>
                <w:rFonts w:hint="eastAsia" w:ascii="楷体_GB2312" w:eastAsia="楷体_GB2312"/>
                <w:snapToGrid w:val="0"/>
                <w:kern w:val="0"/>
                <w:sz w:val="21"/>
                <w:szCs w:val="21"/>
              </w:rPr>
            </w:pP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62" w:type="pct"/>
            <w:noWrap w:val="0"/>
            <w:vAlign w:val="center"/>
          </w:tcPr>
          <w:p>
            <w:pPr>
              <w:spacing w:line="240" w:lineRule="exact"/>
              <w:ind w:firstLine="0" w:firstLineChars="0"/>
              <w:jc w:val="center"/>
              <w:rPr>
                <w:rFonts w:hint="eastAsia" w:ascii="楷体_GB2312" w:hAnsi="宋体" w:eastAsia="楷体_GB2312" w:cs="宋体"/>
                <w:snapToGrid w:val="0"/>
                <w:kern w:val="0"/>
                <w:sz w:val="21"/>
                <w:szCs w:val="21"/>
              </w:rPr>
            </w:pPr>
            <w:r>
              <w:rPr>
                <w:rFonts w:hint="eastAsia" w:ascii="楷体_GB2312" w:eastAsia="楷体_GB2312"/>
                <w:snapToGrid w:val="0"/>
                <w:kern w:val="0"/>
                <w:sz w:val="21"/>
                <w:szCs w:val="21"/>
              </w:rPr>
              <w:t>5</w:t>
            </w:r>
          </w:p>
        </w:tc>
        <w:tc>
          <w:tcPr>
            <w:tcW w:w="48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庙垭口</w:t>
            </w:r>
          </w:p>
        </w:tc>
        <w:tc>
          <w:tcPr>
            <w:tcW w:w="3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雨量</w:t>
            </w:r>
          </w:p>
        </w:tc>
        <w:tc>
          <w:tcPr>
            <w:tcW w:w="6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106°59′</w:t>
            </w:r>
          </w:p>
        </w:tc>
        <w:tc>
          <w:tcPr>
            <w:tcW w:w="60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28°53′</w:t>
            </w:r>
          </w:p>
        </w:tc>
        <w:tc>
          <w:tcPr>
            <w:tcW w:w="21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万盛区黑山镇南门村林口组（鲤鱼河）</w:t>
            </w:r>
          </w:p>
        </w:tc>
        <w:tc>
          <w:tcPr>
            <w:tcW w:w="363" w:type="pct"/>
            <w:noWrap w:val="0"/>
            <w:vAlign w:val="center"/>
          </w:tcPr>
          <w:p>
            <w:pPr>
              <w:spacing w:line="240" w:lineRule="exact"/>
              <w:ind w:firstLine="0" w:firstLineChars="0"/>
              <w:jc w:val="center"/>
              <w:rPr>
                <w:rFonts w:hint="eastAsia" w:ascii="楷体_GB2312" w:eastAsia="楷体_GB2312"/>
                <w:snapToGrid w:val="0"/>
                <w:kern w:val="0"/>
                <w:sz w:val="21"/>
                <w:szCs w:val="21"/>
              </w:rPr>
            </w:pP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62" w:type="pct"/>
            <w:noWrap w:val="0"/>
            <w:vAlign w:val="center"/>
          </w:tcPr>
          <w:p>
            <w:pPr>
              <w:spacing w:line="240" w:lineRule="exact"/>
              <w:ind w:firstLine="0" w:firstLineChars="0"/>
              <w:jc w:val="center"/>
              <w:rPr>
                <w:rFonts w:hint="eastAsia" w:ascii="楷体_GB2312" w:hAnsi="宋体" w:eastAsia="楷体_GB2312" w:cs="宋体"/>
                <w:snapToGrid w:val="0"/>
                <w:kern w:val="0"/>
                <w:sz w:val="21"/>
                <w:szCs w:val="21"/>
              </w:rPr>
            </w:pPr>
            <w:r>
              <w:rPr>
                <w:rFonts w:hint="eastAsia" w:ascii="楷体_GB2312" w:eastAsia="楷体_GB2312"/>
                <w:snapToGrid w:val="0"/>
                <w:kern w:val="0"/>
                <w:sz w:val="21"/>
                <w:szCs w:val="21"/>
              </w:rPr>
              <w:t>6</w:t>
            </w:r>
          </w:p>
        </w:tc>
        <w:tc>
          <w:tcPr>
            <w:tcW w:w="48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坡渡</w:t>
            </w:r>
          </w:p>
        </w:tc>
        <w:tc>
          <w:tcPr>
            <w:tcW w:w="3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雨量</w:t>
            </w:r>
          </w:p>
        </w:tc>
        <w:tc>
          <w:tcPr>
            <w:tcW w:w="6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106°50′</w:t>
            </w:r>
          </w:p>
        </w:tc>
        <w:tc>
          <w:tcPr>
            <w:tcW w:w="60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28°45′</w:t>
            </w:r>
          </w:p>
        </w:tc>
        <w:tc>
          <w:tcPr>
            <w:tcW w:w="21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贵州桐梓县坡渡镇</w:t>
            </w:r>
          </w:p>
        </w:tc>
        <w:tc>
          <w:tcPr>
            <w:tcW w:w="363"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新建</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62" w:type="pct"/>
            <w:noWrap w:val="0"/>
            <w:vAlign w:val="center"/>
          </w:tcPr>
          <w:p>
            <w:pPr>
              <w:spacing w:line="240" w:lineRule="exact"/>
              <w:ind w:firstLine="0" w:firstLineChars="0"/>
              <w:jc w:val="center"/>
              <w:rPr>
                <w:rFonts w:hint="eastAsia" w:ascii="楷体_GB2312" w:hAnsi="宋体" w:eastAsia="楷体_GB2312" w:cs="宋体"/>
                <w:snapToGrid w:val="0"/>
                <w:kern w:val="0"/>
                <w:sz w:val="21"/>
                <w:szCs w:val="21"/>
              </w:rPr>
            </w:pPr>
            <w:r>
              <w:rPr>
                <w:rFonts w:hint="eastAsia" w:ascii="楷体_GB2312" w:eastAsia="楷体_GB2312"/>
                <w:snapToGrid w:val="0"/>
                <w:kern w:val="0"/>
                <w:sz w:val="21"/>
                <w:szCs w:val="21"/>
              </w:rPr>
              <w:t>7</w:t>
            </w:r>
          </w:p>
        </w:tc>
        <w:tc>
          <w:tcPr>
            <w:tcW w:w="48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水坝塘</w:t>
            </w:r>
          </w:p>
        </w:tc>
        <w:tc>
          <w:tcPr>
            <w:tcW w:w="3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雨量</w:t>
            </w:r>
          </w:p>
        </w:tc>
        <w:tc>
          <w:tcPr>
            <w:tcW w:w="6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107°5′</w:t>
            </w:r>
          </w:p>
        </w:tc>
        <w:tc>
          <w:tcPr>
            <w:tcW w:w="60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28°44′</w:t>
            </w:r>
          </w:p>
        </w:tc>
        <w:tc>
          <w:tcPr>
            <w:tcW w:w="21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贵州桐梓县水坝塘镇</w:t>
            </w:r>
          </w:p>
        </w:tc>
        <w:tc>
          <w:tcPr>
            <w:tcW w:w="363"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新建</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62" w:type="pct"/>
            <w:noWrap w:val="0"/>
            <w:vAlign w:val="center"/>
          </w:tcPr>
          <w:p>
            <w:pPr>
              <w:spacing w:line="240" w:lineRule="exact"/>
              <w:ind w:firstLine="0" w:firstLineChars="0"/>
              <w:jc w:val="center"/>
              <w:rPr>
                <w:rFonts w:hint="eastAsia" w:ascii="楷体_GB2312" w:hAnsi="宋体" w:eastAsia="楷体_GB2312" w:cs="宋体"/>
                <w:snapToGrid w:val="0"/>
                <w:kern w:val="0"/>
                <w:sz w:val="21"/>
                <w:szCs w:val="21"/>
              </w:rPr>
            </w:pPr>
            <w:r>
              <w:rPr>
                <w:rFonts w:hint="eastAsia" w:ascii="楷体_GB2312" w:eastAsia="楷体_GB2312"/>
                <w:snapToGrid w:val="0"/>
                <w:kern w:val="0"/>
                <w:sz w:val="21"/>
                <w:szCs w:val="21"/>
              </w:rPr>
              <w:t>8</w:t>
            </w:r>
          </w:p>
        </w:tc>
        <w:tc>
          <w:tcPr>
            <w:tcW w:w="48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狮溪</w:t>
            </w:r>
          </w:p>
        </w:tc>
        <w:tc>
          <w:tcPr>
            <w:tcW w:w="3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雨量</w:t>
            </w:r>
          </w:p>
        </w:tc>
        <w:tc>
          <w:tcPr>
            <w:tcW w:w="6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107°8′</w:t>
            </w:r>
          </w:p>
        </w:tc>
        <w:tc>
          <w:tcPr>
            <w:tcW w:w="60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28°50′</w:t>
            </w:r>
          </w:p>
        </w:tc>
        <w:tc>
          <w:tcPr>
            <w:tcW w:w="21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贵州桐梓县狮溪镇</w:t>
            </w:r>
          </w:p>
        </w:tc>
        <w:tc>
          <w:tcPr>
            <w:tcW w:w="363"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新建</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62" w:type="pct"/>
            <w:noWrap w:val="0"/>
            <w:vAlign w:val="center"/>
          </w:tcPr>
          <w:p>
            <w:pPr>
              <w:spacing w:line="240" w:lineRule="exact"/>
              <w:ind w:firstLine="0" w:firstLineChars="0"/>
              <w:jc w:val="center"/>
              <w:rPr>
                <w:rFonts w:hint="eastAsia" w:ascii="楷体_GB2312" w:hAnsi="宋体" w:eastAsia="楷体_GB2312" w:cs="宋体"/>
                <w:snapToGrid w:val="0"/>
                <w:kern w:val="0"/>
                <w:sz w:val="21"/>
                <w:szCs w:val="21"/>
              </w:rPr>
            </w:pPr>
            <w:r>
              <w:rPr>
                <w:rFonts w:hint="eastAsia" w:ascii="楷体_GB2312" w:eastAsia="楷体_GB2312"/>
                <w:snapToGrid w:val="0"/>
                <w:kern w:val="0"/>
                <w:sz w:val="21"/>
                <w:szCs w:val="21"/>
              </w:rPr>
              <w:t>9</w:t>
            </w:r>
          </w:p>
        </w:tc>
        <w:tc>
          <w:tcPr>
            <w:tcW w:w="48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芭蕉</w:t>
            </w:r>
          </w:p>
        </w:tc>
        <w:tc>
          <w:tcPr>
            <w:tcW w:w="3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雨量</w:t>
            </w:r>
          </w:p>
        </w:tc>
        <w:tc>
          <w:tcPr>
            <w:tcW w:w="6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107°12′</w:t>
            </w:r>
          </w:p>
        </w:tc>
        <w:tc>
          <w:tcPr>
            <w:tcW w:w="60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28°44′</w:t>
            </w:r>
          </w:p>
        </w:tc>
        <w:tc>
          <w:tcPr>
            <w:tcW w:w="21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贵州桐梓县芭蕉乡</w:t>
            </w:r>
          </w:p>
        </w:tc>
        <w:tc>
          <w:tcPr>
            <w:tcW w:w="363"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新建</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62" w:type="pct"/>
            <w:noWrap w:val="0"/>
            <w:vAlign w:val="center"/>
          </w:tcPr>
          <w:p>
            <w:pPr>
              <w:spacing w:line="240" w:lineRule="exact"/>
              <w:ind w:firstLine="0" w:firstLineChars="0"/>
              <w:jc w:val="center"/>
              <w:rPr>
                <w:rFonts w:hint="eastAsia" w:ascii="楷体_GB2312" w:hAnsi="宋体" w:eastAsia="楷体_GB2312" w:cs="宋体"/>
                <w:snapToGrid w:val="0"/>
                <w:kern w:val="0"/>
                <w:sz w:val="21"/>
                <w:szCs w:val="21"/>
              </w:rPr>
            </w:pPr>
            <w:r>
              <w:rPr>
                <w:rFonts w:hint="eastAsia" w:ascii="楷体_GB2312" w:eastAsia="楷体_GB2312"/>
                <w:snapToGrid w:val="0"/>
                <w:kern w:val="0"/>
                <w:sz w:val="21"/>
                <w:szCs w:val="21"/>
              </w:rPr>
              <w:t>10</w:t>
            </w:r>
          </w:p>
        </w:tc>
        <w:tc>
          <w:tcPr>
            <w:tcW w:w="48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羊角</w:t>
            </w:r>
          </w:p>
        </w:tc>
        <w:tc>
          <w:tcPr>
            <w:tcW w:w="3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雨量</w:t>
            </w:r>
          </w:p>
        </w:tc>
        <w:tc>
          <w:tcPr>
            <w:tcW w:w="6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106°48′</w:t>
            </w:r>
          </w:p>
        </w:tc>
        <w:tc>
          <w:tcPr>
            <w:tcW w:w="60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28°38′</w:t>
            </w:r>
          </w:p>
        </w:tc>
        <w:tc>
          <w:tcPr>
            <w:tcW w:w="21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重庆市綦江区羊角乡羊角村</w:t>
            </w:r>
          </w:p>
        </w:tc>
        <w:tc>
          <w:tcPr>
            <w:tcW w:w="363" w:type="pct"/>
            <w:noWrap w:val="0"/>
            <w:vAlign w:val="center"/>
          </w:tcPr>
          <w:p>
            <w:pPr>
              <w:spacing w:line="240" w:lineRule="exact"/>
              <w:ind w:firstLine="0" w:firstLineChars="0"/>
              <w:jc w:val="center"/>
              <w:rPr>
                <w:rFonts w:hint="eastAsia" w:ascii="楷体_GB2312" w:eastAsia="楷体_GB2312"/>
                <w:snapToGrid w:val="0"/>
                <w:kern w:val="0"/>
                <w:sz w:val="21"/>
                <w:szCs w:val="21"/>
              </w:rPr>
            </w:pP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62" w:type="pct"/>
            <w:noWrap w:val="0"/>
            <w:vAlign w:val="center"/>
          </w:tcPr>
          <w:p>
            <w:pPr>
              <w:spacing w:line="240" w:lineRule="exact"/>
              <w:ind w:firstLine="0" w:firstLineChars="0"/>
              <w:jc w:val="center"/>
              <w:rPr>
                <w:rFonts w:hint="eastAsia" w:ascii="楷体_GB2312" w:hAnsi="宋体" w:eastAsia="楷体_GB2312" w:cs="宋体"/>
                <w:snapToGrid w:val="0"/>
                <w:kern w:val="0"/>
                <w:sz w:val="21"/>
                <w:szCs w:val="21"/>
              </w:rPr>
            </w:pPr>
            <w:r>
              <w:rPr>
                <w:rFonts w:hint="eastAsia" w:ascii="楷体_GB2312" w:eastAsia="楷体_GB2312"/>
                <w:snapToGrid w:val="0"/>
                <w:kern w:val="0"/>
                <w:sz w:val="21"/>
                <w:szCs w:val="21"/>
              </w:rPr>
              <w:t>11</w:t>
            </w:r>
          </w:p>
        </w:tc>
        <w:tc>
          <w:tcPr>
            <w:tcW w:w="48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夜郎</w:t>
            </w:r>
          </w:p>
        </w:tc>
        <w:tc>
          <w:tcPr>
            <w:tcW w:w="3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雨量</w:t>
            </w:r>
          </w:p>
        </w:tc>
        <w:tc>
          <w:tcPr>
            <w:tcW w:w="6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106°51′</w:t>
            </w:r>
          </w:p>
        </w:tc>
        <w:tc>
          <w:tcPr>
            <w:tcW w:w="60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28°23′</w:t>
            </w:r>
          </w:p>
        </w:tc>
        <w:tc>
          <w:tcPr>
            <w:tcW w:w="21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贵州桐梓县夜郎乡田坝村</w:t>
            </w:r>
          </w:p>
        </w:tc>
        <w:tc>
          <w:tcPr>
            <w:tcW w:w="363" w:type="pct"/>
            <w:noWrap w:val="0"/>
            <w:vAlign w:val="center"/>
          </w:tcPr>
          <w:p>
            <w:pPr>
              <w:spacing w:line="240" w:lineRule="exact"/>
              <w:ind w:firstLine="0" w:firstLineChars="0"/>
              <w:jc w:val="center"/>
              <w:rPr>
                <w:rFonts w:hint="eastAsia" w:ascii="楷体_GB2312" w:eastAsia="楷体_GB2312"/>
                <w:snapToGrid w:val="0"/>
                <w:kern w:val="0"/>
                <w:sz w:val="21"/>
                <w:szCs w:val="21"/>
              </w:rPr>
            </w:pP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62" w:type="pct"/>
            <w:noWrap w:val="0"/>
            <w:vAlign w:val="center"/>
          </w:tcPr>
          <w:p>
            <w:pPr>
              <w:spacing w:line="240" w:lineRule="exact"/>
              <w:ind w:firstLine="0" w:firstLineChars="0"/>
              <w:jc w:val="center"/>
              <w:rPr>
                <w:rFonts w:hint="eastAsia" w:ascii="楷体_GB2312" w:hAnsi="宋体" w:eastAsia="楷体_GB2312" w:cs="宋体"/>
                <w:snapToGrid w:val="0"/>
                <w:kern w:val="0"/>
                <w:sz w:val="21"/>
                <w:szCs w:val="21"/>
              </w:rPr>
            </w:pPr>
            <w:r>
              <w:rPr>
                <w:rFonts w:hint="eastAsia" w:ascii="楷体_GB2312" w:eastAsia="楷体_GB2312"/>
                <w:snapToGrid w:val="0"/>
                <w:kern w:val="0"/>
                <w:sz w:val="21"/>
                <w:szCs w:val="21"/>
              </w:rPr>
              <w:t>12</w:t>
            </w:r>
          </w:p>
        </w:tc>
        <w:tc>
          <w:tcPr>
            <w:tcW w:w="48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新站</w:t>
            </w:r>
          </w:p>
        </w:tc>
        <w:tc>
          <w:tcPr>
            <w:tcW w:w="3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雨量</w:t>
            </w:r>
          </w:p>
        </w:tc>
        <w:tc>
          <w:tcPr>
            <w:tcW w:w="6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106°47′</w:t>
            </w:r>
          </w:p>
        </w:tc>
        <w:tc>
          <w:tcPr>
            <w:tcW w:w="60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28°24′</w:t>
            </w:r>
          </w:p>
        </w:tc>
        <w:tc>
          <w:tcPr>
            <w:tcW w:w="21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贵州桐梓县农里乡新站</w:t>
            </w:r>
          </w:p>
        </w:tc>
        <w:tc>
          <w:tcPr>
            <w:tcW w:w="363" w:type="pct"/>
            <w:noWrap w:val="0"/>
            <w:vAlign w:val="center"/>
          </w:tcPr>
          <w:p>
            <w:pPr>
              <w:spacing w:line="240" w:lineRule="exact"/>
              <w:ind w:firstLine="0" w:firstLineChars="0"/>
              <w:jc w:val="center"/>
              <w:rPr>
                <w:rFonts w:hint="eastAsia" w:ascii="楷体_GB2312" w:eastAsia="楷体_GB2312"/>
                <w:snapToGrid w:val="0"/>
                <w:kern w:val="0"/>
                <w:sz w:val="21"/>
                <w:szCs w:val="21"/>
              </w:rPr>
            </w:pP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62" w:type="pct"/>
            <w:vMerge w:val="restar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序号</w:t>
            </w:r>
          </w:p>
        </w:tc>
        <w:tc>
          <w:tcPr>
            <w:tcW w:w="482" w:type="pct"/>
            <w:vMerge w:val="restar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站名</w:t>
            </w:r>
          </w:p>
        </w:tc>
        <w:tc>
          <w:tcPr>
            <w:tcW w:w="362" w:type="pct"/>
            <w:vMerge w:val="restar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站别</w:t>
            </w:r>
          </w:p>
        </w:tc>
        <w:tc>
          <w:tcPr>
            <w:tcW w:w="1265" w:type="pct"/>
            <w:gridSpan w:val="2"/>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坐标</w:t>
            </w:r>
          </w:p>
        </w:tc>
        <w:tc>
          <w:tcPr>
            <w:tcW w:w="2162" w:type="pct"/>
            <w:vMerge w:val="restar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地理位置</w:t>
            </w:r>
          </w:p>
        </w:tc>
        <w:tc>
          <w:tcPr>
            <w:tcW w:w="363" w:type="pct"/>
            <w:vMerge w:val="restar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备注</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62" w:type="pct"/>
            <w:vMerge w:val="continue"/>
            <w:noWrap w:val="0"/>
            <w:vAlign w:val="center"/>
          </w:tcPr>
          <w:p>
            <w:pPr>
              <w:spacing w:line="240" w:lineRule="exact"/>
              <w:ind w:firstLine="0" w:firstLineChars="0"/>
              <w:jc w:val="center"/>
              <w:rPr>
                <w:rFonts w:hint="eastAsia" w:ascii="楷体_GB2312" w:eastAsia="楷体_GB2312"/>
                <w:snapToGrid w:val="0"/>
                <w:kern w:val="0"/>
                <w:sz w:val="21"/>
                <w:szCs w:val="21"/>
              </w:rPr>
            </w:pPr>
          </w:p>
        </w:tc>
        <w:tc>
          <w:tcPr>
            <w:tcW w:w="482" w:type="pct"/>
            <w:vMerge w:val="continue"/>
            <w:noWrap w:val="0"/>
            <w:vAlign w:val="center"/>
          </w:tcPr>
          <w:p>
            <w:pPr>
              <w:spacing w:line="240" w:lineRule="exact"/>
              <w:ind w:firstLine="0" w:firstLineChars="0"/>
              <w:jc w:val="center"/>
              <w:rPr>
                <w:rFonts w:hint="eastAsia" w:ascii="楷体_GB2312" w:eastAsia="楷体_GB2312"/>
                <w:snapToGrid w:val="0"/>
                <w:kern w:val="0"/>
                <w:sz w:val="21"/>
                <w:szCs w:val="21"/>
              </w:rPr>
            </w:pPr>
          </w:p>
        </w:tc>
        <w:tc>
          <w:tcPr>
            <w:tcW w:w="362" w:type="pct"/>
            <w:vMerge w:val="continue"/>
            <w:noWrap w:val="0"/>
            <w:vAlign w:val="center"/>
          </w:tcPr>
          <w:p>
            <w:pPr>
              <w:spacing w:line="240" w:lineRule="exact"/>
              <w:ind w:firstLine="0" w:firstLineChars="0"/>
              <w:jc w:val="center"/>
              <w:rPr>
                <w:rFonts w:hint="eastAsia" w:ascii="楷体_GB2312" w:eastAsia="楷体_GB2312"/>
                <w:snapToGrid w:val="0"/>
                <w:kern w:val="0"/>
                <w:sz w:val="21"/>
                <w:szCs w:val="21"/>
              </w:rPr>
            </w:pPr>
          </w:p>
        </w:tc>
        <w:tc>
          <w:tcPr>
            <w:tcW w:w="6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东经</w:t>
            </w:r>
          </w:p>
        </w:tc>
        <w:tc>
          <w:tcPr>
            <w:tcW w:w="60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北纬</w:t>
            </w:r>
          </w:p>
        </w:tc>
        <w:tc>
          <w:tcPr>
            <w:tcW w:w="2162" w:type="pct"/>
            <w:vMerge w:val="continue"/>
            <w:noWrap w:val="0"/>
            <w:vAlign w:val="center"/>
          </w:tcPr>
          <w:p>
            <w:pPr>
              <w:spacing w:line="240" w:lineRule="exact"/>
              <w:ind w:firstLine="0" w:firstLineChars="0"/>
              <w:jc w:val="center"/>
              <w:rPr>
                <w:rFonts w:hint="eastAsia" w:ascii="楷体_GB2312" w:eastAsia="楷体_GB2312"/>
                <w:snapToGrid w:val="0"/>
                <w:kern w:val="0"/>
                <w:sz w:val="21"/>
                <w:szCs w:val="21"/>
              </w:rPr>
            </w:pPr>
          </w:p>
        </w:tc>
        <w:tc>
          <w:tcPr>
            <w:tcW w:w="363" w:type="pct"/>
            <w:vMerge w:val="continue"/>
            <w:noWrap w:val="0"/>
            <w:vAlign w:val="center"/>
          </w:tcPr>
          <w:p>
            <w:pPr>
              <w:spacing w:line="240" w:lineRule="exact"/>
              <w:ind w:firstLine="0" w:firstLineChars="0"/>
              <w:jc w:val="center"/>
              <w:rPr>
                <w:rFonts w:hint="eastAsia" w:ascii="楷体_GB2312" w:eastAsia="楷体_GB2312"/>
                <w:snapToGrid w:val="0"/>
                <w:kern w:val="0"/>
                <w:sz w:val="21"/>
                <w:szCs w:val="21"/>
              </w:rPr>
            </w:pP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62" w:type="pct"/>
            <w:noWrap w:val="0"/>
            <w:vAlign w:val="center"/>
          </w:tcPr>
          <w:p>
            <w:pPr>
              <w:spacing w:line="240" w:lineRule="exact"/>
              <w:ind w:firstLine="0" w:firstLineChars="0"/>
              <w:jc w:val="center"/>
              <w:rPr>
                <w:rFonts w:hint="eastAsia" w:ascii="楷体_GB2312" w:hAnsi="宋体" w:eastAsia="楷体_GB2312" w:cs="宋体"/>
                <w:snapToGrid w:val="0"/>
                <w:kern w:val="0"/>
                <w:sz w:val="21"/>
                <w:szCs w:val="21"/>
              </w:rPr>
            </w:pPr>
            <w:r>
              <w:rPr>
                <w:rFonts w:hint="eastAsia" w:ascii="楷体_GB2312" w:eastAsia="楷体_GB2312"/>
                <w:snapToGrid w:val="0"/>
                <w:kern w:val="0"/>
                <w:sz w:val="21"/>
                <w:szCs w:val="21"/>
              </w:rPr>
              <w:t>13</w:t>
            </w:r>
          </w:p>
        </w:tc>
        <w:tc>
          <w:tcPr>
            <w:tcW w:w="48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石壕</w:t>
            </w:r>
          </w:p>
        </w:tc>
        <w:tc>
          <w:tcPr>
            <w:tcW w:w="3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雨量</w:t>
            </w:r>
          </w:p>
        </w:tc>
        <w:tc>
          <w:tcPr>
            <w:tcW w:w="6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106°41′</w:t>
            </w:r>
          </w:p>
        </w:tc>
        <w:tc>
          <w:tcPr>
            <w:tcW w:w="60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28°32′</w:t>
            </w:r>
          </w:p>
        </w:tc>
        <w:tc>
          <w:tcPr>
            <w:tcW w:w="21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石壕镇石泉村</w:t>
            </w:r>
          </w:p>
        </w:tc>
        <w:tc>
          <w:tcPr>
            <w:tcW w:w="363" w:type="pct"/>
            <w:noWrap w:val="0"/>
            <w:vAlign w:val="center"/>
          </w:tcPr>
          <w:p>
            <w:pPr>
              <w:spacing w:line="240" w:lineRule="exact"/>
              <w:ind w:firstLine="0" w:firstLineChars="0"/>
              <w:jc w:val="center"/>
              <w:rPr>
                <w:rFonts w:hint="eastAsia" w:ascii="楷体_GB2312" w:eastAsia="楷体_GB2312"/>
                <w:snapToGrid w:val="0"/>
                <w:kern w:val="0"/>
                <w:sz w:val="21"/>
                <w:szCs w:val="21"/>
              </w:rPr>
            </w:pP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62" w:type="pct"/>
            <w:noWrap w:val="0"/>
            <w:vAlign w:val="center"/>
          </w:tcPr>
          <w:p>
            <w:pPr>
              <w:spacing w:line="240" w:lineRule="exact"/>
              <w:ind w:firstLine="0" w:firstLineChars="0"/>
              <w:jc w:val="center"/>
              <w:rPr>
                <w:rFonts w:hint="eastAsia" w:ascii="楷体_GB2312" w:hAnsi="宋体" w:eastAsia="楷体_GB2312" w:cs="宋体"/>
                <w:snapToGrid w:val="0"/>
                <w:kern w:val="0"/>
                <w:sz w:val="21"/>
                <w:szCs w:val="21"/>
              </w:rPr>
            </w:pPr>
            <w:r>
              <w:rPr>
                <w:rFonts w:hint="eastAsia" w:ascii="楷体_GB2312" w:eastAsia="楷体_GB2312"/>
                <w:snapToGrid w:val="0"/>
                <w:kern w:val="0"/>
                <w:sz w:val="21"/>
                <w:szCs w:val="21"/>
              </w:rPr>
              <w:t>14</w:t>
            </w:r>
          </w:p>
        </w:tc>
        <w:tc>
          <w:tcPr>
            <w:tcW w:w="48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神童</w:t>
            </w:r>
          </w:p>
        </w:tc>
        <w:tc>
          <w:tcPr>
            <w:tcW w:w="3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雨量</w:t>
            </w:r>
          </w:p>
        </w:tc>
        <w:tc>
          <w:tcPr>
            <w:tcW w:w="6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106°55′</w:t>
            </w:r>
          </w:p>
        </w:tc>
        <w:tc>
          <w:tcPr>
            <w:tcW w:w="60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29°11′</w:t>
            </w:r>
          </w:p>
        </w:tc>
        <w:tc>
          <w:tcPr>
            <w:tcW w:w="21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重庆市南川神童镇金钟村</w:t>
            </w:r>
          </w:p>
        </w:tc>
        <w:tc>
          <w:tcPr>
            <w:tcW w:w="363" w:type="pct"/>
            <w:noWrap w:val="0"/>
            <w:vAlign w:val="center"/>
          </w:tcPr>
          <w:p>
            <w:pPr>
              <w:spacing w:line="240" w:lineRule="exact"/>
              <w:ind w:firstLine="0" w:firstLineChars="0"/>
              <w:jc w:val="center"/>
              <w:rPr>
                <w:rFonts w:hint="eastAsia" w:ascii="楷体_GB2312" w:eastAsia="楷体_GB2312"/>
                <w:snapToGrid w:val="0"/>
                <w:kern w:val="0"/>
                <w:sz w:val="21"/>
                <w:szCs w:val="21"/>
              </w:rPr>
            </w:pP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62" w:type="pct"/>
            <w:noWrap w:val="0"/>
            <w:vAlign w:val="center"/>
          </w:tcPr>
          <w:p>
            <w:pPr>
              <w:spacing w:line="240" w:lineRule="exact"/>
              <w:ind w:firstLine="0" w:firstLineChars="0"/>
              <w:jc w:val="center"/>
              <w:rPr>
                <w:rFonts w:hint="eastAsia" w:ascii="楷体_GB2312" w:hAnsi="宋体" w:eastAsia="楷体_GB2312" w:cs="宋体"/>
                <w:snapToGrid w:val="0"/>
                <w:kern w:val="0"/>
                <w:sz w:val="21"/>
                <w:szCs w:val="21"/>
              </w:rPr>
            </w:pPr>
            <w:r>
              <w:rPr>
                <w:rFonts w:hint="eastAsia" w:ascii="楷体_GB2312" w:eastAsia="楷体_GB2312"/>
                <w:snapToGrid w:val="0"/>
                <w:kern w:val="0"/>
                <w:sz w:val="21"/>
                <w:szCs w:val="21"/>
              </w:rPr>
              <w:t>15</w:t>
            </w:r>
          </w:p>
        </w:tc>
        <w:tc>
          <w:tcPr>
            <w:tcW w:w="48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石莲</w:t>
            </w:r>
          </w:p>
        </w:tc>
        <w:tc>
          <w:tcPr>
            <w:tcW w:w="3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雨量</w:t>
            </w:r>
          </w:p>
        </w:tc>
        <w:tc>
          <w:tcPr>
            <w:tcW w:w="6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106°55′</w:t>
            </w:r>
          </w:p>
        </w:tc>
        <w:tc>
          <w:tcPr>
            <w:tcW w:w="60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29°04′</w:t>
            </w:r>
          </w:p>
        </w:tc>
        <w:tc>
          <w:tcPr>
            <w:tcW w:w="21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重庆市南川区石莲乡新民村</w:t>
            </w:r>
          </w:p>
        </w:tc>
        <w:tc>
          <w:tcPr>
            <w:tcW w:w="363" w:type="pct"/>
            <w:noWrap w:val="0"/>
            <w:vAlign w:val="center"/>
          </w:tcPr>
          <w:p>
            <w:pPr>
              <w:spacing w:line="240" w:lineRule="exact"/>
              <w:ind w:firstLine="0" w:firstLineChars="0"/>
              <w:jc w:val="center"/>
              <w:rPr>
                <w:rFonts w:hint="eastAsia" w:ascii="楷体_GB2312" w:eastAsia="楷体_GB2312"/>
                <w:snapToGrid w:val="0"/>
                <w:kern w:val="0"/>
                <w:sz w:val="21"/>
                <w:szCs w:val="21"/>
              </w:rPr>
            </w:pP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62" w:type="pct"/>
            <w:noWrap w:val="0"/>
            <w:vAlign w:val="center"/>
          </w:tcPr>
          <w:p>
            <w:pPr>
              <w:spacing w:line="240" w:lineRule="exact"/>
              <w:ind w:firstLine="0" w:firstLineChars="0"/>
              <w:jc w:val="center"/>
              <w:rPr>
                <w:rFonts w:hint="eastAsia" w:ascii="楷体_GB2312" w:hAnsi="宋体" w:eastAsia="楷体_GB2312" w:cs="宋体"/>
                <w:snapToGrid w:val="0"/>
                <w:kern w:val="0"/>
                <w:sz w:val="21"/>
                <w:szCs w:val="21"/>
              </w:rPr>
            </w:pPr>
            <w:r>
              <w:rPr>
                <w:rFonts w:hint="eastAsia" w:ascii="楷体_GB2312" w:eastAsia="楷体_GB2312"/>
                <w:snapToGrid w:val="0"/>
                <w:kern w:val="0"/>
                <w:sz w:val="21"/>
                <w:szCs w:val="21"/>
              </w:rPr>
              <w:t>16</w:t>
            </w:r>
          </w:p>
        </w:tc>
        <w:tc>
          <w:tcPr>
            <w:tcW w:w="48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南桐</w:t>
            </w:r>
          </w:p>
        </w:tc>
        <w:tc>
          <w:tcPr>
            <w:tcW w:w="3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雨量</w:t>
            </w:r>
          </w:p>
        </w:tc>
        <w:tc>
          <w:tcPr>
            <w:tcW w:w="6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106°53′</w:t>
            </w:r>
          </w:p>
        </w:tc>
        <w:tc>
          <w:tcPr>
            <w:tcW w:w="60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28°56′</w:t>
            </w:r>
          </w:p>
        </w:tc>
        <w:tc>
          <w:tcPr>
            <w:tcW w:w="21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重庆市万盛区南桐镇石桥村</w:t>
            </w:r>
          </w:p>
        </w:tc>
        <w:tc>
          <w:tcPr>
            <w:tcW w:w="363" w:type="pct"/>
            <w:noWrap w:val="0"/>
            <w:vAlign w:val="center"/>
          </w:tcPr>
          <w:p>
            <w:pPr>
              <w:spacing w:line="240" w:lineRule="exact"/>
              <w:ind w:firstLine="0" w:firstLineChars="0"/>
              <w:jc w:val="center"/>
              <w:rPr>
                <w:rFonts w:hint="eastAsia" w:ascii="楷体_GB2312" w:eastAsia="楷体_GB2312"/>
                <w:snapToGrid w:val="0"/>
                <w:kern w:val="0"/>
                <w:sz w:val="21"/>
                <w:szCs w:val="21"/>
              </w:rPr>
            </w:pP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62" w:type="pct"/>
            <w:noWrap w:val="0"/>
            <w:vAlign w:val="center"/>
          </w:tcPr>
          <w:p>
            <w:pPr>
              <w:spacing w:line="240" w:lineRule="exact"/>
              <w:ind w:firstLine="0" w:firstLineChars="0"/>
              <w:jc w:val="center"/>
              <w:rPr>
                <w:rFonts w:hint="eastAsia" w:ascii="楷体_GB2312" w:hAnsi="宋体" w:eastAsia="楷体_GB2312" w:cs="宋体"/>
                <w:snapToGrid w:val="0"/>
                <w:kern w:val="0"/>
                <w:sz w:val="21"/>
                <w:szCs w:val="21"/>
              </w:rPr>
            </w:pPr>
            <w:r>
              <w:rPr>
                <w:rFonts w:hint="eastAsia" w:ascii="楷体_GB2312" w:eastAsia="楷体_GB2312"/>
                <w:snapToGrid w:val="0"/>
                <w:kern w:val="0"/>
                <w:sz w:val="21"/>
                <w:szCs w:val="21"/>
              </w:rPr>
              <w:t>17</w:t>
            </w:r>
          </w:p>
        </w:tc>
        <w:tc>
          <w:tcPr>
            <w:tcW w:w="48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万盛</w:t>
            </w:r>
          </w:p>
        </w:tc>
        <w:tc>
          <w:tcPr>
            <w:tcW w:w="3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雨量</w:t>
            </w:r>
          </w:p>
        </w:tc>
        <w:tc>
          <w:tcPr>
            <w:tcW w:w="6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106°56′</w:t>
            </w:r>
          </w:p>
        </w:tc>
        <w:tc>
          <w:tcPr>
            <w:tcW w:w="60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28°58′</w:t>
            </w:r>
          </w:p>
        </w:tc>
        <w:tc>
          <w:tcPr>
            <w:tcW w:w="21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重庆市万盛区万东镇团结村</w:t>
            </w:r>
          </w:p>
        </w:tc>
        <w:tc>
          <w:tcPr>
            <w:tcW w:w="363" w:type="pct"/>
            <w:noWrap w:val="0"/>
            <w:vAlign w:val="center"/>
          </w:tcPr>
          <w:p>
            <w:pPr>
              <w:spacing w:line="240" w:lineRule="exact"/>
              <w:ind w:firstLine="0" w:firstLineChars="0"/>
              <w:jc w:val="center"/>
              <w:rPr>
                <w:rFonts w:hint="eastAsia" w:ascii="楷体_GB2312" w:eastAsia="楷体_GB2312"/>
                <w:snapToGrid w:val="0"/>
                <w:kern w:val="0"/>
                <w:sz w:val="21"/>
                <w:szCs w:val="21"/>
              </w:rPr>
            </w:pP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62" w:type="pct"/>
            <w:noWrap w:val="0"/>
            <w:vAlign w:val="center"/>
          </w:tcPr>
          <w:p>
            <w:pPr>
              <w:spacing w:line="240" w:lineRule="exact"/>
              <w:ind w:firstLine="0" w:firstLineChars="0"/>
              <w:jc w:val="center"/>
              <w:rPr>
                <w:rFonts w:hint="eastAsia" w:ascii="楷体_GB2312" w:hAnsi="宋体" w:eastAsia="楷体_GB2312" w:cs="宋体"/>
                <w:snapToGrid w:val="0"/>
                <w:kern w:val="0"/>
                <w:sz w:val="21"/>
                <w:szCs w:val="21"/>
              </w:rPr>
            </w:pPr>
            <w:r>
              <w:rPr>
                <w:rFonts w:hint="eastAsia" w:ascii="楷体_GB2312" w:eastAsia="楷体_GB2312"/>
                <w:snapToGrid w:val="0"/>
                <w:kern w:val="0"/>
                <w:sz w:val="21"/>
                <w:szCs w:val="21"/>
              </w:rPr>
              <w:t>18</w:t>
            </w:r>
          </w:p>
        </w:tc>
        <w:tc>
          <w:tcPr>
            <w:tcW w:w="48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隆盛</w:t>
            </w:r>
          </w:p>
        </w:tc>
        <w:tc>
          <w:tcPr>
            <w:tcW w:w="3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雨量</w:t>
            </w:r>
          </w:p>
        </w:tc>
        <w:tc>
          <w:tcPr>
            <w:tcW w:w="6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106°49′</w:t>
            </w:r>
          </w:p>
        </w:tc>
        <w:tc>
          <w:tcPr>
            <w:tcW w:w="60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29°05′</w:t>
            </w:r>
          </w:p>
        </w:tc>
        <w:tc>
          <w:tcPr>
            <w:tcW w:w="21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重庆市綦江区隆盛镇新屋村</w:t>
            </w:r>
          </w:p>
        </w:tc>
        <w:tc>
          <w:tcPr>
            <w:tcW w:w="363" w:type="pct"/>
            <w:noWrap w:val="0"/>
            <w:vAlign w:val="center"/>
          </w:tcPr>
          <w:p>
            <w:pPr>
              <w:spacing w:line="240" w:lineRule="exact"/>
              <w:ind w:firstLine="0" w:firstLineChars="0"/>
              <w:jc w:val="center"/>
              <w:rPr>
                <w:rFonts w:hint="eastAsia" w:ascii="楷体_GB2312" w:eastAsia="楷体_GB2312"/>
                <w:snapToGrid w:val="0"/>
                <w:kern w:val="0"/>
                <w:sz w:val="21"/>
                <w:szCs w:val="21"/>
              </w:rPr>
            </w:pP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62" w:type="pct"/>
            <w:noWrap w:val="0"/>
            <w:vAlign w:val="center"/>
          </w:tcPr>
          <w:p>
            <w:pPr>
              <w:spacing w:line="240" w:lineRule="exact"/>
              <w:ind w:firstLine="0" w:firstLineChars="0"/>
              <w:jc w:val="center"/>
              <w:rPr>
                <w:rFonts w:hint="eastAsia" w:ascii="楷体_GB2312" w:hAnsi="宋体" w:eastAsia="楷体_GB2312" w:cs="宋体"/>
                <w:snapToGrid w:val="0"/>
                <w:kern w:val="0"/>
                <w:sz w:val="21"/>
                <w:szCs w:val="21"/>
              </w:rPr>
            </w:pPr>
            <w:r>
              <w:rPr>
                <w:rFonts w:hint="eastAsia" w:ascii="楷体_GB2312" w:eastAsia="楷体_GB2312"/>
                <w:snapToGrid w:val="0"/>
                <w:kern w:val="0"/>
                <w:sz w:val="21"/>
                <w:szCs w:val="21"/>
              </w:rPr>
              <w:t>19</w:t>
            </w:r>
          </w:p>
        </w:tc>
        <w:tc>
          <w:tcPr>
            <w:tcW w:w="48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乐兴</w:t>
            </w:r>
          </w:p>
        </w:tc>
        <w:tc>
          <w:tcPr>
            <w:tcW w:w="3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雨量</w:t>
            </w:r>
          </w:p>
        </w:tc>
        <w:tc>
          <w:tcPr>
            <w:tcW w:w="6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106°44′</w:t>
            </w:r>
          </w:p>
        </w:tc>
        <w:tc>
          <w:tcPr>
            <w:tcW w:w="60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29°10′</w:t>
            </w:r>
          </w:p>
        </w:tc>
        <w:tc>
          <w:tcPr>
            <w:tcW w:w="2162" w:type="pct"/>
            <w:noWrap w:val="0"/>
            <w:vAlign w:val="center"/>
          </w:tcPr>
          <w:p>
            <w:pPr>
              <w:spacing w:line="240" w:lineRule="exac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rPr>
              <w:t>重庆市綦江区三角镇乐兴村</w:t>
            </w:r>
          </w:p>
        </w:tc>
        <w:tc>
          <w:tcPr>
            <w:tcW w:w="363" w:type="pct"/>
            <w:noWrap w:val="0"/>
            <w:vAlign w:val="center"/>
          </w:tcPr>
          <w:p>
            <w:pPr>
              <w:spacing w:line="240" w:lineRule="exact"/>
              <w:ind w:firstLine="0" w:firstLineChars="0"/>
              <w:jc w:val="center"/>
              <w:rPr>
                <w:rFonts w:hint="eastAsia" w:ascii="楷体_GB2312" w:eastAsia="楷体_GB2312"/>
                <w:snapToGrid w:val="0"/>
                <w:kern w:val="0"/>
                <w:sz w:val="21"/>
                <w:szCs w:val="21"/>
              </w:rPr>
            </w:pPr>
          </w:p>
        </w:tc>
      </w:tr>
    </w:tbl>
    <w:p>
      <w:pPr>
        <w:spacing w:line="0" w:lineRule="atLeast"/>
        <w:ind w:firstLine="0" w:firstLineChars="0"/>
        <w:jc w:val="center"/>
        <w:rPr>
          <w:rFonts w:hint="eastAsia" w:ascii="黑体" w:eastAsia="黑体" w:cs="宋体"/>
          <w:snapToGrid w:val="0"/>
          <w:sz w:val="24"/>
          <w:szCs w:val="20"/>
        </w:rPr>
      </w:pPr>
    </w:p>
    <w:p>
      <w:pPr>
        <w:spacing w:line="0" w:lineRule="atLeast"/>
        <w:ind w:firstLine="0" w:firstLineChars="0"/>
        <w:jc w:val="center"/>
        <w:rPr>
          <w:rFonts w:hint="eastAsia" w:ascii="黑体" w:eastAsia="黑体" w:cs="宋体"/>
          <w:snapToGrid w:val="0"/>
          <w:sz w:val="24"/>
          <w:szCs w:val="20"/>
        </w:rPr>
      </w:pPr>
      <w:r>
        <w:rPr>
          <w:rFonts w:hint="eastAsia" w:ascii="黑体" w:eastAsia="黑体" w:cs="宋体"/>
          <w:snapToGrid w:val="0"/>
          <w:sz w:val="24"/>
          <w:szCs w:val="20"/>
        </w:rPr>
        <w:drawing>
          <wp:inline distT="0" distB="0" distL="114300" distR="114300">
            <wp:extent cx="4771390" cy="5316855"/>
            <wp:effectExtent l="0" t="0" r="10160" b="17145"/>
            <wp:docPr id="221" name="图片 182" descr="2-2 藻渡河水文站网 规划图 2020 Model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1" name="图片 182" descr="2-2 藻渡河水文站网 规划图 2020 Model (1)"/>
                    <pic:cNvPicPr>
                      <a:picLocks noChangeAspect="true"/>
                    </pic:cNvPicPr>
                  </pic:nvPicPr>
                  <pic:blipFill>
                    <a:blip r:embed="rId261"/>
                    <a:stretch>
                      <a:fillRect/>
                    </a:stretch>
                  </pic:blipFill>
                  <pic:spPr>
                    <a:xfrm>
                      <a:off x="0" y="0"/>
                      <a:ext cx="4771390" cy="5316855"/>
                    </a:xfrm>
                    <a:prstGeom prst="rect">
                      <a:avLst/>
                    </a:prstGeom>
                    <a:noFill/>
                    <a:ln>
                      <a:noFill/>
                    </a:ln>
                  </pic:spPr>
                </pic:pic>
              </a:graphicData>
            </a:graphic>
          </wp:inline>
        </w:drawing>
      </w:r>
    </w:p>
    <w:p>
      <w:pPr>
        <w:pStyle w:val="2886"/>
        <w:rPr>
          <w:rFonts w:hint="default" w:ascii="Times New Roman" w:hAnsi="Times New Roman" w:cs="Times New Roman"/>
        </w:rPr>
      </w:pPr>
      <w:r>
        <w:rPr>
          <w:rFonts w:hint="default" w:ascii="Times New Roman" w:hAnsi="Times New Roman" w:cs="Times New Roman"/>
        </w:rPr>
        <w:t>图8.2</w:t>
      </w:r>
      <w:r>
        <w:rPr>
          <w:rFonts w:hint="default" w:ascii="Times New Roman" w:hAnsi="Times New Roman" w:cs="Times New Roman"/>
          <w:lang w:eastAsia="zh-CN"/>
        </w:rPr>
        <w:t>—</w:t>
      </w:r>
      <w:r>
        <w:rPr>
          <w:rFonts w:hint="default" w:ascii="Times New Roman" w:hAnsi="Times New Roman" w:cs="Times New Roman"/>
        </w:rPr>
        <w:t>1　　藻渡水库水情自动测报系统站网分布图</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实施水情信息的自动采集与传输，并达到能测取特大洪水的水位、流量数据的要求，在出现突发事件（如漫堤等）时有应急的测验措施。针对发生流域大洪水时，水情具有水位变幅大、含沙量大、流量大、流速快等特点，开发基于“安全第一、效率优先、精度适宜、适度冗余”原则的“空天地水”立体化多维组合式快速应急测洪方法体系，尤其强调“快速”“非接触”和“安全”，实现测得到、测得准、报得出，提升“耳目”能力。</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水位观测可采用免棱镜无人立尺观测技术、无人机搭载雷达水位计观测技术、岸上固定标志法测水位技术等；流量测验可采用天然浮标法测流技术、雷达波非接触式测流技术、无人机浮标测流技术、基于粒子影像跟踪技术的无人机视频测流技术等。由于各种方法均有一定的局限性和适用范围，因此在实际工作中采用多种方法相互补充的方法，以保证数据采集的可靠性与完整性。应急监测时尤其注重监测资料的“时效性”，利用移动互联技术，研制基于“互联网+”的水文应急监测信息管理平台。实现应急监测涉及的任务下达、应急监测、数据传输、合理性分析、快速整理整编等功能的“一站式”业务平台，大幅提高水文应急监测数据处理的时效性和准确性。加强水位、流量、降水等水文要素的应急监测能力，可为工程排险除险和群众避险减灾服务，在减少灾害损失、保障人民生命财产安全方面起到基础支撑作用。</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2．信息传输与共享</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信息传输：进一步采取加密各类信息的报送频次，加强遥感、视频、水文、气象等多源异构信息的融合使用，快速构建可靠、高效的大洪水监测信息传输渠道。在信息报送方面，采用多种信息传输方式保障信息传输的可靠性，建立以北斗卫星作为主信道，GPRS、短信、网络等报汛手段作为备用信道的“一主多备”信息传输模式，遇到故障时随时切换，确保信息及时传输到水情分中心。在信息共享方面，建立完善的信息共享以及应急保障机制，确保信息传输渠道的畅通，通过水利专网、VPN加密传输等手段，保障信息的安全性。此外，定期不定期的开展应急演练，模拟在遇到各种问题下的信息保障能力，加强信息通道的检测，确保渠道通畅、设备运行稳定。</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信息共享：綦江目前涉水的信息平台较多，分属不同行政、部门管理。信息汇总能力与统一调度能力略显不足。应加强不同信息平台之间的对接，尤其是气象、水文、水利、应急等部门之间的协作，实现綦江流域雨情、水情、险情、工情、灾情多源监测信息的共享，提升綦江整体的防汛预警与应急工作水平。</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3．预报技术提升</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为适</w:t>
      </w:r>
      <w:r>
        <w:rPr>
          <w:rFonts w:hint="eastAsia" w:ascii="Times New Roman" w:hAnsi="Times New Roman" w:eastAsia="方正仿宋_GBK" w:cs="Times New Roman"/>
          <w:bCs/>
          <w:spacing w:val="6"/>
          <w:sz w:val="32"/>
          <w:szCs w:val="32"/>
          <w:lang w:val="en-US" w:eastAsia="zh-CN"/>
        </w:rPr>
        <w:t>应綦江城区的防洪需要，在遭遇大洪水时应能预报未来</w:t>
      </w:r>
      <w:r>
        <w:rPr>
          <w:rFonts w:hint="eastAsia" w:ascii="Times New Roman" w:hAnsi="Times New Roman" w:eastAsia="方正仿宋_GBK" w:cs="Times New Roman"/>
          <w:sz w:val="32"/>
          <w:szCs w:val="32"/>
          <w:lang w:val="en-US" w:eastAsia="zh-CN"/>
        </w:rPr>
        <w:t>5—7小时汛情，为抗洪抢险救灾工作赢得时间。因此，需继续加强水文气象预报技术基础研究，优化完善流域预报方案体系，制作和发布綦江流域短中期常态化预报、延伸期重要预报、长期预报相结合、图表成果相结合的无缝隙预报服务产品，进一步提高暴雨等灾害性天气监测、预警、预报水平，增长洪水预报预见期、提高预报精度；应用信息融合、数据挖掘等新技术，推进多工程阻断条件下气象水文水力学相结合的大洪水智能预报与集合概率预报等方法与模型的研究应用，大力开展高洪水文要素预报技术、河道洪水演进技术及水利工程联合预报调度技术的研究，研制流域及关键节点相融合的大洪水预报模型，开发智能化预报系统，延长预见期，提高预报精度，发挥“参谋”作用，进一步加强应对流域大洪水的技术支撑水平。</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4．预警发布</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健全綦江流域上下游洪水监测、信息分析及预报预警系统，完善綦江城区防洪预警自动测报系统，完善城区</w:t>
      </w:r>
      <w:r>
        <w:rPr>
          <w:rFonts w:hint="default" w:ascii="Times New Roman" w:hAnsi="Times New Roman" w:eastAsia="方正仿宋_GBK" w:cs="Times New Roman"/>
          <w:sz w:val="32"/>
          <w:szCs w:val="32"/>
          <w:lang w:val="en-US" w:eastAsia="zh-CN"/>
        </w:rPr>
        <w:t>上游</w:t>
      </w:r>
      <w:r>
        <w:rPr>
          <w:rFonts w:hint="eastAsia" w:ascii="Times New Roman" w:hAnsi="Times New Roman" w:eastAsia="方正仿宋_GBK" w:cs="Times New Roman"/>
          <w:sz w:val="32"/>
          <w:szCs w:val="32"/>
          <w:lang w:val="en-US" w:eastAsia="zh-CN"/>
        </w:rPr>
        <w:t>山洪灾害防治监测预报预警体系。完善应急预警体系，通过研究提出极端降水、洪水事件等预警指标，实现大洪水发生时监测、预报、预警的快速响应机制。</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气象预警：在对綦江流域发生大洪水的气候、天气背景进行总结分析的基础上，提出短、中、长期流域大洪水致洪气象预警指标，可分为三类：长期气候背景因子、中期天气形势预判指标、短中期定量降水预报。依据气象预警及判别指标，做好大洪水的滚动分析预报预警工作。</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水情预警：提出以各控制站水位（流量）重现期达到或超过</w:t>
      </w:r>
      <w:r>
        <w:rPr>
          <w:rFonts w:hint="default" w:ascii="Times New Roman" w:hAnsi="Times New Roman" w:eastAsia="方正仿宋_GBK" w:cs="Times New Roman"/>
          <w:sz w:val="32"/>
          <w:szCs w:val="32"/>
          <w:lang w:val="en-US" w:eastAsia="zh-CN"/>
        </w:rPr>
        <w:t>10</w:t>
      </w:r>
      <w:r>
        <w:rPr>
          <w:rFonts w:hint="eastAsia" w:ascii="Times New Roman" w:hAnsi="Times New Roman" w:eastAsia="方正仿宋_GBK" w:cs="Times New Roman"/>
          <w:sz w:val="32"/>
          <w:szCs w:val="32"/>
          <w:lang w:val="en-US" w:eastAsia="zh-CN"/>
        </w:rPr>
        <w:t>年作为较大洪水预警指标、水位（流量）达到或超过防洪设计水位（流量）作为严重洪水预警指标，考虑干支流主要控制站短期洪水预报精度水平，提出綦江控制站大洪水预警标准，基于主要控制站短期洪水预报最高水位（最大流量）所处范围，发布相应级别的洪水预警。綦江城区防洪控制断面彩虹桥特征水位见表8</w:t>
      </w:r>
      <w:r>
        <w:rPr>
          <w:rFonts w:hint="default" w:ascii="Times New Roman" w:hAnsi="Times New Roman" w:eastAsia="方正仿宋_GBK" w:cs="Times New Roman"/>
          <w:sz w:val="32"/>
          <w:szCs w:val="32"/>
          <w:lang w:val="en-US" w:eastAsia="zh-CN"/>
        </w:rPr>
        <w:t>.2</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lang w:val="en-US" w:eastAsia="zh-CN"/>
        </w:rPr>
        <w:t>1</w:t>
      </w:r>
      <w:r>
        <w:rPr>
          <w:rFonts w:hint="eastAsia" w:ascii="Times New Roman" w:hAnsi="Times New Roman" w:eastAsia="方正仿宋_GBK" w:cs="Times New Roman"/>
          <w:sz w:val="32"/>
          <w:szCs w:val="32"/>
          <w:lang w:val="en-US" w:eastAsia="zh-CN"/>
        </w:rPr>
        <w:t>。</w:t>
      </w:r>
    </w:p>
    <w:p>
      <w:pPr>
        <w:pStyle w:val="2312"/>
        <w:ind w:firstLine="240"/>
        <w:rPr>
          <w:rFonts w:hint="default" w:ascii="Times New Roman" w:hAnsi="Times New Roman" w:cs="Times New Roman"/>
        </w:rPr>
      </w:pPr>
      <w:r>
        <w:rPr>
          <w:rFonts w:hint="default" w:ascii="Times New Roman" w:hAnsi="Times New Roman" w:cs="Times New Roman"/>
        </w:rPr>
        <w:t>表8.2</w:t>
      </w:r>
      <w:r>
        <w:rPr>
          <w:rFonts w:hint="default" w:ascii="Times New Roman" w:hAnsi="Times New Roman" w:cs="Times New Roman"/>
          <w:lang w:eastAsia="zh-CN"/>
        </w:rPr>
        <w:t>—</w:t>
      </w:r>
      <w:r>
        <w:rPr>
          <w:rFonts w:hint="default" w:ascii="Times New Roman" w:hAnsi="Times New Roman" w:cs="Times New Roman"/>
        </w:rPr>
        <w:t>1               綦江干流城区段彩虹桥特征水位</w:t>
      </w:r>
    </w:p>
    <w:tbl>
      <w:tblPr>
        <w:tblStyle w:val="88"/>
        <w:tblW w:w="5000"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0" w:type="dxa"/>
          <w:bottom w:w="0" w:type="dxa"/>
          <w:right w:w="0" w:type="dxa"/>
        </w:tblCellMar>
      </w:tblPr>
      <w:tblGrid>
        <w:gridCol w:w="1664"/>
        <w:gridCol w:w="641"/>
        <w:gridCol w:w="642"/>
        <w:gridCol w:w="1278"/>
        <w:gridCol w:w="1278"/>
        <w:gridCol w:w="1278"/>
        <w:gridCol w:w="1023"/>
        <w:gridCol w:w="1283"/>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97" w:hRule="atLeast"/>
          <w:jc w:val="center"/>
        </w:trPr>
        <w:tc>
          <w:tcPr>
            <w:tcW w:w="916" w:type="pct"/>
            <w:vMerge w:val="restart"/>
            <w:noWrap w:val="0"/>
            <w:vAlign w:val="center"/>
          </w:tcPr>
          <w:p>
            <w:pPr>
              <w:pStyle w:val="3013"/>
              <w:rPr>
                <w:rFonts w:hint="eastAsia"/>
                <w:snapToGrid w:val="0"/>
              </w:rPr>
            </w:pPr>
          </w:p>
        </w:tc>
        <w:tc>
          <w:tcPr>
            <w:tcW w:w="2815" w:type="pct"/>
            <w:gridSpan w:val="5"/>
            <w:noWrap w:val="0"/>
            <w:vAlign w:val="center"/>
          </w:tcPr>
          <w:p>
            <w:pPr>
              <w:pStyle w:val="3013"/>
              <w:rPr>
                <w:rFonts w:hint="eastAsia" w:ascii="方正黑体_GBK" w:hAnsi="方正黑体_GBK" w:eastAsia="方正黑体_GBK" w:cs="方正黑体_GBK"/>
                <w:snapToGrid w:val="0"/>
              </w:rPr>
            </w:pPr>
            <w:r>
              <w:rPr>
                <w:rFonts w:hint="eastAsia" w:ascii="方正黑体_GBK" w:hAnsi="方正黑体_GBK" w:eastAsia="方正黑体_GBK" w:cs="方正黑体_GBK"/>
                <w:snapToGrid w:val="0"/>
              </w:rPr>
              <w:t>规划工程实施前</w:t>
            </w:r>
          </w:p>
        </w:tc>
        <w:tc>
          <w:tcPr>
            <w:tcW w:w="1269" w:type="pct"/>
            <w:gridSpan w:val="2"/>
            <w:noWrap w:val="0"/>
            <w:vAlign w:val="center"/>
          </w:tcPr>
          <w:p>
            <w:pPr>
              <w:pStyle w:val="3013"/>
              <w:rPr>
                <w:rFonts w:hint="eastAsia" w:ascii="方正黑体_GBK" w:hAnsi="方正黑体_GBK" w:eastAsia="方正黑体_GBK" w:cs="方正黑体_GBK"/>
                <w:snapToGrid w:val="0"/>
              </w:rPr>
            </w:pPr>
            <w:r>
              <w:rPr>
                <w:rFonts w:hint="eastAsia" w:ascii="方正黑体_GBK" w:hAnsi="方正黑体_GBK" w:eastAsia="方正黑体_GBK" w:cs="方正黑体_GBK"/>
                <w:snapToGrid w:val="0"/>
              </w:rPr>
              <w:t>规划工程实施后</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97" w:hRule="atLeast"/>
          <w:jc w:val="center"/>
        </w:trPr>
        <w:tc>
          <w:tcPr>
            <w:tcW w:w="916" w:type="pct"/>
            <w:vMerge w:val="continue"/>
            <w:noWrap w:val="0"/>
            <w:vAlign w:val="center"/>
          </w:tcPr>
          <w:p>
            <w:pPr>
              <w:pStyle w:val="3013"/>
              <w:rPr>
                <w:rFonts w:hint="eastAsia"/>
                <w:snapToGrid w:val="0"/>
              </w:rPr>
            </w:pPr>
          </w:p>
        </w:tc>
        <w:tc>
          <w:tcPr>
            <w:tcW w:w="353" w:type="pct"/>
            <w:noWrap w:val="0"/>
            <w:vAlign w:val="center"/>
          </w:tcPr>
          <w:p>
            <w:pPr>
              <w:pStyle w:val="3013"/>
              <w:rPr>
                <w:rFonts w:hint="default" w:ascii="Times New Roman" w:hAnsi="Times New Roman" w:eastAsia="方正黑体_GBK" w:cs="Times New Roman"/>
                <w:snapToGrid w:val="0"/>
              </w:rPr>
            </w:pPr>
            <w:r>
              <w:rPr>
                <w:rFonts w:hint="default" w:ascii="Times New Roman" w:hAnsi="Times New Roman" w:eastAsia="方正黑体_GBK" w:cs="Times New Roman"/>
                <w:snapToGrid w:val="0"/>
              </w:rPr>
              <w:t>警戒</w:t>
            </w:r>
          </w:p>
          <w:p>
            <w:pPr>
              <w:pStyle w:val="3013"/>
              <w:rPr>
                <w:rFonts w:hint="default" w:ascii="Times New Roman" w:hAnsi="Times New Roman" w:eastAsia="方正黑体_GBK" w:cs="Times New Roman"/>
                <w:snapToGrid w:val="0"/>
              </w:rPr>
            </w:pPr>
            <w:r>
              <w:rPr>
                <w:rFonts w:hint="default" w:ascii="Times New Roman" w:hAnsi="Times New Roman" w:eastAsia="方正黑体_GBK" w:cs="Times New Roman"/>
                <w:snapToGrid w:val="0"/>
              </w:rPr>
              <w:t>水位</w:t>
            </w:r>
          </w:p>
        </w:tc>
        <w:tc>
          <w:tcPr>
            <w:tcW w:w="353" w:type="pct"/>
            <w:noWrap w:val="0"/>
            <w:vAlign w:val="center"/>
          </w:tcPr>
          <w:p>
            <w:pPr>
              <w:pStyle w:val="3013"/>
              <w:rPr>
                <w:rFonts w:hint="default" w:ascii="Times New Roman" w:hAnsi="Times New Roman" w:eastAsia="方正黑体_GBK" w:cs="Times New Roman"/>
                <w:snapToGrid w:val="0"/>
              </w:rPr>
            </w:pPr>
            <w:r>
              <w:rPr>
                <w:rFonts w:hint="default" w:ascii="Times New Roman" w:hAnsi="Times New Roman" w:eastAsia="方正黑体_GBK" w:cs="Times New Roman"/>
                <w:snapToGrid w:val="0"/>
              </w:rPr>
              <w:t>保证</w:t>
            </w:r>
          </w:p>
          <w:p>
            <w:pPr>
              <w:pStyle w:val="3013"/>
              <w:rPr>
                <w:rFonts w:hint="default" w:ascii="Times New Roman" w:hAnsi="Times New Roman" w:eastAsia="方正黑体_GBK" w:cs="Times New Roman"/>
                <w:snapToGrid w:val="0"/>
              </w:rPr>
            </w:pPr>
            <w:r>
              <w:rPr>
                <w:rFonts w:hint="default" w:ascii="Times New Roman" w:hAnsi="Times New Roman" w:eastAsia="方正黑体_GBK" w:cs="Times New Roman"/>
                <w:snapToGrid w:val="0"/>
              </w:rPr>
              <w:t>水位</w:t>
            </w:r>
          </w:p>
        </w:tc>
        <w:tc>
          <w:tcPr>
            <w:tcW w:w="703" w:type="pct"/>
            <w:noWrap w:val="0"/>
            <w:vAlign w:val="center"/>
          </w:tcPr>
          <w:p>
            <w:pPr>
              <w:pStyle w:val="3013"/>
              <w:rPr>
                <w:rFonts w:hint="default" w:ascii="Times New Roman" w:hAnsi="Times New Roman" w:eastAsia="方正黑体_GBK" w:cs="Times New Roman"/>
                <w:snapToGrid w:val="0"/>
              </w:rPr>
            </w:pPr>
            <w:r>
              <w:rPr>
                <w:rFonts w:hint="default" w:ascii="Times New Roman" w:hAnsi="Times New Roman" w:eastAsia="方正黑体_GBK" w:cs="Times New Roman"/>
                <w:snapToGrid w:val="0"/>
              </w:rPr>
              <w:t>10年一遇</w:t>
            </w:r>
          </w:p>
          <w:p>
            <w:pPr>
              <w:pStyle w:val="3013"/>
              <w:rPr>
                <w:rFonts w:hint="default" w:ascii="Times New Roman" w:hAnsi="Times New Roman" w:eastAsia="方正黑体_GBK" w:cs="Times New Roman"/>
                <w:snapToGrid w:val="0"/>
              </w:rPr>
            </w:pPr>
            <w:r>
              <w:rPr>
                <w:rFonts w:hint="default" w:ascii="Times New Roman" w:hAnsi="Times New Roman" w:eastAsia="方正黑体_GBK" w:cs="Times New Roman"/>
                <w:snapToGrid w:val="0"/>
              </w:rPr>
              <w:t>设计洪水位</w:t>
            </w:r>
          </w:p>
        </w:tc>
        <w:tc>
          <w:tcPr>
            <w:tcW w:w="703" w:type="pct"/>
            <w:noWrap w:val="0"/>
            <w:vAlign w:val="center"/>
          </w:tcPr>
          <w:p>
            <w:pPr>
              <w:pStyle w:val="3013"/>
              <w:rPr>
                <w:rFonts w:hint="default" w:ascii="Times New Roman" w:hAnsi="Times New Roman" w:eastAsia="方正黑体_GBK" w:cs="Times New Roman"/>
                <w:snapToGrid w:val="0"/>
              </w:rPr>
            </w:pPr>
            <w:r>
              <w:rPr>
                <w:rFonts w:hint="default" w:ascii="Times New Roman" w:hAnsi="Times New Roman" w:eastAsia="方正黑体_GBK" w:cs="Times New Roman"/>
                <w:snapToGrid w:val="0"/>
              </w:rPr>
              <w:t>20年一遇</w:t>
            </w:r>
          </w:p>
          <w:p>
            <w:pPr>
              <w:pStyle w:val="3013"/>
              <w:rPr>
                <w:rFonts w:hint="default" w:ascii="Times New Roman" w:hAnsi="Times New Roman" w:eastAsia="方正黑体_GBK" w:cs="Times New Roman"/>
                <w:snapToGrid w:val="0"/>
              </w:rPr>
            </w:pPr>
            <w:r>
              <w:rPr>
                <w:rFonts w:hint="default" w:ascii="Times New Roman" w:hAnsi="Times New Roman" w:eastAsia="方正黑体_GBK" w:cs="Times New Roman"/>
                <w:snapToGrid w:val="0"/>
              </w:rPr>
              <w:t>设计洪水位</w:t>
            </w:r>
          </w:p>
        </w:tc>
        <w:tc>
          <w:tcPr>
            <w:tcW w:w="703" w:type="pct"/>
            <w:noWrap w:val="0"/>
            <w:vAlign w:val="center"/>
          </w:tcPr>
          <w:p>
            <w:pPr>
              <w:pStyle w:val="3013"/>
              <w:rPr>
                <w:rFonts w:hint="default" w:ascii="Times New Roman" w:hAnsi="Times New Roman" w:eastAsia="方正黑体_GBK" w:cs="Times New Roman"/>
                <w:snapToGrid w:val="0"/>
              </w:rPr>
            </w:pPr>
            <w:r>
              <w:rPr>
                <w:rFonts w:hint="default" w:ascii="Times New Roman" w:hAnsi="Times New Roman" w:eastAsia="方正黑体_GBK" w:cs="Times New Roman"/>
                <w:snapToGrid w:val="0"/>
              </w:rPr>
              <w:t>50年一遇</w:t>
            </w:r>
          </w:p>
          <w:p>
            <w:pPr>
              <w:pStyle w:val="3013"/>
              <w:rPr>
                <w:rFonts w:hint="default" w:ascii="Times New Roman" w:hAnsi="Times New Roman" w:eastAsia="方正黑体_GBK" w:cs="Times New Roman"/>
                <w:snapToGrid w:val="0"/>
              </w:rPr>
            </w:pPr>
            <w:r>
              <w:rPr>
                <w:rFonts w:hint="default" w:ascii="Times New Roman" w:hAnsi="Times New Roman" w:eastAsia="方正黑体_GBK" w:cs="Times New Roman"/>
                <w:snapToGrid w:val="0"/>
              </w:rPr>
              <w:t>设计洪水位</w:t>
            </w:r>
          </w:p>
        </w:tc>
        <w:tc>
          <w:tcPr>
            <w:tcW w:w="563" w:type="pct"/>
            <w:noWrap w:val="0"/>
            <w:vAlign w:val="center"/>
          </w:tcPr>
          <w:p>
            <w:pPr>
              <w:pStyle w:val="3013"/>
              <w:rPr>
                <w:rFonts w:hint="default" w:ascii="Times New Roman" w:hAnsi="Times New Roman" w:eastAsia="方正黑体_GBK" w:cs="Times New Roman"/>
                <w:snapToGrid w:val="0"/>
              </w:rPr>
            </w:pPr>
            <w:r>
              <w:rPr>
                <w:rFonts w:hint="default" w:ascii="Times New Roman" w:hAnsi="Times New Roman" w:eastAsia="方正黑体_GBK" w:cs="Times New Roman"/>
                <w:snapToGrid w:val="0"/>
              </w:rPr>
              <w:t>保证水位</w:t>
            </w:r>
          </w:p>
        </w:tc>
        <w:tc>
          <w:tcPr>
            <w:tcW w:w="706" w:type="pct"/>
            <w:noWrap w:val="0"/>
            <w:vAlign w:val="center"/>
          </w:tcPr>
          <w:p>
            <w:pPr>
              <w:pStyle w:val="3013"/>
              <w:rPr>
                <w:rFonts w:hint="default" w:ascii="Times New Roman" w:hAnsi="Times New Roman" w:eastAsia="方正黑体_GBK" w:cs="Times New Roman"/>
                <w:snapToGrid w:val="0"/>
              </w:rPr>
            </w:pPr>
            <w:r>
              <w:rPr>
                <w:rFonts w:hint="default" w:ascii="Times New Roman" w:hAnsi="Times New Roman" w:eastAsia="方正黑体_GBK" w:cs="Times New Roman"/>
                <w:snapToGrid w:val="0"/>
              </w:rPr>
              <w:t>50年一遇</w:t>
            </w:r>
          </w:p>
          <w:p>
            <w:pPr>
              <w:pStyle w:val="3013"/>
              <w:rPr>
                <w:rFonts w:hint="default" w:ascii="Times New Roman" w:hAnsi="Times New Roman" w:eastAsia="方正黑体_GBK" w:cs="Times New Roman"/>
                <w:snapToGrid w:val="0"/>
              </w:rPr>
            </w:pPr>
            <w:r>
              <w:rPr>
                <w:rFonts w:hint="default" w:ascii="Times New Roman" w:hAnsi="Times New Roman" w:eastAsia="方正黑体_GBK" w:cs="Times New Roman"/>
                <w:snapToGrid w:val="0"/>
              </w:rPr>
              <w:t>设计洪水位</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97" w:hRule="atLeast"/>
          <w:jc w:val="center"/>
        </w:trPr>
        <w:tc>
          <w:tcPr>
            <w:tcW w:w="916" w:type="pct"/>
            <w:noWrap/>
            <w:vAlign w:val="center"/>
          </w:tcPr>
          <w:p>
            <w:pPr>
              <w:pStyle w:val="3013"/>
              <w:rPr>
                <w:rFonts w:hint="default" w:ascii="Times New Roman" w:hAnsi="Times New Roman" w:eastAsia="方正仿宋_GBK" w:cs="Times New Roman"/>
                <w:snapToGrid w:val="0"/>
              </w:rPr>
            </w:pPr>
            <w:r>
              <w:rPr>
                <w:rFonts w:hint="default" w:ascii="Times New Roman" w:hAnsi="Times New Roman" w:eastAsia="方正仿宋_GBK" w:cs="Times New Roman"/>
                <w:snapToGrid w:val="0"/>
              </w:rPr>
              <w:t>特征水位（m）</w:t>
            </w:r>
          </w:p>
        </w:tc>
        <w:tc>
          <w:tcPr>
            <w:tcW w:w="353" w:type="pct"/>
            <w:noWrap w:val="0"/>
            <w:vAlign w:val="center"/>
          </w:tcPr>
          <w:p>
            <w:pPr>
              <w:pStyle w:val="3013"/>
              <w:rPr>
                <w:rFonts w:hint="default" w:ascii="Times New Roman" w:hAnsi="Times New Roman" w:eastAsia="方正仿宋_GBK" w:cs="Times New Roman"/>
                <w:snapToGrid w:val="0"/>
              </w:rPr>
            </w:pPr>
            <w:r>
              <w:rPr>
                <w:rFonts w:hint="default" w:ascii="Times New Roman" w:hAnsi="Times New Roman" w:eastAsia="方正仿宋_GBK" w:cs="Times New Roman"/>
                <w:snapToGrid w:val="0"/>
              </w:rPr>
              <w:t>220.5</w:t>
            </w:r>
          </w:p>
        </w:tc>
        <w:tc>
          <w:tcPr>
            <w:tcW w:w="353" w:type="pct"/>
            <w:noWrap w:val="0"/>
            <w:vAlign w:val="center"/>
          </w:tcPr>
          <w:p>
            <w:pPr>
              <w:pStyle w:val="3013"/>
              <w:rPr>
                <w:rFonts w:hint="default" w:ascii="Times New Roman" w:hAnsi="Times New Roman" w:eastAsia="方正仿宋_GBK" w:cs="Times New Roman"/>
                <w:snapToGrid w:val="0"/>
              </w:rPr>
            </w:pPr>
            <w:r>
              <w:rPr>
                <w:rFonts w:hint="default" w:ascii="Times New Roman" w:hAnsi="Times New Roman" w:eastAsia="方正仿宋_GBK" w:cs="Times New Roman"/>
                <w:snapToGrid w:val="0"/>
              </w:rPr>
              <w:t>222.5</w:t>
            </w:r>
          </w:p>
        </w:tc>
        <w:tc>
          <w:tcPr>
            <w:tcW w:w="703" w:type="pct"/>
            <w:noWrap w:val="0"/>
            <w:vAlign w:val="center"/>
          </w:tcPr>
          <w:p>
            <w:pPr>
              <w:pStyle w:val="3013"/>
              <w:rPr>
                <w:rFonts w:hint="default" w:ascii="Times New Roman" w:hAnsi="Times New Roman" w:eastAsia="方正仿宋_GBK" w:cs="Times New Roman"/>
                <w:snapToGrid w:val="0"/>
              </w:rPr>
            </w:pPr>
            <w:r>
              <w:rPr>
                <w:rFonts w:hint="default" w:ascii="Times New Roman" w:hAnsi="Times New Roman" w:eastAsia="方正仿宋_GBK" w:cs="Times New Roman"/>
                <w:snapToGrid w:val="0"/>
              </w:rPr>
              <w:t xml:space="preserve">225.90 </w:t>
            </w:r>
          </w:p>
        </w:tc>
        <w:tc>
          <w:tcPr>
            <w:tcW w:w="703" w:type="pct"/>
            <w:noWrap w:val="0"/>
            <w:vAlign w:val="center"/>
          </w:tcPr>
          <w:p>
            <w:pPr>
              <w:pStyle w:val="3013"/>
              <w:rPr>
                <w:rFonts w:hint="default" w:ascii="Times New Roman" w:hAnsi="Times New Roman" w:eastAsia="方正仿宋_GBK" w:cs="Times New Roman"/>
                <w:snapToGrid w:val="0"/>
              </w:rPr>
            </w:pPr>
            <w:r>
              <w:rPr>
                <w:rFonts w:hint="default" w:ascii="Times New Roman" w:hAnsi="Times New Roman" w:eastAsia="方正仿宋_GBK" w:cs="Times New Roman"/>
                <w:snapToGrid w:val="0"/>
              </w:rPr>
              <w:t xml:space="preserve">227.19 </w:t>
            </w:r>
          </w:p>
        </w:tc>
        <w:tc>
          <w:tcPr>
            <w:tcW w:w="703" w:type="pct"/>
            <w:noWrap w:val="0"/>
            <w:vAlign w:val="center"/>
          </w:tcPr>
          <w:p>
            <w:pPr>
              <w:pStyle w:val="3013"/>
              <w:rPr>
                <w:rFonts w:hint="default" w:ascii="Times New Roman" w:hAnsi="Times New Roman" w:eastAsia="方正仿宋_GBK" w:cs="Times New Roman"/>
                <w:snapToGrid w:val="0"/>
              </w:rPr>
            </w:pPr>
            <w:r>
              <w:rPr>
                <w:rFonts w:hint="default" w:ascii="Times New Roman" w:hAnsi="Times New Roman" w:eastAsia="方正仿宋_GBK" w:cs="Times New Roman"/>
                <w:snapToGrid w:val="0"/>
              </w:rPr>
              <w:t xml:space="preserve">228.69 </w:t>
            </w:r>
          </w:p>
        </w:tc>
        <w:tc>
          <w:tcPr>
            <w:tcW w:w="563" w:type="pct"/>
            <w:noWrap w:val="0"/>
            <w:vAlign w:val="center"/>
          </w:tcPr>
          <w:p>
            <w:pPr>
              <w:pStyle w:val="3013"/>
              <w:rPr>
                <w:rFonts w:hint="default" w:ascii="Times New Roman" w:hAnsi="Times New Roman" w:eastAsia="方正仿宋_GBK" w:cs="Times New Roman"/>
                <w:snapToGrid w:val="0"/>
              </w:rPr>
            </w:pPr>
            <w:r>
              <w:rPr>
                <w:rFonts w:hint="default" w:ascii="Times New Roman" w:hAnsi="Times New Roman" w:eastAsia="方正仿宋_GBK" w:cs="Times New Roman"/>
                <w:snapToGrid w:val="0"/>
              </w:rPr>
              <w:t>226.24</w:t>
            </w:r>
          </w:p>
        </w:tc>
        <w:tc>
          <w:tcPr>
            <w:tcW w:w="706" w:type="pct"/>
            <w:noWrap w:val="0"/>
            <w:vAlign w:val="center"/>
          </w:tcPr>
          <w:p>
            <w:pPr>
              <w:pStyle w:val="3013"/>
              <w:rPr>
                <w:rFonts w:hint="default" w:ascii="Times New Roman" w:hAnsi="Times New Roman" w:eastAsia="方正仿宋_GBK" w:cs="Times New Roman"/>
                <w:snapToGrid w:val="0"/>
              </w:rPr>
            </w:pPr>
            <w:r>
              <w:rPr>
                <w:rFonts w:hint="default" w:ascii="Times New Roman" w:hAnsi="Times New Roman" w:eastAsia="方正仿宋_GBK" w:cs="Times New Roman"/>
                <w:snapToGrid w:val="0"/>
              </w:rPr>
              <w:t>227.89</w:t>
            </w:r>
          </w:p>
        </w:tc>
      </w:tr>
    </w:tbl>
    <w:p>
      <w:pPr>
        <w:pStyle w:val="2953"/>
        <w:keepNext w:val="0"/>
        <w:keepLines w:val="0"/>
        <w:pageBreakBefore w:val="0"/>
        <w:widowControl w:val="0"/>
        <w:kinsoku/>
        <w:wordWrap/>
        <w:overflowPunct/>
        <w:topLinePunct w:val="0"/>
        <w:autoSpaceDE/>
        <w:autoSpaceDN/>
        <w:bidi w:val="0"/>
        <w:adjustRightInd/>
        <w:snapToGrid/>
        <w:ind w:firstLine="56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预警系统：优化现有预报预警机制，重点提升应急预警速度；推进綦江区预警信息中心建设，整合预测预警信息，增强信息汇总、分析、研判能力；按照“预防为主，防处结合”的原则，加强预警信息发布，让更多民众及时了解预警信息，有效规避洪灾风险。加强基层信息员队伍建设，针对重点区域、行业设立安全员，形成以基层群众为主体的安全信息网络，强化风险控制。</w:t>
      </w:r>
    </w:p>
    <w:p>
      <w:pPr>
        <w:pStyle w:val="1795"/>
        <w:keepNext w:val="0"/>
        <w:keepLines w:val="0"/>
        <w:pageBreakBefore w:val="0"/>
        <w:widowControl w:val="0"/>
        <w:kinsoku/>
        <w:wordWrap/>
        <w:overflowPunct/>
        <w:topLinePunct w:val="0"/>
        <w:autoSpaceDE/>
        <w:autoSpaceDN/>
        <w:bidi w:val="0"/>
        <w:adjustRightInd/>
        <w:snapToGrid/>
        <w:spacing w:before="0" w:after="0"/>
        <w:ind w:firstLine="640" w:firstLineChars="200"/>
        <w:textAlignment w:val="auto"/>
      </w:pPr>
      <w:bookmarkStart w:id="185" w:name="_Toc16598"/>
      <w:bookmarkStart w:id="186" w:name="_Toc27808"/>
      <w:bookmarkStart w:id="187" w:name="_Toc71665881"/>
      <w:bookmarkStart w:id="188" w:name="_Toc71782096"/>
      <w:r>
        <w:rPr>
          <w:rFonts w:hint="eastAsia" w:ascii="方正楷体_GBK" w:hAnsi="方正楷体_GBK" w:eastAsia="方正楷体_GBK" w:cs="方正楷体_GBK"/>
          <w:lang w:eastAsia="zh-CN"/>
        </w:rPr>
        <w:t>（</w:t>
      </w:r>
      <w:r>
        <w:rPr>
          <w:rFonts w:hint="eastAsia" w:ascii="方正楷体_GBK" w:hAnsi="方正楷体_GBK" w:eastAsia="方正楷体_GBK" w:cs="方正楷体_GBK"/>
          <w:lang w:val="en-US" w:eastAsia="zh-CN"/>
        </w:rPr>
        <w:t>三</w:t>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rPr>
        <w:t>工程体系调度方案研究</w:t>
      </w:r>
      <w:bookmarkEnd w:id="185"/>
      <w:bookmarkEnd w:id="186"/>
      <w:bookmarkEnd w:id="187"/>
      <w:bookmarkEnd w:id="188"/>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1</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rPr>
        <w:t>完善防御洪水方案体系</w:t>
      </w:r>
    </w:p>
    <w:p>
      <w:pPr>
        <w:pStyle w:val="1916"/>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加强防洪预案管理。根据2020年綦江洪灾情况及社会经济发展情况，加紧开展綦江流域与綦江城区防御洪水方案、超标洪水防御预案、防汛应急预案等各项方案预案的修编，重点完善应急避险与水工程调度内容，落实应急抢险措施，提高预案的科学性、实用性和可操作性。定期开展防灾减灾演练行动，突出应急演练实效，提高应急响应能力，在做好区级应急预案常规演练的基础上，着力抓好跨地区、跨部门、跨行业的综合应急演练，进一步增强应急演练的针对性和实效性。</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lang w:val="en-US" w:eastAsia="zh-CN"/>
        </w:rPr>
      </w:pPr>
      <w:r>
        <w:rPr>
          <w:rFonts w:hint="default" w:ascii="Times New Roman" w:hAnsi="Times New Roman" w:cs="Times New Roman"/>
          <w:sz w:val="32"/>
          <w:szCs w:val="32"/>
          <w:lang w:val="en-US" w:eastAsia="zh-CN"/>
        </w:rPr>
        <w:t>2</w:t>
      </w:r>
      <w:r>
        <w:rPr>
          <w:rFonts w:hint="eastAsia" w:ascii="Times New Roman" w:hAnsi="Times New Roman" w:eastAsia="方正仿宋_GBK" w:cs="Times New Roman"/>
          <w:sz w:val="32"/>
          <w:szCs w:val="32"/>
          <w:lang w:val="en-US" w:eastAsia="zh-CN"/>
        </w:rPr>
        <w:t>．加强防洪工程体系联合调度</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规划</w:t>
      </w:r>
      <w:r>
        <w:rPr>
          <w:rFonts w:hint="default" w:ascii="Times New Roman" w:hAnsi="Times New Roman" w:eastAsia="方正仿宋_GBK" w:cs="Times New Roman"/>
          <w:sz w:val="32"/>
          <w:szCs w:val="32"/>
          <w:lang w:val="en-US" w:eastAsia="zh-CN"/>
        </w:rPr>
        <w:t>新建</w:t>
      </w:r>
      <w:r>
        <w:rPr>
          <w:rFonts w:hint="eastAsia" w:ascii="Times New Roman" w:hAnsi="Times New Roman" w:eastAsia="方正仿宋_GBK" w:cs="Times New Roman"/>
          <w:sz w:val="32"/>
          <w:szCs w:val="32"/>
          <w:lang w:val="en-US" w:eastAsia="zh-CN"/>
        </w:rPr>
        <w:t>藻渡等大型防洪水库，待水库建成后，对以藻渡为核心的流域防洪工程体系进行实时统一调度管理，深化多库联合调度面向綦江城区的防洪调度研究，科学分析研判流域汛情，根据大</w:t>
      </w:r>
      <w:r>
        <w:rPr>
          <w:rFonts w:hint="default" w:ascii="Times New Roman" w:hAnsi="Times New Roman" w:eastAsia="方正仿宋_GBK" w:cs="Times New Roman"/>
          <w:sz w:val="32"/>
          <w:szCs w:val="32"/>
          <w:lang w:val="en-US" w:eastAsia="zh-CN"/>
        </w:rPr>
        <w:t>洪水</w:t>
      </w:r>
      <w:r>
        <w:rPr>
          <w:rFonts w:hint="eastAsia" w:ascii="Times New Roman" w:hAnsi="Times New Roman" w:eastAsia="方正仿宋_GBK" w:cs="Times New Roman"/>
          <w:sz w:val="32"/>
          <w:szCs w:val="32"/>
          <w:lang w:val="en-US" w:eastAsia="zh-CN"/>
        </w:rPr>
        <w:t>的</w:t>
      </w:r>
      <w:r>
        <w:rPr>
          <w:rFonts w:hint="default" w:ascii="Times New Roman" w:hAnsi="Times New Roman" w:eastAsia="方正仿宋_GBK" w:cs="Times New Roman"/>
          <w:sz w:val="32"/>
          <w:szCs w:val="32"/>
          <w:lang w:val="en-US" w:eastAsia="zh-CN"/>
        </w:rPr>
        <w:t>发展过程，</w:t>
      </w:r>
      <w:r>
        <w:rPr>
          <w:rFonts w:hint="eastAsia" w:ascii="Times New Roman" w:hAnsi="Times New Roman" w:eastAsia="方正仿宋_GBK" w:cs="Times New Roman"/>
          <w:sz w:val="32"/>
          <w:szCs w:val="32"/>
          <w:lang w:val="en-US" w:eastAsia="zh-CN"/>
        </w:rPr>
        <w:t>按拦、</w:t>
      </w:r>
      <w:r>
        <w:rPr>
          <w:rFonts w:hint="default" w:ascii="Times New Roman" w:hAnsi="Times New Roman" w:eastAsia="方正仿宋_GBK" w:cs="Times New Roman"/>
          <w:sz w:val="32"/>
          <w:szCs w:val="32"/>
          <w:lang w:val="en-US" w:eastAsia="zh-CN"/>
        </w:rPr>
        <w:t>行、排</w:t>
      </w:r>
      <w:r>
        <w:rPr>
          <w:rFonts w:hint="eastAsia" w:ascii="Times New Roman" w:hAnsi="Times New Roman" w:eastAsia="方正仿宋_GBK" w:cs="Times New Roman"/>
          <w:sz w:val="32"/>
          <w:szCs w:val="32"/>
          <w:lang w:val="en-US" w:eastAsia="zh-CN"/>
        </w:rPr>
        <w:t>的原则确定流域防洪工程体系中水库、堤防、航电梯级的运用</w:t>
      </w:r>
      <w:r>
        <w:rPr>
          <w:rFonts w:hint="default" w:ascii="Times New Roman" w:hAnsi="Times New Roman" w:eastAsia="方正仿宋_GBK" w:cs="Times New Roman"/>
          <w:sz w:val="32"/>
          <w:szCs w:val="32"/>
          <w:lang w:val="en-US" w:eastAsia="zh-CN"/>
        </w:rPr>
        <w:t>次序</w:t>
      </w:r>
      <w:r>
        <w:rPr>
          <w:rFonts w:hint="eastAsia" w:ascii="Times New Roman" w:hAnsi="Times New Roman" w:eastAsia="方正仿宋_GBK" w:cs="Times New Roman"/>
          <w:sz w:val="32"/>
          <w:szCs w:val="32"/>
          <w:lang w:val="en-US" w:eastAsia="zh-CN"/>
        </w:rPr>
        <w:t>和</w:t>
      </w:r>
      <w:r>
        <w:rPr>
          <w:rFonts w:hint="default" w:ascii="Times New Roman" w:hAnsi="Times New Roman" w:eastAsia="方正仿宋_GBK" w:cs="Times New Roman"/>
          <w:sz w:val="32"/>
          <w:szCs w:val="32"/>
          <w:lang w:val="en-US" w:eastAsia="zh-CN"/>
        </w:rPr>
        <w:t>配合</w:t>
      </w:r>
      <w:r>
        <w:rPr>
          <w:rFonts w:hint="eastAsia" w:ascii="Times New Roman" w:hAnsi="Times New Roman" w:eastAsia="方正仿宋_GBK" w:cs="Times New Roman"/>
          <w:sz w:val="32"/>
          <w:szCs w:val="32"/>
          <w:lang w:val="en-US" w:eastAsia="zh-CN"/>
        </w:rPr>
        <w:t>过程。在确保水利工程自身防洪安全的前提下，通过科学合理调度防洪工程体系，挖掘防洪工程体系可用潜力，控制调度风险，充分发挥防洪工程体系作用，使流域洪灾损失降至最低，防洪效益达到最大。</w:t>
      </w:r>
    </w:p>
    <w:p>
      <w:pPr>
        <w:pStyle w:val="2260"/>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推进调度业务与信息化深度融合，应用人工智能和云计算，研究水库拦洪、河道行洪、航运梯级排洪等大洪水立体协同应对布局模式，开展水工程智能防灾调度系统建设，挖掘防洪工程体系潜力，实现水工程联合优化智能调度、时空互补、效益累加，实行“集群”作战。</w:t>
      </w:r>
    </w:p>
    <w:p>
      <w:pPr>
        <w:pStyle w:val="1795"/>
        <w:keepNext w:val="0"/>
        <w:keepLines w:val="0"/>
        <w:pageBreakBefore w:val="0"/>
        <w:widowControl w:val="0"/>
        <w:kinsoku/>
        <w:wordWrap/>
        <w:overflowPunct/>
        <w:topLinePunct w:val="0"/>
        <w:autoSpaceDE/>
        <w:autoSpaceDN/>
        <w:bidi w:val="0"/>
        <w:adjustRightInd/>
        <w:snapToGrid/>
        <w:spacing w:before="0" w:after="0"/>
        <w:ind w:firstLine="640" w:firstLineChars="200"/>
        <w:textAlignment w:val="auto"/>
        <w:rPr>
          <w:rFonts w:hint="eastAsia" w:ascii="方正楷体_GBK" w:hAnsi="方正楷体_GBK" w:eastAsia="方正楷体_GBK" w:cs="方正楷体_GBK"/>
        </w:rPr>
      </w:pPr>
      <w:bookmarkStart w:id="189" w:name="_Toc20900"/>
      <w:bookmarkStart w:id="190" w:name="_Toc71665882"/>
      <w:bookmarkStart w:id="191" w:name="_Toc32297"/>
      <w:bookmarkStart w:id="192" w:name="_Toc71782097"/>
      <w:r>
        <w:rPr>
          <w:rFonts w:hint="eastAsia" w:ascii="方正楷体_GBK" w:hAnsi="方正楷体_GBK" w:eastAsia="方正楷体_GBK" w:cs="方正楷体_GBK"/>
          <w:lang w:eastAsia="zh-CN"/>
        </w:rPr>
        <w:t>（</w:t>
      </w:r>
      <w:r>
        <w:rPr>
          <w:rFonts w:hint="eastAsia" w:ascii="方正楷体_GBK" w:hAnsi="方正楷体_GBK" w:eastAsia="方正楷体_GBK" w:cs="方正楷体_GBK"/>
          <w:lang w:val="en-US" w:eastAsia="zh-CN"/>
        </w:rPr>
        <w:t>四</w:t>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rPr>
        <w:t>洪水风险区划与防洪空间管控</w:t>
      </w:r>
      <w:bookmarkEnd w:id="189"/>
      <w:bookmarkEnd w:id="190"/>
      <w:bookmarkEnd w:id="191"/>
      <w:bookmarkEnd w:id="192"/>
    </w:p>
    <w:p>
      <w:pPr>
        <w:pStyle w:val="2260"/>
        <w:keepNext w:val="0"/>
        <w:keepLines w:val="0"/>
        <w:pageBreakBefore w:val="0"/>
        <w:widowControl w:val="0"/>
        <w:kinsoku/>
        <w:wordWrap/>
        <w:overflowPunct/>
        <w:topLinePunct w:val="0"/>
        <w:autoSpaceDE/>
        <w:autoSpaceDN/>
        <w:bidi w:val="0"/>
        <w:adjustRightInd w:val="0"/>
        <w:snapToGrid/>
        <w:ind w:firstLine="640" w:firstLineChars="200"/>
        <w:textAlignment w:val="auto"/>
        <w:rPr>
          <w:rFonts w:hint="default" w:ascii="Times New Roman" w:hAnsi="Times New Roman" w:eastAsia="方正仿宋_GBK" w:cs="Times New Roman"/>
          <w:sz w:val="32"/>
          <w:szCs w:val="32"/>
          <w:lang w:val="en-US" w:eastAsia="zh-CN"/>
        </w:rPr>
      </w:pPr>
      <w:r>
        <w:rPr>
          <w:rFonts w:hint="default" w:ascii="Times New Roman" w:hAnsi="Times New Roman" w:eastAsia="方正仿宋_GBK" w:cs="Times New Roman"/>
          <w:sz w:val="32"/>
          <w:szCs w:val="32"/>
          <w:lang w:val="en-US" w:eastAsia="zh-CN"/>
        </w:rPr>
        <w:t>根据綦江流域实际情况和綦江区经济社会发展需求，对特大洪水防御、行洪空间布局优化、洪水风险管理等重点领域开展深入研究，为保障綦江城区防洪安全提供重要技术支撑。</w:t>
      </w:r>
    </w:p>
    <w:p>
      <w:pPr>
        <w:pStyle w:val="2260"/>
        <w:keepNext w:val="0"/>
        <w:keepLines w:val="0"/>
        <w:pageBreakBefore w:val="0"/>
        <w:widowControl w:val="0"/>
        <w:kinsoku/>
        <w:wordWrap/>
        <w:overflowPunct/>
        <w:topLinePunct w:val="0"/>
        <w:autoSpaceDE/>
        <w:autoSpaceDN/>
        <w:bidi w:val="0"/>
        <w:adjustRightInd w:val="0"/>
        <w:snapToGrid/>
        <w:ind w:firstLine="640" w:firstLineChars="200"/>
        <w:textAlignment w:val="auto"/>
        <w:rPr>
          <w:rFonts w:hint="default" w:ascii="Times New Roman" w:hAnsi="Times New Roman" w:eastAsia="方正仿宋_GBK" w:cs="Times New Roman"/>
          <w:sz w:val="32"/>
          <w:szCs w:val="32"/>
          <w:lang w:val="en-US" w:eastAsia="zh-CN"/>
        </w:rPr>
      </w:pPr>
      <w:r>
        <w:rPr>
          <w:rFonts w:hint="default" w:ascii="Times New Roman" w:hAnsi="Times New Roman" w:eastAsia="方正仿宋_GBK" w:cs="Times New Roman"/>
          <w:sz w:val="32"/>
          <w:szCs w:val="32"/>
          <w:lang w:val="en-US" w:eastAsia="zh-CN"/>
        </w:rPr>
        <w:t>1</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lang w:val="en-US" w:eastAsia="zh-CN"/>
        </w:rPr>
        <w:t>洪水风险区划</w:t>
      </w:r>
    </w:p>
    <w:p>
      <w:pPr>
        <w:pStyle w:val="2260"/>
        <w:keepNext w:val="0"/>
        <w:keepLines w:val="0"/>
        <w:pageBreakBefore w:val="0"/>
        <w:widowControl w:val="0"/>
        <w:kinsoku/>
        <w:wordWrap/>
        <w:overflowPunct/>
        <w:topLinePunct w:val="0"/>
        <w:autoSpaceDE/>
        <w:autoSpaceDN/>
        <w:bidi w:val="0"/>
        <w:adjustRightInd w:val="0"/>
        <w:snapToGrid/>
        <w:ind w:firstLine="640" w:firstLineChars="200"/>
        <w:textAlignment w:val="auto"/>
        <w:rPr>
          <w:rFonts w:hint="default" w:ascii="Times New Roman" w:hAnsi="Times New Roman" w:eastAsia="方正仿宋_GBK" w:cs="Times New Roman"/>
          <w:sz w:val="32"/>
          <w:szCs w:val="32"/>
          <w:lang w:val="en-US" w:eastAsia="zh-CN"/>
        </w:rPr>
      </w:pPr>
      <w:r>
        <w:rPr>
          <w:rFonts w:hint="default" w:ascii="Times New Roman" w:hAnsi="Times New Roman" w:eastAsia="方正仿宋_GBK" w:cs="Times New Roman"/>
          <w:sz w:val="32"/>
          <w:szCs w:val="32"/>
          <w:lang w:val="en-US" w:eastAsia="zh-CN"/>
        </w:rPr>
        <w:t>开展灾情评估，建立流域洪涝灾害风险区划图，并应用于防汛调度管理、灾害预警、灾情评估、洪水影响评价、避洪转移等防汛减灾工作中，动态分析不同区域可能淹没的范围、水深以及洪水灾害危险程度和经济损失，准确、科学评估洪水险情、灾情，为防洪决策提供技术支撑，亦为防洪区土地利用规划、洪水保险、公众风险意识提高提供基础信息，指导土地利用、沿江地区经济发展建设结构改造等，建设韧性城市。</w:t>
      </w:r>
    </w:p>
    <w:p>
      <w:pPr>
        <w:pStyle w:val="2260"/>
        <w:keepNext w:val="0"/>
        <w:keepLines w:val="0"/>
        <w:pageBreakBefore w:val="0"/>
        <w:widowControl w:val="0"/>
        <w:kinsoku/>
        <w:wordWrap/>
        <w:overflowPunct/>
        <w:topLinePunct w:val="0"/>
        <w:autoSpaceDE/>
        <w:autoSpaceDN/>
        <w:bidi w:val="0"/>
        <w:adjustRightInd w:val="0"/>
        <w:snapToGrid/>
        <w:ind w:firstLine="640" w:firstLineChars="200"/>
        <w:textAlignment w:val="auto"/>
        <w:rPr>
          <w:rFonts w:hint="default" w:ascii="Times New Roman" w:hAnsi="Times New Roman" w:eastAsia="方正仿宋_GBK" w:cs="Times New Roman"/>
          <w:sz w:val="32"/>
          <w:szCs w:val="32"/>
          <w:lang w:val="en-US" w:eastAsia="zh-CN"/>
        </w:rPr>
      </w:pPr>
      <w:r>
        <w:rPr>
          <w:rFonts w:hint="default" w:ascii="Times New Roman" w:hAnsi="Times New Roman" w:eastAsia="方正仿宋_GBK" w:cs="Times New Roman"/>
          <w:sz w:val="32"/>
          <w:szCs w:val="32"/>
          <w:lang w:val="en-US" w:eastAsia="zh-CN"/>
        </w:rPr>
        <w:t>2</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lang w:val="en-US" w:eastAsia="zh-CN"/>
        </w:rPr>
        <w:t>防洪空间管控</w:t>
      </w:r>
    </w:p>
    <w:p>
      <w:pPr>
        <w:pStyle w:val="2260"/>
        <w:keepNext w:val="0"/>
        <w:keepLines w:val="0"/>
        <w:pageBreakBefore w:val="0"/>
        <w:widowControl w:val="0"/>
        <w:kinsoku/>
        <w:wordWrap/>
        <w:overflowPunct/>
        <w:topLinePunct w:val="0"/>
        <w:autoSpaceDE/>
        <w:autoSpaceDN/>
        <w:bidi w:val="0"/>
        <w:adjustRightInd w:val="0"/>
        <w:snapToGrid/>
        <w:ind w:firstLine="640" w:firstLineChars="200"/>
        <w:textAlignment w:val="auto"/>
        <w:rPr>
          <w:rFonts w:hint="default" w:ascii="Times New Roman" w:hAnsi="Times New Roman" w:eastAsia="方正仿宋_GBK" w:cs="Times New Roman"/>
          <w:sz w:val="32"/>
          <w:szCs w:val="32"/>
          <w:lang w:val="en-US" w:eastAsia="zh-CN"/>
        </w:rPr>
      </w:pPr>
      <w:r>
        <w:rPr>
          <w:rFonts w:hint="default" w:ascii="Times New Roman" w:hAnsi="Times New Roman" w:eastAsia="方正仿宋_GBK" w:cs="Times New Roman"/>
          <w:sz w:val="32"/>
          <w:szCs w:val="32"/>
          <w:lang w:val="en-US" w:eastAsia="zh-CN"/>
        </w:rPr>
        <w:t>加强多部门协调，划定綦江河道管理范围，对接国土空间规划、城市总规，开展河流行蓄洪空间划定工作。研究河道岸线行洪空间科学利用模式，加强行洪空间网格化治理与管控，合理安排城区的蓄洪空间和排水出路，强化城市发展风险管控和洪水风险应对，推动防洪法制化进程，确保防洪安全和行洪畅通，减轻洪灾损失。</w:t>
      </w:r>
    </w:p>
    <w:p>
      <w:pPr>
        <w:pStyle w:val="2260"/>
        <w:keepNext w:val="0"/>
        <w:keepLines w:val="0"/>
        <w:pageBreakBefore w:val="0"/>
        <w:widowControl w:val="0"/>
        <w:kinsoku/>
        <w:wordWrap/>
        <w:overflowPunct/>
        <w:topLinePunct w:val="0"/>
        <w:autoSpaceDE/>
        <w:autoSpaceDN/>
        <w:bidi w:val="0"/>
        <w:adjustRightInd w:val="0"/>
        <w:snapToGrid/>
        <w:ind w:firstLine="640" w:firstLineChars="200"/>
        <w:textAlignment w:val="auto"/>
        <w:rPr>
          <w:rFonts w:hint="default" w:ascii="Times New Roman" w:hAnsi="Times New Roman" w:eastAsia="方正仿宋_GBK" w:cs="Times New Roman"/>
          <w:sz w:val="32"/>
          <w:szCs w:val="32"/>
          <w:lang w:val="en-US" w:eastAsia="zh-CN"/>
        </w:rPr>
      </w:pPr>
      <w:r>
        <w:rPr>
          <w:rFonts w:hint="default" w:ascii="Times New Roman" w:hAnsi="Times New Roman" w:eastAsia="方正仿宋_GBK" w:cs="Times New Roman"/>
          <w:sz w:val="32"/>
          <w:szCs w:val="32"/>
          <w:lang w:val="en-US" w:eastAsia="zh-CN"/>
        </w:rPr>
        <w:t>根据《重庆市人民政府办公厅关于着力提升城乡防洪能力的通知》</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lang w:val="en-US" w:eastAsia="zh-CN"/>
        </w:rPr>
        <w:t>渝府办发〔2021〕141号</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lang w:val="en-US" w:eastAsia="zh-CN"/>
        </w:rPr>
        <w:t>，一是强化防洪能力提升的规划管控。綦江区城镇开发边界内的城区防洪管控水位不得低于50年一遇洪水位，临河建制乡镇不得低于20年一遇洪水位；城镇开发边界外的临河集镇、集中居民点等重点地区原则上不低于20年一遇洪水位。綦江干流及支流通惠河、蒲河城区段的河道防洪管控水位，由重庆市水利局在征求綦江区人民政府和市级有关部门意见后确定并公布；其他乡镇、农村（指城镇开发边界外区域，下同）重点地区和所辖水库防洪管控水位由綦江区人民政府确定和公布。二是强化新建项目防洪管控，主要措施包括严格新建房屋建筑审批，强化构筑物防洪标准管控，充分利用防洪管控水位下的用地，探索防洪管控水位达到方式，加强农村零星房屋建筑防洪管控。三是合理处置具有防洪风险隐患的违法或碍洪建筑，主要措施包括拆除具有防洪风险隐患的违法建筑，有序清退防洪管控水位下的碍洪建筑，强化历史文化建筑保护。</w:t>
      </w:r>
    </w:p>
    <w:p>
      <w:pPr>
        <w:pStyle w:val="2260"/>
        <w:keepNext w:val="0"/>
        <w:keepLines w:val="0"/>
        <w:pageBreakBefore w:val="0"/>
        <w:widowControl w:val="0"/>
        <w:kinsoku/>
        <w:wordWrap/>
        <w:overflowPunct/>
        <w:topLinePunct w:val="0"/>
        <w:autoSpaceDE/>
        <w:autoSpaceDN/>
        <w:bidi w:val="0"/>
        <w:adjustRightInd w:val="0"/>
        <w:snapToGrid/>
        <w:ind w:firstLine="640" w:firstLineChars="200"/>
        <w:textAlignment w:val="auto"/>
        <w:rPr>
          <w:rFonts w:hint="default" w:ascii="Times New Roman" w:hAnsi="Times New Roman" w:eastAsia="方正仿宋_GBK" w:cs="Times New Roman"/>
          <w:sz w:val="32"/>
          <w:szCs w:val="32"/>
          <w:lang w:val="en-US" w:eastAsia="zh-CN"/>
        </w:rPr>
        <w:sectPr>
          <w:headerReference r:id="rId44" w:type="default"/>
          <w:headerReference r:id="rId45" w:type="even"/>
          <w:pgSz w:w="11907" w:h="16840"/>
          <w:pgMar w:top="1616" w:right="1418" w:bottom="1616" w:left="1418" w:header="851" w:footer="1304" w:gutter="0"/>
          <w:pgBorders>
            <w:top w:val="none" w:sz="0" w:space="0"/>
            <w:left w:val="none" w:sz="0" w:space="0"/>
            <w:bottom w:val="none" w:sz="0" w:space="0"/>
            <w:right w:val="none" w:sz="0" w:space="0"/>
          </w:pgBorders>
          <w:pgNumType w:fmt="decimal"/>
          <w:cols w:space="720" w:num="1"/>
          <w:docGrid w:type="lines" w:linePitch="381" w:charSpace="0"/>
        </w:sectPr>
      </w:pPr>
      <w:r>
        <w:rPr>
          <w:rFonts w:hint="default" w:ascii="Times New Roman" w:hAnsi="Times New Roman" w:eastAsia="方正仿宋_GBK" w:cs="Times New Roman"/>
          <w:sz w:val="32"/>
          <w:szCs w:val="32"/>
          <w:lang w:val="en-US" w:eastAsia="zh-CN"/>
        </w:rPr>
        <w:t>将规划堤线（见图8.4</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lang w:val="en-US" w:eastAsia="zh-CN"/>
        </w:rPr>
        <w:t>1和附图9）作为河道开发利用控制边界或河道管理红线，红线水位以下不允许开展经营性活动，在堤防临水面和背水面分别划定宽度不等的禁脚，禁止在该处动土活动；考虑藻渡水库可将綦江城区50年一遇洪水削减至20年一遇，故将20年一遇天然洪水水面线至河道管理红线区间纳入防洪空间管控的重点对象，作为韧性城市建设区域。针对行洪通道不畅、公共空间洪水适应性不足、沿江建筑受灾严重等问题，推进行洪通道清理、公共空间优化、沿江建筑安全隐患整治等工作，探索沿江公共空间弹性利用方式，重现“水清、岸绿、景美、城优”的滨江环境。一是保障行洪通道通畅，清理整治红线水位以下违法违规建设及已不适宜城市发展的城市基础设施和临时商业设施，应清尽清、能清速清，退出被侵占的河道水域岸线空间；预控河道两侧绿地通廊，增加绿化厚度；结合岸线用地功能的调整，逐步搬迁沿江低洼处的仓储物流、菜市场、客货运站等人流物资集聚场地。二是优化滨江公共空间，在保障防洪安全的前提下，重塑韧性公共空间，贯通滨江休闲步道，完善公共服务设施，结合季节性水位变化营造不同的空间体验。三是整治沿江建筑安全隐患，对不同受灾程度的老旧小区提出分类改造措施，受损严重且有安全隐患的危旧房片区实施征收拆除；受淹但无较大安全隐患</w:t>
      </w:r>
      <w:r>
        <w:rPr>
          <w:rFonts w:hint="default" w:ascii="Times New Roman" w:hAnsi="Times New Roman" w:eastAsia="方正仿宋_GBK" w:cs="Times New Roman"/>
          <w:bCs/>
          <w:spacing w:val="-6"/>
          <w:sz w:val="32"/>
          <w:szCs w:val="32"/>
          <w:lang w:val="en-US" w:eastAsia="zh-CN"/>
        </w:rPr>
        <w:t>的房屋通过修缮加固及改扩建的方式进行排危加固，解除安全隐</w:t>
      </w:r>
      <w:r>
        <w:rPr>
          <w:rFonts w:hint="default" w:ascii="Times New Roman" w:hAnsi="Times New Roman" w:eastAsia="方正仿宋_GBK" w:cs="Times New Roman"/>
          <w:sz w:val="32"/>
          <w:szCs w:val="32"/>
          <w:lang w:val="en-US" w:eastAsia="zh-CN"/>
        </w:rPr>
        <w:t>患。</w:t>
      </w:r>
    </w:p>
    <w:p>
      <w:pPr>
        <w:spacing w:line="0" w:lineRule="atLeast"/>
        <w:ind w:firstLine="0" w:firstLineChars="0"/>
        <w:jc w:val="center"/>
        <w:rPr>
          <w:rFonts w:hint="eastAsia" w:ascii="黑体" w:eastAsia="黑体" w:cs="宋体"/>
          <w:snapToGrid w:val="0"/>
          <w:sz w:val="24"/>
          <w:szCs w:val="20"/>
        </w:rPr>
      </w:pPr>
      <w:r>
        <w:rPr>
          <w:rFonts w:hint="eastAsia"/>
        </w:rPr>
        <w:drawing>
          <wp:inline distT="0" distB="0" distL="114300" distR="114300">
            <wp:extent cx="12005945" cy="8479155"/>
            <wp:effectExtent l="0" t="0" r="14605" b="17145"/>
            <wp:docPr id="222" name="图片 526" descr="图8-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2" name="图片 526" descr="图8-2"/>
                    <pic:cNvPicPr>
                      <a:picLocks noChangeAspect="true"/>
                    </pic:cNvPicPr>
                  </pic:nvPicPr>
                  <pic:blipFill>
                    <a:blip r:embed="rId262"/>
                    <a:stretch>
                      <a:fillRect/>
                    </a:stretch>
                  </pic:blipFill>
                  <pic:spPr>
                    <a:xfrm>
                      <a:off x="0" y="0"/>
                      <a:ext cx="12005945" cy="8479155"/>
                    </a:xfrm>
                    <a:prstGeom prst="rect">
                      <a:avLst/>
                    </a:prstGeom>
                    <a:noFill/>
                    <a:ln>
                      <a:noFill/>
                    </a:ln>
                  </pic:spPr>
                </pic:pic>
              </a:graphicData>
            </a:graphic>
          </wp:inline>
        </w:drawing>
      </w:r>
    </w:p>
    <w:p>
      <w:pPr>
        <w:pStyle w:val="2886"/>
        <w:rPr>
          <w:rFonts w:hint="default" w:ascii="Times New Roman" w:hAnsi="Times New Roman" w:cs="Times New Roman"/>
          <w:szCs w:val="28"/>
        </w:rPr>
      </w:pPr>
      <w:r>
        <w:rPr>
          <w:rFonts w:hint="default" w:ascii="Times New Roman" w:hAnsi="Times New Roman" w:cs="Times New Roman"/>
        </w:rPr>
        <w:t>图8.4</w:t>
      </w:r>
      <w:r>
        <w:rPr>
          <w:rFonts w:hint="default" w:ascii="Times New Roman" w:hAnsi="Times New Roman" w:cs="Times New Roman"/>
          <w:lang w:eastAsia="zh-CN"/>
        </w:rPr>
        <w:t>—</w:t>
      </w:r>
      <w:r>
        <w:rPr>
          <w:rFonts w:hint="default" w:ascii="Times New Roman" w:hAnsi="Times New Roman" w:cs="Times New Roman"/>
        </w:rPr>
        <w:t>1　　綦江干流主城区河段防洪空间管控边界位置示意图</w:t>
      </w:r>
    </w:p>
    <w:p>
      <w:pPr>
        <w:pStyle w:val="1916"/>
        <w:ind w:firstLine="560"/>
        <w:rPr>
          <w:rFonts w:hint="default" w:ascii="Times New Roman" w:hAnsi="Times New Roman" w:cs="Times New Roman"/>
          <w:szCs w:val="28"/>
        </w:rPr>
        <w:sectPr>
          <w:headerReference r:id="rId46" w:type="even"/>
          <w:pgSz w:w="23811" w:h="16838" w:orient="landscape"/>
          <w:pgMar w:top="1418" w:right="1616" w:bottom="1418" w:left="1616" w:header="851" w:footer="1304" w:gutter="0"/>
          <w:pgBorders>
            <w:top w:val="none" w:sz="0" w:space="0"/>
            <w:left w:val="none" w:sz="0" w:space="0"/>
            <w:bottom w:val="none" w:sz="0" w:space="0"/>
            <w:right w:val="none" w:sz="0" w:space="0"/>
          </w:pgBorders>
          <w:pgNumType w:fmt="decimal"/>
          <w:cols w:space="720" w:num="1"/>
          <w:docGrid w:type="lines" w:linePitch="381" w:charSpace="0"/>
        </w:sectPr>
      </w:pPr>
    </w:p>
    <w:p>
      <w:pPr>
        <w:pStyle w:val="2260"/>
        <w:keepNext w:val="0"/>
        <w:keepLines w:val="0"/>
        <w:pageBreakBefore w:val="0"/>
        <w:widowControl w:val="0"/>
        <w:kinsoku/>
        <w:wordWrap/>
        <w:overflowPunct/>
        <w:topLinePunct w:val="0"/>
        <w:autoSpaceDE/>
        <w:autoSpaceDN/>
        <w:bidi w:val="0"/>
        <w:adjustRightInd w:val="0"/>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开展洪水风险管理与洪涝灾害保险制度研究，探索利用社会资金补偿洪涝灾害损失，寻求风险转移和利益补偿的平衡；加强洪涝灾害社会化管理，规范人类活动，主动规避洪水风险，实现“全民”防灾。</w:t>
      </w:r>
    </w:p>
    <w:p>
      <w:pPr>
        <w:pStyle w:val="1795"/>
        <w:keepNext w:val="0"/>
        <w:keepLines w:val="0"/>
        <w:pageBreakBefore w:val="0"/>
        <w:widowControl w:val="0"/>
        <w:kinsoku/>
        <w:wordWrap/>
        <w:overflowPunct/>
        <w:topLinePunct w:val="0"/>
        <w:autoSpaceDE/>
        <w:autoSpaceDN/>
        <w:bidi w:val="0"/>
        <w:adjustRightInd/>
        <w:snapToGrid/>
        <w:spacing w:before="0" w:after="0"/>
        <w:ind w:firstLine="640" w:firstLineChars="200"/>
        <w:textAlignment w:val="auto"/>
        <w:rPr>
          <w:rFonts w:hint="eastAsia" w:ascii="方正楷体_GBK" w:hAnsi="方正楷体_GBK" w:eastAsia="方正楷体_GBK" w:cs="方正楷体_GBK"/>
        </w:rPr>
      </w:pPr>
      <w:bookmarkStart w:id="193" w:name="_Toc9451"/>
      <w:bookmarkStart w:id="194" w:name="_Toc71782098"/>
      <w:bookmarkStart w:id="195" w:name="_Toc71665883"/>
      <w:bookmarkStart w:id="196" w:name="_Toc32058"/>
      <w:r>
        <w:rPr>
          <w:rFonts w:hint="eastAsia" w:ascii="方正楷体_GBK" w:hAnsi="方正楷体_GBK" w:eastAsia="方正楷体_GBK" w:cs="方正楷体_GBK"/>
          <w:lang w:eastAsia="zh-CN"/>
        </w:rPr>
        <w:t>（</w:t>
      </w:r>
      <w:r>
        <w:rPr>
          <w:rFonts w:hint="eastAsia" w:ascii="方正楷体_GBK" w:hAnsi="方正楷体_GBK" w:eastAsia="方正楷体_GBK" w:cs="方正楷体_GBK"/>
          <w:lang w:val="en-US" w:eastAsia="zh-CN"/>
        </w:rPr>
        <w:t>五</w:t>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rPr>
        <w:t>行业强监管</w:t>
      </w:r>
      <w:bookmarkEnd w:id="193"/>
      <w:bookmarkEnd w:id="194"/>
      <w:bookmarkEnd w:id="195"/>
      <w:bookmarkEnd w:id="196"/>
    </w:p>
    <w:p>
      <w:pPr>
        <w:pStyle w:val="2260"/>
        <w:keepNext w:val="0"/>
        <w:keepLines w:val="0"/>
        <w:pageBreakBefore w:val="0"/>
        <w:kinsoku/>
        <w:wordWrap/>
        <w:overflowPunct/>
        <w:topLinePunct w:val="0"/>
        <w:autoSpaceDE/>
        <w:autoSpaceDN/>
        <w:bidi w:val="0"/>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1</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rPr>
        <w:t>河道行洪通畅</w:t>
      </w:r>
    </w:p>
    <w:p>
      <w:pPr>
        <w:keepNext w:val="0"/>
        <w:keepLines w:val="0"/>
        <w:pageBreakBefore w:val="0"/>
        <w:widowControl/>
        <w:kinsoku/>
        <w:wordWrap/>
        <w:overflowPunct/>
        <w:topLinePunct w:val="0"/>
        <w:autoSpaceDE/>
        <w:autoSpaceDN/>
        <w:bidi w:val="0"/>
        <w:adjustRightInd w:val="0"/>
        <w:snapToGrid w:val="0"/>
        <w:ind w:firstLine="640" w:firstLineChars="200"/>
        <w:textAlignment w:val="auto"/>
        <w:rPr>
          <w:rFonts w:hint="default" w:ascii="Times New Roman" w:hAnsi="Times New Roman" w:eastAsia="方正仿宋_GBK" w:cs="Times New Roman"/>
          <w:kern w:val="0"/>
          <w:sz w:val="32"/>
          <w:szCs w:val="32"/>
          <w:lang w:val="zh-CN"/>
        </w:rPr>
      </w:pPr>
      <w:r>
        <w:rPr>
          <w:rFonts w:hint="default" w:ascii="Times New Roman" w:hAnsi="Times New Roman" w:eastAsia="方正仿宋_GBK" w:cs="Times New Roman"/>
          <w:sz w:val="32"/>
          <w:szCs w:val="32"/>
        </w:rPr>
        <w:t>一是发挥好河长作用。</w:t>
      </w:r>
      <w:r>
        <w:rPr>
          <w:rFonts w:hint="default" w:ascii="Times New Roman" w:hAnsi="Times New Roman" w:eastAsia="方正仿宋_GBK" w:cs="Times New Roman"/>
          <w:kern w:val="0"/>
          <w:sz w:val="32"/>
          <w:szCs w:val="32"/>
          <w:lang w:val="zh-CN"/>
        </w:rPr>
        <w:t>以本次灾后重建为契机，</w:t>
      </w:r>
      <w:r>
        <w:rPr>
          <w:rFonts w:hint="default" w:ascii="Times New Roman" w:hAnsi="Times New Roman" w:eastAsia="方正仿宋_GBK" w:cs="Times New Roman"/>
          <w:sz w:val="32"/>
          <w:szCs w:val="32"/>
        </w:rPr>
        <w:t>创新河道管护机制，持续推进河道“强监管”工作，建立区、街道、村（社区）三级河长体系，推动河长办机构设置规范化，实现河道和防洪工程精细化管理，解决好河道管理保护的突出问题，</w:t>
      </w:r>
      <w:r>
        <w:rPr>
          <w:rFonts w:hint="default" w:ascii="Times New Roman" w:hAnsi="Times New Roman" w:eastAsia="方正仿宋_GBK" w:cs="Times New Roman"/>
          <w:kern w:val="0"/>
          <w:sz w:val="32"/>
          <w:szCs w:val="32"/>
          <w:lang w:val="zh-CN"/>
        </w:rPr>
        <w:t>构建责任明确、协调有</w:t>
      </w:r>
      <w:r>
        <w:rPr>
          <w:rFonts w:hint="eastAsia" w:ascii="方正仿宋_GBK" w:hAnsi="方正仿宋_GBK" w:eastAsia="方正仿宋_GBK" w:cs="方正仿宋_GBK"/>
          <w:kern w:val="0"/>
          <w:sz w:val="32"/>
          <w:szCs w:val="32"/>
          <w:lang w:val="zh-CN"/>
        </w:rPr>
        <w:t>序、监管严格、保护有力的河道</w:t>
      </w:r>
      <w:r>
        <w:rPr>
          <w:rFonts w:hint="eastAsia" w:ascii="方正仿宋_GBK" w:hAnsi="方正仿宋_GBK" w:eastAsia="方正仿宋_GBK" w:cs="方正仿宋_GBK"/>
          <w:sz w:val="32"/>
          <w:szCs w:val="32"/>
        </w:rPr>
        <w:t>长效管理和保护机制</w:t>
      </w:r>
      <w:r>
        <w:rPr>
          <w:rFonts w:hint="eastAsia" w:ascii="方正仿宋_GBK" w:hAnsi="方正仿宋_GBK" w:eastAsia="方正仿宋_GBK" w:cs="方正仿宋_GBK"/>
          <w:kern w:val="0"/>
          <w:sz w:val="32"/>
          <w:szCs w:val="32"/>
          <w:lang w:val="zh-CN"/>
        </w:rPr>
        <w:t>，为维护河流健康生命、实现河流功能永续利用提供制度保障</w:t>
      </w:r>
      <w:r>
        <w:rPr>
          <w:rFonts w:hint="eastAsia" w:ascii="方正仿宋_GBK" w:hAnsi="方正仿宋_GBK" w:eastAsia="方正仿宋_GBK" w:cs="方正仿宋_GBK"/>
          <w:sz w:val="32"/>
          <w:szCs w:val="32"/>
        </w:rPr>
        <w:t>。</w:t>
      </w:r>
      <w:r>
        <w:rPr>
          <w:rFonts w:hint="eastAsia" w:ascii="方正仿宋_GBK" w:hAnsi="方正仿宋_GBK" w:eastAsia="方正仿宋_GBK" w:cs="方正仿宋_GBK"/>
          <w:kern w:val="0"/>
          <w:sz w:val="32"/>
          <w:szCs w:val="32"/>
          <w:lang w:val="zh-CN"/>
        </w:rPr>
        <w:t>按照“构建绿色生态水网”和“打造平安生态水系”模式推进河长制，</w:t>
      </w:r>
      <w:r>
        <w:rPr>
          <w:rFonts w:hint="eastAsia" w:ascii="方正仿宋_GBK" w:hAnsi="方正仿宋_GBK" w:eastAsia="方正仿宋_GBK" w:cs="方正仿宋_GBK"/>
          <w:sz w:val="32"/>
          <w:szCs w:val="32"/>
        </w:rPr>
        <w:t>完善“一河一策”、“一河一档”，充分发挥水行政主管部门和河长制平台作用，加强河长考核，压实政府主体责任，一级抓一级、层层抓落实，促进河长履职尽责，深入推进河长制从“有名”到“有实”转变，推进</w:t>
      </w:r>
      <w:r>
        <w:rPr>
          <w:rFonts w:hint="eastAsia" w:ascii="方正仿宋_GBK" w:hAnsi="方正仿宋_GBK" w:eastAsia="方正仿宋_GBK" w:cs="方正仿宋_GBK"/>
          <w:kern w:val="0"/>
          <w:sz w:val="32"/>
          <w:szCs w:val="32"/>
          <w:lang w:val="zh-CN"/>
        </w:rPr>
        <w:t>綦江洪灾频发、城市景观廊道受限等突出水</w:t>
      </w:r>
      <w:r>
        <w:rPr>
          <w:rFonts w:hint="default" w:ascii="Times New Roman" w:hAnsi="Times New Roman" w:eastAsia="方正仿宋_GBK" w:cs="Times New Roman"/>
          <w:kern w:val="0"/>
          <w:sz w:val="32"/>
          <w:szCs w:val="32"/>
          <w:lang w:val="zh-CN"/>
        </w:rPr>
        <w:t>问题有效解决。</w:t>
      </w:r>
    </w:p>
    <w:p>
      <w:pPr>
        <w:keepNext w:val="0"/>
        <w:keepLines w:val="0"/>
        <w:pageBreakBefore w:val="0"/>
        <w:widowControl/>
        <w:kinsoku/>
        <w:wordWrap/>
        <w:overflowPunct/>
        <w:topLinePunct w:val="0"/>
        <w:autoSpaceDE/>
        <w:autoSpaceDN/>
        <w:bidi w:val="0"/>
        <w:adjustRightInd w:val="0"/>
        <w:snapToGrid w:val="0"/>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二是划定好管理范围。依法依规开展河道管理范围划定工作，尽快完成河道管理范围划定工作，明确河道管理边界，补齐河道监管短板。</w:t>
      </w:r>
    </w:p>
    <w:p>
      <w:pPr>
        <w:keepNext w:val="0"/>
        <w:keepLines w:val="0"/>
        <w:pageBreakBefore w:val="0"/>
        <w:widowControl/>
        <w:kinsoku/>
        <w:wordWrap/>
        <w:overflowPunct/>
        <w:topLinePunct w:val="0"/>
        <w:autoSpaceDE/>
        <w:autoSpaceDN/>
        <w:bidi w:val="0"/>
        <w:adjustRightInd w:val="0"/>
        <w:snapToGrid w:val="0"/>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三是强化岸线及采砂监管。组织编制完善岸线保护和采砂管理规划，强化涉河湖岸线行政审批的监管，对手续不全、未批先建等行为严肃查处，对岸线占而不用、多占少用等明确整改期限，确保有序开发。</w:t>
      </w:r>
    </w:p>
    <w:p>
      <w:pPr>
        <w:keepNext w:val="0"/>
        <w:keepLines w:val="0"/>
        <w:pageBreakBefore w:val="0"/>
        <w:widowControl/>
        <w:kinsoku/>
        <w:wordWrap/>
        <w:overflowPunct/>
        <w:topLinePunct w:val="0"/>
        <w:autoSpaceDE/>
        <w:autoSpaceDN/>
        <w:bidi w:val="0"/>
        <w:adjustRightInd w:val="0"/>
        <w:snapToGrid w:val="0"/>
        <w:ind w:firstLine="640" w:firstLineChars="200"/>
        <w:textAlignment w:val="auto"/>
        <w:rPr>
          <w:rFonts w:hint="eastAsia" w:ascii="方正仿宋_GBK" w:hAnsi="方正仿宋_GBK" w:eastAsia="方正仿宋_GBK" w:cs="方正仿宋_GBK"/>
          <w:sz w:val="32"/>
          <w:szCs w:val="32"/>
        </w:rPr>
      </w:pPr>
      <w:r>
        <w:rPr>
          <w:rFonts w:hint="default" w:ascii="Times New Roman" w:hAnsi="Times New Roman" w:eastAsia="方正仿宋_GBK" w:cs="Times New Roman"/>
          <w:sz w:val="32"/>
          <w:szCs w:val="32"/>
        </w:rPr>
        <w:t>四是巩固好</w:t>
      </w:r>
      <w:r>
        <w:rPr>
          <w:rFonts w:hint="eastAsia" w:ascii="方正仿宋_GBK" w:hAnsi="方正仿宋_GBK" w:eastAsia="方正仿宋_GBK" w:cs="方正仿宋_GBK"/>
          <w:sz w:val="32"/>
          <w:szCs w:val="32"/>
        </w:rPr>
        <w:t>治理成果。推进“清四乱”工作的常态化、制度化和规范化，以“清四乱”为重点，集中力量解决乱占、乱采、乱堆、乱建等问题，集中清理非</w:t>
      </w:r>
      <w:r>
        <w:rPr>
          <w:rFonts w:hint="default" w:ascii="Times New Roman" w:hAnsi="Times New Roman" w:eastAsia="方正仿宋_GBK" w:cs="Times New Roman"/>
          <w:sz w:val="32"/>
          <w:szCs w:val="32"/>
        </w:rPr>
        <w:t>法侵占水域滩地、非法采砂、非法堆放固体废弃物、非法排污以及河道内非法建筑物等，严格按照时间节点和任务要求，逐级强化监管，对未按时完成任务或者弄虚作假的进行问责。加大暗访督查力度，认真督办重大问题，加强社会监督，强化科技支撑，推动河道问题及时发现、妥善处理、整</w:t>
      </w:r>
      <w:r>
        <w:rPr>
          <w:rFonts w:hint="eastAsia" w:ascii="方正仿宋_GBK" w:hAnsi="方正仿宋_GBK" w:eastAsia="方正仿宋_GBK" w:cs="方正仿宋_GBK"/>
          <w:sz w:val="32"/>
          <w:szCs w:val="32"/>
        </w:rPr>
        <w:t>改到位，把“强监管”落到实处。</w:t>
      </w:r>
    </w:p>
    <w:p>
      <w:pPr>
        <w:pStyle w:val="2953"/>
        <w:keepNext w:val="0"/>
        <w:keepLines w:val="0"/>
        <w:pageBreakBefore w:val="0"/>
        <w:kinsoku/>
        <w:wordWrap/>
        <w:overflowPunct/>
        <w:topLinePunct w:val="0"/>
        <w:autoSpaceDE/>
        <w:autoSpaceDN/>
        <w:bidi w:val="0"/>
        <w:ind w:firstLine="640" w:firstLineChars="200"/>
        <w:textAlignment w:val="auto"/>
        <w:rPr>
          <w:rFonts w:hint="default" w:ascii="Times New Roman" w:hAnsi="Times New Roman" w:eastAsia="方正仿宋_GBK" w:cs="Times New Roman"/>
          <w:sz w:val="32"/>
          <w:szCs w:val="32"/>
        </w:rPr>
      </w:pPr>
      <w:r>
        <w:rPr>
          <w:rFonts w:hint="eastAsia" w:ascii="方正仿宋_GBK" w:hAnsi="方正仿宋_GBK" w:eastAsia="方正仿宋_GBK" w:cs="方正仿宋_GBK"/>
          <w:sz w:val="32"/>
          <w:szCs w:val="32"/>
        </w:rPr>
        <w:t>五是退除不符规定项目。为构建和保护地区内生态格局、生态安全和防洪安全，应按照分级管控的原则制定项目准入条例，统筹管理地区内已有以及拟进入该地区的各类生产建设项目。按照“控、转、退”的原</w:t>
      </w:r>
      <w:r>
        <w:rPr>
          <w:rFonts w:hint="default" w:ascii="Times New Roman" w:hAnsi="Times New Roman" w:eastAsia="方正仿宋_GBK" w:cs="Times New Roman"/>
          <w:sz w:val="32"/>
          <w:szCs w:val="32"/>
        </w:rPr>
        <w:t>则，大致将管理项目分为以下三类：控—在生态控制线廊道和河道管理范围内的建设项目，实行严格管控措施，确保其符合生态保护和防洪保安要求</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转—在生态控制线和河道管理范围内对环境和防洪有一定影响的建设项目，建议其根据生态保护地区项目准入要求做适当转型，对影响防洪的构筑物做适当优化改建</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退—在生态控制线和河道管理范围内对环境和防洪产生较大影响的建设项目，建立灵活采用协商沟通机制和补偿机制，协调其退出生态保护区域和河道管理范围，并视具体情况，给予经济补偿和优惠政策补偿。通过完善项目准入机制，最大程度从源头上对生产建设活动进行管控。为保证对地区的管控，建议形成长期有效的动态监察机制，及时发现在管控地区内</w:t>
      </w:r>
      <w:r>
        <w:rPr>
          <w:rFonts w:hint="default" w:ascii="Times New Roman" w:hAnsi="Times New Roman" w:eastAsia="方正仿宋_GBK" w:cs="Times New Roman"/>
          <w:spacing w:val="-11"/>
          <w:sz w:val="32"/>
          <w:szCs w:val="32"/>
        </w:rPr>
        <w:t>未批先建、已批乱建以及影响地区自然生态环境和防洪等各类问</w:t>
      </w:r>
      <w:r>
        <w:rPr>
          <w:rFonts w:hint="default" w:ascii="Times New Roman" w:hAnsi="Times New Roman" w:eastAsia="方正仿宋_GBK" w:cs="Times New Roman"/>
          <w:sz w:val="32"/>
          <w:szCs w:val="32"/>
        </w:rPr>
        <w:t>题。</w:t>
      </w:r>
    </w:p>
    <w:p>
      <w:pPr>
        <w:pStyle w:val="2260"/>
        <w:keepNext w:val="0"/>
        <w:keepLines w:val="0"/>
        <w:pageBreakBefore w:val="0"/>
        <w:kinsoku/>
        <w:wordWrap/>
        <w:overflowPunct/>
        <w:topLinePunct w:val="0"/>
        <w:autoSpaceDE/>
        <w:autoSpaceDN/>
        <w:bidi w:val="0"/>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2</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rPr>
        <w:t>危险区域人员转移</w:t>
      </w:r>
    </w:p>
    <w:p>
      <w:pPr>
        <w:keepNext w:val="0"/>
        <w:keepLines w:val="0"/>
        <w:pageBreakBefore w:val="0"/>
        <w:widowControl/>
        <w:kinsoku/>
        <w:wordWrap/>
        <w:overflowPunct/>
        <w:topLinePunct w:val="0"/>
        <w:autoSpaceDE/>
        <w:autoSpaceDN/>
        <w:bidi w:val="0"/>
        <w:adjustRightInd w:val="0"/>
        <w:snapToGrid w:val="0"/>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一是强化人员转移方案预案监管。督促相关部门严格按照《重庆市綦江城区超标洪水防御预案》要求，结合最新的水利工程、社会经济数据，进一步细化完善洪水危险区域人员转移预案，使其更具针对性</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可操作性，并及时将相关预案报有审批权限的单位审批。通过建立完善信息系统，打通数据壁垒，推进水利业务与信息化深度融合，建立危险区域人员转移大数据平台，通过电脑模拟等手段定期检验人员转移方案的可操作性和针对性，加强对可操作性不强、转移路线不合理方案的监管，督促有关部门及时整改到位。督促水利、应急管理部门进一步强化宣传演练，提高认识，通过电视、报纸、广播、网络、宣传手册等多种方式加强洪水高风险区宣传，增强区内居民对洪水高风险区的认识及防洪风险意识，适当组织演练与培训，使当地干部群众熟悉转移路线、预警信号等信息。通过大数据平台定期收集宣传演练情况，对宣传演练不到位的单位进行督导。</w:t>
      </w:r>
    </w:p>
    <w:p>
      <w:pPr>
        <w:keepNext w:val="0"/>
        <w:keepLines w:val="0"/>
        <w:pageBreakBefore w:val="0"/>
        <w:widowControl/>
        <w:kinsoku/>
        <w:wordWrap/>
        <w:overflowPunct/>
        <w:topLinePunct w:val="0"/>
        <w:autoSpaceDE/>
        <w:autoSpaceDN/>
        <w:bidi w:val="0"/>
        <w:adjustRightInd w:val="0"/>
        <w:snapToGrid w:val="0"/>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二是做好危险区域人员转移监管。充分利用流域洪水风险图成果，督促古南、文龙、三江、通惠街道划定本地区洪水风险危险区域，一一制定转移避险方案，按照就近原则，逐户落实转移路线、安置地点、责任人、联系人、转移交通工具等。通过大数据平台强化转移措施实时监管，对洪水风险较高但地方未制定合理转移方案的地区进行专项督导，确保方案及时制定到位；强化对人员转移方案、转移责任人到位履职情况等不定期督查，确保危险区内的人员转移工作部署落实到位。</w:t>
      </w:r>
    </w:p>
    <w:p>
      <w:pPr>
        <w:pStyle w:val="2260"/>
        <w:keepNext w:val="0"/>
        <w:keepLines w:val="0"/>
        <w:pageBreakBefore w:val="0"/>
        <w:kinsoku/>
        <w:wordWrap/>
        <w:overflowPunct/>
        <w:topLinePunct w:val="0"/>
        <w:autoSpaceDE/>
        <w:autoSpaceDN/>
        <w:bidi w:val="0"/>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3</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rPr>
        <w:t>水库汛限水位监管</w:t>
      </w:r>
    </w:p>
    <w:p>
      <w:pPr>
        <w:keepNext w:val="0"/>
        <w:keepLines w:val="0"/>
        <w:pageBreakBefore w:val="0"/>
        <w:widowControl/>
        <w:kinsoku/>
        <w:wordWrap/>
        <w:overflowPunct/>
        <w:topLinePunct w:val="0"/>
        <w:autoSpaceDE/>
        <w:autoSpaceDN/>
        <w:bidi w:val="0"/>
        <w:adjustRightInd w:val="0"/>
        <w:snapToGrid w:val="0"/>
        <w:ind w:firstLine="640" w:firstLineChars="200"/>
        <w:textAlignment w:val="auto"/>
        <w:rPr>
          <w:rFonts w:hint="eastAsia" w:ascii="方正仿宋_GBK" w:hAnsi="方正仿宋_GBK" w:eastAsia="方正仿宋_GBK" w:cs="方正仿宋_GBK"/>
          <w:sz w:val="32"/>
          <w:szCs w:val="32"/>
        </w:rPr>
      </w:pPr>
      <w:r>
        <w:rPr>
          <w:rFonts w:hint="default" w:ascii="Times New Roman" w:hAnsi="Times New Roman" w:eastAsia="方正仿宋_GBK" w:cs="Times New Roman"/>
          <w:sz w:val="32"/>
          <w:szCs w:val="32"/>
        </w:rPr>
        <w:t>一是健全制度体系，全面夯实汛限水位监管基础。进一步强化綦江区内水库（水电站）基础数据复核，确保水库总库容、汛限水位及水位起止时间等数据规范、准确、可靠。同时，针对部分超汛</w:t>
      </w:r>
      <w:r>
        <w:rPr>
          <w:rFonts w:hint="eastAsia" w:ascii="方正仿宋_GBK" w:hAnsi="方正仿宋_GBK" w:eastAsia="方正仿宋_GBK" w:cs="方正仿宋_GBK"/>
          <w:sz w:val="32"/>
          <w:szCs w:val="32"/>
        </w:rPr>
        <w:t>限水位水库“无防洪任务且超汛限后无调度手段降水位”和“汛限水位低于溢洪道底板高程又无其它手段降水位”等问题进行复核，摸清基本情况，夯实监管基础。</w:t>
      </w:r>
    </w:p>
    <w:p>
      <w:pPr>
        <w:keepNext w:val="0"/>
        <w:keepLines w:val="0"/>
        <w:pageBreakBefore w:val="0"/>
        <w:widowControl/>
        <w:kinsoku/>
        <w:wordWrap/>
        <w:overflowPunct/>
        <w:topLinePunct w:val="0"/>
        <w:autoSpaceDE/>
        <w:autoSpaceDN/>
        <w:bidi w:val="0"/>
        <w:adjustRightInd w:val="0"/>
        <w:snapToGrid w:val="0"/>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二是强化运行监督管理能力。通过信息化等手段，实时对区内水库的水位运行情况进行监督，动态生成超汛限水库、连续多日超汛限水库、未报汛水库统计表，做到水库超汛限在线填报、在线监督和在线管理。</w:t>
      </w:r>
    </w:p>
    <w:p>
      <w:pPr>
        <w:keepNext w:val="0"/>
        <w:keepLines w:val="0"/>
        <w:pageBreakBefore w:val="0"/>
        <w:widowControl/>
        <w:kinsoku/>
        <w:wordWrap/>
        <w:overflowPunct/>
        <w:topLinePunct w:val="0"/>
        <w:autoSpaceDE/>
        <w:autoSpaceDN/>
        <w:bidi w:val="0"/>
        <w:adjustRightInd w:val="0"/>
        <w:snapToGrid w:val="0"/>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三是增强监管针对性有效性。认真掌握各类水库调度运行过程，分析水库运行调度不同工况、不同时期、不同条件下运行状况，分类严格监督管理。严禁水库擅自超汛限水位运行，做好水库预报预泄，洪水过程中科学拦洪、削峰、错峰，洪水过后督促采取有效措施及时降低水库运行水位。</w:t>
      </w:r>
    </w:p>
    <w:p>
      <w:pPr>
        <w:pStyle w:val="2260"/>
        <w:keepNext w:val="0"/>
        <w:keepLines w:val="0"/>
        <w:pageBreakBefore w:val="0"/>
        <w:kinsoku/>
        <w:wordWrap/>
        <w:overflowPunct/>
        <w:topLinePunct w:val="0"/>
        <w:autoSpaceDE/>
        <w:autoSpaceDN/>
        <w:bidi w:val="0"/>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4</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rPr>
        <w:t>重要设施自保</w:t>
      </w:r>
    </w:p>
    <w:p>
      <w:pPr>
        <w:keepNext w:val="0"/>
        <w:keepLines w:val="0"/>
        <w:pageBreakBefore w:val="0"/>
        <w:widowControl/>
        <w:kinsoku/>
        <w:wordWrap/>
        <w:overflowPunct/>
        <w:topLinePunct w:val="0"/>
        <w:autoSpaceDE/>
        <w:autoSpaceDN/>
        <w:bidi w:val="0"/>
        <w:adjustRightInd w:val="0"/>
        <w:snapToGrid w:val="0"/>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充分利用洪水风险图、历史洪水资料等相关成果，对本区域内受洪水影响风险较大、洪水可能对重要基础设施造成重大影响、重要基础设施受洪水威胁后对经济社会造成重大影响的重要设施进行全面梳理，列出详细清单，充分研判可能的洪水风险及其后果，制定合理可行的自保方案。强化对重要设施清单、自保方案制定的监管，摸清重要设施情况、建立重要设施台账，监督落实制定合理可行的自保方案。</w:t>
      </w:r>
    </w:p>
    <w:p>
      <w:pPr>
        <w:pStyle w:val="2260"/>
        <w:keepNext w:val="0"/>
        <w:keepLines w:val="0"/>
        <w:pageBreakBefore w:val="0"/>
        <w:kinsoku/>
        <w:wordWrap/>
        <w:overflowPunct/>
        <w:topLinePunct w:val="0"/>
        <w:autoSpaceDE/>
        <w:autoSpaceDN/>
        <w:bidi w:val="0"/>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5</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rPr>
        <w:t>其他强监管措施</w:t>
      </w:r>
    </w:p>
    <w:p>
      <w:pPr>
        <w:pStyle w:val="1916"/>
        <w:keepNext w:val="0"/>
        <w:keepLines w:val="0"/>
        <w:pageBreakBefore w:val="0"/>
        <w:kinsoku/>
        <w:wordWrap/>
        <w:overflowPunct/>
        <w:topLinePunct w:val="0"/>
        <w:autoSpaceDE/>
        <w:autoSpaceDN/>
        <w:bidi w:val="0"/>
        <w:ind w:firstLine="640" w:firstLineChars="200"/>
        <w:textAlignment w:val="auto"/>
        <w:rPr>
          <w:rFonts w:hint="eastAsia" w:ascii="方正仿宋_GBK" w:hAnsi="方正仿宋_GBK" w:eastAsia="方正仿宋_GBK" w:cs="方正仿宋_GBK"/>
          <w:sz w:val="32"/>
          <w:szCs w:val="32"/>
        </w:rPr>
      </w:pPr>
      <w:r>
        <w:rPr>
          <w:rFonts w:hint="default" w:ascii="Times New Roman" w:hAnsi="Times New Roman" w:eastAsia="方正仿宋_GBK" w:cs="Times New Roman"/>
          <w:sz w:val="32"/>
          <w:szCs w:val="32"/>
        </w:rPr>
        <w:t>强化区内水利工程监管。强化对区内水库、水电站、航运枢纽等水利工程设施安全度汛措施监管，安全度汛组织机构和工作制度、度汛方案和超标准洪水应急预案、汛情险情通报和应急处置机制等是否制定落实及防汛抢险队伍组建与培训演练、防汛器材物资配备是否到位等进行全方位监管，全面检查工程安全度汛责任、队伍、预案、物资等落实情况，强化安全风险管控，及时消除度汛隐患。</w:t>
      </w:r>
    </w:p>
    <w:p>
      <w:pPr>
        <w:pStyle w:val="2260"/>
        <w:keepNext w:val="0"/>
        <w:keepLines w:val="0"/>
        <w:pageBreakBefore w:val="0"/>
        <w:kinsoku/>
        <w:wordWrap/>
        <w:overflowPunct/>
        <w:topLinePunct w:val="0"/>
        <w:autoSpaceDE/>
        <w:autoSpaceDN/>
        <w:bidi w:val="0"/>
        <w:ind w:firstLine="640" w:firstLineChars="200"/>
        <w:textAlignment w:val="auto"/>
        <w:rPr>
          <w:rFonts w:hint="eastAsia" w:ascii="方正楷体_GBK" w:hAnsi="方正楷体_GBK" w:eastAsia="方正楷体_GBK" w:cs="方正楷体_GBK"/>
          <w:sz w:val="32"/>
          <w:szCs w:val="32"/>
          <w:lang w:eastAsia="zh-CN"/>
        </w:rPr>
      </w:pPr>
      <w:bookmarkStart w:id="197" w:name="_Toc2259"/>
      <w:bookmarkStart w:id="198" w:name="_Toc71665884"/>
      <w:bookmarkStart w:id="199" w:name="_Toc71782099"/>
      <w:r>
        <w:rPr>
          <w:rFonts w:hint="eastAsia" w:ascii="方正楷体_GBK" w:hAnsi="方正楷体_GBK" w:eastAsia="方正楷体_GBK" w:cs="方正楷体_GBK"/>
          <w:sz w:val="32"/>
          <w:szCs w:val="32"/>
          <w:lang w:eastAsia="zh-CN"/>
        </w:rPr>
        <w:t>（</w:t>
      </w:r>
      <w:r>
        <w:rPr>
          <w:rFonts w:hint="eastAsia" w:ascii="方正楷体_GBK" w:hAnsi="方正楷体_GBK" w:eastAsia="方正楷体_GBK" w:cs="方正楷体_GBK"/>
          <w:sz w:val="32"/>
          <w:szCs w:val="32"/>
          <w:lang w:val="en-US" w:eastAsia="zh-CN"/>
        </w:rPr>
        <w:t>六</w:t>
      </w:r>
      <w:r>
        <w:rPr>
          <w:rFonts w:hint="eastAsia" w:ascii="方正楷体_GBK" w:hAnsi="方正楷体_GBK" w:eastAsia="方正楷体_GBK" w:cs="方正楷体_GBK"/>
          <w:sz w:val="32"/>
          <w:szCs w:val="32"/>
          <w:lang w:eastAsia="zh-CN"/>
        </w:rPr>
        <w:t>）防洪应急管理机制建设</w:t>
      </w:r>
      <w:bookmarkEnd w:id="197"/>
      <w:bookmarkEnd w:id="198"/>
      <w:bookmarkEnd w:id="199"/>
    </w:p>
    <w:p>
      <w:pPr>
        <w:pStyle w:val="2260"/>
        <w:keepNext w:val="0"/>
        <w:keepLines w:val="0"/>
        <w:pageBreakBefore w:val="0"/>
        <w:kinsoku/>
        <w:wordWrap/>
        <w:overflowPunct/>
        <w:topLinePunct w:val="0"/>
        <w:autoSpaceDE/>
        <w:autoSpaceDN/>
        <w:bidi w:val="0"/>
        <w:ind w:firstLine="640" w:firstLineChars="200"/>
        <w:textAlignment w:val="auto"/>
        <w:rPr>
          <w:rFonts w:hint="default" w:ascii="Times New Roman" w:hAnsi="Times New Roman" w:eastAsia="方正仿宋_GBK" w:cs="Times New Roman"/>
          <w:sz w:val="32"/>
          <w:szCs w:val="32"/>
        </w:rPr>
      </w:pPr>
      <w:r>
        <w:rPr>
          <w:rFonts w:hint="eastAsia" w:ascii="Times New Roman" w:hAnsi="Times New Roman" w:eastAsia="方正仿宋_GBK" w:cs="Times New Roman"/>
          <w:sz w:val="32"/>
          <w:szCs w:val="32"/>
        </w:rPr>
        <w:t>1</w:t>
      </w:r>
      <w:r>
        <w:rPr>
          <w:rFonts w:hint="eastAsia" w:ascii="Times New Roman" w:hAnsi="Times New Roman" w:eastAsia="方正仿宋_GBK" w:cs="Times New Roman"/>
          <w:sz w:val="32"/>
          <w:szCs w:val="32"/>
          <w:lang w:val="en-US" w:eastAsia="zh-CN"/>
        </w:rPr>
        <w:t>．</w:t>
      </w:r>
      <w:r>
        <w:rPr>
          <w:rFonts w:hint="eastAsia" w:ascii="Times New Roman" w:hAnsi="Times New Roman" w:eastAsia="方正仿宋_GBK" w:cs="Times New Roman"/>
          <w:sz w:val="32"/>
          <w:szCs w:val="32"/>
        </w:rPr>
        <w:t>开展洪涝灾害防御体制机制研究</w:t>
      </w:r>
    </w:p>
    <w:p>
      <w:pPr>
        <w:pStyle w:val="2260"/>
        <w:keepNext w:val="0"/>
        <w:keepLines w:val="0"/>
        <w:pageBreakBefore w:val="0"/>
        <w:kinsoku/>
        <w:wordWrap/>
        <w:overflowPunct/>
        <w:topLinePunct w:val="0"/>
        <w:autoSpaceDE/>
        <w:autoSpaceDN/>
        <w:bidi w:val="0"/>
        <w:ind w:firstLine="640" w:firstLineChars="200"/>
        <w:textAlignment w:val="auto"/>
        <w:rPr>
          <w:rFonts w:hint="default" w:ascii="Times New Roman" w:hAnsi="Times New Roman" w:eastAsia="方正仿宋_GBK" w:cs="Times New Roman"/>
          <w:sz w:val="32"/>
          <w:szCs w:val="32"/>
        </w:rPr>
      </w:pPr>
      <w:r>
        <w:rPr>
          <w:rFonts w:hint="eastAsia" w:ascii="Times New Roman" w:hAnsi="Times New Roman" w:eastAsia="方正仿宋_GBK" w:cs="Times New Roman"/>
          <w:sz w:val="32"/>
          <w:szCs w:val="32"/>
        </w:rPr>
        <w:t>理顺水旱灾害防御体系与防汛抗旱应急抢险体系关系，加强应对流域极端洪水的协调机制、应急处置与支撑保障能力建设，充分发挥水利部门的“测防报”和应急管理部门的“抗救”专业优势，守住水旱灾害防御，强化“整体”能力。</w:t>
      </w:r>
    </w:p>
    <w:p>
      <w:pPr>
        <w:pStyle w:val="2260"/>
        <w:keepNext w:val="0"/>
        <w:keepLines w:val="0"/>
        <w:pageBreakBefore w:val="0"/>
        <w:kinsoku/>
        <w:wordWrap/>
        <w:overflowPunct/>
        <w:topLinePunct w:val="0"/>
        <w:autoSpaceDE/>
        <w:autoSpaceDN/>
        <w:bidi w:val="0"/>
        <w:ind w:firstLine="640" w:firstLineChars="20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rPr>
        <w:t>增加綦江区防汛指挥机构的专业技术储备及人员配备，加强防汛工作的统一指挥和有效协调，重点建立完善汛情会商、部门联动、信息报送、督查与责任追究等工作机制，形成高效的指挥体系。各级防汛指挥部门要对辖区内的涉河建筑物进行实时监管和有效调度，在此基础上将各责任主体纳入本级防汛体系，确保防汛抗灾能全区“一盘棋”，统一指挥。</w:t>
      </w:r>
    </w:p>
    <w:p>
      <w:pPr>
        <w:pStyle w:val="2260"/>
        <w:keepNext w:val="0"/>
        <w:keepLines w:val="0"/>
        <w:pageBreakBefore w:val="0"/>
        <w:kinsoku/>
        <w:wordWrap/>
        <w:overflowPunct/>
        <w:topLinePunct w:val="0"/>
        <w:autoSpaceDE/>
        <w:autoSpaceDN/>
        <w:bidi w:val="0"/>
        <w:ind w:firstLine="640" w:firstLineChars="200"/>
        <w:textAlignment w:val="auto"/>
        <w:rPr>
          <w:rFonts w:hint="default" w:ascii="Times New Roman" w:hAnsi="Times New Roman" w:eastAsia="方正仿宋_GBK" w:cs="Times New Roman"/>
          <w:sz w:val="32"/>
          <w:szCs w:val="32"/>
        </w:rPr>
      </w:pPr>
      <w:r>
        <w:rPr>
          <w:rFonts w:hint="eastAsia" w:ascii="Times New Roman" w:hAnsi="Times New Roman" w:eastAsia="方正仿宋_GBK" w:cs="Times New Roman"/>
          <w:sz w:val="32"/>
          <w:szCs w:val="32"/>
          <w:lang w:val="en-US" w:eastAsia="zh-CN"/>
        </w:rPr>
        <w:t>2．</w:t>
      </w:r>
      <w:r>
        <w:rPr>
          <w:rFonts w:hint="eastAsia" w:ascii="Times New Roman" w:hAnsi="Times New Roman" w:eastAsia="方正仿宋_GBK" w:cs="Times New Roman"/>
          <w:sz w:val="32"/>
          <w:szCs w:val="32"/>
        </w:rPr>
        <w:t>加强防汛抗灾舆论引导工作</w:t>
      </w:r>
    </w:p>
    <w:p>
      <w:pPr>
        <w:pStyle w:val="2260"/>
        <w:keepNext w:val="0"/>
        <w:keepLines w:val="0"/>
        <w:pageBreakBefore w:val="0"/>
        <w:kinsoku/>
        <w:wordWrap/>
        <w:overflowPunct/>
        <w:topLinePunct w:val="0"/>
        <w:autoSpaceDE/>
        <w:autoSpaceDN/>
        <w:bidi w:val="0"/>
        <w:ind w:firstLine="640" w:firstLineChars="200"/>
        <w:textAlignment w:val="auto"/>
        <w:rPr>
          <w:rFonts w:hint="default" w:ascii="Times New Roman" w:hAnsi="Times New Roman" w:eastAsia="方正仿宋_GBK" w:cs="Times New Roman"/>
          <w:sz w:val="32"/>
          <w:szCs w:val="32"/>
        </w:rPr>
      </w:pPr>
      <w:r>
        <w:rPr>
          <w:rFonts w:hint="eastAsia" w:ascii="Times New Roman" w:hAnsi="Times New Roman" w:eastAsia="方正仿宋_GBK" w:cs="Times New Roman"/>
          <w:sz w:val="32"/>
          <w:szCs w:val="32"/>
        </w:rPr>
        <w:t>当綦江发生超标准洪水时，及时组织召开防汛抗洪救灾新闻发布会，充分利用电台、电视台、报纸专栏等传统媒介，以及互联网、微信、微博等新型媒体渠道，</w:t>
      </w:r>
      <w:r>
        <w:rPr>
          <w:rFonts w:hint="default" w:ascii="Times New Roman" w:hAnsi="Times New Roman" w:eastAsia="方正仿宋_GBK" w:cs="Times New Roman"/>
          <w:sz w:val="32"/>
          <w:szCs w:val="32"/>
        </w:rPr>
        <w:t>大力</w:t>
      </w:r>
      <w:r>
        <w:rPr>
          <w:rFonts w:hint="eastAsia" w:ascii="Times New Roman" w:hAnsi="Times New Roman" w:eastAsia="方正仿宋_GBK" w:cs="Times New Roman"/>
          <w:sz w:val="32"/>
          <w:szCs w:val="32"/>
        </w:rPr>
        <w:t>开展防汛</w:t>
      </w:r>
      <w:r>
        <w:rPr>
          <w:rFonts w:hint="default" w:ascii="Times New Roman" w:hAnsi="Times New Roman" w:eastAsia="方正仿宋_GBK" w:cs="Times New Roman"/>
          <w:sz w:val="32"/>
          <w:szCs w:val="32"/>
        </w:rPr>
        <w:t>宣传</w:t>
      </w:r>
      <w:r>
        <w:rPr>
          <w:rFonts w:hint="eastAsia" w:ascii="Times New Roman" w:hAnsi="Times New Roman" w:eastAsia="方正仿宋_GBK" w:cs="Times New Roman"/>
          <w:sz w:val="32"/>
          <w:szCs w:val="32"/>
        </w:rPr>
        <w:t>报道，坚持正确舆论导向，全力打好防汛舆论战，为防汛抗灾创造良好的舆论环境。</w:t>
      </w:r>
    </w:p>
    <w:p>
      <w:pPr>
        <w:pStyle w:val="2260"/>
        <w:keepNext w:val="0"/>
        <w:keepLines w:val="0"/>
        <w:pageBreakBefore w:val="0"/>
        <w:kinsoku/>
        <w:wordWrap/>
        <w:overflowPunct/>
        <w:topLinePunct w:val="0"/>
        <w:autoSpaceDE/>
        <w:autoSpaceDN/>
        <w:bidi w:val="0"/>
        <w:ind w:firstLine="640" w:firstLineChars="200"/>
        <w:textAlignment w:val="auto"/>
        <w:rPr>
          <w:rFonts w:hint="default" w:ascii="Times New Roman" w:hAnsi="Times New Roman" w:eastAsia="方正仿宋_GBK" w:cs="Times New Roman"/>
          <w:sz w:val="32"/>
          <w:szCs w:val="32"/>
        </w:rPr>
      </w:pPr>
      <w:r>
        <w:rPr>
          <w:rFonts w:hint="eastAsia" w:ascii="Times New Roman" w:hAnsi="Times New Roman" w:eastAsia="方正仿宋_GBK" w:cs="Times New Roman"/>
          <w:sz w:val="32"/>
          <w:szCs w:val="32"/>
        </w:rPr>
        <w:t>新闻媒体单位要加强防洪抢险、避险知识的宣传，提高群众避险、自救能力。教育部门应加强对中、小学生的避险逃生、自救措施等常识的教育。</w:t>
      </w:r>
    </w:p>
    <w:p>
      <w:pPr>
        <w:pStyle w:val="2260"/>
        <w:keepNext w:val="0"/>
        <w:keepLines w:val="0"/>
        <w:pageBreakBefore w:val="0"/>
        <w:kinsoku/>
        <w:wordWrap/>
        <w:overflowPunct/>
        <w:topLinePunct w:val="0"/>
        <w:autoSpaceDE/>
        <w:autoSpaceDN/>
        <w:bidi w:val="0"/>
        <w:ind w:firstLine="640" w:firstLineChars="200"/>
        <w:textAlignment w:val="auto"/>
        <w:rPr>
          <w:rFonts w:hint="default" w:ascii="Times New Roman" w:hAnsi="Times New Roman" w:eastAsia="方正仿宋_GBK" w:cs="Times New Roman"/>
          <w:sz w:val="32"/>
          <w:szCs w:val="32"/>
        </w:rPr>
      </w:pPr>
      <w:r>
        <w:rPr>
          <w:rFonts w:hint="eastAsia" w:ascii="Times New Roman" w:hAnsi="Times New Roman" w:eastAsia="方正仿宋_GBK" w:cs="Times New Roman"/>
          <w:sz w:val="32"/>
          <w:szCs w:val="32"/>
          <w:lang w:val="en-US" w:eastAsia="zh-CN"/>
        </w:rPr>
        <w:t>3．</w:t>
      </w:r>
      <w:r>
        <w:rPr>
          <w:rFonts w:hint="eastAsia" w:ascii="Times New Roman" w:hAnsi="Times New Roman" w:eastAsia="方正仿宋_GBK" w:cs="Times New Roman"/>
          <w:sz w:val="32"/>
          <w:szCs w:val="32"/>
        </w:rPr>
        <w:t>强化培训演练</w:t>
      </w:r>
    </w:p>
    <w:p>
      <w:pPr>
        <w:pStyle w:val="2260"/>
        <w:keepNext w:val="0"/>
        <w:keepLines w:val="0"/>
        <w:pageBreakBefore w:val="0"/>
        <w:kinsoku/>
        <w:wordWrap/>
        <w:overflowPunct/>
        <w:topLinePunct w:val="0"/>
        <w:autoSpaceDE/>
        <w:autoSpaceDN/>
        <w:bidi w:val="0"/>
        <w:ind w:firstLine="640" w:firstLineChars="200"/>
        <w:textAlignment w:val="auto"/>
        <w:rPr>
          <w:rFonts w:hint="default" w:ascii="Times New Roman" w:hAnsi="Times New Roman" w:eastAsia="方正仿宋_GBK" w:cs="Times New Roman"/>
          <w:sz w:val="32"/>
          <w:szCs w:val="32"/>
        </w:rPr>
      </w:pPr>
      <w:r>
        <w:rPr>
          <w:rFonts w:hint="eastAsia" w:ascii="Times New Roman" w:hAnsi="Times New Roman" w:eastAsia="方正仿宋_GBK" w:cs="Times New Roman"/>
          <w:sz w:val="32"/>
          <w:szCs w:val="32"/>
        </w:rPr>
        <w:t>按分级负责的原则，由防汛指挥机构组织防汛行政责任人、技术责任人和防洪抢险骨干人员的培训。培训工作应结合实际，采取多种形式，保证培训工作质量。中国人民解放军、武警部队防洪抢险应急培训，由部队统一安排，地方有关部门给予支持和协助。</w:t>
      </w:r>
    </w:p>
    <w:p>
      <w:pPr>
        <w:pStyle w:val="2260"/>
        <w:keepNext w:val="0"/>
        <w:keepLines w:val="0"/>
        <w:pageBreakBefore w:val="0"/>
        <w:kinsoku/>
        <w:wordWrap/>
        <w:overflowPunct/>
        <w:topLinePunct w:val="0"/>
        <w:autoSpaceDE/>
        <w:autoSpaceDN/>
        <w:bidi w:val="0"/>
        <w:ind w:firstLine="640" w:firstLineChars="200"/>
        <w:textAlignment w:val="auto"/>
        <w:rPr>
          <w:rFonts w:hAnsi="Calibri" w:cs="宋体"/>
          <w:szCs w:val="20"/>
        </w:rPr>
      </w:pPr>
      <w:r>
        <w:rPr>
          <w:rFonts w:hint="eastAsia" w:ascii="Times New Roman" w:hAnsi="Times New Roman" w:eastAsia="方正仿宋_GBK" w:cs="Times New Roman"/>
          <w:sz w:val="32"/>
          <w:szCs w:val="32"/>
        </w:rPr>
        <w:t>綦江区防汛指挥机构应组织举行撤退转移、民兵抢险、水上救护等不同类型的应急演习，以检验、增强应急准备和应急响应能力。</w:t>
      </w:r>
    </w:p>
    <w:p>
      <w:pPr>
        <w:pStyle w:val="2260"/>
        <w:keepNext w:val="0"/>
        <w:keepLines w:val="0"/>
        <w:pageBreakBefore w:val="0"/>
        <w:kinsoku/>
        <w:wordWrap/>
        <w:overflowPunct/>
        <w:topLinePunct w:val="0"/>
        <w:autoSpaceDE/>
        <w:autoSpaceDN/>
        <w:bidi w:val="0"/>
        <w:ind w:firstLine="640" w:firstLineChars="200"/>
        <w:textAlignment w:val="auto"/>
        <w:rPr>
          <w:rFonts w:hint="eastAsia" w:ascii="方正楷体_GBK" w:hAnsi="方正楷体_GBK" w:eastAsia="方正楷体_GBK" w:cs="方正楷体_GBK"/>
          <w:sz w:val="32"/>
          <w:szCs w:val="32"/>
        </w:rPr>
      </w:pPr>
      <w:bookmarkStart w:id="200" w:name="_Toc71665885"/>
      <w:bookmarkStart w:id="201" w:name="_Toc21974"/>
      <w:bookmarkStart w:id="202" w:name="_Toc71782100"/>
      <w:r>
        <w:rPr>
          <w:rFonts w:hint="eastAsia" w:ascii="方正楷体_GBK" w:hAnsi="方正楷体_GBK" w:eastAsia="方正楷体_GBK" w:cs="方正楷体_GBK"/>
          <w:sz w:val="32"/>
          <w:szCs w:val="32"/>
          <w:lang w:eastAsia="zh-CN"/>
        </w:rPr>
        <w:t>（</w:t>
      </w:r>
      <w:r>
        <w:rPr>
          <w:rFonts w:hint="eastAsia" w:ascii="方正楷体_GBK" w:hAnsi="方正楷体_GBK" w:eastAsia="方正楷体_GBK" w:cs="方正楷体_GBK"/>
          <w:sz w:val="32"/>
          <w:szCs w:val="32"/>
          <w:lang w:val="en-US" w:eastAsia="zh-CN"/>
        </w:rPr>
        <w:t>七</w:t>
      </w:r>
      <w:r>
        <w:rPr>
          <w:rFonts w:hint="eastAsia" w:ascii="方正楷体_GBK" w:hAnsi="方正楷体_GBK" w:eastAsia="方正楷体_GBK" w:cs="方正楷体_GBK"/>
          <w:sz w:val="32"/>
          <w:szCs w:val="32"/>
          <w:lang w:eastAsia="zh-CN"/>
        </w:rPr>
        <w:t>）</w:t>
      </w:r>
      <w:r>
        <w:rPr>
          <w:rFonts w:hint="eastAsia" w:ascii="方正楷体_GBK" w:hAnsi="方正楷体_GBK" w:eastAsia="方正楷体_GBK" w:cs="方正楷体_GBK"/>
          <w:sz w:val="32"/>
          <w:szCs w:val="32"/>
        </w:rPr>
        <w:t>智慧水利建设</w:t>
      </w:r>
      <w:bookmarkEnd w:id="200"/>
      <w:bookmarkEnd w:id="201"/>
      <w:bookmarkEnd w:id="202"/>
    </w:p>
    <w:bookmarkEnd w:id="179"/>
    <w:bookmarkEnd w:id="180"/>
    <w:p>
      <w:pPr>
        <w:pStyle w:val="2260"/>
        <w:keepNext w:val="0"/>
        <w:keepLines w:val="0"/>
        <w:pageBreakBefore w:val="0"/>
        <w:kinsoku/>
        <w:wordWrap/>
        <w:overflowPunct/>
        <w:topLinePunct w:val="0"/>
        <w:autoSpaceDE/>
        <w:autoSpaceDN/>
        <w:bidi w:val="0"/>
        <w:ind w:firstLine="640" w:firstLineChars="200"/>
        <w:textAlignment w:val="auto"/>
        <w:rPr>
          <w:rFonts w:hint="default" w:ascii="Times New Roman" w:hAnsi="Times New Roman" w:eastAsia="方正仿宋_GBK" w:cs="Times New Roman"/>
          <w:sz w:val="32"/>
          <w:szCs w:val="32"/>
        </w:rPr>
      </w:pPr>
      <w:r>
        <w:rPr>
          <w:rFonts w:hint="eastAsia" w:ascii="Times New Roman" w:hAnsi="Times New Roman" w:eastAsia="方正仿宋_GBK" w:cs="Times New Roman"/>
          <w:sz w:val="32"/>
          <w:szCs w:val="32"/>
        </w:rPr>
        <w:t>结合綦江城区防洪规划范围、城市空间增长边界的范围，规划水平年近期和远期目标任务，深度融合智慧水利建设成果，运用云计算、物联网、大数据、移动互联网、人工智能等新一代信息技术，聚焦水灾害面临的新老问题，贯彻“水利工程补短板、水利行业强监管”总基调，利用信息化手段全区有序推进“水安全战略”。</w:t>
      </w:r>
    </w:p>
    <w:p>
      <w:pPr>
        <w:pStyle w:val="2260"/>
        <w:keepNext w:val="0"/>
        <w:keepLines w:val="0"/>
        <w:pageBreakBefore w:val="0"/>
        <w:kinsoku/>
        <w:wordWrap/>
        <w:overflowPunct/>
        <w:topLinePunct w:val="0"/>
        <w:autoSpaceDE/>
        <w:autoSpaceDN/>
        <w:bidi w:val="0"/>
        <w:ind w:firstLine="640" w:firstLineChars="200"/>
        <w:textAlignment w:val="auto"/>
        <w:rPr>
          <w:rFonts w:hint="eastAsia" w:ascii="Times New Roman" w:hAnsi="Times New Roman" w:eastAsia="方正仿宋_GBK" w:cs="Times New Roman"/>
          <w:sz w:val="32"/>
          <w:szCs w:val="32"/>
        </w:rPr>
      </w:pPr>
      <w:r>
        <w:rPr>
          <w:rFonts w:hint="default" w:ascii="Times New Roman" w:hAnsi="Times New Roman" w:eastAsia="方正仿宋_GBK" w:cs="Times New Roman"/>
          <w:sz w:val="32"/>
          <w:szCs w:val="32"/>
        </w:rPr>
        <w:t>城市防洪智慧化管理建设内容主要包括</w:t>
      </w:r>
      <w:r>
        <w:rPr>
          <w:rFonts w:hint="eastAsia" w:ascii="Times New Roman" w:hAnsi="Times New Roman" w:eastAsia="方正仿宋_GBK" w:cs="Times New Roman"/>
          <w:sz w:val="32"/>
          <w:szCs w:val="32"/>
        </w:rPr>
        <w:t>：</w:t>
      </w:r>
    </w:p>
    <w:p>
      <w:pPr>
        <w:pStyle w:val="2260"/>
        <w:keepNext w:val="0"/>
        <w:keepLines w:val="0"/>
        <w:pageBreakBefore w:val="0"/>
        <w:kinsoku/>
        <w:wordWrap/>
        <w:overflowPunct/>
        <w:topLinePunct w:val="0"/>
        <w:autoSpaceDE/>
        <w:autoSpaceDN/>
        <w:bidi w:val="0"/>
        <w:ind w:firstLine="640" w:firstLineChars="200"/>
        <w:textAlignment w:val="auto"/>
        <w:rPr>
          <w:rFonts w:hint="default" w:ascii="Times New Roman" w:hAnsi="Times New Roman" w:eastAsia="方正仿宋_GBK" w:cs="Times New Roman"/>
          <w:sz w:val="32"/>
          <w:szCs w:val="32"/>
        </w:rPr>
      </w:pPr>
      <w:r>
        <w:rPr>
          <w:rFonts w:hint="eastAsia" w:ascii="Times New Roman" w:hAnsi="Times New Roman" w:eastAsia="方正仿宋_GBK" w:cs="Times New Roman"/>
          <w:sz w:val="32"/>
          <w:szCs w:val="32"/>
          <w:lang w:val="en-US" w:eastAsia="zh-CN"/>
        </w:rPr>
        <w:t>1．</w:t>
      </w:r>
      <w:r>
        <w:rPr>
          <w:rFonts w:hint="eastAsia" w:ascii="Times New Roman" w:hAnsi="Times New Roman" w:eastAsia="方正仿宋_GBK" w:cs="Times New Roman"/>
          <w:sz w:val="32"/>
          <w:szCs w:val="32"/>
        </w:rPr>
        <w:t>构建綦江区天空地一体化智慧感知网</w:t>
      </w:r>
    </w:p>
    <w:p>
      <w:pPr>
        <w:pStyle w:val="2260"/>
        <w:keepNext w:val="0"/>
        <w:keepLines w:val="0"/>
        <w:pageBreakBefore w:val="0"/>
        <w:kinsoku/>
        <w:wordWrap/>
        <w:overflowPunct/>
        <w:topLinePunct w:val="0"/>
        <w:autoSpaceDE/>
        <w:autoSpaceDN/>
        <w:bidi w:val="0"/>
        <w:ind w:firstLine="640" w:firstLineChars="200"/>
        <w:textAlignment w:val="auto"/>
        <w:rPr>
          <w:rFonts w:hint="default" w:ascii="Times New Roman" w:hAnsi="Times New Roman" w:eastAsia="方正仿宋_GBK" w:cs="Times New Roman"/>
          <w:sz w:val="32"/>
          <w:szCs w:val="32"/>
        </w:rPr>
      </w:pPr>
      <w:r>
        <w:rPr>
          <w:rFonts w:hint="eastAsia" w:ascii="Times New Roman" w:hAnsi="Times New Roman" w:eastAsia="方正仿宋_GBK" w:cs="Times New Roman"/>
          <w:sz w:val="32"/>
          <w:szCs w:val="32"/>
        </w:rPr>
        <w:t>构建水利感知网，动态监测和实时采集江河湖泊水系、水利工程设施、水利管理三大类水利感知对象的业务特征和事件信息，形成物联网传感数据、北斗导航定位、卫星和无人机遥感等观测数据，实时图像、视频现场数据，全面监管綦江区涉水区域。重点</w:t>
      </w:r>
      <w:r>
        <w:rPr>
          <w:rFonts w:hint="default" w:ascii="Times New Roman" w:hAnsi="Times New Roman" w:eastAsia="方正仿宋_GBK" w:cs="Times New Roman"/>
          <w:sz w:val="32"/>
          <w:szCs w:val="32"/>
        </w:rPr>
        <w:t>加强遥感</w:t>
      </w:r>
      <w:r>
        <w:rPr>
          <w:rFonts w:hint="eastAsia" w:ascii="Times New Roman" w:hAnsi="Times New Roman" w:eastAsia="方正仿宋_GBK" w:cs="Times New Roman"/>
          <w:sz w:val="32"/>
          <w:szCs w:val="32"/>
        </w:rPr>
        <w:t>、无人机</w:t>
      </w:r>
      <w:r>
        <w:rPr>
          <w:rFonts w:hint="default" w:ascii="Times New Roman" w:hAnsi="Times New Roman" w:eastAsia="方正仿宋_GBK" w:cs="Times New Roman"/>
          <w:sz w:val="32"/>
          <w:szCs w:val="32"/>
        </w:rPr>
        <w:t>等信息技术在灾情评估</w:t>
      </w:r>
      <w:r>
        <w:rPr>
          <w:rFonts w:hint="eastAsia" w:ascii="Times New Roman" w:hAnsi="Times New Roman" w:eastAsia="方正仿宋_GBK" w:cs="Times New Roman"/>
          <w:sz w:val="32"/>
          <w:szCs w:val="32"/>
        </w:rPr>
        <w:t>、</w:t>
      </w:r>
      <w:r>
        <w:rPr>
          <w:rFonts w:hint="default" w:ascii="Times New Roman" w:hAnsi="Times New Roman" w:eastAsia="方正仿宋_GBK" w:cs="Times New Roman"/>
          <w:sz w:val="32"/>
          <w:szCs w:val="32"/>
        </w:rPr>
        <w:t>监测预警</w:t>
      </w:r>
      <w:r>
        <w:rPr>
          <w:rFonts w:hint="eastAsia" w:ascii="Times New Roman" w:hAnsi="Times New Roman" w:eastAsia="方正仿宋_GBK" w:cs="Times New Roman"/>
          <w:sz w:val="32"/>
          <w:szCs w:val="32"/>
        </w:rPr>
        <w:t>等</w:t>
      </w:r>
      <w:r>
        <w:rPr>
          <w:rFonts w:hint="default" w:ascii="Times New Roman" w:hAnsi="Times New Roman" w:eastAsia="方正仿宋_GBK" w:cs="Times New Roman"/>
          <w:sz w:val="32"/>
          <w:szCs w:val="32"/>
        </w:rPr>
        <w:t>的应用</w:t>
      </w:r>
      <w:r>
        <w:rPr>
          <w:rFonts w:hint="eastAsia" w:ascii="Times New Roman" w:hAnsi="Times New Roman" w:eastAsia="方正仿宋_GBK" w:cs="Times New Roman"/>
          <w:sz w:val="32"/>
          <w:szCs w:val="32"/>
        </w:rPr>
        <w:t>。</w:t>
      </w:r>
    </w:p>
    <w:p>
      <w:pPr>
        <w:pStyle w:val="2260"/>
        <w:keepNext w:val="0"/>
        <w:keepLines w:val="0"/>
        <w:pageBreakBefore w:val="0"/>
        <w:kinsoku/>
        <w:wordWrap/>
        <w:overflowPunct/>
        <w:topLinePunct w:val="0"/>
        <w:autoSpaceDE/>
        <w:autoSpaceDN/>
        <w:bidi w:val="0"/>
        <w:ind w:firstLine="640" w:firstLineChars="200"/>
        <w:textAlignment w:val="auto"/>
        <w:rPr>
          <w:rFonts w:hint="default" w:ascii="Times New Roman" w:hAnsi="Times New Roman" w:eastAsia="方正仿宋_GBK" w:cs="Times New Roman"/>
          <w:sz w:val="32"/>
          <w:szCs w:val="32"/>
        </w:rPr>
      </w:pPr>
      <w:r>
        <w:rPr>
          <w:rFonts w:hint="eastAsia" w:ascii="Times New Roman" w:hAnsi="Times New Roman" w:eastAsia="方正仿宋_GBK" w:cs="Times New Roman"/>
          <w:sz w:val="32"/>
          <w:szCs w:val="32"/>
        </w:rPr>
        <w:t>2</w:t>
      </w:r>
      <w:r>
        <w:rPr>
          <w:rFonts w:hint="eastAsia" w:ascii="Times New Roman" w:hAnsi="Times New Roman" w:eastAsia="方正仿宋_GBK" w:cs="Times New Roman"/>
          <w:sz w:val="32"/>
          <w:szCs w:val="32"/>
          <w:lang w:val="en-US" w:eastAsia="zh-CN"/>
        </w:rPr>
        <w:t>．</w:t>
      </w:r>
      <w:r>
        <w:rPr>
          <w:rFonts w:hint="eastAsia" w:ascii="Times New Roman" w:hAnsi="Times New Roman" w:eastAsia="方正仿宋_GBK" w:cs="Times New Roman"/>
          <w:sz w:val="32"/>
          <w:szCs w:val="32"/>
        </w:rPr>
        <w:t>打造基于智慧城市体系下的水利大脑</w:t>
      </w:r>
    </w:p>
    <w:p>
      <w:pPr>
        <w:pStyle w:val="2260"/>
        <w:keepNext w:val="0"/>
        <w:keepLines w:val="0"/>
        <w:pageBreakBefore w:val="0"/>
        <w:kinsoku/>
        <w:wordWrap/>
        <w:overflowPunct/>
        <w:topLinePunct w:val="0"/>
        <w:autoSpaceDE/>
        <w:autoSpaceDN/>
        <w:bidi w:val="0"/>
        <w:ind w:firstLine="640" w:firstLineChars="200"/>
        <w:textAlignment w:val="auto"/>
        <w:rPr>
          <w:rFonts w:hint="default" w:ascii="Times New Roman" w:hAnsi="Times New Roman" w:eastAsia="方正仿宋_GBK" w:cs="Times New Roman"/>
          <w:sz w:val="32"/>
          <w:szCs w:val="32"/>
        </w:rPr>
      </w:pPr>
      <w:r>
        <w:rPr>
          <w:rFonts w:hint="eastAsia" w:ascii="Times New Roman" w:hAnsi="Times New Roman" w:eastAsia="方正仿宋_GBK" w:cs="Times New Roman"/>
          <w:sz w:val="32"/>
          <w:szCs w:val="32"/>
        </w:rPr>
        <w:t>结合数据处理、机器视觉、智能算法、水利模型等技术手段，在开放平台上实现綦江区綦江干支流与水利工程的大规模计算和智能决策的人工智能系统。</w:t>
      </w:r>
    </w:p>
    <w:p>
      <w:pPr>
        <w:pStyle w:val="2260"/>
        <w:keepNext w:val="0"/>
        <w:keepLines w:val="0"/>
        <w:pageBreakBefore w:val="0"/>
        <w:kinsoku/>
        <w:wordWrap/>
        <w:overflowPunct/>
        <w:topLinePunct w:val="0"/>
        <w:autoSpaceDE/>
        <w:autoSpaceDN/>
        <w:bidi w:val="0"/>
        <w:ind w:firstLine="640" w:firstLineChars="200"/>
        <w:textAlignment w:val="auto"/>
        <w:rPr>
          <w:rFonts w:hint="default" w:ascii="Times New Roman" w:hAnsi="Times New Roman" w:eastAsia="方正仿宋_GBK" w:cs="Times New Roman"/>
          <w:sz w:val="32"/>
          <w:szCs w:val="32"/>
        </w:rPr>
      </w:pPr>
      <w:r>
        <w:rPr>
          <w:rFonts w:hint="eastAsia" w:ascii="Times New Roman" w:hAnsi="Times New Roman" w:eastAsia="方正仿宋_GBK" w:cs="Times New Roman"/>
          <w:sz w:val="32"/>
          <w:szCs w:val="32"/>
        </w:rPr>
        <w:t>3</w:t>
      </w:r>
      <w:r>
        <w:rPr>
          <w:rFonts w:hint="eastAsia" w:ascii="Times New Roman" w:hAnsi="Times New Roman" w:eastAsia="方正仿宋_GBK" w:cs="Times New Roman"/>
          <w:sz w:val="32"/>
          <w:szCs w:val="32"/>
          <w:lang w:val="en-US" w:eastAsia="zh-CN"/>
        </w:rPr>
        <w:t>．</w:t>
      </w:r>
      <w:r>
        <w:rPr>
          <w:rFonts w:hint="eastAsia" w:ascii="Times New Roman" w:hAnsi="Times New Roman" w:eastAsia="方正仿宋_GBK" w:cs="Times New Roman"/>
          <w:sz w:val="32"/>
          <w:szCs w:val="32"/>
        </w:rPr>
        <w:t>基于水利大脑的水利大数据中心</w:t>
      </w:r>
    </w:p>
    <w:p>
      <w:pPr>
        <w:pStyle w:val="2260"/>
        <w:keepNext w:val="0"/>
        <w:keepLines w:val="0"/>
        <w:pageBreakBefore w:val="0"/>
        <w:kinsoku/>
        <w:wordWrap/>
        <w:overflowPunct/>
        <w:topLinePunct w:val="0"/>
        <w:autoSpaceDE/>
        <w:autoSpaceDN/>
        <w:bidi w:val="0"/>
        <w:ind w:firstLine="640" w:firstLineChars="200"/>
        <w:textAlignment w:val="auto"/>
        <w:rPr>
          <w:rFonts w:hint="default" w:ascii="Times New Roman" w:hAnsi="Times New Roman" w:eastAsia="方正仿宋_GBK" w:cs="Times New Roman"/>
          <w:sz w:val="32"/>
          <w:szCs w:val="32"/>
        </w:rPr>
      </w:pPr>
      <w:r>
        <w:rPr>
          <w:rFonts w:hint="eastAsia" w:ascii="Times New Roman" w:hAnsi="Times New Roman" w:eastAsia="方正仿宋_GBK" w:cs="Times New Roman"/>
          <w:sz w:val="32"/>
          <w:szCs w:val="32"/>
        </w:rPr>
        <w:t>建立綦江城区海量数据存储和管理体系，组成“綦江区水利大脑”。通过分布式资源调度、分布式存储管理和分布式数据服务技术，完成结构化、半结构化和非结构化数据的统一管理与服务。汇聚水利数据、其他行业数据和社会数据，打通业务间数据壁垒，为水利大脑提供思考与决策依据的数据基础。</w:t>
      </w:r>
    </w:p>
    <w:p>
      <w:pPr>
        <w:pStyle w:val="2260"/>
        <w:keepNext w:val="0"/>
        <w:keepLines w:val="0"/>
        <w:pageBreakBefore w:val="0"/>
        <w:kinsoku/>
        <w:wordWrap/>
        <w:overflowPunct/>
        <w:topLinePunct w:val="0"/>
        <w:autoSpaceDE/>
        <w:autoSpaceDN/>
        <w:bidi w:val="0"/>
        <w:ind w:firstLine="640" w:firstLineChars="200"/>
        <w:textAlignment w:val="auto"/>
        <w:rPr>
          <w:rFonts w:hint="default" w:ascii="Times New Roman" w:hAnsi="Times New Roman" w:eastAsia="方正仿宋_GBK" w:cs="Times New Roman"/>
          <w:sz w:val="32"/>
          <w:szCs w:val="32"/>
        </w:rPr>
      </w:pPr>
      <w:r>
        <w:rPr>
          <w:rFonts w:hint="eastAsia" w:ascii="Times New Roman" w:hAnsi="Times New Roman" w:eastAsia="方正仿宋_GBK" w:cs="Times New Roman"/>
          <w:sz w:val="32"/>
          <w:szCs w:val="32"/>
        </w:rPr>
        <w:t>4</w:t>
      </w:r>
      <w:r>
        <w:rPr>
          <w:rFonts w:hint="eastAsia" w:ascii="Times New Roman" w:hAnsi="Times New Roman" w:eastAsia="方正仿宋_GBK" w:cs="Times New Roman"/>
          <w:sz w:val="32"/>
          <w:szCs w:val="32"/>
          <w:lang w:val="en-US" w:eastAsia="zh-CN"/>
        </w:rPr>
        <w:t>．</w:t>
      </w:r>
      <w:r>
        <w:rPr>
          <w:rFonts w:hint="eastAsia" w:ascii="Times New Roman" w:hAnsi="Times New Roman" w:eastAsia="方正仿宋_GBK" w:cs="Times New Roman"/>
          <w:sz w:val="32"/>
          <w:szCs w:val="32"/>
        </w:rPr>
        <w:t>建设与完善智慧水利框架下的一体化应用</w:t>
      </w:r>
    </w:p>
    <w:p>
      <w:pPr>
        <w:pStyle w:val="2260"/>
        <w:keepNext w:val="0"/>
        <w:keepLines w:val="0"/>
        <w:pageBreakBefore w:val="0"/>
        <w:kinsoku/>
        <w:wordWrap/>
        <w:overflowPunct/>
        <w:topLinePunct w:val="0"/>
        <w:autoSpaceDE/>
        <w:autoSpaceDN/>
        <w:bidi w:val="0"/>
        <w:ind w:firstLine="640" w:firstLineChars="200"/>
        <w:textAlignment w:val="auto"/>
        <w:rPr>
          <w:rFonts w:hint="default" w:ascii="Times New Roman" w:hAnsi="Times New Roman" w:eastAsia="方正仿宋_GBK" w:cs="Times New Roman"/>
          <w:sz w:val="32"/>
          <w:szCs w:val="32"/>
        </w:rPr>
      </w:pPr>
      <w:r>
        <w:rPr>
          <w:rFonts w:hint="eastAsia" w:ascii="Times New Roman" w:hAnsi="Times New Roman" w:eastAsia="方正仿宋_GBK" w:cs="Times New Roman"/>
          <w:sz w:val="32"/>
          <w:szCs w:val="32"/>
        </w:rPr>
        <w:t>建设与完善山洪灾害自动测报、防汛移动会商；防汛巡查处险，险工险段处置；堤防运行安全管理；洪水预报与智慧调度，超标准洪水应急调度与处置，洪水风险管理；流域防洪工程联合调度，城市防洪安全应急保障与调度等。实现大量数据应用基础组件和公共服务能力。推进管理精细化、江河管理协同化、工程运行标准化，使得城市防洪智慧化管理水平大幅提升。重点融合气象、交通、通讯等多源信息，</w:t>
      </w:r>
      <w:r>
        <w:rPr>
          <w:rFonts w:hint="default" w:ascii="Times New Roman" w:hAnsi="Times New Roman" w:eastAsia="方正仿宋_GBK" w:cs="Times New Roman"/>
          <w:sz w:val="32"/>
          <w:szCs w:val="32"/>
        </w:rPr>
        <w:t>结合LBS、大数据等信息技术，提高应急避险转移效率</w:t>
      </w:r>
      <w:r>
        <w:rPr>
          <w:rFonts w:hint="eastAsia" w:ascii="Times New Roman" w:hAnsi="Times New Roman" w:eastAsia="方正仿宋_GBK" w:cs="Times New Roman"/>
          <w:sz w:val="32"/>
          <w:szCs w:val="32"/>
        </w:rPr>
        <w:t>；</w:t>
      </w:r>
      <w:r>
        <w:rPr>
          <w:rFonts w:hint="default" w:ascii="Times New Roman" w:hAnsi="Times New Roman" w:eastAsia="方正仿宋_GBK" w:cs="Times New Roman"/>
          <w:sz w:val="32"/>
          <w:szCs w:val="32"/>
        </w:rPr>
        <w:t>应用人工智能和云计算，开展</w:t>
      </w:r>
      <w:r>
        <w:rPr>
          <w:rFonts w:hint="eastAsia" w:ascii="Times New Roman" w:hAnsi="Times New Roman" w:eastAsia="方正仿宋_GBK" w:cs="Times New Roman"/>
          <w:sz w:val="32"/>
          <w:szCs w:val="32"/>
        </w:rPr>
        <w:t>水工程</w:t>
      </w:r>
      <w:r>
        <w:rPr>
          <w:rFonts w:hint="default" w:ascii="Times New Roman" w:hAnsi="Times New Roman" w:eastAsia="方正仿宋_GBK" w:cs="Times New Roman"/>
          <w:sz w:val="32"/>
          <w:szCs w:val="32"/>
        </w:rPr>
        <w:t>智能防灾</w:t>
      </w:r>
      <w:r>
        <w:rPr>
          <w:rFonts w:hint="eastAsia" w:ascii="Times New Roman" w:hAnsi="Times New Roman" w:eastAsia="方正仿宋_GBK" w:cs="Times New Roman"/>
          <w:sz w:val="32"/>
          <w:szCs w:val="32"/>
        </w:rPr>
        <w:t>联合</w:t>
      </w:r>
      <w:r>
        <w:rPr>
          <w:rFonts w:hint="default" w:ascii="Times New Roman" w:hAnsi="Times New Roman" w:eastAsia="方正仿宋_GBK" w:cs="Times New Roman"/>
          <w:sz w:val="32"/>
          <w:szCs w:val="32"/>
        </w:rPr>
        <w:t>调度系统建设</w:t>
      </w:r>
      <w:r>
        <w:rPr>
          <w:rFonts w:hint="eastAsia" w:ascii="Times New Roman" w:hAnsi="Times New Roman" w:eastAsia="方正仿宋_GBK" w:cs="Times New Roman"/>
          <w:sz w:val="32"/>
          <w:szCs w:val="32"/>
        </w:rPr>
        <w:t>，实现防洪调度、灾情评估与防汛会商。</w:t>
      </w:r>
    </w:p>
    <w:p>
      <w:pPr>
        <w:pStyle w:val="2260"/>
        <w:keepNext w:val="0"/>
        <w:keepLines w:val="0"/>
        <w:pageBreakBefore w:val="0"/>
        <w:kinsoku/>
        <w:wordWrap/>
        <w:overflowPunct/>
        <w:topLinePunct w:val="0"/>
        <w:autoSpaceDE/>
        <w:autoSpaceDN/>
        <w:bidi w:val="0"/>
        <w:ind w:firstLine="640" w:firstLineChars="200"/>
        <w:textAlignment w:val="auto"/>
        <w:rPr>
          <w:rFonts w:hint="default" w:ascii="Times New Roman" w:hAnsi="Times New Roman" w:eastAsia="方正仿宋_GBK" w:cs="Times New Roman"/>
          <w:sz w:val="32"/>
          <w:szCs w:val="32"/>
        </w:rPr>
      </w:pPr>
      <w:r>
        <w:rPr>
          <w:rFonts w:hint="eastAsia" w:ascii="Times New Roman" w:hAnsi="Times New Roman" w:eastAsia="方正仿宋_GBK" w:cs="Times New Roman"/>
          <w:sz w:val="32"/>
          <w:szCs w:val="32"/>
          <w:lang w:val="en-US" w:eastAsia="zh-CN"/>
        </w:rPr>
        <w:t>5．</w:t>
      </w:r>
      <w:r>
        <w:rPr>
          <w:rFonts w:hint="eastAsia" w:ascii="Times New Roman" w:hAnsi="Times New Roman" w:eastAsia="方正仿宋_GBK" w:cs="Times New Roman"/>
          <w:sz w:val="32"/>
          <w:szCs w:val="32"/>
        </w:rPr>
        <w:t>建立等级保护体系中的网络安全与运营体系</w:t>
      </w:r>
    </w:p>
    <w:p>
      <w:pPr>
        <w:pStyle w:val="2260"/>
        <w:keepNext w:val="0"/>
        <w:keepLines w:val="0"/>
        <w:pageBreakBefore w:val="0"/>
        <w:kinsoku/>
        <w:wordWrap/>
        <w:overflowPunct/>
        <w:topLinePunct w:val="0"/>
        <w:autoSpaceDE/>
        <w:autoSpaceDN/>
        <w:bidi w:val="0"/>
        <w:ind w:firstLine="640" w:firstLineChars="20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rPr>
        <w:t>建立信息系统为安全防护对象的架构，搭建全要素网络安全体系与网络安全运营体系。提升与智慧水利建设全面融合的网络安全保障能力。</w:t>
      </w:r>
      <w:bookmarkEnd w:id="163"/>
      <w:bookmarkEnd w:id="164"/>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outlineLvl w:val="0"/>
        <w:rPr>
          <w:rFonts w:hint="eastAsia" w:ascii="方正黑体_GBK" w:hAnsi="方正黑体_GBK" w:eastAsia="方正黑体_GBK" w:cs="方正黑体_GBK"/>
          <w:bCs/>
          <w:kern w:val="44"/>
          <w:sz w:val="32"/>
          <w:szCs w:val="32"/>
          <w:lang w:val="zh-CN"/>
        </w:rPr>
      </w:pPr>
      <w:bookmarkStart w:id="203" w:name="_Toc3782"/>
      <w:bookmarkStart w:id="204" w:name="_Toc6747"/>
      <w:bookmarkStart w:id="205" w:name="_Toc71665886"/>
      <w:bookmarkStart w:id="206" w:name="_Toc71782101"/>
      <w:r>
        <w:rPr>
          <w:rFonts w:hint="eastAsia" w:ascii="方正黑体_GBK" w:hAnsi="方正黑体_GBK" w:eastAsia="方正黑体_GBK" w:cs="方正黑体_GBK"/>
          <w:bCs/>
          <w:kern w:val="44"/>
          <w:sz w:val="32"/>
          <w:szCs w:val="32"/>
          <w:lang w:val="en-US" w:eastAsia="zh-CN"/>
        </w:rPr>
        <w:t>九、</w:t>
      </w:r>
      <w:r>
        <w:rPr>
          <w:rFonts w:hint="eastAsia" w:ascii="方正黑体_GBK" w:hAnsi="方正黑体_GBK" w:eastAsia="方正黑体_GBK" w:cs="方正黑体_GBK"/>
          <w:bCs/>
          <w:kern w:val="44"/>
          <w:sz w:val="32"/>
          <w:szCs w:val="32"/>
          <w:lang w:val="zh-CN"/>
        </w:rPr>
        <w:t>环境影响评价</w:t>
      </w:r>
      <w:bookmarkEnd w:id="203"/>
      <w:bookmarkEnd w:id="204"/>
      <w:bookmarkEnd w:id="205"/>
      <w:bookmarkEnd w:id="206"/>
    </w:p>
    <w:p>
      <w:pPr>
        <w:pStyle w:val="1795"/>
        <w:keepNext w:val="0"/>
        <w:keepLines w:val="0"/>
        <w:pageBreakBefore w:val="0"/>
        <w:widowControl w:val="0"/>
        <w:kinsoku/>
        <w:wordWrap/>
        <w:overflowPunct/>
        <w:topLinePunct w:val="0"/>
        <w:autoSpaceDE/>
        <w:autoSpaceDN/>
        <w:bidi w:val="0"/>
        <w:adjustRightInd/>
        <w:snapToGrid/>
        <w:spacing w:before="0" w:after="0"/>
        <w:ind w:firstLine="640" w:firstLineChars="200"/>
        <w:textAlignment w:val="auto"/>
        <w:rPr>
          <w:rFonts w:hint="eastAsia" w:ascii="方正楷体_GBK" w:hAnsi="方正楷体_GBK" w:eastAsia="方正楷体_GBK" w:cs="方正楷体_GBK"/>
        </w:rPr>
      </w:pPr>
      <w:bookmarkStart w:id="207" w:name="_Toc30123"/>
      <w:r>
        <w:rPr>
          <w:rFonts w:hint="eastAsia" w:ascii="方正楷体_GBK" w:hAnsi="方正楷体_GBK" w:eastAsia="方正楷体_GBK" w:cs="方正楷体_GBK"/>
          <w:lang w:eastAsia="zh-CN"/>
        </w:rPr>
        <w:t>（</w:t>
      </w:r>
      <w:r>
        <w:rPr>
          <w:rFonts w:hint="eastAsia" w:ascii="方正楷体_GBK" w:hAnsi="方正楷体_GBK" w:eastAsia="方正楷体_GBK" w:cs="方正楷体_GBK"/>
          <w:lang w:val="en-US" w:eastAsia="zh-CN"/>
        </w:rPr>
        <w:t>一</w:t>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rPr>
        <w:t>评价依据及环境保护目标</w:t>
      </w:r>
      <w:bookmarkEnd w:id="207"/>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rPr>
      </w:pPr>
      <w:r>
        <w:rPr>
          <w:rFonts w:hint="default" w:ascii="Times New Roman" w:hAnsi="Times New Roman" w:eastAsia="方正仿宋_GBK" w:cs="Times New Roman"/>
          <w:bCs/>
          <w:sz w:val="32"/>
          <w:szCs w:val="32"/>
          <w:lang w:val="en-US" w:eastAsia="zh-CN"/>
        </w:rPr>
        <w:t>1</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bCs/>
          <w:sz w:val="32"/>
          <w:szCs w:val="32"/>
        </w:rPr>
        <w:t>评价依据</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outlineLvl w:val="3"/>
        <w:rPr>
          <w:rFonts w:hint="default" w:ascii="Times New Roman" w:hAnsi="Times New Roman" w:eastAsia="方正仿宋_GBK" w:cs="Times New Roman"/>
          <w:sz w:val="32"/>
          <w:szCs w:val="32"/>
          <w:lang w:val="zh-CN"/>
        </w:rPr>
      </w:pPr>
      <w:r>
        <w:rPr>
          <w:rFonts w:hint="default" w:ascii="Times New Roman" w:hAnsi="Times New Roman" w:eastAsia="方正仿宋_GBK" w:cs="Times New Roman"/>
          <w:sz w:val="32"/>
          <w:szCs w:val="32"/>
          <w:lang w:val="en-US" w:eastAsia="zh-CN"/>
        </w:rPr>
        <w:t>1.1</w:t>
      </w:r>
      <w:r>
        <w:rPr>
          <w:rFonts w:hint="default" w:ascii="Times New Roman" w:hAnsi="Times New Roman" w:eastAsia="方正仿宋_GBK" w:cs="Times New Roman"/>
          <w:sz w:val="32"/>
          <w:szCs w:val="32"/>
          <w:lang w:val="zh-CN"/>
        </w:rPr>
        <w:t xml:space="preserve"> 法律法规及部门规章</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《中华人民共和国环境保护法》（2014年4月修订）；</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《中华</w:t>
      </w:r>
      <w:r>
        <w:rPr>
          <w:rFonts w:hint="default" w:ascii="Times New Roman" w:hAnsi="Times New Roman" w:eastAsia="方正仿宋_GBK" w:cs="Times New Roman"/>
          <w:spacing w:val="-11"/>
          <w:sz w:val="32"/>
          <w:szCs w:val="32"/>
        </w:rPr>
        <w:t>人民共和国环境影响评价法》</w:t>
      </w:r>
      <w:r>
        <w:rPr>
          <w:rFonts w:hint="eastAsia" w:ascii="Times New Roman" w:eastAsia="方正仿宋_GBK" w:cs="Times New Roman"/>
          <w:spacing w:val="-11"/>
          <w:sz w:val="32"/>
          <w:szCs w:val="32"/>
          <w:lang w:eastAsia="zh-CN"/>
        </w:rPr>
        <w:t>（</w:t>
      </w:r>
      <w:r>
        <w:rPr>
          <w:rFonts w:hint="default" w:ascii="Times New Roman" w:hAnsi="Times New Roman" w:eastAsia="方正仿宋_GBK" w:cs="Times New Roman"/>
          <w:spacing w:val="-11"/>
          <w:sz w:val="32"/>
          <w:szCs w:val="32"/>
        </w:rPr>
        <w:t>2018年12月第</w:t>
      </w:r>
      <w:r>
        <w:rPr>
          <w:rFonts w:hint="default" w:ascii="Times New Roman" w:hAnsi="Times New Roman" w:eastAsia="方正仿宋_GBK" w:cs="Times New Roman"/>
          <w:sz w:val="32"/>
          <w:szCs w:val="32"/>
        </w:rPr>
        <w:t>二次修订</w:t>
      </w:r>
      <w:r>
        <w:rPr>
          <w:rFonts w:hint="eastAsia" w:ascii="Times New Roman" w:eastAsia="方正仿宋_GBK" w:cs="Times New Roman"/>
          <w:spacing w:val="-11"/>
          <w:sz w:val="32"/>
          <w:szCs w:val="32"/>
          <w:lang w:eastAsia="zh-CN"/>
        </w:rPr>
        <w:t>）</w:t>
      </w:r>
      <w:r>
        <w:rPr>
          <w:rFonts w:hint="default" w:ascii="Times New Roman" w:hAnsi="Times New Roman" w:eastAsia="方正仿宋_GBK" w:cs="Times New Roman"/>
          <w:sz w:val="32"/>
          <w:szCs w:val="32"/>
        </w:rPr>
        <w:t>；</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《中华人民共和国大气污染防治法》（2018年10月修订）；</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《中华人民共和国水污染防治法》（2017年6月修订）；</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《中华人民共和国固体废物污染环境防治法》（2020年4月修订）；</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《中华人民共和国环境噪声污染防治法》（2018年12月修订）；</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《中华人民共和国水土保持法》（2010年12月修订）；</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《中华人民共和国土地管理法》（2019年8月第三次修订）；</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《中华人民共和国水法》（2016年7月修订）；</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《中华人民共和国防洪法》（2016年7月修订）；</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《中华人民共和国河道管理条例》（2017年3月修订）；</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 xml:space="preserve">《中华人民共和国野生动物保护法》（2018年10月修订）； </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《中华人民共和国森林法》（2019年12月修订）；</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《中华人民共和国渔业法》（2013年12月修订）；</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《中</w:t>
      </w:r>
      <w:r>
        <w:rPr>
          <w:rFonts w:hint="default" w:ascii="Times New Roman" w:hAnsi="Times New Roman" w:eastAsia="方正仿宋_GBK" w:cs="Times New Roman"/>
          <w:spacing w:val="-11"/>
          <w:sz w:val="32"/>
          <w:szCs w:val="32"/>
        </w:rPr>
        <w:t>华人民共和国陆生野生动物保护实施条例》（2016年2</w:t>
      </w:r>
      <w:r>
        <w:rPr>
          <w:rFonts w:hint="default" w:ascii="Times New Roman" w:hAnsi="Times New Roman" w:eastAsia="方正仿宋_GBK" w:cs="Times New Roman"/>
          <w:sz w:val="32"/>
          <w:szCs w:val="32"/>
        </w:rPr>
        <w:t>月）；</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pacing w:val="-11"/>
          <w:sz w:val="32"/>
          <w:szCs w:val="32"/>
        </w:rPr>
      </w:pPr>
      <w:r>
        <w:rPr>
          <w:rFonts w:hint="default" w:ascii="Times New Roman" w:hAnsi="Times New Roman" w:eastAsia="方正仿宋_GBK" w:cs="Times New Roman"/>
          <w:sz w:val="32"/>
          <w:szCs w:val="32"/>
        </w:rPr>
        <w:t>《中华</w:t>
      </w:r>
      <w:r>
        <w:rPr>
          <w:rFonts w:hint="default" w:ascii="Times New Roman" w:hAnsi="Times New Roman" w:eastAsia="方正仿宋_GBK" w:cs="Times New Roman"/>
          <w:spacing w:val="-11"/>
          <w:sz w:val="32"/>
          <w:szCs w:val="32"/>
        </w:rPr>
        <w:t>人民共和国水生野生动物保护实施条例》（2013年12月）；</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《中华人民共和国野生植物保护条例》（2017年10月修订）；</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pacing w:val="-11"/>
          <w:sz w:val="32"/>
          <w:szCs w:val="32"/>
        </w:rPr>
      </w:pPr>
      <w:r>
        <w:rPr>
          <w:rFonts w:hint="default" w:ascii="Times New Roman" w:hAnsi="Times New Roman" w:eastAsia="方正仿宋_GBK" w:cs="Times New Roman"/>
          <w:sz w:val="32"/>
          <w:szCs w:val="32"/>
        </w:rPr>
        <w:t>《基本农</w:t>
      </w:r>
      <w:r>
        <w:rPr>
          <w:rFonts w:hint="default" w:ascii="Times New Roman" w:hAnsi="Times New Roman" w:eastAsia="方正仿宋_GBK" w:cs="Times New Roman"/>
          <w:spacing w:val="-11"/>
          <w:sz w:val="32"/>
          <w:szCs w:val="32"/>
        </w:rPr>
        <w:t>田保护条例》（国务院令第257号，2011年1月修订）；</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《产业结构调整指导目录（2019年本）》（国家发改委令第29号）；</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《国务院关于修改〈建设项目环境保护管理条例〉的决定》（2017年10月1日起施行）；</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《中华人民共和国自然保护区条例》（2017年10月修订）；</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《中华人民共和国河道管理条例》（2017年3月第二次修正）</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《风景名胜区条例》（2006年12月1日起施行）；</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《森林公园管理办法》（2016年9月,国家林业局令第42号修改）；</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《饮用水水源保护区污染防治管理规定》（环管字〔</w:t>
      </w:r>
      <w:r>
        <w:rPr>
          <w:rFonts w:hint="default" w:ascii="Times New Roman" w:hAnsi="Times New Roman" w:eastAsia="方正仿宋_GBK" w:cs="Times New Roman"/>
          <w:sz w:val="32"/>
          <w:szCs w:val="32"/>
          <w:lang w:val="en-US" w:eastAsia="zh-CN"/>
        </w:rPr>
        <w:t>1989</w:t>
      </w:r>
      <w:r>
        <w:rPr>
          <w:rFonts w:hint="default" w:ascii="Times New Roman" w:hAnsi="Times New Roman" w:eastAsia="方正仿宋_GBK" w:cs="Times New Roman"/>
          <w:sz w:val="32"/>
          <w:szCs w:val="32"/>
        </w:rPr>
        <w:t>〕201号，2010年12月修正）；</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《水电水利建设项目河道生态用水、低温水和过鱼设施环境影响评价技术指南（试行）的函》（环评函〔</w:t>
      </w:r>
      <w:r>
        <w:rPr>
          <w:rFonts w:hint="eastAsia" w:ascii="Times New Roman" w:eastAsia="方正仿宋_GBK" w:cs="Times New Roman"/>
          <w:sz w:val="32"/>
          <w:szCs w:val="32"/>
          <w:lang w:val="en-US" w:eastAsia="zh-CN"/>
        </w:rPr>
        <w:t>2006</w:t>
      </w:r>
      <w:r>
        <w:rPr>
          <w:rFonts w:hint="default" w:ascii="Times New Roman" w:hAnsi="Times New Roman" w:eastAsia="方正仿宋_GBK" w:cs="Times New Roman"/>
          <w:sz w:val="32"/>
          <w:szCs w:val="32"/>
        </w:rPr>
        <w:t>〕4号）；</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《关于进一步加强水利规划环境影响评价工作的通知》（环发〔</w:t>
      </w:r>
      <w:r>
        <w:rPr>
          <w:rFonts w:hint="eastAsia" w:ascii="Times New Roman" w:eastAsia="方正仿宋_GBK" w:cs="Times New Roman"/>
          <w:sz w:val="32"/>
          <w:szCs w:val="32"/>
          <w:lang w:val="en-US" w:eastAsia="zh-CN"/>
        </w:rPr>
        <w:t>2014</w:t>
      </w:r>
      <w:r>
        <w:rPr>
          <w:rFonts w:hint="default" w:ascii="Times New Roman" w:hAnsi="Times New Roman" w:eastAsia="方正仿宋_GBK" w:cs="Times New Roman"/>
          <w:sz w:val="32"/>
          <w:szCs w:val="32"/>
        </w:rPr>
        <w:t>〕43号）；</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《关于加强资源环境生态红线管控的指导意见》（发改环资〔</w:t>
      </w:r>
      <w:r>
        <w:rPr>
          <w:rFonts w:hint="eastAsia" w:ascii="Times New Roman" w:eastAsia="方正仿宋_GBK" w:cs="Times New Roman"/>
          <w:sz w:val="32"/>
          <w:szCs w:val="32"/>
          <w:lang w:val="en-US" w:eastAsia="zh-CN"/>
        </w:rPr>
        <w:t>2016</w:t>
      </w:r>
      <w:r>
        <w:rPr>
          <w:rFonts w:hint="default" w:ascii="Times New Roman" w:hAnsi="Times New Roman" w:eastAsia="方正仿宋_GBK" w:cs="Times New Roman"/>
          <w:sz w:val="32"/>
          <w:szCs w:val="32"/>
        </w:rPr>
        <w:t>〕1162号）；</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《关于印发长江经济带生态环境保护规划的通知》（环规财〔</w:t>
      </w:r>
      <w:r>
        <w:rPr>
          <w:rFonts w:hint="eastAsia" w:ascii="Times New Roman" w:eastAsia="方正仿宋_GBK" w:cs="Times New Roman"/>
          <w:sz w:val="32"/>
          <w:szCs w:val="32"/>
          <w:lang w:val="en-US" w:eastAsia="zh-CN"/>
        </w:rPr>
        <w:t>2017</w:t>
      </w:r>
      <w:r>
        <w:rPr>
          <w:rFonts w:hint="default" w:ascii="Times New Roman" w:hAnsi="Times New Roman" w:eastAsia="方正仿宋_GBK" w:cs="Times New Roman"/>
          <w:sz w:val="32"/>
          <w:szCs w:val="32"/>
        </w:rPr>
        <w:t>〕88号）；</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《国家发展改革委环境保护部印发</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关于加强长江黄金水道环境污染防控治理的指导意见</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的通知》（发改环资〔</w:t>
      </w:r>
      <w:r>
        <w:rPr>
          <w:rFonts w:hint="eastAsia" w:ascii="Times New Roman" w:eastAsia="方正仿宋_GBK" w:cs="Times New Roman"/>
          <w:sz w:val="32"/>
          <w:szCs w:val="32"/>
          <w:lang w:val="en-US" w:eastAsia="zh-CN"/>
        </w:rPr>
        <w:t>2016</w:t>
      </w:r>
      <w:r>
        <w:rPr>
          <w:rFonts w:hint="default" w:ascii="Times New Roman" w:hAnsi="Times New Roman" w:eastAsia="方正仿宋_GBK" w:cs="Times New Roman"/>
          <w:sz w:val="32"/>
          <w:szCs w:val="32"/>
        </w:rPr>
        <w:t>〕370号）；</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《重庆市环境保护条例》（2018年7月26日）；</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《重庆市水污染防治条例》（2020年7月）；</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《重庆市大气污染防治条例》（2017年6月）；</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《重庆市野生动物保护规定》（2019年9月）；</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《重庆市人民政府关于重庆市生物多样性保护策略与行动计划的批复》（渝府〔</w:t>
      </w:r>
      <w:r>
        <w:rPr>
          <w:rFonts w:hint="eastAsia" w:ascii="Times New Roman" w:eastAsia="方正仿宋_GBK" w:cs="Times New Roman"/>
          <w:sz w:val="32"/>
          <w:szCs w:val="32"/>
          <w:lang w:val="en-US" w:eastAsia="zh-CN"/>
        </w:rPr>
        <w:t>2010</w:t>
      </w:r>
      <w:r>
        <w:rPr>
          <w:rFonts w:hint="default" w:ascii="Times New Roman" w:hAnsi="Times New Roman" w:eastAsia="方正仿宋_GBK" w:cs="Times New Roman"/>
          <w:sz w:val="32"/>
          <w:szCs w:val="32"/>
        </w:rPr>
        <w:t>〕103号）；</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《重庆市实施</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中华人民共和国野生动物保护法</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办法》（2014年9月第六次修正）；</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《重庆市长江三峡库区流域水污染防治条例》（2011年7月29日）；</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《中共重庆市委重庆市人民政府关于加快推进生态文明建设的意见》（渝委发〔</w:t>
      </w:r>
      <w:r>
        <w:rPr>
          <w:rFonts w:hint="eastAsia" w:ascii="Times New Roman" w:eastAsia="方正仿宋_GBK" w:cs="Times New Roman"/>
          <w:sz w:val="32"/>
          <w:szCs w:val="32"/>
          <w:lang w:val="en-US" w:eastAsia="zh-CN"/>
        </w:rPr>
        <w:t>2014</w:t>
      </w:r>
      <w:r>
        <w:rPr>
          <w:rFonts w:hint="default" w:ascii="Times New Roman" w:hAnsi="Times New Roman" w:eastAsia="方正仿宋_GBK" w:cs="Times New Roman"/>
          <w:sz w:val="32"/>
          <w:szCs w:val="32"/>
        </w:rPr>
        <w:t>〕19号）；</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《重庆市长江经济带发展负面清单实施细则（试行）》的通知》（渝推长办发〔</w:t>
      </w:r>
      <w:r>
        <w:rPr>
          <w:rFonts w:hint="eastAsia" w:ascii="Times New Roman" w:eastAsia="方正仿宋_GBK" w:cs="Times New Roman"/>
          <w:sz w:val="32"/>
          <w:szCs w:val="32"/>
          <w:lang w:val="en-US" w:eastAsia="zh-CN"/>
        </w:rPr>
        <w:t>2019</w:t>
      </w:r>
      <w:r>
        <w:rPr>
          <w:rFonts w:hint="default" w:ascii="Times New Roman" w:hAnsi="Times New Roman" w:eastAsia="方正仿宋_GBK" w:cs="Times New Roman"/>
          <w:sz w:val="32"/>
          <w:szCs w:val="32"/>
        </w:rPr>
        <w:t>〕40号）；</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《关于落实生态保护红线、环境质量底线、资源利用上线制定生态环境准入清单实施生态环境分区管控的实施意见》（渝府发﹝2020﹞11号）等。</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outlineLvl w:val="3"/>
        <w:rPr>
          <w:rFonts w:hint="default" w:ascii="Times New Roman" w:hAnsi="Times New Roman" w:eastAsia="方正仿宋_GBK" w:cs="Times New Roman"/>
          <w:sz w:val="32"/>
          <w:szCs w:val="32"/>
          <w:lang w:val="zh-CN"/>
        </w:rPr>
      </w:pPr>
      <w:r>
        <w:rPr>
          <w:rFonts w:hint="default" w:ascii="Times New Roman" w:hAnsi="Times New Roman" w:eastAsia="方正仿宋_GBK" w:cs="Times New Roman"/>
          <w:sz w:val="32"/>
          <w:szCs w:val="32"/>
          <w:lang w:val="en-US" w:eastAsia="zh-CN"/>
        </w:rPr>
        <w:t>1.2</w:t>
      </w:r>
      <w:r>
        <w:rPr>
          <w:rFonts w:hint="eastAsia" w:ascii="Times New Roman" w:eastAsia="方正仿宋_GBK" w:cs="Times New Roman"/>
          <w:sz w:val="32"/>
          <w:szCs w:val="32"/>
          <w:lang w:val="en-US" w:eastAsia="zh-CN"/>
        </w:rPr>
        <w:t xml:space="preserve"> </w:t>
      </w:r>
      <w:r>
        <w:rPr>
          <w:rFonts w:hint="default" w:ascii="Times New Roman" w:hAnsi="Times New Roman" w:eastAsia="方正仿宋_GBK" w:cs="Times New Roman"/>
          <w:sz w:val="32"/>
          <w:szCs w:val="32"/>
          <w:lang w:val="zh-CN"/>
        </w:rPr>
        <w:t>有关规划及文件</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《全国主体功能区规划》（国发〔</w:t>
      </w:r>
      <w:r>
        <w:rPr>
          <w:rFonts w:hint="eastAsia" w:ascii="Times New Roman" w:eastAsia="方正仿宋_GBK" w:cs="Times New Roman"/>
          <w:sz w:val="32"/>
          <w:szCs w:val="32"/>
          <w:lang w:val="en-US" w:eastAsia="zh-CN"/>
        </w:rPr>
        <w:t>2010</w:t>
      </w:r>
      <w:r>
        <w:rPr>
          <w:rFonts w:hint="default" w:ascii="Times New Roman" w:hAnsi="Times New Roman" w:eastAsia="方正仿宋_GBK" w:cs="Times New Roman"/>
          <w:sz w:val="32"/>
          <w:szCs w:val="32"/>
        </w:rPr>
        <w:t>〕46号）；</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《全国生态功能区划（修编版）》（2015年11月）；</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《全国重要江河湖泊水功能区划（2011</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2030年）》（国函〔</w:t>
      </w:r>
      <w:r>
        <w:rPr>
          <w:rFonts w:hint="eastAsia" w:ascii="Times New Roman" w:eastAsia="方正仿宋_GBK" w:cs="Times New Roman"/>
          <w:sz w:val="32"/>
          <w:szCs w:val="32"/>
          <w:lang w:val="en-US" w:eastAsia="zh-CN"/>
        </w:rPr>
        <w:t>2011</w:t>
      </w:r>
      <w:r>
        <w:rPr>
          <w:rFonts w:hint="default" w:ascii="Times New Roman" w:hAnsi="Times New Roman" w:eastAsia="方正仿宋_GBK" w:cs="Times New Roman"/>
          <w:sz w:val="32"/>
          <w:szCs w:val="32"/>
        </w:rPr>
        <w:t>〕167号）；</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《长江</w:t>
      </w:r>
      <w:r>
        <w:rPr>
          <w:rFonts w:hint="default" w:ascii="Times New Roman" w:hAnsi="Times New Roman" w:eastAsia="方正仿宋_GBK" w:cs="Times New Roman"/>
          <w:spacing w:val="-11"/>
          <w:sz w:val="32"/>
          <w:szCs w:val="32"/>
        </w:rPr>
        <w:t>流域综合规划（2012</w:t>
      </w:r>
      <w:r>
        <w:rPr>
          <w:rFonts w:hint="eastAsia" w:ascii="Times New Roman" w:eastAsia="方正仿宋_GBK" w:cs="Times New Roman"/>
          <w:spacing w:val="-11"/>
          <w:sz w:val="32"/>
          <w:szCs w:val="32"/>
          <w:lang w:eastAsia="zh-CN"/>
        </w:rPr>
        <w:t>—</w:t>
      </w:r>
      <w:r>
        <w:rPr>
          <w:rFonts w:hint="default" w:ascii="Times New Roman" w:hAnsi="Times New Roman" w:eastAsia="方正仿宋_GBK" w:cs="Times New Roman"/>
          <w:spacing w:val="-11"/>
          <w:sz w:val="32"/>
          <w:szCs w:val="32"/>
        </w:rPr>
        <w:t>2030年）》（国函〔</w:t>
      </w:r>
      <w:r>
        <w:rPr>
          <w:rFonts w:hint="eastAsia" w:ascii="Times New Roman" w:eastAsia="方正仿宋_GBK" w:cs="Times New Roman"/>
          <w:spacing w:val="-11"/>
          <w:sz w:val="32"/>
          <w:szCs w:val="32"/>
          <w:lang w:val="en-US" w:eastAsia="zh-CN"/>
        </w:rPr>
        <w:t>2012</w:t>
      </w:r>
      <w:r>
        <w:rPr>
          <w:rFonts w:hint="default" w:ascii="Times New Roman" w:hAnsi="Times New Roman" w:eastAsia="方正仿宋_GBK" w:cs="Times New Roman"/>
          <w:spacing w:val="-11"/>
          <w:sz w:val="32"/>
          <w:szCs w:val="32"/>
        </w:rPr>
        <w:t>〕2</w:t>
      </w:r>
      <w:r>
        <w:rPr>
          <w:rFonts w:hint="default" w:ascii="Times New Roman" w:hAnsi="Times New Roman" w:eastAsia="方正仿宋_GBK" w:cs="Times New Roman"/>
          <w:sz w:val="32"/>
          <w:szCs w:val="32"/>
        </w:rPr>
        <w:t>20号）；</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《长江经济带生态环境保护规划》（环规财〔</w:t>
      </w:r>
      <w:r>
        <w:rPr>
          <w:rFonts w:hint="eastAsia" w:ascii="Times New Roman" w:eastAsia="方正仿宋_GBK" w:cs="Times New Roman"/>
          <w:sz w:val="32"/>
          <w:szCs w:val="32"/>
          <w:lang w:val="en-US" w:eastAsia="zh-CN"/>
        </w:rPr>
        <w:t>2017</w:t>
      </w:r>
      <w:r>
        <w:rPr>
          <w:rFonts w:hint="default" w:ascii="Times New Roman" w:hAnsi="Times New Roman" w:eastAsia="方正仿宋_GBK" w:cs="Times New Roman"/>
          <w:sz w:val="32"/>
          <w:szCs w:val="32"/>
        </w:rPr>
        <w:t>〕88号）；</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《重庆市重点生态功能区保护和建设规划（2011</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2030年）》（渝办发〔</w:t>
      </w:r>
      <w:r>
        <w:rPr>
          <w:rFonts w:hint="eastAsia" w:ascii="Times New Roman" w:eastAsia="方正仿宋_GBK" w:cs="Times New Roman"/>
          <w:sz w:val="32"/>
          <w:szCs w:val="32"/>
          <w:lang w:val="en-US" w:eastAsia="zh-CN"/>
        </w:rPr>
        <w:t>2011</w:t>
      </w:r>
      <w:r>
        <w:rPr>
          <w:rFonts w:hint="default" w:ascii="Times New Roman" w:hAnsi="Times New Roman" w:eastAsia="方正仿宋_GBK" w:cs="Times New Roman"/>
          <w:sz w:val="32"/>
          <w:szCs w:val="32"/>
        </w:rPr>
        <w:t>〕167号）；</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《重庆市生态功能区划（修编）》（渝府〔</w:t>
      </w:r>
      <w:r>
        <w:rPr>
          <w:rFonts w:hint="eastAsia" w:ascii="Times New Roman" w:eastAsia="方正仿宋_GBK" w:cs="Times New Roman"/>
          <w:sz w:val="32"/>
          <w:szCs w:val="32"/>
          <w:lang w:val="en-US" w:eastAsia="zh-CN"/>
        </w:rPr>
        <w:t>2008</w:t>
      </w:r>
      <w:r>
        <w:rPr>
          <w:rFonts w:hint="default" w:ascii="Times New Roman" w:hAnsi="Times New Roman" w:eastAsia="方正仿宋_GBK" w:cs="Times New Roman"/>
          <w:sz w:val="32"/>
          <w:szCs w:val="32"/>
        </w:rPr>
        <w:t>〕133号）；</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《重庆市人民政府关于发布重庆市生态保护红线的通知》（渝府发〔</w:t>
      </w:r>
      <w:r>
        <w:rPr>
          <w:rFonts w:hint="eastAsia" w:ascii="Times New Roman" w:eastAsia="方正仿宋_GBK" w:cs="Times New Roman"/>
          <w:sz w:val="32"/>
          <w:szCs w:val="32"/>
          <w:lang w:val="en-US" w:eastAsia="zh-CN"/>
        </w:rPr>
        <w:t>2018</w:t>
      </w:r>
      <w:r>
        <w:rPr>
          <w:rFonts w:hint="default" w:ascii="Times New Roman" w:hAnsi="Times New Roman" w:eastAsia="方正仿宋_GBK" w:cs="Times New Roman"/>
          <w:sz w:val="32"/>
          <w:szCs w:val="32"/>
        </w:rPr>
        <w:t>〕25号）；</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《重庆市人民政府关于印发重庆市地面水域适用功能类别划分规定的通知》（渝府发〔</w:t>
      </w:r>
      <w:r>
        <w:rPr>
          <w:rFonts w:hint="eastAsia" w:ascii="Times New Roman" w:eastAsia="方正仿宋_GBK" w:cs="Times New Roman"/>
          <w:sz w:val="32"/>
          <w:szCs w:val="32"/>
          <w:lang w:val="en-US" w:eastAsia="zh-CN"/>
        </w:rPr>
        <w:t>1998</w:t>
      </w:r>
      <w:r>
        <w:rPr>
          <w:rFonts w:hint="default" w:ascii="Times New Roman" w:hAnsi="Times New Roman" w:eastAsia="方正仿宋_GBK" w:cs="Times New Roman"/>
          <w:sz w:val="32"/>
          <w:szCs w:val="32"/>
        </w:rPr>
        <w:t>〕89号）；</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《重庆市人民政府批转重庆市地表水环境功能类别调整方案的通知》（渝府发〔</w:t>
      </w:r>
      <w:r>
        <w:rPr>
          <w:rFonts w:hint="eastAsia" w:ascii="Times New Roman" w:eastAsia="方正仿宋_GBK" w:cs="Times New Roman"/>
          <w:sz w:val="32"/>
          <w:szCs w:val="32"/>
          <w:lang w:val="en-US" w:eastAsia="zh-CN"/>
        </w:rPr>
        <w:t>2012</w:t>
      </w:r>
      <w:r>
        <w:rPr>
          <w:rFonts w:hint="default" w:ascii="Times New Roman" w:hAnsi="Times New Roman" w:eastAsia="方正仿宋_GBK" w:cs="Times New Roman"/>
          <w:sz w:val="32"/>
          <w:szCs w:val="32"/>
        </w:rPr>
        <w:t>〕4号）；</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《重庆市人民政府关于批转重庆市地表水环境功能类别局部调整方案的通知》（渝府〔</w:t>
      </w:r>
      <w:r>
        <w:rPr>
          <w:rFonts w:hint="eastAsia" w:ascii="Times New Roman" w:eastAsia="方正仿宋_GBK" w:cs="Times New Roman"/>
          <w:sz w:val="32"/>
          <w:szCs w:val="32"/>
          <w:lang w:val="en-US" w:eastAsia="zh-CN"/>
        </w:rPr>
        <w:t>2016</w:t>
      </w:r>
      <w:r>
        <w:rPr>
          <w:rFonts w:hint="default" w:ascii="Times New Roman" w:hAnsi="Times New Roman" w:eastAsia="方正仿宋_GBK" w:cs="Times New Roman"/>
          <w:sz w:val="32"/>
          <w:szCs w:val="32"/>
        </w:rPr>
        <w:t>〕43号）；</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《重庆市人民政府关于公布重庆市重点保护野生植物名录（第一批）的通知》（渝府发〔</w:t>
      </w:r>
      <w:r>
        <w:rPr>
          <w:rFonts w:hint="eastAsia" w:ascii="Times New Roman" w:eastAsia="方正仿宋_GBK" w:cs="Times New Roman"/>
          <w:sz w:val="32"/>
          <w:szCs w:val="32"/>
          <w:lang w:val="en-US" w:eastAsia="zh-CN"/>
        </w:rPr>
        <w:t>2015</w:t>
      </w:r>
      <w:r>
        <w:rPr>
          <w:rFonts w:hint="default" w:ascii="Times New Roman" w:hAnsi="Times New Roman" w:eastAsia="方正仿宋_GBK" w:cs="Times New Roman"/>
          <w:sz w:val="32"/>
          <w:szCs w:val="32"/>
        </w:rPr>
        <w:t>〕7号）；</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《万州区等31个区县（自治县）集中式饮用水源保护区调整表（2013年）》（渝府办〔</w:t>
      </w:r>
      <w:r>
        <w:rPr>
          <w:rFonts w:hint="eastAsia" w:ascii="Times New Roman" w:eastAsia="方正仿宋_GBK" w:cs="Times New Roman"/>
          <w:sz w:val="32"/>
          <w:szCs w:val="32"/>
          <w:lang w:val="en-US" w:eastAsia="zh-CN"/>
        </w:rPr>
        <w:t>2013</w:t>
      </w:r>
      <w:r>
        <w:rPr>
          <w:rFonts w:hint="default" w:ascii="Times New Roman" w:hAnsi="Times New Roman" w:eastAsia="方正仿宋_GBK" w:cs="Times New Roman"/>
          <w:sz w:val="32"/>
          <w:szCs w:val="32"/>
        </w:rPr>
        <w:t>〕40号）；</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《重庆市人民政府办公厅关于调整万州区等36个区县（自治</w:t>
      </w:r>
      <w:r>
        <w:rPr>
          <w:rFonts w:hint="default" w:ascii="Times New Roman" w:hAnsi="Times New Roman" w:eastAsia="方正仿宋_GBK" w:cs="Times New Roman"/>
          <w:spacing w:val="-11"/>
          <w:sz w:val="32"/>
          <w:szCs w:val="32"/>
        </w:rPr>
        <w:t>县）集中式饮用水源保护区的通知》（渝府办发〔</w:t>
      </w:r>
      <w:r>
        <w:rPr>
          <w:rFonts w:hint="eastAsia" w:ascii="Times New Roman" w:eastAsia="方正仿宋_GBK" w:cs="Times New Roman"/>
          <w:spacing w:val="-11"/>
          <w:sz w:val="32"/>
          <w:szCs w:val="32"/>
          <w:lang w:val="en-US" w:eastAsia="zh-CN"/>
        </w:rPr>
        <w:t>2016</w:t>
      </w:r>
      <w:r>
        <w:rPr>
          <w:rFonts w:hint="default" w:ascii="Times New Roman" w:hAnsi="Times New Roman" w:eastAsia="方正仿宋_GBK" w:cs="Times New Roman"/>
          <w:spacing w:val="-11"/>
          <w:sz w:val="32"/>
          <w:szCs w:val="32"/>
        </w:rPr>
        <w:t>〕19号）</w:t>
      </w:r>
      <w:r>
        <w:rPr>
          <w:rFonts w:hint="default" w:ascii="Times New Roman" w:hAnsi="Times New Roman" w:eastAsia="方正仿宋_GBK" w:cs="Times New Roman"/>
          <w:sz w:val="32"/>
          <w:szCs w:val="32"/>
        </w:rPr>
        <w:t>等。</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outlineLvl w:val="3"/>
        <w:rPr>
          <w:rFonts w:hint="default" w:ascii="Times New Roman" w:hAnsi="Times New Roman" w:eastAsia="方正仿宋_GBK" w:cs="Times New Roman"/>
          <w:sz w:val="32"/>
          <w:szCs w:val="32"/>
          <w:lang w:val="zh-CN"/>
        </w:rPr>
      </w:pPr>
      <w:r>
        <w:rPr>
          <w:rFonts w:hint="default" w:ascii="Times New Roman" w:hAnsi="Times New Roman" w:eastAsia="方正仿宋_GBK" w:cs="Times New Roman"/>
          <w:sz w:val="32"/>
          <w:szCs w:val="32"/>
          <w:lang w:val="en-US" w:eastAsia="zh-CN"/>
        </w:rPr>
        <w:t>1.3</w:t>
      </w:r>
      <w:r>
        <w:rPr>
          <w:rFonts w:hint="eastAsia" w:ascii="Times New Roman" w:eastAsia="方正仿宋_GBK" w:cs="Times New Roman"/>
          <w:sz w:val="32"/>
          <w:szCs w:val="32"/>
          <w:lang w:val="en-US" w:eastAsia="zh-CN"/>
        </w:rPr>
        <w:t xml:space="preserve"> </w:t>
      </w:r>
      <w:r>
        <w:rPr>
          <w:rFonts w:hint="default" w:ascii="Times New Roman" w:hAnsi="Times New Roman" w:eastAsia="方正仿宋_GBK" w:cs="Times New Roman"/>
          <w:sz w:val="32"/>
          <w:szCs w:val="32"/>
          <w:lang w:val="zh-CN"/>
        </w:rPr>
        <w:t>技术规范及标准</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《规划环境影响评价技术导则 总纲》（HJ130</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2019）；</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《江河流域规划编制规程》（SL201</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2015）；</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eastAsia" w:ascii="Times New Roman" w:hAnsi="Times New Roman" w:eastAsia="方正仿宋_GBK" w:cs="Times New Roman"/>
          <w:sz w:val="32"/>
          <w:szCs w:val="32"/>
          <w:lang w:eastAsia="zh-CN"/>
        </w:rPr>
      </w:pPr>
      <w:r>
        <w:rPr>
          <w:rFonts w:hint="default" w:ascii="Times New Roman" w:hAnsi="Times New Roman" w:eastAsia="方正仿宋_GBK" w:cs="Times New Roman"/>
          <w:sz w:val="32"/>
          <w:szCs w:val="32"/>
        </w:rPr>
        <w:t>《江河流域规划环境影响评价规范》（SL45</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2006）</w:t>
      </w:r>
      <w:r>
        <w:rPr>
          <w:rFonts w:hint="eastAsia" w:ascii="Times New Roman" w:eastAsia="方正仿宋_GBK" w:cs="Times New Roman"/>
          <w:sz w:val="32"/>
          <w:szCs w:val="32"/>
          <w:lang w:eastAsia="zh-CN"/>
        </w:rPr>
        <w:t>；</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《防洪规划编制规程》（SL669</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2014）；</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eastAsia" w:ascii="Times New Roman" w:hAnsi="Times New Roman" w:eastAsia="方正仿宋_GBK" w:cs="Times New Roman"/>
          <w:sz w:val="32"/>
          <w:szCs w:val="32"/>
          <w:lang w:eastAsia="zh-CN"/>
        </w:rPr>
      </w:pPr>
      <w:r>
        <w:rPr>
          <w:rFonts w:hint="default" w:ascii="Times New Roman" w:hAnsi="Times New Roman" w:eastAsia="方正仿宋_GBK" w:cs="Times New Roman"/>
          <w:sz w:val="32"/>
          <w:szCs w:val="32"/>
        </w:rPr>
        <w:t>《环境影响评价技术导则地表水环境》（HJ2.3</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2018）</w:t>
      </w:r>
      <w:r>
        <w:rPr>
          <w:rFonts w:hint="eastAsia" w:ascii="Times New Roman" w:eastAsia="方正仿宋_GBK" w:cs="Times New Roman"/>
          <w:sz w:val="32"/>
          <w:szCs w:val="32"/>
          <w:lang w:eastAsia="zh-CN"/>
        </w:rPr>
        <w:t>；</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eastAsia" w:ascii="Times New Roman" w:hAnsi="Times New Roman" w:eastAsia="方正仿宋_GBK" w:cs="Times New Roman"/>
          <w:sz w:val="32"/>
          <w:szCs w:val="32"/>
          <w:lang w:eastAsia="zh-CN"/>
        </w:rPr>
      </w:pPr>
      <w:r>
        <w:rPr>
          <w:rFonts w:hint="default" w:ascii="Times New Roman" w:hAnsi="Times New Roman" w:eastAsia="方正仿宋_GBK" w:cs="Times New Roman"/>
          <w:sz w:val="32"/>
          <w:szCs w:val="32"/>
        </w:rPr>
        <w:t>《环境影响评价技术导则 生态影响》（HJ19</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2011）</w:t>
      </w:r>
      <w:r>
        <w:rPr>
          <w:rFonts w:hint="eastAsia" w:ascii="Times New Roman" w:eastAsia="方正仿宋_GBK" w:cs="Times New Roman"/>
          <w:sz w:val="32"/>
          <w:szCs w:val="32"/>
          <w:lang w:eastAsia="zh-CN"/>
        </w:rPr>
        <w:t>；</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《地表水环境质量标准》（GB3838</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2002）等。</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rPr>
      </w:pPr>
      <w:r>
        <w:rPr>
          <w:rFonts w:hint="default" w:ascii="Times New Roman" w:hAnsi="Times New Roman" w:eastAsia="方正仿宋_GBK" w:cs="Times New Roman"/>
          <w:bCs/>
          <w:sz w:val="32"/>
          <w:szCs w:val="32"/>
          <w:lang w:val="en-US" w:eastAsia="zh-CN"/>
        </w:rPr>
        <w:t>2</w:t>
      </w:r>
      <w:r>
        <w:rPr>
          <w:rFonts w:hint="eastAsia" w:ascii="Times New Roman" w:eastAsia="方正仿宋_GBK" w:cs="Times New Roman"/>
          <w:bCs/>
          <w:sz w:val="32"/>
          <w:szCs w:val="32"/>
          <w:lang w:val="en-US" w:eastAsia="zh-CN"/>
        </w:rPr>
        <w:t>．</w:t>
      </w:r>
      <w:r>
        <w:rPr>
          <w:rFonts w:hint="default" w:ascii="Times New Roman" w:hAnsi="Times New Roman" w:eastAsia="方正仿宋_GBK" w:cs="Times New Roman"/>
          <w:bCs/>
          <w:sz w:val="32"/>
          <w:szCs w:val="32"/>
        </w:rPr>
        <w:t>评价范围</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重庆市綦江城区防洪规划环境影响评价范围为规划范围及环境要素可能受影响的范围，主要为綦江干流綦江城区河段。各环境要素评价范围详见表9.1</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1。</w:t>
      </w:r>
    </w:p>
    <w:p>
      <w:pPr>
        <w:spacing w:after="60"/>
        <w:ind w:firstLine="240" w:firstLineChars="100"/>
        <w:outlineLvl w:val="5"/>
        <w:rPr>
          <w:rFonts w:hint="default" w:ascii="Times New Roman" w:hAnsi="Times New Roman" w:eastAsia="黑体" w:cs="Times New Roman"/>
          <w:sz w:val="24"/>
          <w:szCs w:val="20"/>
        </w:rPr>
      </w:pPr>
      <w:r>
        <w:rPr>
          <w:rFonts w:hint="default" w:ascii="Times New Roman" w:hAnsi="Times New Roman" w:eastAsia="黑体" w:cs="Times New Roman"/>
          <w:sz w:val="24"/>
          <w:szCs w:val="20"/>
        </w:rPr>
        <w:t>表9.1</w:t>
      </w:r>
      <w:r>
        <w:rPr>
          <w:rFonts w:hint="default" w:ascii="Times New Roman" w:hAnsi="Times New Roman" w:eastAsia="黑体" w:cs="Times New Roman"/>
          <w:sz w:val="24"/>
          <w:szCs w:val="20"/>
          <w:lang w:eastAsia="zh-CN"/>
        </w:rPr>
        <w:t>—</w:t>
      </w:r>
      <w:r>
        <w:rPr>
          <w:rFonts w:hint="default" w:ascii="Times New Roman" w:hAnsi="Times New Roman" w:eastAsia="黑体" w:cs="Times New Roman"/>
          <w:sz w:val="24"/>
          <w:szCs w:val="20"/>
        </w:rPr>
        <w:t>1         綦江城区防洪规划主要环境要素评价范围</w:t>
      </w:r>
    </w:p>
    <w:tbl>
      <w:tblPr>
        <w:tblStyle w:val="88"/>
        <w:tblW w:w="5000"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108" w:type="dxa"/>
          <w:bottom w:w="0" w:type="dxa"/>
          <w:right w:w="108" w:type="dxa"/>
        </w:tblCellMar>
      </w:tblPr>
      <w:tblGrid>
        <w:gridCol w:w="1447"/>
        <w:gridCol w:w="7840"/>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79" w:type="pct"/>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lang w:val="zh-CN"/>
              </w:rPr>
              <w:t>环境要素</w:t>
            </w:r>
          </w:p>
        </w:tc>
        <w:tc>
          <w:tcPr>
            <w:tcW w:w="4221" w:type="pct"/>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lang w:val="zh-CN"/>
              </w:rPr>
              <w:t>评价范围</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779" w:type="pct"/>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lang w:val="zh-CN"/>
              </w:rPr>
              <w:t>水文水资源</w:t>
            </w:r>
          </w:p>
        </w:tc>
        <w:tc>
          <w:tcPr>
            <w:tcW w:w="4221" w:type="pct"/>
            <w:noWrap w:val="0"/>
            <w:vAlign w:val="center"/>
          </w:tcPr>
          <w:p>
            <w:pPr>
              <w:widowControl/>
              <w:adjustRightInd w:val="0"/>
              <w:spacing w:line="0" w:lineRule="atLeast"/>
              <w:ind w:firstLine="0" w:firstLineChars="0"/>
              <w:jc w:val="left"/>
              <w:rPr>
                <w:rFonts w:hint="eastAsia" w:ascii="楷体_GB2312" w:eastAsia="楷体_GB2312"/>
                <w:snapToGrid w:val="0"/>
                <w:kern w:val="0"/>
                <w:sz w:val="21"/>
                <w:szCs w:val="21"/>
              </w:rPr>
            </w:pPr>
            <w:r>
              <w:rPr>
                <w:rFonts w:hint="eastAsia" w:ascii="楷体_GB2312" w:eastAsia="楷体_GB2312"/>
                <w:snapToGrid w:val="0"/>
                <w:kern w:val="0"/>
                <w:sz w:val="21"/>
                <w:szCs w:val="21"/>
              </w:rPr>
              <w:t>规划范围，以綦江干流綦江城区河段为主，包含藻渡、安江、双丰湖、桃花潭等防洪水库所在的上游支流。</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79" w:type="pct"/>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lang w:val="zh-CN"/>
              </w:rPr>
              <w:t>水环境</w:t>
            </w:r>
          </w:p>
        </w:tc>
        <w:tc>
          <w:tcPr>
            <w:tcW w:w="4221" w:type="pct"/>
            <w:noWrap w:val="0"/>
            <w:vAlign w:val="center"/>
          </w:tcPr>
          <w:p>
            <w:pPr>
              <w:widowControl/>
              <w:adjustRightInd w:val="0"/>
              <w:spacing w:line="0" w:lineRule="atLeast"/>
              <w:ind w:firstLine="0" w:firstLineChars="0"/>
              <w:jc w:val="left"/>
              <w:rPr>
                <w:rFonts w:hint="eastAsia" w:ascii="楷体_GB2312" w:eastAsia="楷体_GB2312"/>
                <w:snapToGrid w:val="0"/>
                <w:kern w:val="0"/>
                <w:sz w:val="21"/>
                <w:szCs w:val="21"/>
              </w:rPr>
            </w:pPr>
            <w:r>
              <w:rPr>
                <w:rFonts w:hint="eastAsia" w:ascii="楷体_GB2312" w:eastAsia="楷体_GB2312"/>
                <w:snapToGrid w:val="0"/>
                <w:kern w:val="0"/>
                <w:sz w:val="21"/>
                <w:szCs w:val="21"/>
              </w:rPr>
              <w:t>包含规划范围及水环境可能受影响的范围，以规划河道整治工程所在的綦江干流綦江主城区河段为主，该河段上游起于綦江火车站上游500m，下游止于城北大桥下游1km，总长约6.5km。</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779" w:type="pct"/>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lang w:val="zh-CN"/>
              </w:rPr>
              <w:t>生态环境</w:t>
            </w:r>
          </w:p>
        </w:tc>
        <w:tc>
          <w:tcPr>
            <w:tcW w:w="4221" w:type="pct"/>
            <w:noWrap w:val="0"/>
            <w:vAlign w:val="center"/>
          </w:tcPr>
          <w:p>
            <w:pPr>
              <w:widowControl/>
              <w:adjustRightInd w:val="0"/>
              <w:spacing w:line="0" w:lineRule="atLeast"/>
              <w:ind w:firstLine="0" w:firstLineChars="0"/>
              <w:jc w:val="left"/>
              <w:rPr>
                <w:rFonts w:hint="eastAsia" w:ascii="楷体_GB2312" w:eastAsia="楷体_GB2312"/>
                <w:snapToGrid w:val="0"/>
                <w:kern w:val="0"/>
                <w:sz w:val="21"/>
                <w:szCs w:val="21"/>
              </w:rPr>
            </w:pPr>
            <w:r>
              <w:rPr>
                <w:rFonts w:hint="eastAsia" w:ascii="楷体_GB2312" w:eastAsia="楷体_GB2312"/>
                <w:snapToGrid w:val="0"/>
                <w:kern w:val="0"/>
                <w:sz w:val="21"/>
                <w:szCs w:val="21"/>
              </w:rPr>
              <w:t>陆生生态：綦江流域上游藻渡河、松坎河、羊渡河、蒲河等支流，至下游主城区段，重点是主城区河岸两侧及藻渡、安江、双丰湖、桃花潭等水库淹没区；</w:t>
            </w:r>
          </w:p>
          <w:p>
            <w:pPr>
              <w:widowControl/>
              <w:adjustRightInd w:val="0"/>
              <w:spacing w:line="0" w:lineRule="atLeast"/>
              <w:ind w:firstLine="0" w:firstLineChars="0"/>
              <w:jc w:val="left"/>
              <w:rPr>
                <w:rFonts w:hint="eastAsia" w:ascii="楷体_GB2312" w:eastAsia="楷体_GB2312"/>
                <w:snapToGrid w:val="0"/>
                <w:kern w:val="0"/>
                <w:sz w:val="21"/>
                <w:szCs w:val="21"/>
              </w:rPr>
            </w:pPr>
            <w:r>
              <w:rPr>
                <w:rFonts w:hint="eastAsia" w:ascii="楷体_GB2312" w:eastAsia="楷体_GB2312"/>
                <w:snapToGrid w:val="0"/>
                <w:kern w:val="0"/>
                <w:sz w:val="21"/>
                <w:szCs w:val="21"/>
              </w:rPr>
              <w:t>水生生态：綦江流域，重点是上游藻渡河、松坎河、羊渡河、蒲河至下游綦江干流主城区段。</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79" w:type="pct"/>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lang w:val="zh-CN"/>
              </w:rPr>
              <w:t>土地资源</w:t>
            </w:r>
          </w:p>
        </w:tc>
        <w:tc>
          <w:tcPr>
            <w:tcW w:w="4221" w:type="pct"/>
            <w:noWrap w:val="0"/>
            <w:vAlign w:val="center"/>
          </w:tcPr>
          <w:p>
            <w:pPr>
              <w:widowControl/>
              <w:adjustRightInd w:val="0"/>
              <w:spacing w:line="0" w:lineRule="atLeast"/>
              <w:ind w:firstLine="0" w:firstLineChars="0"/>
              <w:jc w:val="left"/>
              <w:rPr>
                <w:rFonts w:hint="eastAsia" w:ascii="楷体_GB2312" w:eastAsia="楷体_GB2312"/>
                <w:snapToGrid w:val="0"/>
                <w:kern w:val="0"/>
                <w:sz w:val="21"/>
                <w:szCs w:val="21"/>
              </w:rPr>
            </w:pPr>
            <w:r>
              <w:rPr>
                <w:rFonts w:hint="eastAsia" w:ascii="楷体_GB2312" w:eastAsia="楷体_GB2312"/>
                <w:snapToGrid w:val="0"/>
                <w:kern w:val="0"/>
                <w:sz w:val="21"/>
                <w:szCs w:val="21"/>
              </w:rPr>
              <w:t>规划范围。</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779" w:type="pct"/>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rPr>
            </w:pPr>
            <w:r>
              <w:rPr>
                <w:rFonts w:hint="eastAsia" w:ascii="楷体_GB2312" w:eastAsia="楷体_GB2312"/>
                <w:snapToGrid w:val="0"/>
                <w:kern w:val="0"/>
                <w:sz w:val="21"/>
                <w:szCs w:val="21"/>
                <w:lang w:val="zh-CN"/>
              </w:rPr>
              <w:t>社会环境</w:t>
            </w:r>
          </w:p>
        </w:tc>
        <w:tc>
          <w:tcPr>
            <w:tcW w:w="4221" w:type="pct"/>
            <w:noWrap w:val="0"/>
            <w:vAlign w:val="center"/>
          </w:tcPr>
          <w:p>
            <w:pPr>
              <w:widowControl/>
              <w:adjustRightInd w:val="0"/>
              <w:spacing w:line="0" w:lineRule="atLeast"/>
              <w:ind w:firstLine="0" w:firstLineChars="0"/>
              <w:jc w:val="left"/>
              <w:rPr>
                <w:rFonts w:hint="eastAsia" w:ascii="楷体_GB2312" w:eastAsia="楷体_GB2312"/>
                <w:snapToGrid w:val="0"/>
                <w:kern w:val="0"/>
                <w:sz w:val="21"/>
                <w:szCs w:val="21"/>
              </w:rPr>
            </w:pPr>
            <w:r>
              <w:rPr>
                <w:rFonts w:hint="eastAsia" w:ascii="楷体_GB2312" w:eastAsia="楷体_GB2312"/>
                <w:snapToGrid w:val="0"/>
                <w:kern w:val="0"/>
                <w:sz w:val="21"/>
                <w:szCs w:val="21"/>
              </w:rPr>
              <w:t>綦江城区及周边辐射区域。</w:t>
            </w:r>
          </w:p>
        </w:tc>
      </w:tr>
    </w:tbl>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3</w:t>
      </w:r>
      <w:r>
        <w:rPr>
          <w:rFonts w:hint="eastAsia" w:ascii="Times New Roman" w:eastAsia="方正仿宋_GBK" w:cs="Times New Roman"/>
          <w:bCs/>
          <w:sz w:val="32"/>
          <w:szCs w:val="32"/>
          <w:lang w:val="en-US" w:eastAsia="zh-CN"/>
        </w:rPr>
        <w:t>．</w:t>
      </w:r>
      <w:r>
        <w:rPr>
          <w:rFonts w:hint="default" w:ascii="Times New Roman" w:hAnsi="Times New Roman" w:eastAsia="方正仿宋_GBK" w:cs="Times New Roman"/>
          <w:bCs/>
          <w:sz w:val="32"/>
          <w:szCs w:val="32"/>
          <w:lang w:val="en-US" w:eastAsia="zh-CN"/>
        </w:rPr>
        <w:t>环境保护目标</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为维护和改善流域生态环境质量，结合重庆市綦江城区防洪规划实施所产生的主要生态环境影响及规划区域存在的主要生态环境问题，拟定本次规划的环境保护目标。</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zh-CN" w:eastAsia="zh-CN"/>
        </w:rPr>
      </w:pPr>
      <w:r>
        <w:rPr>
          <w:rFonts w:hint="eastAsia" w:ascii="Times New Roman" w:hAnsi="Times New Roman" w:eastAsia="方正仿宋_GBK" w:cs="Times New Roman"/>
          <w:bCs/>
          <w:sz w:val="32"/>
          <w:szCs w:val="32"/>
          <w:lang w:val="en-US" w:eastAsia="zh-CN"/>
        </w:rPr>
        <w:t>3.1</w:t>
      </w:r>
      <w:r>
        <w:rPr>
          <w:rFonts w:hint="eastAsia" w:ascii="Times New Roman" w:eastAsia="方正仿宋_GBK" w:cs="Times New Roman"/>
          <w:bCs/>
          <w:sz w:val="32"/>
          <w:szCs w:val="32"/>
          <w:lang w:val="en-US" w:eastAsia="zh-CN"/>
        </w:rPr>
        <w:t xml:space="preserve"> </w:t>
      </w:r>
      <w:r>
        <w:rPr>
          <w:rFonts w:hint="default" w:ascii="Times New Roman" w:hAnsi="Times New Roman" w:eastAsia="方正仿宋_GBK" w:cs="Times New Roman"/>
          <w:bCs/>
          <w:sz w:val="32"/>
          <w:szCs w:val="32"/>
          <w:lang w:val="zh-CN" w:eastAsia="zh-CN"/>
        </w:rPr>
        <w:t>环境功能目标</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3.1.1</w:t>
      </w:r>
      <w:r>
        <w:rPr>
          <w:rFonts w:hint="eastAsia" w:ascii="Times New Roman" w:eastAsia="方正仿宋_GBK" w:cs="Times New Roman"/>
          <w:bCs/>
          <w:sz w:val="32"/>
          <w:szCs w:val="32"/>
          <w:lang w:val="en-US" w:eastAsia="zh-CN"/>
        </w:rPr>
        <w:t xml:space="preserve"> </w:t>
      </w:r>
      <w:r>
        <w:rPr>
          <w:rFonts w:hint="default" w:ascii="Times New Roman" w:hAnsi="Times New Roman" w:eastAsia="方正仿宋_GBK" w:cs="Times New Roman"/>
          <w:bCs/>
          <w:sz w:val="32"/>
          <w:szCs w:val="32"/>
          <w:lang w:val="en-US" w:eastAsia="zh-CN"/>
        </w:rPr>
        <w:t>水环境</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维护河流（湖、库）水功能，保障水质安全，保护规划范围内饮用水源地的水质。控制防洪水库、河道整治、堤防工程等规划工程施工中产生的废污水的排放，废污水经处理后尽量回用，使工程河段的地表水水质受工程建设的影响减至最小。涉及到饮用水水源保护区</w:t>
      </w:r>
      <w:r>
        <w:rPr>
          <w:rFonts w:hint="default" w:ascii="Times New Roman" w:hAnsi="Times New Roman" w:eastAsia="方正仿宋_GBK" w:cs="Times New Roman"/>
          <w:bCs/>
          <w:sz w:val="32"/>
          <w:szCs w:val="32"/>
          <w:lang w:val="en-US" w:eastAsia="zh-CN"/>
        </w:rPr>
        <w:t>范围禁止废污水排放，</w:t>
      </w:r>
      <w:r>
        <w:rPr>
          <w:rFonts w:hint="eastAsia" w:ascii="Times New Roman" w:hAnsi="Times New Roman" w:eastAsia="方正仿宋_GBK" w:cs="Times New Roman"/>
          <w:bCs/>
          <w:sz w:val="32"/>
          <w:szCs w:val="32"/>
          <w:lang w:val="en-US" w:eastAsia="zh-CN"/>
        </w:rPr>
        <w:t>废污水排入其余河段需处理达到《污水综合排放标准》（</w:t>
      </w:r>
      <w:r>
        <w:rPr>
          <w:rFonts w:hint="default" w:ascii="Times New Roman" w:hAnsi="Times New Roman" w:eastAsia="方正仿宋_GBK" w:cs="Times New Roman"/>
          <w:bCs/>
          <w:sz w:val="32"/>
          <w:szCs w:val="32"/>
          <w:lang w:val="en-US" w:eastAsia="zh-CN"/>
        </w:rPr>
        <w:t>GB8978</w:t>
      </w:r>
      <w:r>
        <w:rPr>
          <w:rFonts w:hint="eastAsia" w:ascii="Times New Roman" w:eastAsia="方正仿宋_GBK" w:cs="Times New Roman"/>
          <w:bCs/>
          <w:sz w:val="32"/>
          <w:szCs w:val="32"/>
          <w:lang w:val="en-US" w:eastAsia="zh-CN"/>
        </w:rPr>
        <w:t>—</w:t>
      </w:r>
      <w:r>
        <w:rPr>
          <w:rFonts w:hint="default" w:ascii="Times New Roman" w:hAnsi="Times New Roman" w:eastAsia="方正仿宋_GBK" w:cs="Times New Roman"/>
          <w:bCs/>
          <w:sz w:val="32"/>
          <w:szCs w:val="32"/>
          <w:lang w:val="en-US" w:eastAsia="zh-CN"/>
        </w:rPr>
        <w:t>96）一级标准。</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3.1.2</w:t>
      </w:r>
      <w:r>
        <w:rPr>
          <w:rFonts w:hint="eastAsia" w:ascii="Times New Roman" w:eastAsia="方正仿宋_GBK" w:cs="Times New Roman"/>
          <w:bCs/>
          <w:sz w:val="32"/>
          <w:szCs w:val="32"/>
          <w:lang w:val="en-US" w:eastAsia="zh-CN"/>
        </w:rPr>
        <w:t xml:space="preserve"> </w:t>
      </w:r>
      <w:r>
        <w:rPr>
          <w:rFonts w:hint="default" w:ascii="Times New Roman" w:hAnsi="Times New Roman" w:eastAsia="方正仿宋_GBK" w:cs="Times New Roman"/>
          <w:bCs/>
          <w:sz w:val="32"/>
          <w:szCs w:val="32"/>
          <w:lang w:val="en-US" w:eastAsia="zh-CN"/>
        </w:rPr>
        <w:t>生态环境</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维护流域生态完整性、生态系统结构和功能，维系优良生态。保护生物多样性和重要生态敏感区；保障河流生态环境需水；保护珍稀水生生物生境，重点保护国家和重庆市级保护动物、珍稀特有水生生物生境和重要鱼类“三场一通道”；有效控制工程建设新增水土流失，保护区域水土资源。</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3.1.3</w:t>
      </w:r>
      <w:r>
        <w:rPr>
          <w:rFonts w:hint="eastAsia" w:ascii="Times New Roman" w:eastAsia="方正仿宋_GBK" w:cs="Times New Roman"/>
          <w:bCs/>
          <w:sz w:val="32"/>
          <w:szCs w:val="32"/>
          <w:lang w:val="en-US" w:eastAsia="zh-CN"/>
        </w:rPr>
        <w:t xml:space="preserve"> </w:t>
      </w:r>
      <w:r>
        <w:rPr>
          <w:rFonts w:hint="default" w:ascii="Times New Roman" w:hAnsi="Times New Roman" w:eastAsia="方正仿宋_GBK" w:cs="Times New Roman"/>
          <w:bCs/>
          <w:sz w:val="32"/>
          <w:szCs w:val="32"/>
          <w:lang w:val="en-US" w:eastAsia="zh-CN"/>
        </w:rPr>
        <w:t>土地资源</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合理利用和保护土地资源，尽量减少耕地损失，规划项目若占压耕地需实现占补平衡；保护森林植被，做好复耕和植被恢复，有效控制和防止规划实施引起的土地退化问题。</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3.1.4</w:t>
      </w:r>
      <w:r>
        <w:rPr>
          <w:rFonts w:hint="eastAsia" w:ascii="Times New Roman" w:eastAsia="方正仿宋_GBK" w:cs="Times New Roman"/>
          <w:bCs/>
          <w:sz w:val="32"/>
          <w:szCs w:val="32"/>
          <w:lang w:val="en-US" w:eastAsia="zh-CN"/>
        </w:rPr>
        <w:t xml:space="preserve"> </w:t>
      </w:r>
      <w:r>
        <w:rPr>
          <w:rFonts w:hint="default" w:ascii="Times New Roman" w:hAnsi="Times New Roman" w:eastAsia="方正仿宋_GBK" w:cs="Times New Roman"/>
          <w:bCs/>
          <w:sz w:val="32"/>
          <w:szCs w:val="32"/>
          <w:lang w:val="en-US" w:eastAsia="zh-CN"/>
        </w:rPr>
        <w:t>社会环境</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流域各类开发活动需符合地区国民经济和社会发展的需要，促进綦江区的社会、经济、环境的可持续发展；保护当地民族传统文化；保护影响区人群健康，防止工程建设引起疾病流行；协调好工程移民安置与环境保护的关系，提高移民和当地居民生活水平；妥善安置移民，减轻移民活动对土地资源和生态环境的影响；保护流域重要的文物古迹及景观资源。</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zh-CN" w:eastAsia="zh-CN"/>
        </w:rPr>
      </w:pPr>
      <w:r>
        <w:rPr>
          <w:rFonts w:hint="eastAsia" w:ascii="Times New Roman" w:hAnsi="Times New Roman" w:eastAsia="方正仿宋_GBK" w:cs="Times New Roman"/>
          <w:bCs/>
          <w:sz w:val="32"/>
          <w:szCs w:val="32"/>
          <w:lang w:val="en-US" w:eastAsia="zh-CN"/>
        </w:rPr>
        <w:t>3.2</w:t>
      </w:r>
      <w:r>
        <w:rPr>
          <w:rFonts w:hint="eastAsia" w:ascii="Times New Roman" w:eastAsia="方正仿宋_GBK" w:cs="Times New Roman"/>
          <w:bCs/>
          <w:sz w:val="32"/>
          <w:szCs w:val="32"/>
          <w:lang w:val="en-US" w:eastAsia="zh-CN"/>
        </w:rPr>
        <w:t xml:space="preserve"> </w:t>
      </w:r>
      <w:r>
        <w:rPr>
          <w:rFonts w:hint="default" w:ascii="Times New Roman" w:hAnsi="Times New Roman" w:eastAsia="方正仿宋_GBK" w:cs="Times New Roman"/>
          <w:bCs/>
          <w:sz w:val="32"/>
          <w:szCs w:val="32"/>
          <w:lang w:val="zh-CN" w:eastAsia="zh-CN"/>
        </w:rPr>
        <w:t>环境敏感目标</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环境敏感目标主要包括水环境敏感目标（饮用水水源保护区）、生态敏感区（自然保护区、森林公园、风景名胜区）、生态保护红线等。</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3.2.1</w:t>
      </w:r>
      <w:r>
        <w:rPr>
          <w:rFonts w:hint="eastAsia" w:ascii="Times New Roman" w:eastAsia="方正仿宋_GBK" w:cs="Times New Roman"/>
          <w:bCs/>
          <w:sz w:val="32"/>
          <w:szCs w:val="32"/>
          <w:lang w:val="en-US" w:eastAsia="zh-CN"/>
        </w:rPr>
        <w:t xml:space="preserve"> </w:t>
      </w:r>
      <w:r>
        <w:rPr>
          <w:rFonts w:hint="eastAsia" w:ascii="Times New Roman" w:hAnsi="Times New Roman" w:eastAsia="方正仿宋_GBK" w:cs="Times New Roman"/>
          <w:bCs/>
          <w:sz w:val="32"/>
          <w:szCs w:val="32"/>
          <w:lang w:val="en-US" w:eastAsia="zh-CN"/>
        </w:rPr>
        <w:t>饮用水水源保护区</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根据重庆市</w:t>
      </w:r>
      <w:r>
        <w:rPr>
          <w:rFonts w:hint="default" w:ascii="Times New Roman" w:hAnsi="Times New Roman" w:eastAsia="方正仿宋_GBK" w:cs="Times New Roman"/>
          <w:bCs/>
          <w:sz w:val="32"/>
          <w:szCs w:val="32"/>
          <w:lang w:val="en-US" w:eastAsia="zh-CN"/>
        </w:rPr>
        <w:t>《万州区等31个区县（自治县）集中式饮用水源保护区调整表》（2013年）</w:t>
      </w:r>
      <w:r>
        <w:rPr>
          <w:rFonts w:hint="eastAsia" w:ascii="Times New Roman" w:hAnsi="Times New Roman" w:eastAsia="方正仿宋_GBK" w:cs="Times New Roman"/>
          <w:bCs/>
          <w:sz w:val="32"/>
          <w:szCs w:val="32"/>
          <w:lang w:val="en-US" w:eastAsia="zh-CN"/>
        </w:rPr>
        <w:t>、《重庆市人民政府办公厅关于调整万州区等</w:t>
      </w:r>
      <w:r>
        <w:rPr>
          <w:rFonts w:hint="default" w:ascii="Times New Roman" w:hAnsi="Times New Roman" w:eastAsia="方正仿宋_GBK" w:cs="Times New Roman"/>
          <w:bCs/>
          <w:sz w:val="32"/>
          <w:szCs w:val="32"/>
          <w:lang w:val="en-US" w:eastAsia="zh-CN"/>
        </w:rPr>
        <w:t>36个区县（自治县）集中式饮用水源保护区的通知》（渝府办发</w:t>
      </w:r>
      <w:r>
        <w:rPr>
          <w:rFonts w:hint="default" w:ascii="Times New Roman" w:hAnsi="Times New Roman" w:eastAsia="方正仿宋_GBK" w:cs="Times New Roman"/>
          <w:sz w:val="32"/>
          <w:szCs w:val="32"/>
        </w:rPr>
        <w:t>〔</w:t>
      </w:r>
      <w:r>
        <w:rPr>
          <w:rFonts w:hint="eastAsia" w:ascii="Times New Roman" w:eastAsia="方正仿宋_GBK" w:cs="Times New Roman"/>
          <w:sz w:val="32"/>
          <w:szCs w:val="32"/>
          <w:lang w:val="en-US" w:eastAsia="zh-CN"/>
        </w:rPr>
        <w:t>2016</w:t>
      </w:r>
      <w:r>
        <w:rPr>
          <w:rFonts w:hint="default" w:ascii="Times New Roman" w:hAnsi="Times New Roman" w:eastAsia="方正仿宋_GBK" w:cs="Times New Roman"/>
          <w:sz w:val="32"/>
          <w:szCs w:val="32"/>
        </w:rPr>
        <w:t>〕</w:t>
      </w:r>
      <w:r>
        <w:rPr>
          <w:rFonts w:hint="default" w:ascii="Times New Roman" w:hAnsi="Times New Roman" w:eastAsia="方正仿宋_GBK" w:cs="Times New Roman"/>
          <w:bCs/>
          <w:sz w:val="32"/>
          <w:szCs w:val="32"/>
          <w:lang w:val="en-US" w:eastAsia="zh-CN"/>
        </w:rPr>
        <w:t>19号）等饮用水源地相关文件，</w:t>
      </w:r>
      <w:r>
        <w:rPr>
          <w:rFonts w:hint="eastAsia" w:ascii="Times New Roman" w:hAnsi="Times New Roman" w:eastAsia="方正仿宋_GBK" w:cs="Times New Roman"/>
          <w:bCs/>
          <w:sz w:val="32"/>
          <w:szCs w:val="32"/>
          <w:lang w:val="en-US" w:eastAsia="zh-CN"/>
        </w:rPr>
        <w:t>经初步识别，</w:t>
      </w:r>
      <w:r>
        <w:rPr>
          <w:rFonts w:hint="default" w:ascii="Times New Roman" w:hAnsi="Times New Roman" w:eastAsia="方正仿宋_GBK" w:cs="Times New Roman"/>
          <w:bCs/>
          <w:sz w:val="32"/>
          <w:szCs w:val="32"/>
          <w:lang w:val="en-US" w:eastAsia="zh-CN"/>
        </w:rPr>
        <w:t>规划</w:t>
      </w:r>
      <w:r>
        <w:rPr>
          <w:rFonts w:hint="eastAsia" w:ascii="Times New Roman" w:hAnsi="Times New Roman" w:eastAsia="方正仿宋_GBK" w:cs="Times New Roman"/>
          <w:bCs/>
          <w:sz w:val="32"/>
          <w:szCs w:val="32"/>
          <w:lang w:val="en-US" w:eastAsia="zh-CN"/>
        </w:rPr>
        <w:t>河道整治、堤防工程</w:t>
      </w:r>
      <w:r>
        <w:rPr>
          <w:rFonts w:hint="default" w:ascii="Times New Roman" w:hAnsi="Times New Roman" w:eastAsia="方正仿宋_GBK" w:cs="Times New Roman"/>
          <w:bCs/>
          <w:sz w:val="32"/>
          <w:szCs w:val="32"/>
          <w:lang w:val="en-US" w:eastAsia="zh-CN"/>
        </w:rPr>
        <w:t>范围</w:t>
      </w:r>
      <w:r>
        <w:rPr>
          <w:rFonts w:hint="eastAsia" w:ascii="Times New Roman" w:hAnsi="Times New Roman" w:eastAsia="方正仿宋_GBK" w:cs="Times New Roman"/>
          <w:bCs/>
          <w:sz w:val="32"/>
          <w:szCs w:val="32"/>
          <w:lang w:val="en-US" w:eastAsia="zh-CN"/>
        </w:rPr>
        <w:t>綦江干流綦江城区河段</w:t>
      </w:r>
      <w:r>
        <w:rPr>
          <w:rFonts w:hint="default" w:ascii="Times New Roman" w:hAnsi="Times New Roman" w:eastAsia="方正仿宋_GBK" w:cs="Times New Roman"/>
          <w:bCs/>
          <w:sz w:val="32"/>
          <w:szCs w:val="32"/>
          <w:lang w:val="en-US" w:eastAsia="zh-CN"/>
        </w:rPr>
        <w:t>内</w:t>
      </w:r>
      <w:r>
        <w:rPr>
          <w:rFonts w:hint="eastAsia" w:ascii="Times New Roman" w:hAnsi="Times New Roman" w:eastAsia="方正仿宋_GBK" w:cs="Times New Roman"/>
          <w:bCs/>
          <w:sz w:val="32"/>
          <w:szCs w:val="32"/>
          <w:lang w:val="en-US" w:eastAsia="zh-CN"/>
        </w:rPr>
        <w:t>无</w:t>
      </w:r>
      <w:r>
        <w:rPr>
          <w:rFonts w:hint="default" w:ascii="Times New Roman" w:hAnsi="Times New Roman" w:eastAsia="方正仿宋_GBK" w:cs="Times New Roman"/>
          <w:bCs/>
          <w:sz w:val="32"/>
          <w:szCs w:val="32"/>
          <w:lang w:val="en-US" w:eastAsia="zh-CN"/>
        </w:rPr>
        <w:t>集中式饮用水源地</w:t>
      </w:r>
      <w:r>
        <w:rPr>
          <w:rFonts w:hint="eastAsia" w:ascii="Times New Roman" w:hAnsi="Times New Roman" w:eastAsia="方正仿宋_GBK" w:cs="Times New Roman"/>
          <w:bCs/>
          <w:sz w:val="32"/>
          <w:szCs w:val="32"/>
          <w:lang w:val="en-US" w:eastAsia="zh-CN"/>
        </w:rPr>
        <w:t>，</w:t>
      </w:r>
      <w:r>
        <w:rPr>
          <w:rFonts w:hint="default" w:ascii="Times New Roman" w:hAnsi="Times New Roman" w:eastAsia="方正仿宋_GBK" w:cs="Times New Roman"/>
          <w:bCs/>
          <w:sz w:val="32"/>
          <w:szCs w:val="32"/>
          <w:lang w:val="en-US" w:eastAsia="zh-CN"/>
        </w:rPr>
        <w:t>规划</w:t>
      </w:r>
      <w:r>
        <w:rPr>
          <w:rFonts w:hint="eastAsia" w:ascii="Times New Roman" w:hAnsi="Times New Roman" w:eastAsia="方正仿宋_GBK" w:cs="Times New Roman"/>
          <w:bCs/>
          <w:sz w:val="32"/>
          <w:szCs w:val="32"/>
          <w:lang w:val="en-US" w:eastAsia="zh-CN"/>
        </w:rPr>
        <w:t>藻渡</w:t>
      </w:r>
      <w:r>
        <w:rPr>
          <w:rFonts w:hint="default" w:ascii="Times New Roman" w:hAnsi="Times New Roman" w:eastAsia="方正仿宋_GBK" w:cs="Times New Roman"/>
          <w:bCs/>
          <w:sz w:val="32"/>
          <w:szCs w:val="32"/>
          <w:lang w:val="en-US" w:eastAsia="zh-CN"/>
        </w:rPr>
        <w:t>水库工程涉及</w:t>
      </w:r>
      <w:r>
        <w:rPr>
          <w:rFonts w:hint="eastAsia" w:ascii="Times New Roman" w:hAnsi="Times New Roman" w:eastAsia="方正仿宋_GBK" w:cs="Times New Roman"/>
          <w:bCs/>
          <w:sz w:val="32"/>
          <w:szCs w:val="32"/>
          <w:lang w:val="en-US" w:eastAsia="zh-CN"/>
        </w:rPr>
        <w:t>城镇集中式饮用水源地保护区1处，为赶水镇藻渡河饮用水水源保护区。</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赶水镇藻渡河饮用水水源保护区的取水口位于规划藻渡水库大坝下游0.9km</w:t>
      </w:r>
      <w:r>
        <w:rPr>
          <w:rFonts w:hint="default" w:ascii="Times New Roman" w:hAnsi="Times New Roman" w:eastAsia="方正仿宋_GBK" w:cs="Times New Roman"/>
          <w:bCs/>
          <w:sz w:val="32"/>
          <w:szCs w:val="32"/>
          <w:lang w:val="en-US" w:eastAsia="zh-CN"/>
        </w:rPr>
        <w:t>。</w:t>
      </w:r>
      <w:r>
        <w:rPr>
          <w:rFonts w:hint="eastAsia" w:ascii="Times New Roman" w:hAnsi="Times New Roman" w:eastAsia="方正仿宋_GBK" w:cs="Times New Roman"/>
          <w:bCs/>
          <w:sz w:val="32"/>
          <w:szCs w:val="32"/>
          <w:lang w:val="en-US" w:eastAsia="zh-CN"/>
        </w:rPr>
        <w:t>赶水镇藻渡河饮用水源</w:t>
      </w:r>
      <w:r>
        <w:rPr>
          <w:rFonts w:hint="default" w:ascii="Times New Roman" w:hAnsi="Times New Roman" w:eastAsia="方正仿宋_GBK" w:cs="Times New Roman"/>
          <w:bCs/>
          <w:sz w:val="32"/>
          <w:szCs w:val="32"/>
          <w:lang w:val="en-US" w:eastAsia="zh-CN"/>
        </w:rPr>
        <w:t>一级保护区水域范围为取水口上游1000m至下游100m的整个水域，二级保护区水域范围为取水口上游1000</w:t>
      </w:r>
      <w:r>
        <w:rPr>
          <w:rFonts w:hint="eastAsia" w:ascii="Times New Roman" w:eastAsia="方正仿宋_GBK" w:cs="Times New Roman"/>
          <w:bCs/>
          <w:sz w:val="32"/>
          <w:szCs w:val="32"/>
          <w:lang w:val="en-US" w:eastAsia="zh-CN"/>
        </w:rPr>
        <w:t>—</w:t>
      </w:r>
      <w:r>
        <w:rPr>
          <w:rFonts w:hint="default" w:ascii="Times New Roman" w:hAnsi="Times New Roman" w:eastAsia="方正仿宋_GBK" w:cs="Times New Roman"/>
          <w:bCs/>
          <w:sz w:val="32"/>
          <w:szCs w:val="32"/>
          <w:lang w:val="en-US" w:eastAsia="zh-CN"/>
        </w:rPr>
        <w:t>2000m，下游100</w:t>
      </w:r>
      <w:r>
        <w:rPr>
          <w:rFonts w:hint="eastAsia" w:ascii="Times New Roman" w:eastAsia="方正仿宋_GBK" w:cs="Times New Roman"/>
          <w:bCs/>
          <w:sz w:val="32"/>
          <w:szCs w:val="32"/>
          <w:lang w:val="en-US" w:eastAsia="zh-CN"/>
        </w:rPr>
        <w:t>—</w:t>
      </w:r>
      <w:r>
        <w:rPr>
          <w:rFonts w:hint="default" w:ascii="Times New Roman" w:hAnsi="Times New Roman" w:eastAsia="方正仿宋_GBK" w:cs="Times New Roman"/>
          <w:bCs/>
          <w:sz w:val="32"/>
          <w:szCs w:val="32"/>
          <w:lang w:val="en-US" w:eastAsia="zh-CN"/>
        </w:rPr>
        <w:t>200m的整个水域</w:t>
      </w:r>
      <w:r>
        <w:rPr>
          <w:rFonts w:hint="eastAsia" w:ascii="Times New Roman" w:hAnsi="Times New Roman" w:eastAsia="方正仿宋_GBK" w:cs="Times New Roman"/>
          <w:bCs/>
          <w:sz w:val="32"/>
          <w:szCs w:val="32"/>
          <w:lang w:val="en-US" w:eastAsia="zh-CN"/>
        </w:rPr>
        <w:t>。</w:t>
      </w:r>
      <w:r>
        <w:rPr>
          <w:rFonts w:hint="default" w:ascii="Times New Roman" w:hAnsi="Times New Roman" w:eastAsia="方正仿宋_GBK" w:cs="Times New Roman"/>
          <w:bCs/>
          <w:sz w:val="32"/>
          <w:szCs w:val="32"/>
          <w:lang w:val="en-US" w:eastAsia="zh-CN"/>
        </w:rPr>
        <w:t>因此</w:t>
      </w:r>
      <w:r>
        <w:rPr>
          <w:rFonts w:hint="eastAsia" w:ascii="Times New Roman" w:hAnsi="Times New Roman" w:eastAsia="方正仿宋_GBK" w:cs="Times New Roman"/>
          <w:bCs/>
          <w:sz w:val="32"/>
          <w:szCs w:val="32"/>
          <w:lang w:val="en-US" w:eastAsia="zh-CN"/>
        </w:rPr>
        <w:t>，藻渡水库工程涉及赶水镇藻渡河饮用水源保护区的一级和二级保护区。</w:t>
      </w:r>
    </w:p>
    <w:p>
      <w:pPr>
        <w:spacing w:line="360" w:lineRule="auto"/>
        <w:ind w:firstLine="0" w:firstLineChars="0"/>
        <w:jc w:val="center"/>
        <w:rPr>
          <w:rFonts w:hint="eastAsia" w:cs="宋体"/>
          <w:szCs w:val="20"/>
        </w:rPr>
      </w:pPr>
      <w:r>
        <w:rPr>
          <w:rFonts w:hint="eastAsia" w:cs="宋体"/>
          <w:szCs w:val="20"/>
        </w:rPr>
        <w:drawing>
          <wp:inline distT="0" distB="0" distL="114300" distR="114300">
            <wp:extent cx="5754370" cy="4068445"/>
            <wp:effectExtent l="0" t="0" r="17780" b="8255"/>
            <wp:docPr id="223" name="图片 283" descr="无标题"/>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3" name="图片 283" descr="无标题"/>
                    <pic:cNvPicPr>
                      <a:picLocks noChangeAspect="true"/>
                    </pic:cNvPicPr>
                  </pic:nvPicPr>
                  <pic:blipFill>
                    <a:blip r:embed="rId263"/>
                    <a:stretch>
                      <a:fillRect/>
                    </a:stretch>
                  </pic:blipFill>
                  <pic:spPr>
                    <a:xfrm>
                      <a:off x="0" y="0"/>
                      <a:ext cx="5754370" cy="4068445"/>
                    </a:xfrm>
                    <a:prstGeom prst="rect">
                      <a:avLst/>
                    </a:prstGeom>
                    <a:noFill/>
                    <a:ln>
                      <a:noFill/>
                    </a:ln>
                  </pic:spPr>
                </pic:pic>
              </a:graphicData>
            </a:graphic>
          </wp:inline>
        </w:drawing>
      </w:r>
    </w:p>
    <w:p>
      <w:pPr>
        <w:spacing w:line="240" w:lineRule="auto"/>
        <w:ind w:firstLine="560" w:firstLineChars="0"/>
        <w:jc w:val="center"/>
        <w:outlineLvl w:val="7"/>
        <w:rPr>
          <w:rFonts w:hint="default" w:ascii="Times New Roman" w:hAnsi="Times New Roman" w:eastAsia="黑体" w:cs="Times New Roman"/>
          <w:sz w:val="24"/>
          <w:szCs w:val="20"/>
        </w:rPr>
      </w:pPr>
      <w:r>
        <w:rPr>
          <w:rFonts w:hint="default" w:ascii="Times New Roman" w:hAnsi="Times New Roman" w:eastAsia="黑体" w:cs="Times New Roman"/>
          <w:sz w:val="24"/>
          <w:szCs w:val="20"/>
        </w:rPr>
        <w:t>图9.1</w:t>
      </w:r>
      <w:r>
        <w:rPr>
          <w:rFonts w:hint="default" w:ascii="Times New Roman" w:hAnsi="Times New Roman" w:eastAsia="黑体" w:cs="Times New Roman"/>
          <w:sz w:val="24"/>
          <w:szCs w:val="20"/>
          <w:lang w:eastAsia="zh-CN"/>
        </w:rPr>
        <w:t>—</w:t>
      </w:r>
      <w:r>
        <w:rPr>
          <w:rFonts w:hint="default" w:ascii="Times New Roman" w:hAnsi="Times New Roman" w:eastAsia="黑体" w:cs="Times New Roman"/>
          <w:sz w:val="24"/>
          <w:szCs w:val="20"/>
        </w:rPr>
        <w:t>1　　规划藻渡水库坝址与赶水镇现状取水口的位置关系图</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3.2.2</w:t>
      </w:r>
      <w:r>
        <w:rPr>
          <w:rFonts w:hint="eastAsia" w:ascii="Times New Roman" w:eastAsia="方正仿宋_GBK" w:cs="Times New Roman"/>
          <w:sz w:val="32"/>
          <w:szCs w:val="32"/>
          <w:lang w:val="en-US" w:eastAsia="zh-CN"/>
        </w:rPr>
        <w:t xml:space="preserve"> </w:t>
      </w:r>
      <w:r>
        <w:rPr>
          <w:rFonts w:hint="default" w:ascii="Times New Roman" w:hAnsi="Times New Roman" w:eastAsia="方正仿宋_GBK" w:cs="Times New Roman"/>
          <w:sz w:val="32"/>
          <w:szCs w:val="32"/>
        </w:rPr>
        <w:t>生态敏感区</w:t>
      </w:r>
    </w:p>
    <w:p>
      <w:pPr>
        <w:keepNext w:val="0"/>
        <w:keepLines w:val="0"/>
        <w:pageBreakBefore w:val="0"/>
        <w:widowControl w:val="0"/>
        <w:kinsoku/>
        <w:wordWrap/>
        <w:overflowPunct/>
        <w:topLinePunct w:val="0"/>
        <w:autoSpaceDE/>
        <w:autoSpaceDN/>
        <w:bidi w:val="0"/>
        <w:snapToGrid/>
        <w:spacing w:line="560" w:lineRule="exact"/>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防洪规划区域内分布的生态敏感区主要有3处，其中省级自然保护区1处，为綦江老瀛山省级森林生态自然保护区；国家地质公园1处，为綦江国家地质公园；风景名胜区1处，为古剑山―清溪河风景名胜区。</w:t>
      </w:r>
    </w:p>
    <w:p>
      <w:pPr>
        <w:keepNext w:val="0"/>
        <w:keepLines w:val="0"/>
        <w:pageBreakBefore w:val="0"/>
        <w:widowControl w:val="0"/>
        <w:kinsoku/>
        <w:wordWrap/>
        <w:overflowPunct/>
        <w:topLinePunct w:val="0"/>
        <w:autoSpaceDE/>
        <w:autoSpaceDN/>
        <w:bidi w:val="0"/>
        <w:snapToGrid/>
        <w:spacing w:line="560" w:lineRule="exact"/>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根据规划工程与敏感区的位置关系初步识别，规划河道整治、堤防工程范围不涉及上述生态敏感区，距堤防工程最近的生态敏感区为綦江国家地质公园翠屏山片区，距离为1.65km。</w:t>
      </w:r>
    </w:p>
    <w:p>
      <w:pPr>
        <w:spacing w:line="360" w:lineRule="auto"/>
        <w:ind w:firstLine="0" w:firstLineChars="0"/>
        <w:jc w:val="center"/>
        <w:rPr>
          <w:rFonts w:cs="宋体"/>
          <w:szCs w:val="20"/>
        </w:rPr>
      </w:pPr>
      <w:r>
        <w:drawing>
          <wp:inline distT="0" distB="0" distL="114300" distR="114300">
            <wp:extent cx="4495800" cy="3482340"/>
            <wp:effectExtent l="0" t="0" r="0" b="3810"/>
            <wp:docPr id="224"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4" name="图片 2"/>
                    <pic:cNvPicPr>
                      <a:picLocks noChangeAspect="true"/>
                    </pic:cNvPicPr>
                  </pic:nvPicPr>
                  <pic:blipFill>
                    <a:blip r:embed="rId264"/>
                    <a:stretch>
                      <a:fillRect/>
                    </a:stretch>
                  </pic:blipFill>
                  <pic:spPr>
                    <a:xfrm>
                      <a:off x="0" y="0"/>
                      <a:ext cx="4495800" cy="3482340"/>
                    </a:xfrm>
                    <a:prstGeom prst="rect">
                      <a:avLst/>
                    </a:prstGeom>
                    <a:noFill/>
                    <a:ln>
                      <a:noFill/>
                    </a:ln>
                  </pic:spPr>
                </pic:pic>
              </a:graphicData>
            </a:graphic>
          </wp:inline>
        </w:drawing>
      </w:r>
    </w:p>
    <w:p>
      <w:pPr>
        <w:spacing w:line="240" w:lineRule="auto"/>
        <w:ind w:firstLine="0" w:firstLineChars="0"/>
        <w:jc w:val="center"/>
        <w:outlineLvl w:val="7"/>
        <w:rPr>
          <w:rFonts w:hint="eastAsia" w:ascii="黑体" w:hAnsi="黑体" w:eastAsia="黑体" w:cs="宋体"/>
          <w:sz w:val="24"/>
          <w:szCs w:val="20"/>
        </w:rPr>
      </w:pPr>
      <w:r>
        <w:rPr>
          <w:rFonts w:hint="default" w:ascii="Times New Roman" w:hAnsi="Times New Roman" w:eastAsia="黑体" w:cs="Times New Roman"/>
          <w:sz w:val="24"/>
          <w:szCs w:val="20"/>
        </w:rPr>
        <w:t>图9.1</w:t>
      </w:r>
      <w:r>
        <w:rPr>
          <w:rFonts w:hint="default" w:ascii="Times New Roman" w:hAnsi="Times New Roman" w:eastAsia="黑体" w:cs="Times New Roman"/>
          <w:sz w:val="24"/>
          <w:szCs w:val="20"/>
          <w:lang w:eastAsia="zh-CN"/>
        </w:rPr>
        <w:t>—</w:t>
      </w:r>
      <w:r>
        <w:rPr>
          <w:rFonts w:hint="default" w:ascii="Times New Roman" w:hAnsi="Times New Roman" w:eastAsia="黑体" w:cs="Times New Roman"/>
          <w:sz w:val="24"/>
          <w:szCs w:val="20"/>
        </w:rPr>
        <w:t>2　　规</w:t>
      </w:r>
      <w:r>
        <w:rPr>
          <w:rFonts w:hint="eastAsia" w:ascii="黑体" w:hAnsi="黑体" w:eastAsia="黑体" w:cs="宋体"/>
          <w:sz w:val="24"/>
          <w:szCs w:val="20"/>
        </w:rPr>
        <w:t>划防洪工程与生态敏感区的位置关系图</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3.2.3</w:t>
      </w:r>
      <w:r>
        <w:rPr>
          <w:rFonts w:hint="eastAsia" w:ascii="Times New Roman" w:eastAsia="方正仿宋_GBK" w:cs="Times New Roman"/>
          <w:sz w:val="32"/>
          <w:szCs w:val="32"/>
          <w:lang w:val="en-US" w:eastAsia="zh-CN"/>
        </w:rPr>
        <w:t xml:space="preserve"> </w:t>
      </w:r>
      <w:r>
        <w:rPr>
          <w:rFonts w:hint="default" w:ascii="Times New Roman" w:hAnsi="Times New Roman" w:eastAsia="方正仿宋_GBK" w:cs="Times New Roman"/>
          <w:sz w:val="32"/>
          <w:szCs w:val="32"/>
          <w:lang w:val="en-US" w:eastAsia="zh-CN"/>
        </w:rPr>
        <w:t>生态保护红线</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经初步识别，规划河道整治、堤防工程均不</w:t>
      </w:r>
      <w:r>
        <w:rPr>
          <w:rFonts w:hint="default" w:ascii="Times New Roman" w:hAnsi="Times New Roman" w:eastAsia="方正仿宋_GBK" w:cs="Times New Roman"/>
          <w:sz w:val="32"/>
          <w:szCs w:val="32"/>
          <w:lang w:val="en-US" w:eastAsia="zh-CN"/>
        </w:rPr>
        <w:t>涉及</w:t>
      </w:r>
      <w:r>
        <w:rPr>
          <w:rFonts w:hint="eastAsia" w:ascii="Times New Roman" w:hAnsi="Times New Roman" w:eastAsia="方正仿宋_GBK" w:cs="Times New Roman"/>
          <w:sz w:val="32"/>
          <w:szCs w:val="32"/>
          <w:lang w:val="en-US" w:eastAsia="zh-CN"/>
        </w:rPr>
        <w:t>已批准的重庆市</w:t>
      </w:r>
      <w:r>
        <w:rPr>
          <w:rFonts w:hint="default" w:ascii="Times New Roman" w:hAnsi="Times New Roman" w:eastAsia="方正仿宋_GBK" w:cs="Times New Roman"/>
          <w:sz w:val="32"/>
          <w:szCs w:val="32"/>
          <w:lang w:val="en-US" w:eastAsia="zh-CN"/>
        </w:rPr>
        <w:t>生态</w:t>
      </w:r>
      <w:r>
        <w:rPr>
          <w:rFonts w:hint="eastAsia" w:ascii="Times New Roman" w:hAnsi="Times New Roman" w:eastAsia="方正仿宋_GBK" w:cs="Times New Roman"/>
          <w:sz w:val="32"/>
          <w:szCs w:val="32"/>
          <w:lang w:val="en-US" w:eastAsia="zh-CN"/>
        </w:rPr>
        <w:t>保护</w:t>
      </w:r>
      <w:r>
        <w:rPr>
          <w:rFonts w:hint="default" w:ascii="Times New Roman" w:hAnsi="Times New Roman" w:eastAsia="方正仿宋_GBK" w:cs="Times New Roman"/>
          <w:sz w:val="32"/>
          <w:szCs w:val="32"/>
          <w:lang w:val="en-US" w:eastAsia="zh-CN"/>
        </w:rPr>
        <w:t>红线。</w:t>
      </w:r>
      <w:r>
        <w:rPr>
          <w:rFonts w:hint="eastAsia" w:ascii="Times New Roman" w:hAnsi="Times New Roman" w:eastAsia="方正仿宋_GBK" w:cs="Times New Roman"/>
          <w:sz w:val="32"/>
          <w:szCs w:val="32"/>
          <w:lang w:val="en-US" w:eastAsia="zh-CN"/>
        </w:rPr>
        <w:t>规划藻渡水库坝址也不涉及生态红线。</w:t>
      </w:r>
    </w:p>
    <w:p>
      <w:pPr>
        <w:spacing w:line="360" w:lineRule="auto"/>
        <w:ind w:firstLine="0" w:firstLineChars="0"/>
        <w:jc w:val="center"/>
        <w:rPr>
          <w:rFonts w:hint="eastAsia" w:cs="宋体"/>
          <w:szCs w:val="20"/>
        </w:rPr>
      </w:pPr>
      <w:r>
        <w:rPr>
          <w:rFonts w:hint="eastAsia" w:cs="宋体"/>
          <w:szCs w:val="20"/>
        </w:rPr>
        <w:drawing>
          <wp:inline distT="0" distB="0" distL="114300" distR="114300">
            <wp:extent cx="4204335" cy="3232785"/>
            <wp:effectExtent l="0" t="0" r="5715" b="5715"/>
            <wp:docPr id="225" name="图片 183" descr="防洪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5" name="图片 183" descr="防洪2"/>
                    <pic:cNvPicPr>
                      <a:picLocks noChangeAspect="true"/>
                    </pic:cNvPicPr>
                  </pic:nvPicPr>
                  <pic:blipFill>
                    <a:blip r:embed="rId265"/>
                    <a:stretch>
                      <a:fillRect/>
                    </a:stretch>
                  </pic:blipFill>
                  <pic:spPr>
                    <a:xfrm>
                      <a:off x="0" y="0"/>
                      <a:ext cx="4204335" cy="3232785"/>
                    </a:xfrm>
                    <a:prstGeom prst="rect">
                      <a:avLst/>
                    </a:prstGeom>
                    <a:noFill/>
                    <a:ln>
                      <a:noFill/>
                    </a:ln>
                  </pic:spPr>
                </pic:pic>
              </a:graphicData>
            </a:graphic>
          </wp:inline>
        </w:drawing>
      </w:r>
    </w:p>
    <w:p>
      <w:pPr>
        <w:spacing w:line="240" w:lineRule="auto"/>
        <w:ind w:firstLine="0" w:firstLineChars="0"/>
        <w:jc w:val="center"/>
        <w:outlineLvl w:val="7"/>
        <w:rPr>
          <w:rFonts w:hint="default" w:ascii="Times New Roman" w:hAnsi="Times New Roman" w:eastAsia="黑体" w:cs="Times New Roman"/>
          <w:sz w:val="24"/>
          <w:szCs w:val="20"/>
        </w:rPr>
      </w:pPr>
      <w:r>
        <w:rPr>
          <w:rFonts w:hint="default" w:ascii="Times New Roman" w:hAnsi="Times New Roman" w:eastAsia="黑体" w:cs="Times New Roman"/>
          <w:sz w:val="24"/>
          <w:szCs w:val="20"/>
        </w:rPr>
        <w:t>图9.1</w:t>
      </w:r>
      <w:r>
        <w:rPr>
          <w:rFonts w:hint="default" w:ascii="Times New Roman" w:hAnsi="Times New Roman" w:eastAsia="黑体" w:cs="Times New Roman"/>
          <w:sz w:val="24"/>
          <w:szCs w:val="20"/>
          <w:lang w:eastAsia="zh-CN"/>
        </w:rPr>
        <w:t>—</w:t>
      </w:r>
      <w:r>
        <w:rPr>
          <w:rFonts w:hint="default" w:ascii="Times New Roman" w:hAnsi="Times New Roman" w:eastAsia="黑体" w:cs="Times New Roman"/>
          <w:sz w:val="24"/>
          <w:szCs w:val="20"/>
        </w:rPr>
        <w:t>3　　规划防洪工程与生态红线的位置关系图</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3.2.4</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en-US" w:eastAsia="zh-CN"/>
        </w:rPr>
        <w:t>重点保护野生动植物</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綦江流域内分布有珍稀濒危保护植物12种。其中，属于《国家重点保护野生植物名录（第一批和第二批）》Ⅰ级保护野生植物4种，包括：水杉（Metasequoia glyptostroboides）、银杏（Ginkgo biloba）、红豆杉（Taxus wallichiana var. chinensis）和南方红豆杉（Taxus wallichiana var. mairei）；属于Ⅱ级保护野生植物7种，有：水青树（Tetracentron sinensis）、福建柏（Fokienia hodginsii）、喜树（Camptotheca acuminata）、樟（Cinnamomum camphora）、楠木（Phoebe zhennan）、厚朴（Magnolia officinalis）和鹅掌楸（Liriodendron chinense）；列为《中国物种红色名录》“极危物种”1种，为南川木波罗（Artocarpus nanchuanensis）。</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綦江流域内分布有珍稀濒危保护动物23种。其中，列入《国家重点保护野生动物名录》（2021年调整）Ⅰ级保护野生动物1种，为中华秋沙鸭（Mergus squamatus）；Ⅱ级保护野生动物6种，包括黑耳鸢（Milvus migrans lineatus）、普通鵟（Buteo buteo）、红隼（Falco tinnunculus）、雀鹰（Accipiter nisus）、红腹锦鸡（Chrysolophus pictus）和斑头鸺鹠（Glaucidium cuculoides）。列入《重庆市重点保护水生野生动物名录》（1998年）16种，包括竹叶青蛇（Trimeresurus stejnegeri）、大树蛙（Rhacophorus dennysi）、宝兴树蛙（Rhacophorus dygritei）、黑颈鸊鷉（Podiceps nigricollis）、凤头鸊鷉（Podiceps cristatus）、小鸊鷉（Tachybaptus ruficollis）、绿鹭（Butorides striata）、黄苇鳽（Ixobrychus sinensis）、栗苇鳽（Ixobrychus cinnamomeus）、秃鹳（Leptoptilos javanicus）、灰胸竹鸡（Bambusicola thoracica）、红翅凤头鹃（Clamator coromandus）、棕头鸥（Larus brunnicephalus）、黄鼬（Mustela sibirica）、豹猫（Felis bengalensis）、花面狸（Paguma larvata）。</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上述珍稀濒危野生动植物主要分布在自然保护区和自然森林公园等人类活动较少区域。</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綦江流域内无国家级重点保护鱼类分布，列入《重庆市重点保护水生野生动物名录》（1999年）的有4种，分别是细磷裂腹鱼（Schizothorax chongi）、岩原鲤（Procypris rabaudi）、长薄鳅（Leptobotia elongata）、四川华吸鳅（Sinogastromyzon szechuanensis Fang），其中岩原鲤被也列入《中国濒危动物红皮书》和《中国物种红色名录》；长江上游特有鱼类4种，分别是中华倒刺鲃（Spinibarbus sinensis）、细鳞裂腹鱼、岩原鲤和宽口光唇鱼（Acrossocheilus monticolus）。</w:t>
      </w:r>
    </w:p>
    <w:p>
      <w:pPr>
        <w:keepNext w:val="0"/>
        <w:keepLines w:val="0"/>
        <w:pageBreakBefore w:val="0"/>
        <w:widowControl w:val="0"/>
        <w:kinsoku/>
        <w:wordWrap/>
        <w:overflowPunct/>
        <w:topLinePunct w:val="0"/>
        <w:autoSpaceDE/>
        <w:autoSpaceDN/>
        <w:bidi w:val="0"/>
        <w:adjustRightInd/>
        <w:snapToGrid/>
        <w:ind w:firstLine="640" w:firstLineChars="200"/>
        <w:textAlignment w:val="auto"/>
        <w:outlineLvl w:val="1"/>
        <w:rPr>
          <w:rFonts w:hint="eastAsia" w:ascii="方正楷体_GBK" w:hAnsi="方正楷体_GBK" w:eastAsia="方正楷体_GBK" w:cs="方正楷体_GBK"/>
          <w:bCs/>
          <w:sz w:val="32"/>
          <w:lang w:val="zh-CN"/>
        </w:rPr>
      </w:pPr>
      <w:bookmarkStart w:id="208" w:name="_Toc1685"/>
      <w:r>
        <w:rPr>
          <w:rFonts w:hint="eastAsia" w:ascii="方正楷体_GBK" w:hAnsi="方正楷体_GBK" w:eastAsia="方正楷体_GBK" w:cs="方正楷体_GBK"/>
          <w:bCs/>
          <w:sz w:val="32"/>
          <w:lang w:val="zh-CN"/>
        </w:rPr>
        <w:t>（</w:t>
      </w:r>
      <w:r>
        <w:rPr>
          <w:rFonts w:hint="eastAsia" w:ascii="方正楷体_GBK" w:hAnsi="方正楷体_GBK" w:eastAsia="方正楷体_GBK" w:cs="方正楷体_GBK"/>
          <w:bCs/>
          <w:sz w:val="32"/>
          <w:lang w:val="en-US" w:eastAsia="zh-CN"/>
        </w:rPr>
        <w:t>二</w:t>
      </w:r>
      <w:r>
        <w:rPr>
          <w:rFonts w:hint="eastAsia" w:ascii="方正楷体_GBK" w:hAnsi="方正楷体_GBK" w:eastAsia="方正楷体_GBK" w:cs="方正楷体_GBK"/>
          <w:bCs/>
          <w:sz w:val="32"/>
          <w:lang w:val="zh-CN"/>
        </w:rPr>
        <w:t>）环境现状调查及分析</w:t>
      </w:r>
      <w:bookmarkEnd w:id="208"/>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1</w:t>
      </w:r>
      <w:r>
        <w:rPr>
          <w:rFonts w:hint="eastAsia" w:ascii="Times New Roman" w:eastAsia="方正仿宋_GBK" w:cs="Times New Roman"/>
          <w:bCs/>
          <w:sz w:val="32"/>
          <w:szCs w:val="32"/>
          <w:lang w:val="en-US" w:eastAsia="zh-CN"/>
        </w:rPr>
        <w:t>．</w:t>
      </w:r>
      <w:r>
        <w:rPr>
          <w:rFonts w:hint="eastAsia" w:ascii="Times New Roman" w:hAnsi="Times New Roman" w:eastAsia="方正仿宋_GBK" w:cs="Times New Roman"/>
          <w:sz w:val="32"/>
          <w:szCs w:val="32"/>
          <w:lang w:val="en-US" w:eastAsia="zh-CN"/>
        </w:rPr>
        <w:t>自然环境</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綦江区位于重庆市南部，位于东经106°23′</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107°03′、北纬28°27′</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29°11′之间，东邻南川区，南接贵州省习水、桐梓两县，西连江津区，北靠巴南区。区境东西宽71km，南北长82km，幅员面积2747.8km</w:t>
      </w:r>
      <w:r>
        <w:rPr>
          <w:rFonts w:hint="eastAsia" w:ascii="Times New Roman" w:hAnsi="Times New Roman" w:eastAsia="方正仿宋_GBK" w:cs="Times New Roman"/>
          <w:sz w:val="32"/>
          <w:szCs w:val="32"/>
          <w:vertAlign w:val="superscript"/>
          <w:lang w:val="en-US" w:eastAsia="zh-CN"/>
        </w:rPr>
        <w:t>2</w:t>
      </w:r>
      <w:r>
        <w:rPr>
          <w:rFonts w:hint="eastAsia" w:ascii="Times New Roman" w:hAnsi="Times New Roman" w:eastAsia="方正仿宋_GBK" w:cs="Times New Roman"/>
          <w:sz w:val="32"/>
          <w:szCs w:val="32"/>
          <w:lang w:val="en-US" w:eastAsia="zh-CN"/>
        </w:rPr>
        <w:t>。</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区地处四川盆地东南边缘，介于华蓥山帚状山脉向南倾没部分和大娄山山脉向北延伸部分之间。区境内水系发达，雨量充沛，流水作用强烈，加之在古地貌发育经过夷平又再度不均衡抬升、下蚀情况下，形成向斜成山、背斜成谷的倒置地形。綦江区境内地貌特点是，南西高、北东低，边缘高、腹地低，以山地为主，遭河流切割，沟深谷多，地形破碎，多孤立山体，少完整山脉，地势高差大。区境内最高海拔1973m、为黑山镇狮子槽东侧山峰，最低海拔188m、为永新镇升平木瓜溪口，平均海拔254.8m。根据地貌形态特征，全区主要为山地、丘陵两种地貌类型。</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綦江属长江上游南岸支流，发源于乌蒙山西北麓贵州省桐梓县北大娄山系，流经重庆市綦江区，于江津区仁沱镇顺江村汇入长江。綦江河长220km，流域面积7020km</w:t>
      </w:r>
      <w:r>
        <w:rPr>
          <w:rFonts w:hint="eastAsia" w:ascii="Times New Roman" w:hAnsi="Times New Roman" w:eastAsia="方正仿宋_GBK" w:cs="Times New Roman"/>
          <w:sz w:val="32"/>
          <w:szCs w:val="32"/>
          <w:vertAlign w:val="superscript"/>
          <w:lang w:val="en-US" w:eastAsia="zh-CN"/>
        </w:rPr>
        <w:t>2</w:t>
      </w:r>
      <w:r>
        <w:rPr>
          <w:rFonts w:hint="eastAsia" w:ascii="Times New Roman" w:hAnsi="Times New Roman" w:eastAsia="方正仿宋_GBK" w:cs="Times New Roman"/>
          <w:sz w:val="32"/>
          <w:szCs w:val="32"/>
          <w:lang w:val="en-US" w:eastAsia="zh-CN"/>
        </w:rPr>
        <w:t>。按河谷地貌及河道特征分为上游、中游、下游三段：①河源至綦江赶水镇段为上游，又称松坎河，河长约80km，平均坡降约13″，河宽一般30</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60m。②赶水至綦江区城为中游，河长约60km，河宽一般60</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100m，平均坡降约1.3‰。赶水以下始称綦江。③綦江区城以下为下游，河长约70km，河宽一般80</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150m，平均坡降约0.5‰。綦江水系呈树枝状分布。流域面积大于300km</w:t>
      </w:r>
      <w:r>
        <w:rPr>
          <w:rFonts w:hint="eastAsia" w:ascii="Times New Roman" w:hAnsi="Times New Roman" w:eastAsia="方正仿宋_GBK" w:cs="Times New Roman"/>
          <w:sz w:val="32"/>
          <w:szCs w:val="32"/>
          <w:vertAlign w:val="superscript"/>
          <w:lang w:val="en-US" w:eastAsia="zh-CN"/>
        </w:rPr>
        <w:t>2</w:t>
      </w:r>
      <w:r>
        <w:rPr>
          <w:rFonts w:hint="eastAsia" w:ascii="Times New Roman" w:hAnsi="Times New Roman" w:eastAsia="方正仿宋_GBK" w:cs="Times New Roman"/>
          <w:sz w:val="32"/>
          <w:szCs w:val="32"/>
          <w:lang w:val="en-US" w:eastAsia="zh-CN"/>
        </w:rPr>
        <w:t>的支流共5条：左岸的笋溪河、清溪河；右岸的新站河、蒲河、藻渡河。流域面积100</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300km</w:t>
      </w:r>
      <w:r>
        <w:rPr>
          <w:rFonts w:hint="eastAsia" w:ascii="Times New Roman" w:hAnsi="Times New Roman" w:eastAsia="方正仿宋_GBK" w:cs="Times New Roman"/>
          <w:sz w:val="32"/>
          <w:szCs w:val="32"/>
          <w:vertAlign w:val="superscript"/>
          <w:lang w:val="en-US" w:eastAsia="zh-CN"/>
        </w:rPr>
        <w:t>2</w:t>
      </w:r>
      <w:r>
        <w:rPr>
          <w:rFonts w:hint="eastAsia" w:ascii="Times New Roman" w:hAnsi="Times New Roman" w:eastAsia="方正仿宋_GBK" w:cs="Times New Roman"/>
          <w:sz w:val="32"/>
          <w:szCs w:val="32"/>
          <w:lang w:val="en-US" w:eastAsia="zh-CN"/>
        </w:rPr>
        <w:t>的支流共5条：左岸的郭扶河、杨渡河、东溪，右岸的扶欢河、通惠河。</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流域属中亚热带温和湿润气候区，冬无严寒，夏无酷暑，四季分明，雨量较丰，湿度较大。冷暖气流常被海拔高的山脉阻挡，局部地区形成强对流天气。冬季主要受北方西伯利亚气流影响，多为阴雨天气，但雨量较少。夏季受印度孟加拉湾西南暖湿气流和西太平洋海洋气候影响，造成降雨多发生在5</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10月。根据綦江气象站资料统计，多年平均气温13</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19℃，最热月（八月）平均28.0℃，最冷月（一月）平均7.2℃，多年平均日照时数1206.2h，小区气候差异明显。多年平均无霜期260d，多年平均降雨量1040.1mm，最多年1428.4mm，最少年590.3mm。</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区土壤类型主要包括水稻土、黄壤、红壤、紫色土、石灰岩土、潮土等6个土类、11个亚类、17个土属、63个土种、77个变种。水稻土广泛分布在海拔300m以下的浅丘、低中区；黄壤土是分布较广的地带性土壤，主要分布在海拔500</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1000m的浅切割的低山；红壤土主要分布在平坝区；紫色土主要呈带状分布于浅丘、低山山岭；石灰岩土零星分布于二迭系、寒武系灰岩溶区；潮土主要分布于綦江及其支流两岸。</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2</w:t>
      </w:r>
      <w:r>
        <w:rPr>
          <w:rFonts w:hint="eastAsia" w:ascii="Times New Roman" w:eastAsia="方正仿宋_GBK" w:cs="Times New Roman"/>
          <w:bCs/>
          <w:sz w:val="32"/>
          <w:szCs w:val="32"/>
          <w:lang w:val="en-US" w:eastAsia="zh-CN"/>
        </w:rPr>
        <w:t>．</w:t>
      </w:r>
      <w:r>
        <w:rPr>
          <w:rFonts w:hint="eastAsia" w:ascii="Times New Roman" w:hAnsi="Times New Roman" w:eastAsia="方正仿宋_GBK" w:cs="Times New Roman"/>
          <w:sz w:val="32"/>
          <w:szCs w:val="32"/>
          <w:lang w:val="en-US" w:eastAsia="zh-CN"/>
        </w:rPr>
        <w:t>生态环境</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2.1</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en-US" w:eastAsia="zh-CN"/>
        </w:rPr>
        <w:t>生态功能定位</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根据《重庆市生态功能区划规划》（修编），重庆市生态功能区划分为5个一级区，9个二级区，14个三级区。5个一级区为：Ⅰ、秦巴山地常绿阔叶—落叶林生态区；II、三峡库区（腹地）平行岭谷低山—丘陵生态区；III、渝东南、湘西及黔鄂山地常绿阔叶林生态区；IV、渝中—西丘陵—低山生态区；V、都市区人工调控生态区。</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规划区域属于：IV、渝中—西丘陵—低山生态区；IV2、渝西南常绿阔叶林生态亚区；IV2—2、江津—綦江低山丘陵水文调蓄生态功能区。</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该生态功能区包括江津区和綦江</w:t>
      </w:r>
      <w:r>
        <w:rPr>
          <w:rFonts w:hint="eastAsia" w:ascii="Times New Roman" w:eastAsia="方正仿宋_GBK" w:cs="Times New Roman"/>
          <w:sz w:val="32"/>
          <w:szCs w:val="32"/>
          <w:lang w:val="en-US" w:eastAsia="zh-CN"/>
        </w:rPr>
        <w:t>区</w:t>
      </w:r>
      <w:r>
        <w:rPr>
          <w:rFonts w:hint="eastAsia" w:ascii="Times New Roman" w:hAnsi="Times New Roman" w:eastAsia="方正仿宋_GBK" w:cs="Times New Roman"/>
          <w:sz w:val="32"/>
          <w:szCs w:val="32"/>
          <w:lang w:val="en-US" w:eastAsia="zh-CN"/>
        </w:rPr>
        <w:t>，幅员面积5401.14km</w:t>
      </w:r>
      <w:r>
        <w:rPr>
          <w:rFonts w:hint="eastAsia" w:ascii="Times New Roman" w:hAnsi="Times New Roman" w:eastAsia="方正仿宋_GBK" w:cs="Times New Roman"/>
          <w:sz w:val="32"/>
          <w:szCs w:val="32"/>
          <w:vertAlign w:val="superscript"/>
          <w:lang w:val="en-US" w:eastAsia="zh-CN"/>
        </w:rPr>
        <w:t>2</w:t>
      </w:r>
      <w:r>
        <w:rPr>
          <w:rFonts w:hint="eastAsia" w:ascii="Times New Roman" w:hAnsi="Times New Roman" w:eastAsia="方正仿宋_GBK" w:cs="Times New Roman"/>
          <w:sz w:val="32"/>
          <w:szCs w:val="32"/>
          <w:lang w:val="en-US" w:eastAsia="zh-CN"/>
        </w:rPr>
        <w:t>。地貌以丘陵和低山为主。区内溪河众多，多年平均地表水资源量28.15亿m</w:t>
      </w:r>
      <w:r>
        <w:rPr>
          <w:rFonts w:hint="eastAsia" w:ascii="Times New Roman" w:hAnsi="Times New Roman" w:eastAsia="方正仿宋_GBK" w:cs="Times New Roman"/>
          <w:sz w:val="32"/>
          <w:szCs w:val="32"/>
          <w:vertAlign w:val="superscript"/>
          <w:lang w:val="en-US" w:eastAsia="zh-CN"/>
        </w:rPr>
        <w:t>3</w:t>
      </w:r>
      <w:r>
        <w:rPr>
          <w:rFonts w:hint="eastAsia" w:ascii="Times New Roman" w:hAnsi="Times New Roman" w:eastAsia="方正仿宋_GBK" w:cs="Times New Roman"/>
          <w:sz w:val="32"/>
          <w:szCs w:val="32"/>
          <w:lang w:val="en-US" w:eastAsia="zh-CN"/>
        </w:rPr>
        <w:t>。属中亚热带湿润气候区，气候表现为冬暖、春早、夏热、秋阴，云多日照少，雨量充沛，温、光、水地域差异大。森林覆盖率高于全市平均水平，生物资源丰富。主要矿产资源有煤、铁、铜、硫磺、石英等。</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主导生态功能为水文调蓄和水源涵养，辅助功能为生态恢复与重建、水土保持，生物多样性保护。生态功能保护与建设应围绕加强水土保持和水源涵养进行。重点任务是大力开展陡坡耕地的退耕还林和裸岩石山的植被恢复。实施矿山污染生态重建，加强工矿废弃地和工矿废渣的环境监管与治理。积极开展长江干支流的水体污染综合整治。加强自然资源保护工作。</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zh-CN" w:eastAsia="zh-CN"/>
        </w:rPr>
      </w:pPr>
      <w:r>
        <w:rPr>
          <w:rFonts w:hint="eastAsia" w:ascii="Times New Roman" w:hAnsi="Times New Roman" w:eastAsia="方正仿宋_GBK" w:cs="Times New Roman"/>
          <w:sz w:val="32"/>
          <w:szCs w:val="32"/>
          <w:lang w:val="en-US" w:eastAsia="zh-CN"/>
        </w:rPr>
        <w:t>2.2</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zh-CN" w:eastAsia="zh-CN"/>
        </w:rPr>
        <w:t>陆生生物</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根据《中国植被》，本次规划所在的綦江区，在中国植被分类系统上属于：</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——亚热带常绿阔叶林区域；</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——东部（湿润）常绿阔叶林亚区域；</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——中亚热带常绿阔叶林地带；</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——中亚热带常绿阔叶林南部亚地带；</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——川、滇、黔山丘栲类、木荷林区。</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该植被区原有的地带性植被为亚热带常绿阔叶林，但由于该区域农耕历史较长，人为活动频繁，区域内地带性植被多已遭破坏，现状植被以次生性针叶林、阔叶林、竹林、灌丛和灌草丛为主。</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经查阅《重庆市维管束植物区系研究》（易思荣，2008年）等有关研究资料可知，区域内主要有维管植物135科397属709种，其中野生维管植物659种，隶属于127科257属，该区野生维管植物科、属、种数分别占重庆市野生维管植物科、属、种总数的57.73%、21.21%和12.47%。</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经查阅《四川资源动物志》（1982年）、《重庆市鸟类资源的最新统计》（曹长雷等，2009年）、《重庆市綦江地区鸟类资源调查》（李键等，2007年）等研究资料可知，该区域共有陆生野生脊椎动物19目55科120种。其中，两栖类1目6科13种，爬行类2目6科17种，鸟类10目31科66种，有兽类6目12科24种。</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2.3</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en-US" w:eastAsia="zh-CN"/>
        </w:rPr>
        <w:t>水生生物</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经查阅《四川鱼类志》（1994年）、《重庆市江河鱼类资源调查报告》（熊天寿，1993年）、《长江重庆段干流与主要支流鱼类分布的比较分析》（何滔，2016年）等研究资料可知，綦江流域共分布有鱼类13科72种，其中鲤科鱼类最多，共45种，约占总种数的62%。主要经济鱼类有鲤、鲫、黄颡鱼、中华倒刺鲃、刺鲃、大鳍鳠、白甲鱼、南方大口鲶、斑鱖、泥鳅、黄鳝等；流域内具有洄游习性的鱼类包括岩原鲤、鱤鱼、草鱼、鲢等。产卵的生态类型以粘沉性卵为主，如鲤、鲫、黄颡鱼、鳜等；产漂浮性卵的鱼类较少，主要有南方大口鲶、刺鲃等。</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根据何滔（2016年）调查研究，綦江从源头到入长江河口，全流域有漂流性卵产场2个，粘性卵产场37个。其中，产粘性卵的鱼类有中华倒刺鲃、大口鲇、黄颡类等；产漂流性卵的鱼类有鮈类、鲌类、鳜类等。</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2.4</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en-US" w:eastAsia="zh-CN"/>
        </w:rPr>
        <w:t>生态敏感区</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经初步识别，规划河道整治、堤防工程位于綦江干流綦江城区河段，不涉及自然保护区、风景名胜区、森林公园、湿地公园、地质公园等生态敏感区。距堤防工程最近的生态敏感区为綦江国家地质公园翠屏山片区，距离为1.65km。规划藻渡水库工程占地及淹没区内，无生态敏感区。仅九锅箐市级森林公园与水库回水淹没区距离较近，位于库区右岸，与淹没区最近水平距离约3.18km，高程差约775m，不受工程影响。</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3</w:t>
      </w:r>
      <w:r>
        <w:rPr>
          <w:rFonts w:hint="eastAsia" w:ascii="Times New Roman" w:eastAsia="方正仿宋_GBK" w:cs="Times New Roman"/>
          <w:bCs/>
          <w:sz w:val="32"/>
          <w:szCs w:val="32"/>
          <w:lang w:val="en-US" w:eastAsia="zh-CN"/>
        </w:rPr>
        <w:t>．</w:t>
      </w:r>
      <w:r>
        <w:rPr>
          <w:rFonts w:hint="eastAsia" w:ascii="Times New Roman" w:hAnsi="Times New Roman" w:eastAsia="方正仿宋_GBK" w:cs="Times New Roman"/>
          <w:sz w:val="32"/>
          <w:szCs w:val="32"/>
          <w:lang w:val="en-US" w:eastAsia="zh-CN"/>
        </w:rPr>
        <w:t>社会环境</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规划范围涉及綦江区1个区，綦江区全区幅员面积0.22万km</w:t>
      </w:r>
      <w:r>
        <w:rPr>
          <w:rFonts w:hint="eastAsia" w:ascii="Times New Roman" w:eastAsia="方正仿宋_GBK" w:cs="Times New Roman"/>
          <w:sz w:val="32"/>
          <w:szCs w:val="32"/>
          <w:vertAlign w:val="superscript"/>
          <w:lang w:val="en-US" w:eastAsia="zh-CN"/>
        </w:rPr>
        <w:t>2</w:t>
      </w:r>
      <w:r>
        <w:rPr>
          <w:rFonts w:hint="eastAsia" w:ascii="Times New Roman" w:hAnsi="Times New Roman" w:eastAsia="方正仿宋_GBK" w:cs="Times New Roman"/>
          <w:sz w:val="32"/>
          <w:szCs w:val="32"/>
          <w:lang w:val="en-US" w:eastAsia="zh-CN"/>
        </w:rPr>
        <w:t>，辖</w:t>
      </w:r>
      <w:r>
        <w:rPr>
          <w:rFonts w:hint="eastAsia" w:ascii="Times New Roman" w:eastAsia="方正仿宋_GBK" w:cs="Times New Roman"/>
          <w:sz w:val="32"/>
          <w:szCs w:val="32"/>
          <w:lang w:val="en-US" w:eastAsia="zh-CN"/>
        </w:rPr>
        <w:t>5</w:t>
      </w:r>
      <w:r>
        <w:rPr>
          <w:rFonts w:hint="eastAsia" w:ascii="Times New Roman" w:hAnsi="Times New Roman" w:eastAsia="方正仿宋_GBK" w:cs="Times New Roman"/>
          <w:sz w:val="32"/>
          <w:szCs w:val="32"/>
          <w:lang w:val="en-US" w:eastAsia="zh-CN"/>
        </w:rPr>
        <w:t>个街道</w:t>
      </w:r>
      <w:r>
        <w:rPr>
          <w:rFonts w:hint="eastAsia" w:ascii="Times New Roman" w:eastAsia="方正仿宋_GBK" w:cs="Times New Roman"/>
          <w:sz w:val="32"/>
          <w:szCs w:val="32"/>
          <w:lang w:val="en-US" w:eastAsia="zh-CN"/>
        </w:rPr>
        <w:t>16</w:t>
      </w:r>
      <w:r>
        <w:rPr>
          <w:rFonts w:hint="eastAsia" w:ascii="Times New Roman" w:hAnsi="Times New Roman" w:eastAsia="方正仿宋_GBK" w:cs="Times New Roman"/>
          <w:sz w:val="32"/>
          <w:szCs w:val="32"/>
          <w:lang w:val="en-US" w:eastAsia="zh-CN"/>
        </w:rPr>
        <w:t>个镇，302个村。2019年，綦江区年末户籍人口92.68万人，其中城镇人口42.25万人，年末常住人口82.58万人，其中城镇人口47.76万人，常住人口城镇化率57.83%，地区生产总值479.12亿元。</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区地域内矿种多，分布广，资源存量丰富。境内矿产资源，已发现的矿种均为沉积型矿产，已探明地下藏有煤、煤层气、铁、铜、天然气、页岩气、硫铁矿、萤石、石英砂岩、灰炭、泥岩、粘土、大理石、方解石、石膏、石灰石、页岩、含钾绿豆岩和地热水等19种矿产。优质矿产为煤、煤层气和水泥用灰岩等，已勘查评价矿床39处、其中大型矿床6处、中型矿床7处、小型矿床26处。查明资源储量，煤炭16.75亿吨，铁矿9037.5万吨，石灰岩6.48亿吨，煤层气242.3亿立方米。</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区旅游资源丰富，境内山、水、林、瀑、峡、洞俱全，融险、峻、奇、幽、秀于一体。旅游资源有老瀛山、古剑山、清溪河、丁山湖、大罗红花湖、花坝高山草原、永城地热温泉等自然生态类资源。綦江区承接重庆主城休闲度假需求，主打以“养生、养老、养心”为主题的城郊休闲旅游度假区，将旅游产业生长成为綦江区的主要支柱产业。2015年11月，綦江区被列为第二批国家新型城镇化综合试点地区。</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4</w:t>
      </w:r>
      <w:r>
        <w:rPr>
          <w:rFonts w:hint="eastAsia" w:ascii="Times New Roman" w:eastAsia="方正仿宋_GBK" w:cs="Times New Roman"/>
          <w:bCs/>
          <w:sz w:val="32"/>
          <w:szCs w:val="32"/>
          <w:lang w:val="en-US" w:eastAsia="zh-CN"/>
        </w:rPr>
        <w:t>．</w:t>
      </w:r>
      <w:r>
        <w:rPr>
          <w:rFonts w:hint="eastAsia" w:ascii="Times New Roman" w:hAnsi="Times New Roman" w:eastAsia="方正仿宋_GBK" w:cs="Times New Roman"/>
          <w:sz w:val="32"/>
          <w:szCs w:val="32"/>
          <w:lang w:val="en-US" w:eastAsia="zh-CN"/>
        </w:rPr>
        <w:t>水环境质量现状</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流域现状主要污染源为工业废水、生活污水和农业面源污染。工业废水中，綦江上游的工业企业以小型煤矿为主，根据綦江区环保局2017年环境统计数据，有15家煤矿的矿井涌水排入綦江上游支流。生活污水中，上游有4家生活污水处理厂排水至綦江上游支流，分别为：关坝镇污水处理厂排水至扶欢河、石林镇污水处理厂排水至刘家河、金山镇污水处理厂排水至藻渡河、德隆污水处理厂排水至柏枝溪。农业面源污染中，主要来自上游德隆乡、头渡镇、金山镇、赶水镇等乡镇在农业生产中施用的农业有机肥、化肥及农药污染。</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根据《重庆市人民政府关于印发重庆市地面水域适用功能类别划分规定的通知》（渝府发</w:t>
      </w:r>
      <w:r>
        <w:rPr>
          <w:rFonts w:hint="default" w:ascii="Times New Roman" w:hAnsi="Times New Roman" w:eastAsia="方正仿宋_GBK" w:cs="Times New Roman"/>
          <w:sz w:val="32"/>
          <w:szCs w:val="32"/>
        </w:rPr>
        <w:t>〔</w:t>
      </w:r>
      <w:r>
        <w:rPr>
          <w:rFonts w:hint="default" w:ascii="Times New Roman" w:hAnsi="Times New Roman" w:eastAsia="方正仿宋_GBK" w:cs="Times New Roman"/>
          <w:sz w:val="32"/>
          <w:szCs w:val="32"/>
          <w:lang w:val="en-US" w:eastAsia="zh-CN"/>
        </w:rPr>
        <w:t>19</w:t>
      </w:r>
      <w:r>
        <w:rPr>
          <w:rFonts w:hint="eastAsia" w:ascii="Times New Roman" w:eastAsia="方正仿宋_GBK" w:cs="Times New Roman"/>
          <w:sz w:val="32"/>
          <w:szCs w:val="32"/>
          <w:lang w:val="en-US" w:eastAsia="zh-CN"/>
        </w:rPr>
        <w:t>9</w:t>
      </w:r>
      <w:r>
        <w:rPr>
          <w:rFonts w:hint="default" w:ascii="Times New Roman" w:hAnsi="Times New Roman" w:eastAsia="方正仿宋_GBK" w:cs="Times New Roman"/>
          <w:sz w:val="32"/>
          <w:szCs w:val="32"/>
          <w:lang w:val="en-US" w:eastAsia="zh-CN"/>
        </w:rPr>
        <w:t>8</w:t>
      </w:r>
      <w:r>
        <w:rPr>
          <w:rFonts w:hint="default" w:ascii="Times New Roman" w:hAnsi="Times New Roman" w:eastAsia="方正仿宋_GBK" w:cs="Times New Roman"/>
          <w:sz w:val="32"/>
          <w:szCs w:val="32"/>
        </w:rPr>
        <w:t>〕</w:t>
      </w:r>
      <w:r>
        <w:rPr>
          <w:rFonts w:hint="eastAsia" w:ascii="Times New Roman" w:hAnsi="Times New Roman" w:eastAsia="方正仿宋_GBK" w:cs="Times New Roman"/>
          <w:sz w:val="32"/>
          <w:szCs w:val="32"/>
          <w:lang w:val="en-US" w:eastAsia="zh-CN"/>
        </w:rPr>
        <w:t>89号），綦江属于“长江干流重庆段一级支流”，水域功能划分为Ⅲ类。其后，《重庆市人民政府批转重庆市地表水环境功能类别调整方案的通知》（渝府发</w:t>
      </w:r>
      <w:r>
        <w:rPr>
          <w:rFonts w:hint="default" w:ascii="Times New Roman" w:hAnsi="Times New Roman" w:eastAsia="方正仿宋_GBK" w:cs="Times New Roman"/>
          <w:sz w:val="32"/>
          <w:szCs w:val="32"/>
        </w:rPr>
        <w:t>〔</w:t>
      </w:r>
      <w:r>
        <w:rPr>
          <w:rFonts w:hint="eastAsia" w:ascii="Times New Roman" w:eastAsia="方正仿宋_GBK" w:cs="Times New Roman"/>
          <w:sz w:val="32"/>
          <w:szCs w:val="32"/>
          <w:lang w:val="en-US" w:eastAsia="zh-CN"/>
        </w:rPr>
        <w:t>2012</w:t>
      </w:r>
      <w:r>
        <w:rPr>
          <w:rFonts w:hint="default" w:ascii="Times New Roman" w:hAnsi="Times New Roman" w:eastAsia="方正仿宋_GBK" w:cs="Times New Roman"/>
          <w:sz w:val="32"/>
          <w:szCs w:val="32"/>
        </w:rPr>
        <w:t>〕</w:t>
      </w:r>
      <w:r>
        <w:rPr>
          <w:rFonts w:hint="eastAsia" w:ascii="Times New Roman" w:hAnsi="Times New Roman" w:eastAsia="方正仿宋_GBK" w:cs="Times New Roman"/>
          <w:sz w:val="32"/>
          <w:szCs w:val="32"/>
          <w:lang w:val="en-US" w:eastAsia="zh-CN"/>
        </w:rPr>
        <w:t>4号）、《重庆市人民政府关于批转重庆市地表水环境功能类别局部调整方案的通知》（渝府</w:t>
      </w:r>
      <w:r>
        <w:rPr>
          <w:rFonts w:hint="default" w:ascii="Times New Roman" w:hAnsi="Times New Roman" w:eastAsia="方正仿宋_GBK" w:cs="Times New Roman"/>
          <w:sz w:val="32"/>
          <w:szCs w:val="32"/>
        </w:rPr>
        <w:t>〔</w:t>
      </w:r>
      <w:r>
        <w:rPr>
          <w:rFonts w:hint="eastAsia" w:ascii="Times New Roman" w:eastAsia="方正仿宋_GBK" w:cs="Times New Roman"/>
          <w:sz w:val="32"/>
          <w:szCs w:val="32"/>
          <w:lang w:val="en-US" w:eastAsia="zh-CN"/>
        </w:rPr>
        <w:t>2016</w:t>
      </w:r>
      <w:r>
        <w:rPr>
          <w:rFonts w:hint="default" w:ascii="Times New Roman" w:hAnsi="Times New Roman" w:eastAsia="方正仿宋_GBK" w:cs="Times New Roman"/>
          <w:sz w:val="32"/>
          <w:szCs w:val="32"/>
        </w:rPr>
        <w:t>〕</w:t>
      </w:r>
      <w:r>
        <w:rPr>
          <w:rFonts w:hint="eastAsia" w:ascii="Times New Roman" w:hAnsi="Times New Roman" w:eastAsia="方正仿宋_GBK" w:cs="Times New Roman"/>
          <w:sz w:val="32"/>
          <w:szCs w:val="32"/>
          <w:lang w:val="en-US" w:eastAsia="zh-CN"/>
        </w:rPr>
        <w:t>43号）等，两次调整均未改变綦江水环境功能类别。因此綦江区划为Ⅲ类水体。</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区共有6个河流地表水监测断面，分别为：紫龙断面（羊渡河）、丁山断面（东溪）、郭扶断面（清溪河）、扶欢断面（扶欢河）、寨溪大桥断面（蒲河）、温塘断面（蒲河）。上述6个监测断面所在河流中，羊渡河、清溪河、扶欢河、蒲河均属于綦江支流，东溪位于綦江干流上游。綦江区共有1个集中式生活饮用水水源监测点，为鱼栏咀水库（水库型地表水水源）。</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根据綦江区生态环境局发布的《重庆市綦江区水环境质量月报》（2020年6月</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2020年12月），6个地表河流监测断面中，仅有扶欢断面（扶欢河）在2020年6月总磷超标0.25倍，为Ⅳ水质；在2020年9月氟化物超标1.66倍，为劣Ⅴ类水质。其余监测断面在所有月份均可达标。1个集中式生活饮用水水源监测点（鱼栏咀水库）各月均能达标。</w:t>
      </w:r>
    </w:p>
    <w:p>
      <w:pPr>
        <w:spacing w:after="60"/>
        <w:ind w:firstLine="240" w:firstLineChars="100"/>
        <w:outlineLvl w:val="5"/>
        <w:rPr>
          <w:rFonts w:hint="default" w:ascii="Times New Roman" w:hAnsi="Times New Roman" w:eastAsia="黑体" w:cs="Times New Roman"/>
          <w:sz w:val="24"/>
          <w:szCs w:val="20"/>
        </w:rPr>
      </w:pPr>
      <w:r>
        <w:rPr>
          <w:rFonts w:hint="default" w:ascii="Times New Roman" w:hAnsi="Times New Roman" w:eastAsia="黑体" w:cs="Times New Roman"/>
          <w:sz w:val="24"/>
          <w:szCs w:val="20"/>
        </w:rPr>
        <w:t>表9.2</w:t>
      </w:r>
      <w:r>
        <w:rPr>
          <w:rFonts w:hint="default" w:ascii="Times New Roman" w:hAnsi="Times New Roman" w:eastAsia="黑体" w:cs="Times New Roman"/>
          <w:sz w:val="24"/>
          <w:szCs w:val="20"/>
          <w:lang w:eastAsia="zh-CN"/>
        </w:rPr>
        <w:t>—</w:t>
      </w:r>
      <w:r>
        <w:rPr>
          <w:rFonts w:hint="default" w:ascii="Times New Roman" w:hAnsi="Times New Roman" w:eastAsia="黑体" w:cs="Times New Roman"/>
          <w:sz w:val="24"/>
          <w:szCs w:val="20"/>
        </w:rPr>
        <w:t>1       2020年6月至2020年12月綦江区水环境质量监测结果</w:t>
      </w:r>
    </w:p>
    <w:tbl>
      <w:tblPr>
        <w:tblStyle w:val="88"/>
        <w:tblW w:w="0" w:type="auto"/>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fixed"/>
        <w:tblCellMar>
          <w:top w:w="0" w:type="dxa"/>
          <w:left w:w="108" w:type="dxa"/>
          <w:bottom w:w="0" w:type="dxa"/>
          <w:right w:w="108" w:type="dxa"/>
        </w:tblCellMar>
      </w:tblPr>
      <w:tblGrid>
        <w:gridCol w:w="683"/>
        <w:gridCol w:w="1359"/>
        <w:gridCol w:w="1360"/>
        <w:gridCol w:w="1529"/>
        <w:gridCol w:w="1133"/>
        <w:gridCol w:w="1133"/>
        <w:gridCol w:w="2090"/>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68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序号</w:t>
            </w:r>
          </w:p>
        </w:tc>
        <w:tc>
          <w:tcPr>
            <w:tcW w:w="1359"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分类</w:t>
            </w:r>
          </w:p>
        </w:tc>
        <w:tc>
          <w:tcPr>
            <w:tcW w:w="1360"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断面名称</w:t>
            </w:r>
          </w:p>
        </w:tc>
        <w:tc>
          <w:tcPr>
            <w:tcW w:w="1529"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监测月份</w:t>
            </w:r>
          </w:p>
        </w:tc>
        <w:tc>
          <w:tcPr>
            <w:tcW w:w="113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水质级别</w:t>
            </w:r>
          </w:p>
        </w:tc>
        <w:tc>
          <w:tcPr>
            <w:tcW w:w="113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达标情况</w:t>
            </w:r>
          </w:p>
        </w:tc>
        <w:tc>
          <w:tcPr>
            <w:tcW w:w="2090"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超标指标及</w:t>
            </w:r>
          </w:p>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超标倍数</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68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1</w:t>
            </w:r>
          </w:p>
        </w:tc>
        <w:tc>
          <w:tcPr>
            <w:tcW w:w="1359" w:type="dxa"/>
            <w:vMerge w:val="restart"/>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地表河流</w:t>
            </w:r>
          </w:p>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监测断面</w:t>
            </w:r>
          </w:p>
        </w:tc>
        <w:tc>
          <w:tcPr>
            <w:tcW w:w="1360" w:type="dxa"/>
            <w:vMerge w:val="restart"/>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紫龙</w:t>
            </w:r>
          </w:p>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（羊渡河）</w:t>
            </w:r>
          </w:p>
        </w:tc>
        <w:tc>
          <w:tcPr>
            <w:tcW w:w="1529"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2020年6月</w:t>
            </w:r>
          </w:p>
        </w:tc>
        <w:tc>
          <w:tcPr>
            <w:tcW w:w="113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Ⅰ</w:t>
            </w:r>
          </w:p>
        </w:tc>
        <w:tc>
          <w:tcPr>
            <w:tcW w:w="113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达标</w:t>
            </w:r>
          </w:p>
        </w:tc>
        <w:tc>
          <w:tcPr>
            <w:tcW w:w="2090"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68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w:t>
            </w:r>
          </w:p>
        </w:tc>
        <w:tc>
          <w:tcPr>
            <w:tcW w:w="1359" w:type="dxa"/>
            <w:vMerge w:val="continue"/>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p>
        </w:tc>
        <w:tc>
          <w:tcPr>
            <w:tcW w:w="1360" w:type="dxa"/>
            <w:vMerge w:val="continue"/>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p>
        </w:tc>
        <w:tc>
          <w:tcPr>
            <w:tcW w:w="1529"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2020年7月</w:t>
            </w:r>
          </w:p>
        </w:tc>
        <w:tc>
          <w:tcPr>
            <w:tcW w:w="113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Ⅱ</w:t>
            </w:r>
          </w:p>
        </w:tc>
        <w:tc>
          <w:tcPr>
            <w:tcW w:w="113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达标</w:t>
            </w:r>
          </w:p>
        </w:tc>
        <w:tc>
          <w:tcPr>
            <w:tcW w:w="2090"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68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3</w:t>
            </w:r>
          </w:p>
        </w:tc>
        <w:tc>
          <w:tcPr>
            <w:tcW w:w="1359" w:type="dxa"/>
            <w:vMerge w:val="continue"/>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p>
        </w:tc>
        <w:tc>
          <w:tcPr>
            <w:tcW w:w="1360" w:type="dxa"/>
            <w:vMerge w:val="continue"/>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p>
        </w:tc>
        <w:tc>
          <w:tcPr>
            <w:tcW w:w="1529"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2020年8月</w:t>
            </w:r>
          </w:p>
        </w:tc>
        <w:tc>
          <w:tcPr>
            <w:tcW w:w="113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Ⅱ</w:t>
            </w:r>
          </w:p>
        </w:tc>
        <w:tc>
          <w:tcPr>
            <w:tcW w:w="113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达标</w:t>
            </w:r>
          </w:p>
        </w:tc>
        <w:tc>
          <w:tcPr>
            <w:tcW w:w="2090"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68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4</w:t>
            </w:r>
          </w:p>
        </w:tc>
        <w:tc>
          <w:tcPr>
            <w:tcW w:w="1359" w:type="dxa"/>
            <w:vMerge w:val="continue"/>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p>
        </w:tc>
        <w:tc>
          <w:tcPr>
            <w:tcW w:w="1360" w:type="dxa"/>
            <w:vMerge w:val="continue"/>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p>
        </w:tc>
        <w:tc>
          <w:tcPr>
            <w:tcW w:w="1529"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2020年9月</w:t>
            </w:r>
          </w:p>
        </w:tc>
        <w:tc>
          <w:tcPr>
            <w:tcW w:w="113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Ⅱ</w:t>
            </w:r>
          </w:p>
        </w:tc>
        <w:tc>
          <w:tcPr>
            <w:tcW w:w="113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达标</w:t>
            </w:r>
          </w:p>
        </w:tc>
        <w:tc>
          <w:tcPr>
            <w:tcW w:w="2090"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68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5</w:t>
            </w:r>
          </w:p>
        </w:tc>
        <w:tc>
          <w:tcPr>
            <w:tcW w:w="1359" w:type="dxa"/>
            <w:vMerge w:val="continue"/>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p>
        </w:tc>
        <w:tc>
          <w:tcPr>
            <w:tcW w:w="1360" w:type="dxa"/>
            <w:vMerge w:val="continue"/>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p>
        </w:tc>
        <w:tc>
          <w:tcPr>
            <w:tcW w:w="1529"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2020年10月</w:t>
            </w:r>
          </w:p>
        </w:tc>
        <w:tc>
          <w:tcPr>
            <w:tcW w:w="113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Ⅰ</w:t>
            </w:r>
          </w:p>
        </w:tc>
        <w:tc>
          <w:tcPr>
            <w:tcW w:w="113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达标</w:t>
            </w:r>
          </w:p>
        </w:tc>
        <w:tc>
          <w:tcPr>
            <w:tcW w:w="2090"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68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6</w:t>
            </w:r>
          </w:p>
        </w:tc>
        <w:tc>
          <w:tcPr>
            <w:tcW w:w="1359" w:type="dxa"/>
            <w:vMerge w:val="continue"/>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p>
        </w:tc>
        <w:tc>
          <w:tcPr>
            <w:tcW w:w="1360" w:type="dxa"/>
            <w:vMerge w:val="continue"/>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p>
        </w:tc>
        <w:tc>
          <w:tcPr>
            <w:tcW w:w="1529"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2020年11月</w:t>
            </w:r>
          </w:p>
        </w:tc>
        <w:tc>
          <w:tcPr>
            <w:tcW w:w="113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Ⅱ</w:t>
            </w:r>
          </w:p>
        </w:tc>
        <w:tc>
          <w:tcPr>
            <w:tcW w:w="113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达标</w:t>
            </w:r>
          </w:p>
        </w:tc>
        <w:tc>
          <w:tcPr>
            <w:tcW w:w="2090"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68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7</w:t>
            </w:r>
          </w:p>
        </w:tc>
        <w:tc>
          <w:tcPr>
            <w:tcW w:w="1359" w:type="dxa"/>
            <w:vMerge w:val="continue"/>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p>
        </w:tc>
        <w:tc>
          <w:tcPr>
            <w:tcW w:w="1360" w:type="dxa"/>
            <w:vMerge w:val="continue"/>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p>
        </w:tc>
        <w:tc>
          <w:tcPr>
            <w:tcW w:w="1529"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2020年12月</w:t>
            </w:r>
          </w:p>
        </w:tc>
        <w:tc>
          <w:tcPr>
            <w:tcW w:w="113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Ⅰ</w:t>
            </w:r>
          </w:p>
        </w:tc>
        <w:tc>
          <w:tcPr>
            <w:tcW w:w="113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达标</w:t>
            </w:r>
          </w:p>
        </w:tc>
        <w:tc>
          <w:tcPr>
            <w:tcW w:w="2090"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68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8</w:t>
            </w:r>
          </w:p>
        </w:tc>
        <w:tc>
          <w:tcPr>
            <w:tcW w:w="1359" w:type="dxa"/>
            <w:vMerge w:val="continue"/>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p>
        </w:tc>
        <w:tc>
          <w:tcPr>
            <w:tcW w:w="1360" w:type="dxa"/>
            <w:vMerge w:val="restart"/>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丁山</w:t>
            </w:r>
          </w:p>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（东溪）</w:t>
            </w:r>
          </w:p>
        </w:tc>
        <w:tc>
          <w:tcPr>
            <w:tcW w:w="1529"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2020年6月</w:t>
            </w:r>
          </w:p>
        </w:tc>
        <w:tc>
          <w:tcPr>
            <w:tcW w:w="113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Ⅲ</w:t>
            </w:r>
          </w:p>
        </w:tc>
        <w:tc>
          <w:tcPr>
            <w:tcW w:w="113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达标</w:t>
            </w:r>
          </w:p>
        </w:tc>
        <w:tc>
          <w:tcPr>
            <w:tcW w:w="2090"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68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9</w:t>
            </w:r>
          </w:p>
        </w:tc>
        <w:tc>
          <w:tcPr>
            <w:tcW w:w="1359" w:type="dxa"/>
            <w:vMerge w:val="continue"/>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p>
        </w:tc>
        <w:tc>
          <w:tcPr>
            <w:tcW w:w="1360" w:type="dxa"/>
            <w:vMerge w:val="continue"/>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p>
        </w:tc>
        <w:tc>
          <w:tcPr>
            <w:tcW w:w="1529"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2020年7月</w:t>
            </w:r>
          </w:p>
        </w:tc>
        <w:tc>
          <w:tcPr>
            <w:tcW w:w="113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Ⅱ</w:t>
            </w:r>
          </w:p>
        </w:tc>
        <w:tc>
          <w:tcPr>
            <w:tcW w:w="113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达标</w:t>
            </w:r>
          </w:p>
        </w:tc>
        <w:tc>
          <w:tcPr>
            <w:tcW w:w="2090"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68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10</w:t>
            </w:r>
          </w:p>
        </w:tc>
        <w:tc>
          <w:tcPr>
            <w:tcW w:w="1359" w:type="dxa"/>
            <w:vMerge w:val="continue"/>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p>
        </w:tc>
        <w:tc>
          <w:tcPr>
            <w:tcW w:w="1360" w:type="dxa"/>
            <w:vMerge w:val="continue"/>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p>
        </w:tc>
        <w:tc>
          <w:tcPr>
            <w:tcW w:w="1529"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2020年8月</w:t>
            </w:r>
          </w:p>
        </w:tc>
        <w:tc>
          <w:tcPr>
            <w:tcW w:w="113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Ⅱ</w:t>
            </w:r>
          </w:p>
        </w:tc>
        <w:tc>
          <w:tcPr>
            <w:tcW w:w="113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达标</w:t>
            </w:r>
          </w:p>
        </w:tc>
        <w:tc>
          <w:tcPr>
            <w:tcW w:w="2090"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68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11</w:t>
            </w:r>
          </w:p>
        </w:tc>
        <w:tc>
          <w:tcPr>
            <w:tcW w:w="1359" w:type="dxa"/>
            <w:vMerge w:val="continue"/>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p>
        </w:tc>
        <w:tc>
          <w:tcPr>
            <w:tcW w:w="1360" w:type="dxa"/>
            <w:vMerge w:val="continue"/>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p>
        </w:tc>
        <w:tc>
          <w:tcPr>
            <w:tcW w:w="1529"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2020年9月</w:t>
            </w:r>
          </w:p>
        </w:tc>
        <w:tc>
          <w:tcPr>
            <w:tcW w:w="113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Ⅱ</w:t>
            </w:r>
          </w:p>
        </w:tc>
        <w:tc>
          <w:tcPr>
            <w:tcW w:w="113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达标</w:t>
            </w:r>
          </w:p>
        </w:tc>
        <w:tc>
          <w:tcPr>
            <w:tcW w:w="2090"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68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12</w:t>
            </w:r>
          </w:p>
        </w:tc>
        <w:tc>
          <w:tcPr>
            <w:tcW w:w="1359" w:type="dxa"/>
            <w:vMerge w:val="continue"/>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p>
        </w:tc>
        <w:tc>
          <w:tcPr>
            <w:tcW w:w="1360" w:type="dxa"/>
            <w:vMerge w:val="continue"/>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p>
        </w:tc>
        <w:tc>
          <w:tcPr>
            <w:tcW w:w="1529"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2020年10月</w:t>
            </w:r>
          </w:p>
        </w:tc>
        <w:tc>
          <w:tcPr>
            <w:tcW w:w="113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Ⅲ</w:t>
            </w:r>
          </w:p>
        </w:tc>
        <w:tc>
          <w:tcPr>
            <w:tcW w:w="113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达标</w:t>
            </w:r>
          </w:p>
        </w:tc>
        <w:tc>
          <w:tcPr>
            <w:tcW w:w="2090"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68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13</w:t>
            </w:r>
          </w:p>
        </w:tc>
        <w:tc>
          <w:tcPr>
            <w:tcW w:w="1359" w:type="dxa"/>
            <w:vMerge w:val="continue"/>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p>
        </w:tc>
        <w:tc>
          <w:tcPr>
            <w:tcW w:w="1360" w:type="dxa"/>
            <w:vMerge w:val="continue"/>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p>
        </w:tc>
        <w:tc>
          <w:tcPr>
            <w:tcW w:w="1529"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2020年11月</w:t>
            </w:r>
          </w:p>
        </w:tc>
        <w:tc>
          <w:tcPr>
            <w:tcW w:w="113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Ⅱ</w:t>
            </w:r>
          </w:p>
        </w:tc>
        <w:tc>
          <w:tcPr>
            <w:tcW w:w="113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达标</w:t>
            </w:r>
          </w:p>
        </w:tc>
        <w:tc>
          <w:tcPr>
            <w:tcW w:w="2090"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68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14</w:t>
            </w:r>
          </w:p>
        </w:tc>
        <w:tc>
          <w:tcPr>
            <w:tcW w:w="1359" w:type="dxa"/>
            <w:vMerge w:val="continue"/>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p>
        </w:tc>
        <w:tc>
          <w:tcPr>
            <w:tcW w:w="1360" w:type="dxa"/>
            <w:vMerge w:val="continue"/>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p>
        </w:tc>
        <w:tc>
          <w:tcPr>
            <w:tcW w:w="1529"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2020年12月</w:t>
            </w:r>
          </w:p>
        </w:tc>
        <w:tc>
          <w:tcPr>
            <w:tcW w:w="113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Ⅲ</w:t>
            </w:r>
          </w:p>
        </w:tc>
        <w:tc>
          <w:tcPr>
            <w:tcW w:w="113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达标</w:t>
            </w:r>
          </w:p>
        </w:tc>
        <w:tc>
          <w:tcPr>
            <w:tcW w:w="2090"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68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15</w:t>
            </w:r>
          </w:p>
        </w:tc>
        <w:tc>
          <w:tcPr>
            <w:tcW w:w="1359" w:type="dxa"/>
            <w:vMerge w:val="continue"/>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p>
        </w:tc>
        <w:tc>
          <w:tcPr>
            <w:tcW w:w="1360" w:type="dxa"/>
            <w:vMerge w:val="restart"/>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郭扶</w:t>
            </w:r>
          </w:p>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（清溪河）</w:t>
            </w:r>
          </w:p>
        </w:tc>
        <w:tc>
          <w:tcPr>
            <w:tcW w:w="1529"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2020年6月</w:t>
            </w:r>
          </w:p>
        </w:tc>
        <w:tc>
          <w:tcPr>
            <w:tcW w:w="113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Ⅲ</w:t>
            </w:r>
          </w:p>
        </w:tc>
        <w:tc>
          <w:tcPr>
            <w:tcW w:w="113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达标</w:t>
            </w:r>
          </w:p>
        </w:tc>
        <w:tc>
          <w:tcPr>
            <w:tcW w:w="2090"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68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16</w:t>
            </w:r>
          </w:p>
        </w:tc>
        <w:tc>
          <w:tcPr>
            <w:tcW w:w="1359" w:type="dxa"/>
            <w:vMerge w:val="continue"/>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p>
        </w:tc>
        <w:tc>
          <w:tcPr>
            <w:tcW w:w="1360" w:type="dxa"/>
            <w:vMerge w:val="continue"/>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p>
        </w:tc>
        <w:tc>
          <w:tcPr>
            <w:tcW w:w="1529"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2020年7月</w:t>
            </w:r>
          </w:p>
        </w:tc>
        <w:tc>
          <w:tcPr>
            <w:tcW w:w="113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Ⅲ</w:t>
            </w:r>
          </w:p>
        </w:tc>
        <w:tc>
          <w:tcPr>
            <w:tcW w:w="113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达标</w:t>
            </w:r>
          </w:p>
        </w:tc>
        <w:tc>
          <w:tcPr>
            <w:tcW w:w="2090"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68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17</w:t>
            </w:r>
          </w:p>
        </w:tc>
        <w:tc>
          <w:tcPr>
            <w:tcW w:w="1359" w:type="dxa"/>
            <w:vMerge w:val="continue"/>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p>
        </w:tc>
        <w:tc>
          <w:tcPr>
            <w:tcW w:w="1360" w:type="dxa"/>
            <w:vMerge w:val="continue"/>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p>
        </w:tc>
        <w:tc>
          <w:tcPr>
            <w:tcW w:w="1529"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2020年8月</w:t>
            </w:r>
          </w:p>
        </w:tc>
        <w:tc>
          <w:tcPr>
            <w:tcW w:w="113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Ⅲ</w:t>
            </w:r>
          </w:p>
        </w:tc>
        <w:tc>
          <w:tcPr>
            <w:tcW w:w="113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达标</w:t>
            </w:r>
          </w:p>
        </w:tc>
        <w:tc>
          <w:tcPr>
            <w:tcW w:w="2090"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68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18</w:t>
            </w:r>
          </w:p>
        </w:tc>
        <w:tc>
          <w:tcPr>
            <w:tcW w:w="1359" w:type="dxa"/>
            <w:vMerge w:val="continue"/>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p>
        </w:tc>
        <w:tc>
          <w:tcPr>
            <w:tcW w:w="1360" w:type="dxa"/>
            <w:vMerge w:val="continue"/>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p>
        </w:tc>
        <w:tc>
          <w:tcPr>
            <w:tcW w:w="1529"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2020年9月</w:t>
            </w:r>
          </w:p>
        </w:tc>
        <w:tc>
          <w:tcPr>
            <w:tcW w:w="113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Ⅱ</w:t>
            </w:r>
          </w:p>
        </w:tc>
        <w:tc>
          <w:tcPr>
            <w:tcW w:w="113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达标</w:t>
            </w:r>
          </w:p>
        </w:tc>
        <w:tc>
          <w:tcPr>
            <w:tcW w:w="2090"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68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19</w:t>
            </w:r>
          </w:p>
        </w:tc>
        <w:tc>
          <w:tcPr>
            <w:tcW w:w="1359" w:type="dxa"/>
            <w:vMerge w:val="continue"/>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p>
        </w:tc>
        <w:tc>
          <w:tcPr>
            <w:tcW w:w="1360" w:type="dxa"/>
            <w:vMerge w:val="continue"/>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p>
        </w:tc>
        <w:tc>
          <w:tcPr>
            <w:tcW w:w="1529"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2020年10月</w:t>
            </w:r>
          </w:p>
        </w:tc>
        <w:tc>
          <w:tcPr>
            <w:tcW w:w="113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Ⅱ</w:t>
            </w:r>
          </w:p>
        </w:tc>
        <w:tc>
          <w:tcPr>
            <w:tcW w:w="113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达标</w:t>
            </w:r>
          </w:p>
        </w:tc>
        <w:tc>
          <w:tcPr>
            <w:tcW w:w="2090"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68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20</w:t>
            </w:r>
          </w:p>
        </w:tc>
        <w:tc>
          <w:tcPr>
            <w:tcW w:w="1359" w:type="dxa"/>
            <w:vMerge w:val="continue"/>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p>
        </w:tc>
        <w:tc>
          <w:tcPr>
            <w:tcW w:w="1360" w:type="dxa"/>
            <w:vMerge w:val="continue"/>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p>
        </w:tc>
        <w:tc>
          <w:tcPr>
            <w:tcW w:w="1529"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2020年11月</w:t>
            </w:r>
          </w:p>
        </w:tc>
        <w:tc>
          <w:tcPr>
            <w:tcW w:w="113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Ⅱ</w:t>
            </w:r>
          </w:p>
        </w:tc>
        <w:tc>
          <w:tcPr>
            <w:tcW w:w="113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达标</w:t>
            </w:r>
          </w:p>
        </w:tc>
        <w:tc>
          <w:tcPr>
            <w:tcW w:w="2090"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12" w:hRule="atLeast"/>
          <w:jc w:val="center"/>
        </w:trPr>
        <w:tc>
          <w:tcPr>
            <w:tcW w:w="68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21</w:t>
            </w:r>
          </w:p>
        </w:tc>
        <w:tc>
          <w:tcPr>
            <w:tcW w:w="1359" w:type="dxa"/>
            <w:vMerge w:val="continue"/>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p>
        </w:tc>
        <w:tc>
          <w:tcPr>
            <w:tcW w:w="1360" w:type="dxa"/>
            <w:vMerge w:val="continue"/>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p>
        </w:tc>
        <w:tc>
          <w:tcPr>
            <w:tcW w:w="1529"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2020年12月</w:t>
            </w:r>
          </w:p>
        </w:tc>
        <w:tc>
          <w:tcPr>
            <w:tcW w:w="113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Ⅲ</w:t>
            </w:r>
          </w:p>
        </w:tc>
        <w:tc>
          <w:tcPr>
            <w:tcW w:w="1133"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达标</w:t>
            </w:r>
          </w:p>
        </w:tc>
        <w:tc>
          <w:tcPr>
            <w:tcW w:w="2090" w:type="dxa"/>
            <w:noWrap w:val="0"/>
            <w:vAlign w:val="center"/>
          </w:tcPr>
          <w:p>
            <w:pPr>
              <w:widowControl/>
              <w:adjustRightInd w:val="0"/>
              <w:spacing w:line="0" w:lineRule="atLeas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r>
    </w:tbl>
    <w:p>
      <w:pPr>
        <w:spacing w:after="60"/>
        <w:ind w:firstLine="240" w:firstLineChars="100"/>
        <w:outlineLvl w:val="5"/>
        <w:rPr>
          <w:rFonts w:hint="default" w:ascii="Times New Roman" w:hAnsi="Times New Roman" w:eastAsia="黑体" w:cs="Times New Roman"/>
          <w:sz w:val="24"/>
          <w:szCs w:val="20"/>
        </w:rPr>
      </w:pPr>
      <w:r>
        <w:rPr>
          <w:rFonts w:ascii="黑体" w:eastAsia="黑体" w:cs="宋体"/>
          <w:sz w:val="24"/>
          <w:szCs w:val="20"/>
        </w:rPr>
        <w:br w:type="page"/>
      </w:r>
      <w:r>
        <w:rPr>
          <w:rFonts w:hint="default" w:ascii="Times New Roman" w:hAnsi="Times New Roman" w:eastAsia="黑体" w:cs="Times New Roman"/>
          <w:sz w:val="24"/>
          <w:szCs w:val="20"/>
        </w:rPr>
        <w:t>续表9.2</w:t>
      </w:r>
      <w:r>
        <w:rPr>
          <w:rFonts w:hint="default" w:ascii="Times New Roman" w:hAnsi="Times New Roman" w:eastAsia="黑体" w:cs="Times New Roman"/>
          <w:sz w:val="24"/>
          <w:szCs w:val="20"/>
          <w:lang w:eastAsia="zh-CN"/>
        </w:rPr>
        <w:t>—</w:t>
      </w:r>
      <w:r>
        <w:rPr>
          <w:rFonts w:hint="default" w:ascii="Times New Roman" w:hAnsi="Times New Roman" w:eastAsia="黑体" w:cs="Times New Roman"/>
          <w:sz w:val="24"/>
          <w:szCs w:val="20"/>
        </w:rPr>
        <w:t>1     2020年6月至2020年12月綦江区水环境质量监测结果</w:t>
      </w:r>
    </w:p>
    <w:tbl>
      <w:tblPr>
        <w:tblStyle w:val="88"/>
        <w:tblW w:w="0" w:type="auto"/>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fixed"/>
        <w:tblCellMar>
          <w:top w:w="0" w:type="dxa"/>
          <w:left w:w="108" w:type="dxa"/>
          <w:bottom w:w="0" w:type="dxa"/>
          <w:right w:w="108" w:type="dxa"/>
        </w:tblCellMar>
      </w:tblPr>
      <w:tblGrid>
        <w:gridCol w:w="683"/>
        <w:gridCol w:w="1359"/>
        <w:gridCol w:w="1360"/>
        <w:gridCol w:w="1529"/>
        <w:gridCol w:w="1133"/>
        <w:gridCol w:w="1133"/>
        <w:gridCol w:w="2090"/>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68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序号</w:t>
            </w:r>
          </w:p>
        </w:tc>
        <w:tc>
          <w:tcPr>
            <w:tcW w:w="1359"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分类</w:t>
            </w:r>
          </w:p>
        </w:tc>
        <w:tc>
          <w:tcPr>
            <w:tcW w:w="1360"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断面名称</w:t>
            </w:r>
          </w:p>
        </w:tc>
        <w:tc>
          <w:tcPr>
            <w:tcW w:w="1529"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监测月份</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水质级别</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达标情况</w:t>
            </w:r>
          </w:p>
        </w:tc>
        <w:tc>
          <w:tcPr>
            <w:tcW w:w="2090"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超标指标及</w:t>
            </w:r>
          </w:p>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超标倍数</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68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22</w:t>
            </w:r>
          </w:p>
        </w:tc>
        <w:tc>
          <w:tcPr>
            <w:tcW w:w="1359" w:type="dxa"/>
            <w:vMerge w:val="restart"/>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地表河流</w:t>
            </w:r>
          </w:p>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监测断面</w:t>
            </w:r>
          </w:p>
        </w:tc>
        <w:tc>
          <w:tcPr>
            <w:tcW w:w="1360" w:type="dxa"/>
            <w:vMerge w:val="restart"/>
            <w:noWrap w:val="0"/>
            <w:vAlign w:val="center"/>
          </w:tcPr>
          <w:p>
            <w:pPr>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扶欢</w:t>
            </w:r>
          </w:p>
          <w:p>
            <w:pPr>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（扶欢河）</w:t>
            </w:r>
          </w:p>
        </w:tc>
        <w:tc>
          <w:tcPr>
            <w:tcW w:w="1529"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2020年6月</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Ⅳ</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不达标</w:t>
            </w:r>
          </w:p>
        </w:tc>
        <w:tc>
          <w:tcPr>
            <w:tcW w:w="2090"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总磷（0.25倍）</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68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23</w:t>
            </w:r>
          </w:p>
        </w:tc>
        <w:tc>
          <w:tcPr>
            <w:tcW w:w="1359" w:type="dxa"/>
            <w:vMerge w:val="continue"/>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1360" w:type="dxa"/>
            <w:vMerge w:val="continue"/>
            <w:noWrap w:val="0"/>
            <w:vAlign w:val="center"/>
          </w:tcPr>
          <w:p>
            <w:pPr>
              <w:adjustRightInd w:val="0"/>
              <w:spacing w:line="240" w:lineRule="exact"/>
              <w:ind w:firstLine="0" w:firstLineChars="0"/>
              <w:jc w:val="center"/>
              <w:rPr>
                <w:rFonts w:hint="eastAsia" w:ascii="楷体_GB2312" w:eastAsia="楷体_GB2312"/>
                <w:snapToGrid w:val="0"/>
                <w:kern w:val="0"/>
                <w:sz w:val="21"/>
                <w:szCs w:val="21"/>
                <w:lang w:val="zh-CN"/>
              </w:rPr>
            </w:pPr>
          </w:p>
        </w:tc>
        <w:tc>
          <w:tcPr>
            <w:tcW w:w="1529"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2020年7月</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Ⅲ</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达标</w:t>
            </w:r>
          </w:p>
        </w:tc>
        <w:tc>
          <w:tcPr>
            <w:tcW w:w="2090"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68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24</w:t>
            </w:r>
          </w:p>
        </w:tc>
        <w:tc>
          <w:tcPr>
            <w:tcW w:w="1359" w:type="dxa"/>
            <w:vMerge w:val="continue"/>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1360" w:type="dxa"/>
            <w:vMerge w:val="continue"/>
            <w:noWrap w:val="0"/>
            <w:vAlign w:val="center"/>
          </w:tcPr>
          <w:p>
            <w:pPr>
              <w:adjustRightInd w:val="0"/>
              <w:spacing w:line="240" w:lineRule="exact"/>
              <w:ind w:firstLine="0" w:firstLineChars="0"/>
              <w:jc w:val="center"/>
              <w:rPr>
                <w:rFonts w:hint="eastAsia" w:ascii="楷体_GB2312" w:eastAsia="楷体_GB2312"/>
                <w:snapToGrid w:val="0"/>
                <w:kern w:val="0"/>
                <w:sz w:val="21"/>
                <w:szCs w:val="21"/>
                <w:lang w:val="zh-CN"/>
              </w:rPr>
            </w:pPr>
          </w:p>
        </w:tc>
        <w:tc>
          <w:tcPr>
            <w:tcW w:w="1529"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2020年8月</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Ⅱ</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达标</w:t>
            </w:r>
          </w:p>
        </w:tc>
        <w:tc>
          <w:tcPr>
            <w:tcW w:w="2090"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68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25</w:t>
            </w:r>
          </w:p>
        </w:tc>
        <w:tc>
          <w:tcPr>
            <w:tcW w:w="1359" w:type="dxa"/>
            <w:vMerge w:val="continue"/>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1360" w:type="dxa"/>
            <w:vMerge w:val="continue"/>
            <w:noWrap w:val="0"/>
            <w:vAlign w:val="center"/>
          </w:tcPr>
          <w:p>
            <w:pPr>
              <w:adjustRightInd w:val="0"/>
              <w:spacing w:line="240" w:lineRule="exact"/>
              <w:ind w:firstLine="0" w:firstLineChars="0"/>
              <w:jc w:val="center"/>
              <w:rPr>
                <w:rFonts w:hint="eastAsia" w:ascii="楷体_GB2312" w:eastAsia="楷体_GB2312"/>
                <w:snapToGrid w:val="0"/>
                <w:kern w:val="0"/>
                <w:sz w:val="21"/>
                <w:szCs w:val="21"/>
                <w:lang w:val="zh-CN"/>
              </w:rPr>
            </w:pPr>
          </w:p>
        </w:tc>
        <w:tc>
          <w:tcPr>
            <w:tcW w:w="1529"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2020年9月</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劣Ⅴ</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不达标</w:t>
            </w:r>
          </w:p>
        </w:tc>
        <w:tc>
          <w:tcPr>
            <w:tcW w:w="2090"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氟化物（1.66倍）</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68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26</w:t>
            </w:r>
          </w:p>
        </w:tc>
        <w:tc>
          <w:tcPr>
            <w:tcW w:w="1359" w:type="dxa"/>
            <w:vMerge w:val="continue"/>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1360" w:type="dxa"/>
            <w:vMerge w:val="continue"/>
            <w:noWrap w:val="0"/>
            <w:vAlign w:val="center"/>
          </w:tcPr>
          <w:p>
            <w:pPr>
              <w:adjustRightInd w:val="0"/>
              <w:spacing w:line="240" w:lineRule="exact"/>
              <w:ind w:firstLine="0" w:firstLineChars="0"/>
              <w:jc w:val="center"/>
              <w:rPr>
                <w:rFonts w:hint="eastAsia" w:ascii="楷体_GB2312" w:eastAsia="楷体_GB2312"/>
                <w:snapToGrid w:val="0"/>
                <w:kern w:val="0"/>
                <w:sz w:val="21"/>
                <w:szCs w:val="21"/>
                <w:lang w:val="zh-CN"/>
              </w:rPr>
            </w:pPr>
          </w:p>
        </w:tc>
        <w:tc>
          <w:tcPr>
            <w:tcW w:w="1529"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2020年10月</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Ⅱ</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达标</w:t>
            </w:r>
          </w:p>
        </w:tc>
        <w:tc>
          <w:tcPr>
            <w:tcW w:w="2090"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68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27</w:t>
            </w:r>
          </w:p>
        </w:tc>
        <w:tc>
          <w:tcPr>
            <w:tcW w:w="1359" w:type="dxa"/>
            <w:vMerge w:val="continue"/>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1360" w:type="dxa"/>
            <w:vMerge w:val="continue"/>
            <w:noWrap w:val="0"/>
            <w:vAlign w:val="center"/>
          </w:tcPr>
          <w:p>
            <w:pPr>
              <w:adjustRightInd w:val="0"/>
              <w:spacing w:line="240" w:lineRule="exact"/>
              <w:ind w:firstLine="0" w:firstLineChars="0"/>
              <w:jc w:val="center"/>
              <w:rPr>
                <w:rFonts w:hint="eastAsia" w:ascii="楷体_GB2312" w:eastAsia="楷体_GB2312"/>
                <w:snapToGrid w:val="0"/>
                <w:kern w:val="0"/>
                <w:sz w:val="21"/>
                <w:szCs w:val="21"/>
                <w:lang w:val="zh-CN"/>
              </w:rPr>
            </w:pPr>
          </w:p>
        </w:tc>
        <w:tc>
          <w:tcPr>
            <w:tcW w:w="1529"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2020年11月</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Ⅱ</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达标</w:t>
            </w:r>
          </w:p>
        </w:tc>
        <w:tc>
          <w:tcPr>
            <w:tcW w:w="2090"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68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28</w:t>
            </w:r>
          </w:p>
        </w:tc>
        <w:tc>
          <w:tcPr>
            <w:tcW w:w="1359" w:type="dxa"/>
            <w:vMerge w:val="continue"/>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1360" w:type="dxa"/>
            <w:vMerge w:val="continue"/>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1529"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2020年12月</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Ⅱ</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达标</w:t>
            </w:r>
          </w:p>
        </w:tc>
        <w:tc>
          <w:tcPr>
            <w:tcW w:w="2090"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68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29</w:t>
            </w:r>
          </w:p>
        </w:tc>
        <w:tc>
          <w:tcPr>
            <w:tcW w:w="1359" w:type="dxa"/>
            <w:vMerge w:val="continue"/>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1360" w:type="dxa"/>
            <w:vMerge w:val="restart"/>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寨溪大桥</w:t>
            </w:r>
          </w:p>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（蒲河）</w:t>
            </w:r>
          </w:p>
        </w:tc>
        <w:tc>
          <w:tcPr>
            <w:tcW w:w="1529"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2020年6月</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Ⅱ</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达标</w:t>
            </w:r>
          </w:p>
        </w:tc>
        <w:tc>
          <w:tcPr>
            <w:tcW w:w="2090"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68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30</w:t>
            </w:r>
          </w:p>
        </w:tc>
        <w:tc>
          <w:tcPr>
            <w:tcW w:w="1359" w:type="dxa"/>
            <w:vMerge w:val="continue"/>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1360" w:type="dxa"/>
            <w:vMerge w:val="continue"/>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1529"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2020年7月</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Ⅱ</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达标</w:t>
            </w:r>
          </w:p>
        </w:tc>
        <w:tc>
          <w:tcPr>
            <w:tcW w:w="2090"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68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31</w:t>
            </w:r>
          </w:p>
        </w:tc>
        <w:tc>
          <w:tcPr>
            <w:tcW w:w="1359" w:type="dxa"/>
            <w:vMerge w:val="continue"/>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1360" w:type="dxa"/>
            <w:vMerge w:val="continue"/>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1529"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2020年8月</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Ⅱ</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达标</w:t>
            </w:r>
          </w:p>
        </w:tc>
        <w:tc>
          <w:tcPr>
            <w:tcW w:w="2090"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68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32</w:t>
            </w:r>
          </w:p>
        </w:tc>
        <w:tc>
          <w:tcPr>
            <w:tcW w:w="1359" w:type="dxa"/>
            <w:vMerge w:val="continue"/>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1360" w:type="dxa"/>
            <w:vMerge w:val="continue"/>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1529"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2020年9月</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Ⅱ</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达标</w:t>
            </w:r>
          </w:p>
        </w:tc>
        <w:tc>
          <w:tcPr>
            <w:tcW w:w="2090"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68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33</w:t>
            </w:r>
          </w:p>
        </w:tc>
        <w:tc>
          <w:tcPr>
            <w:tcW w:w="1359" w:type="dxa"/>
            <w:vMerge w:val="continue"/>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1360" w:type="dxa"/>
            <w:vMerge w:val="continue"/>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1529"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2020年10月</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Ⅱ</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达标</w:t>
            </w:r>
          </w:p>
        </w:tc>
        <w:tc>
          <w:tcPr>
            <w:tcW w:w="2090"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68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34</w:t>
            </w:r>
          </w:p>
        </w:tc>
        <w:tc>
          <w:tcPr>
            <w:tcW w:w="1359" w:type="dxa"/>
            <w:vMerge w:val="continue"/>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1360" w:type="dxa"/>
            <w:vMerge w:val="continue"/>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1529"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2020年11月</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Ⅱ</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达标</w:t>
            </w:r>
          </w:p>
        </w:tc>
        <w:tc>
          <w:tcPr>
            <w:tcW w:w="2090"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68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35</w:t>
            </w:r>
          </w:p>
        </w:tc>
        <w:tc>
          <w:tcPr>
            <w:tcW w:w="1359" w:type="dxa"/>
            <w:vMerge w:val="continue"/>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1360" w:type="dxa"/>
            <w:vMerge w:val="continue"/>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1529"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2020年12月</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Ⅲ</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达标</w:t>
            </w:r>
          </w:p>
        </w:tc>
        <w:tc>
          <w:tcPr>
            <w:tcW w:w="2090"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68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36</w:t>
            </w:r>
          </w:p>
        </w:tc>
        <w:tc>
          <w:tcPr>
            <w:tcW w:w="1359" w:type="dxa"/>
            <w:vMerge w:val="continue"/>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1360" w:type="dxa"/>
            <w:vMerge w:val="restart"/>
            <w:noWrap w:val="0"/>
            <w:vAlign w:val="center"/>
          </w:tcPr>
          <w:p>
            <w:pPr>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温塘</w:t>
            </w:r>
          </w:p>
          <w:p>
            <w:pPr>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（蒲河）</w:t>
            </w:r>
          </w:p>
        </w:tc>
        <w:tc>
          <w:tcPr>
            <w:tcW w:w="1529"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2020年6月</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Ⅲ</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达标</w:t>
            </w:r>
          </w:p>
        </w:tc>
        <w:tc>
          <w:tcPr>
            <w:tcW w:w="2090"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68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37</w:t>
            </w:r>
          </w:p>
        </w:tc>
        <w:tc>
          <w:tcPr>
            <w:tcW w:w="1359" w:type="dxa"/>
            <w:vMerge w:val="continue"/>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1360" w:type="dxa"/>
            <w:vMerge w:val="continue"/>
            <w:noWrap w:val="0"/>
            <w:vAlign w:val="center"/>
          </w:tcPr>
          <w:p>
            <w:pPr>
              <w:adjustRightInd w:val="0"/>
              <w:spacing w:line="240" w:lineRule="exact"/>
              <w:ind w:firstLine="0" w:firstLineChars="0"/>
              <w:jc w:val="center"/>
              <w:rPr>
                <w:rFonts w:hint="eastAsia" w:ascii="楷体_GB2312" w:eastAsia="楷体_GB2312"/>
                <w:snapToGrid w:val="0"/>
                <w:kern w:val="0"/>
                <w:sz w:val="21"/>
                <w:szCs w:val="21"/>
                <w:lang w:val="zh-CN"/>
              </w:rPr>
            </w:pPr>
          </w:p>
        </w:tc>
        <w:tc>
          <w:tcPr>
            <w:tcW w:w="1529"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2020年7月</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Ⅱ</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达标</w:t>
            </w:r>
          </w:p>
        </w:tc>
        <w:tc>
          <w:tcPr>
            <w:tcW w:w="2090"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68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38</w:t>
            </w:r>
          </w:p>
        </w:tc>
        <w:tc>
          <w:tcPr>
            <w:tcW w:w="1359" w:type="dxa"/>
            <w:vMerge w:val="continue"/>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1360" w:type="dxa"/>
            <w:vMerge w:val="continue"/>
            <w:noWrap w:val="0"/>
            <w:vAlign w:val="center"/>
          </w:tcPr>
          <w:p>
            <w:pPr>
              <w:adjustRightInd w:val="0"/>
              <w:spacing w:line="240" w:lineRule="exact"/>
              <w:ind w:firstLine="0" w:firstLineChars="0"/>
              <w:jc w:val="center"/>
              <w:rPr>
                <w:rFonts w:hint="eastAsia" w:ascii="楷体_GB2312" w:eastAsia="楷体_GB2312"/>
                <w:snapToGrid w:val="0"/>
                <w:kern w:val="0"/>
                <w:sz w:val="21"/>
                <w:szCs w:val="21"/>
                <w:lang w:val="zh-CN"/>
              </w:rPr>
            </w:pPr>
          </w:p>
        </w:tc>
        <w:tc>
          <w:tcPr>
            <w:tcW w:w="1529"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2020年8月</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Ⅱ</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达标</w:t>
            </w:r>
          </w:p>
        </w:tc>
        <w:tc>
          <w:tcPr>
            <w:tcW w:w="2090"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68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39</w:t>
            </w:r>
          </w:p>
        </w:tc>
        <w:tc>
          <w:tcPr>
            <w:tcW w:w="1359" w:type="dxa"/>
            <w:vMerge w:val="continue"/>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1360" w:type="dxa"/>
            <w:vMerge w:val="continue"/>
            <w:noWrap w:val="0"/>
            <w:vAlign w:val="center"/>
          </w:tcPr>
          <w:p>
            <w:pPr>
              <w:adjustRightInd w:val="0"/>
              <w:spacing w:line="240" w:lineRule="exact"/>
              <w:ind w:firstLine="0" w:firstLineChars="0"/>
              <w:jc w:val="center"/>
              <w:rPr>
                <w:rFonts w:hint="eastAsia" w:ascii="楷体_GB2312" w:eastAsia="楷体_GB2312"/>
                <w:snapToGrid w:val="0"/>
                <w:kern w:val="0"/>
                <w:sz w:val="21"/>
                <w:szCs w:val="21"/>
                <w:lang w:val="zh-CN"/>
              </w:rPr>
            </w:pPr>
          </w:p>
        </w:tc>
        <w:tc>
          <w:tcPr>
            <w:tcW w:w="1529"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2020年9月</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Ⅱ</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达标</w:t>
            </w:r>
          </w:p>
        </w:tc>
        <w:tc>
          <w:tcPr>
            <w:tcW w:w="2090"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68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40</w:t>
            </w:r>
          </w:p>
        </w:tc>
        <w:tc>
          <w:tcPr>
            <w:tcW w:w="1359" w:type="dxa"/>
            <w:vMerge w:val="continue"/>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1360" w:type="dxa"/>
            <w:vMerge w:val="continue"/>
            <w:noWrap w:val="0"/>
            <w:vAlign w:val="center"/>
          </w:tcPr>
          <w:p>
            <w:pPr>
              <w:adjustRightInd w:val="0"/>
              <w:spacing w:line="240" w:lineRule="exact"/>
              <w:ind w:firstLine="0" w:firstLineChars="0"/>
              <w:jc w:val="center"/>
              <w:rPr>
                <w:rFonts w:hint="eastAsia" w:ascii="楷体_GB2312" w:eastAsia="楷体_GB2312"/>
                <w:snapToGrid w:val="0"/>
                <w:kern w:val="0"/>
                <w:sz w:val="21"/>
                <w:szCs w:val="21"/>
                <w:lang w:val="zh-CN"/>
              </w:rPr>
            </w:pPr>
          </w:p>
        </w:tc>
        <w:tc>
          <w:tcPr>
            <w:tcW w:w="1529"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2020年10月</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Ⅱ</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达标</w:t>
            </w:r>
          </w:p>
        </w:tc>
        <w:tc>
          <w:tcPr>
            <w:tcW w:w="2090"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68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41</w:t>
            </w:r>
          </w:p>
        </w:tc>
        <w:tc>
          <w:tcPr>
            <w:tcW w:w="1359" w:type="dxa"/>
            <w:vMerge w:val="continue"/>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1360" w:type="dxa"/>
            <w:vMerge w:val="continue"/>
            <w:noWrap w:val="0"/>
            <w:vAlign w:val="center"/>
          </w:tcPr>
          <w:p>
            <w:pPr>
              <w:adjustRightInd w:val="0"/>
              <w:spacing w:line="240" w:lineRule="exact"/>
              <w:ind w:firstLine="0" w:firstLineChars="0"/>
              <w:jc w:val="center"/>
              <w:rPr>
                <w:rFonts w:hint="eastAsia" w:ascii="楷体_GB2312" w:eastAsia="楷体_GB2312"/>
                <w:snapToGrid w:val="0"/>
                <w:kern w:val="0"/>
                <w:sz w:val="21"/>
                <w:szCs w:val="21"/>
                <w:lang w:val="zh-CN"/>
              </w:rPr>
            </w:pPr>
          </w:p>
        </w:tc>
        <w:tc>
          <w:tcPr>
            <w:tcW w:w="1529"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2020年11月</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Ⅱ</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达标</w:t>
            </w:r>
          </w:p>
        </w:tc>
        <w:tc>
          <w:tcPr>
            <w:tcW w:w="2090"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68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42</w:t>
            </w:r>
          </w:p>
        </w:tc>
        <w:tc>
          <w:tcPr>
            <w:tcW w:w="1359" w:type="dxa"/>
            <w:vMerge w:val="continue"/>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1360" w:type="dxa"/>
            <w:vMerge w:val="continue"/>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1529"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2020年12月</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Ⅲ</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达标</w:t>
            </w:r>
          </w:p>
        </w:tc>
        <w:tc>
          <w:tcPr>
            <w:tcW w:w="2090"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68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43</w:t>
            </w:r>
          </w:p>
        </w:tc>
        <w:tc>
          <w:tcPr>
            <w:tcW w:w="1359" w:type="dxa"/>
            <w:vMerge w:val="restart"/>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集中式</w:t>
            </w:r>
          </w:p>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生活饮用水</w:t>
            </w:r>
          </w:p>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水源监测点</w:t>
            </w:r>
          </w:p>
        </w:tc>
        <w:tc>
          <w:tcPr>
            <w:tcW w:w="1360" w:type="dxa"/>
            <w:vMerge w:val="restart"/>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鱼栏咀水库</w:t>
            </w:r>
          </w:p>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（水库型地表水水源）</w:t>
            </w:r>
          </w:p>
        </w:tc>
        <w:tc>
          <w:tcPr>
            <w:tcW w:w="1529"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2020年6月</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Ⅱ</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达标</w:t>
            </w:r>
          </w:p>
        </w:tc>
        <w:tc>
          <w:tcPr>
            <w:tcW w:w="2090"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68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44</w:t>
            </w:r>
          </w:p>
        </w:tc>
        <w:tc>
          <w:tcPr>
            <w:tcW w:w="1359" w:type="dxa"/>
            <w:vMerge w:val="continue"/>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1360" w:type="dxa"/>
            <w:vMerge w:val="continue"/>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1529"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2020年7月</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Ⅲ</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达标</w:t>
            </w:r>
          </w:p>
        </w:tc>
        <w:tc>
          <w:tcPr>
            <w:tcW w:w="2090"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68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45</w:t>
            </w:r>
          </w:p>
        </w:tc>
        <w:tc>
          <w:tcPr>
            <w:tcW w:w="1359" w:type="dxa"/>
            <w:vMerge w:val="continue"/>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1360" w:type="dxa"/>
            <w:vMerge w:val="continue"/>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1529"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2020年8月</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Ⅲ</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达标</w:t>
            </w:r>
          </w:p>
        </w:tc>
        <w:tc>
          <w:tcPr>
            <w:tcW w:w="2090"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68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46</w:t>
            </w:r>
          </w:p>
        </w:tc>
        <w:tc>
          <w:tcPr>
            <w:tcW w:w="1359" w:type="dxa"/>
            <w:vMerge w:val="continue"/>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1360" w:type="dxa"/>
            <w:vMerge w:val="continue"/>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1529"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2020年9月</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Ⅱ</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达标</w:t>
            </w:r>
          </w:p>
        </w:tc>
        <w:tc>
          <w:tcPr>
            <w:tcW w:w="2090"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68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47</w:t>
            </w:r>
          </w:p>
        </w:tc>
        <w:tc>
          <w:tcPr>
            <w:tcW w:w="1359" w:type="dxa"/>
            <w:vMerge w:val="continue"/>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1360" w:type="dxa"/>
            <w:vMerge w:val="continue"/>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1529"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2020年10月</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Ⅲ</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达标</w:t>
            </w:r>
          </w:p>
        </w:tc>
        <w:tc>
          <w:tcPr>
            <w:tcW w:w="2090"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68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48</w:t>
            </w:r>
          </w:p>
        </w:tc>
        <w:tc>
          <w:tcPr>
            <w:tcW w:w="1359" w:type="dxa"/>
            <w:vMerge w:val="continue"/>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1360" w:type="dxa"/>
            <w:vMerge w:val="continue"/>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1529"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2020年11月</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Ⅱ</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达标</w:t>
            </w:r>
          </w:p>
        </w:tc>
        <w:tc>
          <w:tcPr>
            <w:tcW w:w="2090"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68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49</w:t>
            </w:r>
          </w:p>
        </w:tc>
        <w:tc>
          <w:tcPr>
            <w:tcW w:w="1359" w:type="dxa"/>
            <w:vMerge w:val="continue"/>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1360" w:type="dxa"/>
            <w:vMerge w:val="continue"/>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1529"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2020年12月</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Ⅱ</w:t>
            </w:r>
          </w:p>
        </w:tc>
        <w:tc>
          <w:tcPr>
            <w:tcW w:w="1133"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达标</w:t>
            </w:r>
          </w:p>
        </w:tc>
        <w:tc>
          <w:tcPr>
            <w:tcW w:w="2090" w:type="dxa"/>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r>
    </w:tbl>
    <w:p>
      <w:pPr>
        <w:widowControl/>
        <w:adjustRightInd w:val="0"/>
        <w:spacing w:line="0" w:lineRule="atLeast"/>
        <w:ind w:firstLine="0" w:firstLineChars="0"/>
        <w:rPr>
          <w:rFonts w:eastAsia="楷体_GB2312"/>
          <w:snapToGrid w:val="0"/>
          <w:kern w:val="0"/>
          <w:sz w:val="21"/>
          <w:szCs w:val="21"/>
          <w:lang w:val="zh-CN"/>
        </w:rPr>
      </w:pPr>
      <w:r>
        <w:rPr>
          <w:rFonts w:hint="eastAsia" w:eastAsia="楷体_GB2312"/>
          <w:snapToGrid w:val="0"/>
          <w:kern w:val="0"/>
          <w:sz w:val="21"/>
          <w:szCs w:val="21"/>
          <w:lang w:val="zh-CN"/>
        </w:rPr>
        <w:t>注明：数据来源于綦江区生态环境局发布的《重庆市綦江区水环境质量月报》。</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5</w:t>
      </w:r>
      <w:r>
        <w:rPr>
          <w:rFonts w:hint="eastAsia" w:ascii="Times New Roman" w:eastAsia="方正仿宋_GBK" w:cs="Times New Roman"/>
          <w:bCs/>
          <w:sz w:val="32"/>
          <w:szCs w:val="32"/>
          <w:lang w:val="en-US" w:eastAsia="zh-CN"/>
        </w:rPr>
        <w:t>．</w:t>
      </w:r>
      <w:r>
        <w:rPr>
          <w:rFonts w:hint="eastAsia" w:ascii="Times New Roman" w:hAnsi="Times New Roman" w:eastAsia="方正仿宋_GBK" w:cs="Times New Roman"/>
          <w:sz w:val="32"/>
          <w:szCs w:val="32"/>
          <w:lang w:val="en-US" w:eastAsia="zh-CN"/>
        </w:rPr>
        <w:t>主要环境问题</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zh-CN" w:eastAsia="zh-CN"/>
        </w:rPr>
      </w:pPr>
      <w:r>
        <w:rPr>
          <w:rFonts w:hint="eastAsia" w:ascii="Times New Roman" w:hAnsi="Times New Roman" w:eastAsia="方正仿宋_GBK" w:cs="Times New Roman"/>
          <w:sz w:val="32"/>
          <w:szCs w:val="32"/>
          <w:lang w:val="en-US" w:eastAsia="zh-CN"/>
        </w:rPr>
        <w:t>5.1</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zh-CN" w:eastAsia="zh-CN"/>
        </w:rPr>
        <w:t>引水式开发造成部分河段减脱水</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根据《重庆市綦江流域水能资源开发规划（修编）》，按照修编后的规划方案，綦江流域内共布局水电站97座，其中已建、在建水电站91座，新建水电站6座。綦江流域91座已建、在建电站绝大多数为引水式开发，几乎造成全河段减脱水。在2017年环保督查以前，部分河段干涸，水生生境遭到严重破坏。</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zh-CN" w:eastAsia="zh-CN"/>
        </w:rPr>
      </w:pPr>
      <w:r>
        <w:rPr>
          <w:rFonts w:hint="eastAsia" w:ascii="Times New Roman" w:hAnsi="Times New Roman" w:eastAsia="方正仿宋_GBK" w:cs="Times New Roman"/>
          <w:sz w:val="32"/>
          <w:szCs w:val="32"/>
          <w:lang w:val="en-US" w:eastAsia="zh-CN"/>
        </w:rPr>
        <w:t>5.2</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zh-CN" w:eastAsia="zh-CN"/>
        </w:rPr>
        <w:t>流域总体水质良好，但部分河段存在水污染问题</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流域矿产资源丰富，沿岸分布有15家煤矿企业。部分煤矿企业存在设备陈旧，工艺技术落后、防污染设施缺乏或闲置的情况，导致煤矿排污口下游局部河段铁锰超标。此外，沿岸乡镇污水收集和处理率不高，农村生活污水散排，导致局部河段TN、粪大肠菌群等少数指标超标。</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zh-CN" w:eastAsia="zh-CN"/>
        </w:rPr>
      </w:pPr>
      <w:r>
        <w:rPr>
          <w:rFonts w:hint="eastAsia" w:ascii="Times New Roman" w:hAnsi="Times New Roman" w:eastAsia="方正仿宋_GBK" w:cs="Times New Roman"/>
          <w:sz w:val="32"/>
          <w:szCs w:val="32"/>
          <w:lang w:val="en-US" w:eastAsia="zh-CN"/>
        </w:rPr>
        <w:t>5.3</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zh-CN" w:eastAsia="zh-CN"/>
        </w:rPr>
        <w:t>水土流失问题突出</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由于人类活动的加剧和不合理开发，局部区域森林生态系统有退化趋势，森林覆盖率降低，植被遭到破坏，植物群落向灌丛、灌草丛低级群落发展。高强度的社会经济开发活动易造成新的水土流失。水土流失类型以水力侵蚀为主。陡坡耕种、矿山开采、道路修建等造成的地表植被覆盖率下降是人为造成水土流失的主要原因。</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zh-CN" w:eastAsia="zh-CN"/>
        </w:rPr>
      </w:pPr>
      <w:r>
        <w:rPr>
          <w:rFonts w:hint="eastAsia" w:ascii="Times New Roman" w:hAnsi="Times New Roman" w:eastAsia="方正仿宋_GBK" w:cs="Times New Roman"/>
          <w:sz w:val="32"/>
          <w:szCs w:val="32"/>
          <w:lang w:val="en-US" w:eastAsia="zh-CN"/>
        </w:rPr>
        <w:t>5.4</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zh-CN" w:eastAsia="zh-CN"/>
        </w:rPr>
        <w:t>地质灾害频发</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szCs w:val="20"/>
        </w:rPr>
      </w:pPr>
      <w:r>
        <w:rPr>
          <w:rFonts w:hint="eastAsia" w:ascii="Times New Roman" w:hAnsi="Times New Roman" w:eastAsia="方正仿宋_GBK" w:cs="Times New Roman"/>
          <w:sz w:val="32"/>
          <w:szCs w:val="32"/>
          <w:lang w:val="en-US" w:eastAsia="zh-CN"/>
        </w:rPr>
        <w:t>由于不合理的采矿、修路等人类工程活动和不合理的农业活动等影响，导致了滑坡、崩塌等地质灾害的频繁发生，造成不同程度的人员伤亡，交通中断，厂矿建筑和居民房屋被损毁，良田遭破坏，给人民生命财产造成了重大损失，已成为威胁流域经济社会发展的一个重要因素。</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方正楷体_GBK" w:hAnsi="方正楷体_GBK" w:eastAsia="方正楷体_GBK" w:cs="方正楷体_GBK"/>
          <w:bCs/>
          <w:sz w:val="32"/>
          <w:lang w:val="zh-CN"/>
        </w:rPr>
      </w:pPr>
      <w:r>
        <w:rPr>
          <w:rFonts w:hint="eastAsia" w:ascii="方正楷体_GBK" w:hAnsi="方正楷体_GBK" w:eastAsia="方正楷体_GBK" w:cs="方正楷体_GBK"/>
          <w:bCs/>
          <w:sz w:val="32"/>
          <w:lang w:val="zh-CN"/>
        </w:rPr>
        <w:t>（</w:t>
      </w:r>
      <w:r>
        <w:rPr>
          <w:rFonts w:hint="eastAsia" w:ascii="方正楷体_GBK" w:hAnsi="方正楷体_GBK" w:eastAsia="方正楷体_GBK" w:cs="方正楷体_GBK"/>
          <w:bCs/>
          <w:sz w:val="32"/>
          <w:lang w:val="en-US" w:eastAsia="zh-CN"/>
        </w:rPr>
        <w:t>三</w:t>
      </w:r>
      <w:r>
        <w:rPr>
          <w:rFonts w:hint="eastAsia" w:ascii="方正楷体_GBK" w:hAnsi="方正楷体_GBK" w:eastAsia="方正楷体_GBK" w:cs="方正楷体_GBK"/>
          <w:bCs/>
          <w:sz w:val="32"/>
          <w:lang w:val="zh-CN"/>
        </w:rPr>
        <w:t>）规划分析</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1</w:t>
      </w:r>
      <w:r>
        <w:rPr>
          <w:rFonts w:hint="eastAsia" w:ascii="Times New Roman" w:eastAsia="方正仿宋_GBK" w:cs="Times New Roman"/>
          <w:bCs/>
          <w:sz w:val="32"/>
          <w:szCs w:val="32"/>
          <w:lang w:val="en-US" w:eastAsia="zh-CN"/>
        </w:rPr>
        <w:t>．</w:t>
      </w:r>
      <w:r>
        <w:rPr>
          <w:rFonts w:hint="eastAsia" w:ascii="Times New Roman" w:hAnsi="Times New Roman" w:eastAsia="方正仿宋_GBK" w:cs="Times New Roman"/>
          <w:sz w:val="32"/>
          <w:szCs w:val="32"/>
          <w:lang w:val="en-US" w:eastAsia="zh-CN"/>
        </w:rPr>
        <w:t>规划协调性分析</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zh-CN" w:eastAsia="zh-CN"/>
        </w:rPr>
      </w:pPr>
      <w:r>
        <w:rPr>
          <w:rFonts w:hint="eastAsia" w:ascii="Times New Roman" w:hAnsi="Times New Roman" w:eastAsia="方正仿宋_GBK" w:cs="Times New Roman"/>
          <w:sz w:val="32"/>
          <w:szCs w:val="32"/>
          <w:lang w:val="en-US" w:eastAsia="zh-CN"/>
        </w:rPr>
        <w:t>1.1</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zh-CN" w:eastAsia="zh-CN"/>
        </w:rPr>
        <w:t>与法律、法规的符合性分析</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1.1.1</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en-US" w:eastAsia="zh-CN"/>
        </w:rPr>
        <w:t>与《中华人民共和国水法》的符合性分析</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水法》第四条规定“开发、利用、节约、保护水资源和防治水害，应当全面规划、统筹兼顾、标本兼治、综合利用、讲求效益，发挥水资源的多种功能，协调好生活、生产经营和生态环境用水”。綦江城区防洪规划将贯彻“城市防洪与江河治理、防洪工程与市政建设、工程措施与非工程措施结合” 的原则，采取多种措施进行综合治理，突出防洪体系的整体作用。綦江城区防洪规划将与改善生态环境相结合，充分保护现有河流的自然环境，推进水生态文明建设，处理好治理与保护、防洪与城市景观格局的关系，给洪水以出路，实现人与自然和谐相处。</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因此，綦江城区防洪规划体现了“全面规划、统筹兼顾”，在防治水害同时也保护了生态环境，与《水法》的相关规定是协调的。</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1.1.2</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en-US" w:eastAsia="zh-CN"/>
        </w:rPr>
        <w:t>与《中华人民共和国防洪法》的符合性分析</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《防洪法》第十一条规定“编制防洪规划，应当遵循确保重点、兼顾一般，以及防汛和抗旱相结合、工程措施和非工程措施相结合的原则，充分考虑洪涝规律和上下游、左右岸的关系以及</w:t>
      </w:r>
      <w:r>
        <w:rPr>
          <w:rFonts w:hint="eastAsia" w:ascii="Times New Roman" w:hAnsi="Times New Roman" w:eastAsia="方正仿宋_GBK" w:cs="Times New Roman"/>
          <w:spacing w:val="-11"/>
          <w:sz w:val="32"/>
          <w:szCs w:val="32"/>
          <w:lang w:val="en-US" w:eastAsia="zh-CN"/>
        </w:rPr>
        <w:t>国民经济对防洪的要求，并与国土规划和土地利用总体规划相协</w:t>
      </w:r>
      <w:r>
        <w:rPr>
          <w:rFonts w:hint="eastAsia" w:ascii="Times New Roman" w:hAnsi="Times New Roman" w:eastAsia="方正仿宋_GBK" w:cs="Times New Roman"/>
          <w:sz w:val="32"/>
          <w:szCs w:val="32"/>
          <w:lang w:val="en-US" w:eastAsia="zh-CN"/>
        </w:rPr>
        <w:t>调” 。</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本次防洪规划方案，在綦江城区20年一遇堤防护岸的基础上在上游修建藻渡水库等工程，将城区防洪标准提高至50年一遇。藻渡水库除有“调蓄洪峰”的防洪功能，还将修建“输水干渠”为江津区、巴南区和南岸区进行供水。目前，渝南片区仍以引提水工程为主，存在提水扬程高、运行成本高、供水工程规模小、供水保证率低、应对极端气候和连续干旱的能力差等问题。因此，渝南片区虽然水资源总量丰富，但工程性缺水问题突出，导致旱灾频发，尤以伏旱最为严重。</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因此，本次防洪规划中藻渡水库的修建，不仅能提高綦江主城区的防洪能力，也将缓解渝南片区水资源供给不足，解决水资源供需矛盾，体现了《防洪法》中“防汛和抗旱相结合”的精神。</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1.1.3</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en-US" w:eastAsia="zh-CN"/>
        </w:rPr>
        <w:t>与《关于落实生态保护红线、环境质量底线、资源利用上线制定生态环境准入清单实施生态环境分区管控的实施意见》（渝府发﹝2020﹞11号）的符合性分析</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经初步识别，规划河道整治、堤防工程和规划藻渡水库坝址等均不涉及已批准的重庆市生态保护红线。</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对照《重庆市长江经济带发展负面清单实施细则（试行）》（渝推长办发〔2019〕40号），规划河道整治、堤防工程和规划防洪水库工程均不属于负面清单中禁止的事项。</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规划河道整治、堤防工程和规划藻渡水库坝址等均不属于工业类项目，其建成运营后，不新增排放污染物、改变区域环境质量现状。</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因此，本次规划符合“三线一单”的要求。</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1.1.4</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en-US" w:eastAsia="zh-CN"/>
        </w:rPr>
        <w:t>与《中华人民共和国水污染防治法》的符合性分析</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中华人民共和国水污染防治法》第五十八条规定：禁止在饮用水水源一级保护区内新建、改建、扩建与供水设施和保护水源无关的建设项目；已建成的与供水设施和保护水源无关的建设项目，由县级以上人民政府责令拆除或者关闭。</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本次规划中的藻渡水库拟建工程位于现有赶水镇藻渡河饮用水源一级保护区内。藻渡水库兼有防洪、供水、灌溉等功能，藻渡水库建成后覆盖的应急供水范围将包括綦江区、沙坪坝区、九龙坡区、巴南区和江津区的部分乡镇，赶水镇也将直接从藻渡水库取水。因此，藻渡水库属于供水水源工程建设，符合《水污染防治法》第五十八条的规定。</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1.1.5</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en-US" w:eastAsia="zh-CN"/>
        </w:rPr>
        <w:t>与《中华人民共和国长江保护法》的符合性分析</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中华人民共和国长江保护法》第三十二条规定：国务院有关部门和长江流域地方各级人民政府应当采取措施，加快病险水库除险加固，推进堤防和蓄滞洪区建设，提升洪涝灾害防御工程标准，加强水工程联合调度，开展河道泥沙观测和河势调查，建立与经济社会发展相适应的防洪减灾工程和非工程体系，提高防御水旱灾害的整体能力。</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本次防洪规划属于其中防洪减灾工程和非工程体系建设，规划实施后将极大提升防洪标准、增加綦江抵御洪水的能力。因此本规划与《长江保护法》的有关规定是一致的。</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zh-CN" w:eastAsia="zh-CN"/>
        </w:rPr>
      </w:pPr>
      <w:r>
        <w:rPr>
          <w:rFonts w:hint="eastAsia" w:ascii="Times New Roman" w:hAnsi="Times New Roman" w:eastAsia="方正仿宋_GBK" w:cs="Times New Roman"/>
          <w:sz w:val="32"/>
          <w:szCs w:val="32"/>
          <w:lang w:val="en-US" w:eastAsia="zh-CN"/>
        </w:rPr>
        <w:t>1.2</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zh-CN" w:eastAsia="zh-CN"/>
        </w:rPr>
        <w:t>与</w:t>
      </w:r>
      <w:r>
        <w:rPr>
          <w:rFonts w:hint="eastAsia" w:ascii="Times New Roman" w:hAnsi="Times New Roman" w:eastAsia="方正仿宋_GBK" w:cs="Times New Roman"/>
          <w:sz w:val="32"/>
          <w:szCs w:val="32"/>
          <w:lang w:val="en-US" w:eastAsia="zh-CN"/>
        </w:rPr>
        <w:t>相关</w:t>
      </w:r>
      <w:r>
        <w:rPr>
          <w:rFonts w:hint="eastAsia" w:ascii="Times New Roman" w:hAnsi="Times New Roman" w:eastAsia="方正仿宋_GBK" w:cs="Times New Roman"/>
          <w:sz w:val="32"/>
          <w:szCs w:val="32"/>
          <w:lang w:val="zh-CN" w:eastAsia="zh-CN"/>
        </w:rPr>
        <w:t>规划</w:t>
      </w:r>
      <w:r>
        <w:rPr>
          <w:rFonts w:hint="eastAsia" w:ascii="Times New Roman" w:hAnsi="Times New Roman" w:eastAsia="方正仿宋_GBK" w:cs="Times New Roman"/>
          <w:sz w:val="32"/>
          <w:szCs w:val="32"/>
          <w:lang w:val="en-US" w:eastAsia="zh-CN"/>
        </w:rPr>
        <w:t>的符合</w:t>
      </w:r>
      <w:r>
        <w:rPr>
          <w:rFonts w:hint="eastAsia" w:ascii="Times New Roman" w:hAnsi="Times New Roman" w:eastAsia="方正仿宋_GBK" w:cs="Times New Roman"/>
          <w:sz w:val="32"/>
          <w:szCs w:val="32"/>
          <w:lang w:val="zh-CN" w:eastAsia="zh-CN"/>
        </w:rPr>
        <w:t>性分析</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pacing w:val="-11"/>
          <w:sz w:val="32"/>
          <w:szCs w:val="32"/>
          <w:lang w:val="en-US" w:eastAsia="zh-CN"/>
        </w:rPr>
      </w:pPr>
      <w:r>
        <w:rPr>
          <w:rFonts w:hint="eastAsia" w:ascii="Times New Roman" w:hAnsi="Times New Roman" w:eastAsia="方正仿宋_GBK" w:cs="Times New Roman"/>
          <w:sz w:val="32"/>
          <w:szCs w:val="32"/>
          <w:lang w:val="en-US" w:eastAsia="zh-CN"/>
        </w:rPr>
        <w:t>1.2.1</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en-US" w:eastAsia="zh-CN"/>
        </w:rPr>
        <w:t>与《长</w:t>
      </w:r>
      <w:r>
        <w:rPr>
          <w:rFonts w:hint="eastAsia" w:ascii="Times New Roman" w:hAnsi="Times New Roman" w:eastAsia="方正仿宋_GBK" w:cs="Times New Roman"/>
          <w:spacing w:val="-11"/>
          <w:sz w:val="32"/>
          <w:szCs w:val="32"/>
          <w:lang w:val="en-US" w:eastAsia="zh-CN"/>
        </w:rPr>
        <w:t>江流域综合规划（2012</w:t>
      </w:r>
      <w:r>
        <w:rPr>
          <w:rFonts w:hint="eastAsia" w:ascii="Times New Roman" w:eastAsia="方正仿宋_GBK" w:cs="Times New Roman"/>
          <w:spacing w:val="-11"/>
          <w:sz w:val="32"/>
          <w:szCs w:val="32"/>
          <w:lang w:val="en-US" w:eastAsia="zh-CN"/>
        </w:rPr>
        <w:t>—</w:t>
      </w:r>
      <w:r>
        <w:rPr>
          <w:rFonts w:hint="eastAsia" w:ascii="Times New Roman" w:hAnsi="Times New Roman" w:eastAsia="方正仿宋_GBK" w:cs="Times New Roman"/>
          <w:spacing w:val="-11"/>
          <w:sz w:val="32"/>
          <w:szCs w:val="32"/>
          <w:lang w:val="en-US" w:eastAsia="zh-CN"/>
        </w:rPr>
        <w:t>2030年）》的符合性分析</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2012年，由国务院以“国函﹝20</w:t>
      </w:r>
      <w:r>
        <w:rPr>
          <w:rFonts w:hint="eastAsia" w:ascii="Times New Roman" w:eastAsia="方正仿宋_GBK" w:cs="Times New Roman"/>
          <w:sz w:val="32"/>
          <w:szCs w:val="32"/>
          <w:lang w:val="en-US" w:eastAsia="zh-CN"/>
        </w:rPr>
        <w:t>12</w:t>
      </w:r>
      <w:r>
        <w:rPr>
          <w:rFonts w:hint="eastAsia" w:ascii="Times New Roman" w:hAnsi="Times New Roman" w:eastAsia="方正仿宋_GBK" w:cs="Times New Roman"/>
          <w:sz w:val="32"/>
          <w:szCs w:val="32"/>
          <w:lang w:val="en-US" w:eastAsia="zh-CN"/>
        </w:rPr>
        <w:t>﹞220号”文件批复了《长江流域综合规划（2012</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2030年）》（以下简称《规划》）。《规划》中有关于重庆市城市供水工程建设规划提出：“长江、嘉陵江是主要供水水源，近年来接连遭受干旱、水污染事故影响。应在加强两江水污染防治的同时，合理开发利用当地水资源，新建藻渡、高望、观景口、观音洞、龙岗、高洞子、七星、苟溪桥等大中型水库以及提水工程，两江提水和当地水源互为备用”。</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本次防洪规划中的藻渡水库工程主要任务之一是供水，因此与《长江流域综合规划（2012</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2030年）》是相符的。</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1.2.2</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en-US" w:eastAsia="zh-CN"/>
        </w:rPr>
        <w:t>《长江经济带生态环境保护规划》的相符性分析</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2017年7月，由环保部、国家发改委、水利部以“环规财﹝20</w:t>
      </w:r>
      <w:r>
        <w:rPr>
          <w:rFonts w:hint="eastAsia" w:ascii="Times New Roman" w:eastAsia="方正仿宋_GBK" w:cs="Times New Roman"/>
          <w:sz w:val="32"/>
          <w:szCs w:val="32"/>
          <w:lang w:val="en-US" w:eastAsia="zh-CN"/>
        </w:rPr>
        <w:t>17</w:t>
      </w:r>
      <w:r>
        <w:rPr>
          <w:rFonts w:hint="eastAsia" w:ascii="Times New Roman" w:hAnsi="Times New Roman" w:eastAsia="方正仿宋_GBK" w:cs="Times New Roman"/>
          <w:sz w:val="32"/>
          <w:szCs w:val="32"/>
          <w:lang w:val="en-US" w:eastAsia="zh-CN"/>
        </w:rPr>
        <w:t>﹞88号”文件联合印发《长江经济带生态环境保护规划》（以下简称《规划》）。《规划》中将长江划分为上游、中游、下游三个区，依据每个区的生态环境现状实行重点流域重点保护。</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上游区包括重庆、四川、贵州、云南等省市，区域水土流失、荒漠化严重，矿产资源开发等带来的环境污染和生态破坏问题突出，大城市及周边污染形势严峻。应重点加强水源涵养、水土保持、生物多样性维护和高原湖泊湿地保护，强化自然保护区建设和管护，合理开发利用水资源，禁止煤炭、有色金属、磷矿等资源的无序开发，加大湖库、湿地等敏感区的保护力度，加强云贵川喀斯特地区、金沙江中下游、嘉陵江流域、沱江流域、乌江中上游、三峡库区等区域水土流失治理与生态恢复，推进成渝城市群环境质量持续改善。</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依据《规划》要求，本次防洪规划的綦江区应“加强水土流失治理与生态恢复，推进成渝城市群环境质量持续改善”。本防洪规划在实施过程中落实各项植被恢复和水土保持措施后，将不会加剧区域水土流失问题。并且，规划水库工程实施后还将有效降低山洪暴发的危害，减轻区域地质灾害，对维护水土保持和生态保护有积极意义。因此本规划与《长江经济带生态环境保护规划》的有关要求是一致的。</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1.2.3</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en-US" w:eastAsia="zh-CN"/>
        </w:rPr>
        <w:t>与《重庆市重点生态功能区保护和建设规划（2011</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2030年）》的符合性分析</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重庆市人民政府办公厅《关于印发重庆市重点生态功能区保护和建设规划（2011</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2030年）的通知》（渝办发﹝20</w:t>
      </w:r>
      <w:r>
        <w:rPr>
          <w:rFonts w:hint="eastAsia" w:ascii="Times New Roman" w:eastAsia="方正仿宋_GBK" w:cs="Times New Roman"/>
          <w:sz w:val="32"/>
          <w:szCs w:val="32"/>
          <w:lang w:val="en-US" w:eastAsia="zh-CN"/>
        </w:rPr>
        <w:t>11</w:t>
      </w:r>
      <w:r>
        <w:rPr>
          <w:rFonts w:hint="eastAsia" w:ascii="Times New Roman" w:hAnsi="Times New Roman" w:eastAsia="方正仿宋_GBK" w:cs="Times New Roman"/>
          <w:sz w:val="32"/>
          <w:szCs w:val="32"/>
          <w:lang w:val="en-US" w:eastAsia="zh-CN"/>
        </w:rPr>
        <w:t>﹞167号），发布了对重点生态功能区保护和建设规划。根据规划，将重庆市划分出5个重点生态功能区，分别为“Ⅰ三峡库区水源涵养重要区、Ⅱ秦巴山地水源涵养重要区、Ⅲ武陵山山地生物多样性保护重要区、Ⅳ金佛山生物多样性保护重要区、Ⅴ都市区“四山”生态屏障重要区”。重点生态功能区将予以重点保护和限制开发，将以“保持流域、区域生态平衡，防止和减轻自然灾害，维护国家和地方生态安全”为主要目的。</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本次防洪规划工程区范围，不属于上述的5个重点生态功能区，属于重点生态功能区之外的一般生态功能区。防洪规划的实施将不会对重庆市水源涵养、水土保持、生物多样性保护等重要生态功能造成威胁，符合《重庆市重点生态功能区保护和建设规划（2011</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2030年）》的要求。</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1.2.4</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en-US" w:eastAsia="zh-CN"/>
        </w:rPr>
        <w:t>与《重庆市綦江区城乡总体规划（2012</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2020年）》的符合性分析</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《重庆市綦江区城乡总体规划（2012</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2020年）》将綦江区的“城市性质”规划为：渝南的综合交通枢纽、商贸物流中心，重庆市重要的现代综合制造业基地、城郊休闲旅游度假区、山地现代农业示范区、现代山水田园城市和渝黔合作共赢先行区。</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本次防洪规划方案，将在綦江城区沿河两岸，结合城市景观需求建设堤防工程。在河流两侧岸线开辟30</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100m宽度不等的滨水绿化带，种植花草、树木，兴建各种亲水性建筑，形成城市的“风廊”和绿轴，强化城市的亲水性；保护和恢复沿岸生态环境，逐步搬迁改造现有河流沿岸影响风貌景观的建筑，集中建设绿色开放空间，将河滨打造成为市民休闲、旅游、观光的胜地，体现滨水城市的景观风貌。</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规划防洪工程实施，将极大提高綦江城区应对大洪水的灵活性，同时大幅提升城市景观和品味，让“主城工作、綦江度假”的梦想变为现实，符合城市总体规划中对綦江区的发展定位。</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《重庆市綦江区城乡总体规划（2012</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2020年）》中对綦江区防洪规划的意见为：主城区按50年一遇洪水设防。主要防洪措施包括加高堤防，提高行洪标准；疏浚河道，清除障碍物；兴建蓄、引水工程，拦截洪峰等。其中，防洪护岸工程按20年一遇设计，结合旧城改造回填低洼地带至防洪高程，分期、分片达到20年一遇洪水标准；旧桥改造（綦江大桥和城北大桥）另选桥型，消除阻水影响，增加局部河段的防洪能力。</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本次防洪规划，设计堤防加固工程为20年一遇，并在上游修建藻渡水库等拦蓄洪峰，进一步将主城区防洪标准提高到50年一遇，符合总体规划中对于城市的防洪安排与要求。</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zh-CN" w:eastAsia="zh-CN"/>
        </w:rPr>
      </w:pPr>
      <w:r>
        <w:rPr>
          <w:rFonts w:hint="eastAsia" w:ascii="Times New Roman" w:hAnsi="Times New Roman" w:eastAsia="方正仿宋_GBK" w:cs="Times New Roman"/>
          <w:sz w:val="32"/>
          <w:szCs w:val="32"/>
          <w:lang w:val="en-US" w:eastAsia="zh-CN"/>
        </w:rPr>
        <w:t>1.3</w:t>
      </w:r>
      <w:r>
        <w:rPr>
          <w:rFonts w:hint="eastAsia" w:ascii="Times New Roman" w:hAnsi="Times New Roman" w:eastAsia="方正仿宋_GBK" w:cs="Times New Roman"/>
          <w:sz w:val="32"/>
          <w:szCs w:val="32"/>
          <w:lang w:val="zh-CN" w:eastAsia="zh-CN"/>
        </w:rPr>
        <w:t>与相关功能区划的</w:t>
      </w:r>
      <w:r>
        <w:rPr>
          <w:rFonts w:hint="eastAsia" w:ascii="Times New Roman" w:hAnsi="Times New Roman" w:eastAsia="方正仿宋_GBK" w:cs="Times New Roman"/>
          <w:sz w:val="32"/>
          <w:szCs w:val="32"/>
          <w:lang w:val="en-US" w:eastAsia="zh-CN"/>
        </w:rPr>
        <w:t>符合</w:t>
      </w:r>
      <w:r>
        <w:rPr>
          <w:rFonts w:hint="eastAsia" w:ascii="Times New Roman" w:hAnsi="Times New Roman" w:eastAsia="方正仿宋_GBK" w:cs="Times New Roman"/>
          <w:sz w:val="32"/>
          <w:szCs w:val="32"/>
          <w:lang w:val="zh-CN" w:eastAsia="zh-CN"/>
        </w:rPr>
        <w:t>性</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1.3.1与《全国生态功能区划》的符合性分析</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根据《全国生态功能区划（修编版）》（2015年），本次防洪规划区属于渝东南山区土壤保持功能区。区域山高坡陡，降雨丰富，水土流失敏感性程度高，区域生态功能以土壤保持为主。</w:t>
      </w:r>
    </w:p>
    <w:p>
      <w:pPr>
        <w:spacing w:after="60"/>
        <w:ind w:firstLine="240" w:firstLineChars="100"/>
        <w:outlineLvl w:val="5"/>
        <w:rPr>
          <w:rFonts w:hint="eastAsia" w:ascii="黑体" w:eastAsia="黑体" w:cs="宋体"/>
          <w:sz w:val="24"/>
          <w:szCs w:val="20"/>
        </w:rPr>
      </w:pPr>
    </w:p>
    <w:p>
      <w:pPr>
        <w:pStyle w:val="2"/>
        <w:rPr>
          <w:rFonts w:hint="eastAsia" w:ascii="黑体" w:eastAsia="黑体" w:cs="宋体"/>
          <w:sz w:val="24"/>
          <w:szCs w:val="20"/>
        </w:rPr>
      </w:pPr>
    </w:p>
    <w:p>
      <w:pPr>
        <w:pStyle w:val="2"/>
        <w:rPr>
          <w:rFonts w:hint="eastAsia" w:ascii="黑体" w:eastAsia="黑体" w:cs="宋体"/>
          <w:sz w:val="24"/>
          <w:szCs w:val="20"/>
        </w:rPr>
      </w:pPr>
    </w:p>
    <w:p>
      <w:pPr>
        <w:spacing w:after="60"/>
        <w:ind w:firstLine="1440" w:firstLineChars="600"/>
        <w:outlineLvl w:val="5"/>
        <w:rPr>
          <w:rFonts w:hint="default" w:ascii="Times New Roman" w:hAnsi="Times New Roman" w:eastAsia="黑体" w:cs="Times New Roman"/>
          <w:sz w:val="24"/>
          <w:szCs w:val="20"/>
        </w:rPr>
      </w:pPr>
      <w:r>
        <w:rPr>
          <w:rFonts w:hint="default" w:ascii="Times New Roman" w:hAnsi="Times New Roman" w:eastAsia="黑体" w:cs="Times New Roman"/>
          <w:sz w:val="24"/>
          <w:szCs w:val="20"/>
        </w:rPr>
        <w:t>表9.3</w:t>
      </w:r>
      <w:r>
        <w:rPr>
          <w:rFonts w:hint="default" w:ascii="Times New Roman" w:hAnsi="Times New Roman" w:eastAsia="黑体" w:cs="Times New Roman"/>
          <w:sz w:val="24"/>
          <w:szCs w:val="20"/>
          <w:lang w:eastAsia="zh-CN"/>
        </w:rPr>
        <w:t>—</w:t>
      </w:r>
      <w:r>
        <w:rPr>
          <w:rFonts w:hint="default" w:ascii="Times New Roman" w:hAnsi="Times New Roman" w:eastAsia="黑体" w:cs="Times New Roman"/>
          <w:sz w:val="24"/>
          <w:szCs w:val="20"/>
        </w:rPr>
        <w:t>1         防洪规划区与所属全国生态功能区划</w:t>
      </w:r>
    </w:p>
    <w:tbl>
      <w:tblPr>
        <w:tblStyle w:val="88"/>
        <w:tblW w:w="5000"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0" w:type="dxa"/>
          <w:bottom w:w="0" w:type="dxa"/>
          <w:right w:w="0" w:type="dxa"/>
        </w:tblCellMar>
      </w:tblPr>
      <w:tblGrid>
        <w:gridCol w:w="717"/>
        <w:gridCol w:w="1276"/>
        <w:gridCol w:w="2693"/>
        <w:gridCol w:w="4401"/>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717" w:type="dxa"/>
            <w:noWrap w:val="0"/>
            <w:vAlign w:val="center"/>
          </w:tcPr>
          <w:p>
            <w:pPr>
              <w:widowControl/>
              <w:adjustRightInd w:val="0"/>
              <w:spacing w:line="240" w:lineRule="exact"/>
              <w:ind w:firstLine="0" w:firstLineChars="0"/>
              <w:jc w:val="center"/>
              <w:rPr>
                <w:rFonts w:hint="eastAsia" w:ascii="方正黑体_GBK" w:hAnsi="方正黑体_GBK" w:eastAsia="方正黑体_GBK" w:cs="方正黑体_GBK"/>
                <w:snapToGrid w:val="0"/>
                <w:kern w:val="0"/>
                <w:sz w:val="21"/>
                <w:szCs w:val="21"/>
                <w:lang w:val="zh-CN"/>
              </w:rPr>
            </w:pPr>
            <w:r>
              <w:rPr>
                <w:rFonts w:hint="eastAsia" w:ascii="方正黑体_GBK" w:hAnsi="方正黑体_GBK" w:eastAsia="方正黑体_GBK" w:cs="方正黑体_GBK"/>
                <w:snapToGrid w:val="0"/>
                <w:kern w:val="0"/>
                <w:sz w:val="21"/>
                <w:szCs w:val="21"/>
                <w:lang w:val="zh-CN"/>
              </w:rPr>
              <w:t>区域</w:t>
            </w:r>
          </w:p>
        </w:tc>
        <w:tc>
          <w:tcPr>
            <w:tcW w:w="1276" w:type="dxa"/>
            <w:noWrap w:val="0"/>
            <w:vAlign w:val="center"/>
          </w:tcPr>
          <w:p>
            <w:pPr>
              <w:widowControl/>
              <w:adjustRightInd w:val="0"/>
              <w:spacing w:line="240" w:lineRule="exact"/>
              <w:ind w:firstLine="0" w:firstLineChars="0"/>
              <w:jc w:val="center"/>
              <w:rPr>
                <w:rFonts w:hint="eastAsia" w:ascii="方正黑体_GBK" w:hAnsi="方正黑体_GBK" w:eastAsia="方正黑体_GBK" w:cs="方正黑体_GBK"/>
                <w:snapToGrid w:val="0"/>
                <w:kern w:val="0"/>
                <w:sz w:val="21"/>
                <w:szCs w:val="21"/>
                <w:lang w:val="zh-CN"/>
              </w:rPr>
            </w:pPr>
            <w:r>
              <w:rPr>
                <w:rFonts w:hint="eastAsia" w:ascii="方正黑体_GBK" w:hAnsi="方正黑体_GBK" w:eastAsia="方正黑体_GBK" w:cs="方正黑体_GBK"/>
                <w:snapToGrid w:val="0"/>
                <w:kern w:val="0"/>
                <w:sz w:val="21"/>
                <w:szCs w:val="21"/>
                <w:lang w:val="zh-CN"/>
              </w:rPr>
              <w:t>所属功能区</w:t>
            </w:r>
          </w:p>
        </w:tc>
        <w:tc>
          <w:tcPr>
            <w:tcW w:w="2693" w:type="dxa"/>
            <w:noWrap w:val="0"/>
            <w:vAlign w:val="center"/>
          </w:tcPr>
          <w:p>
            <w:pPr>
              <w:widowControl/>
              <w:adjustRightInd w:val="0"/>
              <w:spacing w:line="240" w:lineRule="exact"/>
              <w:ind w:firstLine="0" w:firstLineChars="0"/>
              <w:jc w:val="center"/>
              <w:rPr>
                <w:rFonts w:hint="eastAsia" w:ascii="方正黑体_GBK" w:hAnsi="方正黑体_GBK" w:eastAsia="方正黑体_GBK" w:cs="方正黑体_GBK"/>
                <w:snapToGrid w:val="0"/>
                <w:kern w:val="0"/>
                <w:sz w:val="21"/>
                <w:szCs w:val="21"/>
                <w:lang w:val="zh-CN"/>
              </w:rPr>
            </w:pPr>
            <w:r>
              <w:rPr>
                <w:rFonts w:hint="eastAsia" w:ascii="方正黑体_GBK" w:hAnsi="方正黑体_GBK" w:eastAsia="方正黑体_GBK" w:cs="方正黑体_GBK"/>
                <w:snapToGrid w:val="0"/>
                <w:kern w:val="0"/>
                <w:sz w:val="21"/>
                <w:szCs w:val="21"/>
                <w:lang w:val="zh-CN"/>
              </w:rPr>
              <w:t>主要生态问题</w:t>
            </w:r>
          </w:p>
        </w:tc>
        <w:tc>
          <w:tcPr>
            <w:tcW w:w="4401" w:type="dxa"/>
            <w:noWrap w:val="0"/>
            <w:vAlign w:val="center"/>
          </w:tcPr>
          <w:p>
            <w:pPr>
              <w:widowControl/>
              <w:adjustRightInd w:val="0"/>
              <w:spacing w:line="240" w:lineRule="exact"/>
              <w:ind w:firstLine="0" w:firstLineChars="0"/>
              <w:jc w:val="center"/>
              <w:rPr>
                <w:rFonts w:hint="eastAsia" w:ascii="方正黑体_GBK" w:hAnsi="方正黑体_GBK" w:eastAsia="方正黑体_GBK" w:cs="方正黑体_GBK"/>
                <w:snapToGrid w:val="0"/>
                <w:kern w:val="0"/>
                <w:sz w:val="21"/>
                <w:szCs w:val="21"/>
                <w:lang w:val="zh-CN"/>
              </w:rPr>
            </w:pPr>
            <w:r>
              <w:rPr>
                <w:rFonts w:hint="eastAsia" w:ascii="方正黑体_GBK" w:hAnsi="方正黑体_GBK" w:eastAsia="方正黑体_GBK" w:cs="方正黑体_GBK"/>
                <w:snapToGrid w:val="0"/>
                <w:kern w:val="0"/>
                <w:sz w:val="21"/>
                <w:szCs w:val="21"/>
                <w:lang w:val="zh-CN"/>
              </w:rPr>
              <w:t>生态保护主要措施</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717" w:type="dxa"/>
            <w:noWrap w:val="0"/>
            <w:vAlign w:val="center"/>
          </w:tcPr>
          <w:p>
            <w:pPr>
              <w:widowControl/>
              <w:adjustRightInd w:val="0"/>
              <w:spacing w:line="240" w:lineRule="exact"/>
              <w:ind w:firstLine="0" w:firstLineChars="0"/>
              <w:jc w:val="center"/>
              <w:rPr>
                <w:rFonts w:hint="default" w:ascii="Times New Roman" w:hAnsi="Times New Roman" w:eastAsia="方正仿宋_GBK" w:cs="Times New Roman"/>
                <w:snapToGrid w:val="0"/>
                <w:kern w:val="0"/>
                <w:sz w:val="21"/>
                <w:szCs w:val="21"/>
                <w:lang w:val="zh-CN"/>
              </w:rPr>
            </w:pPr>
            <w:r>
              <w:rPr>
                <w:rFonts w:hint="default" w:ascii="Times New Roman" w:hAnsi="Times New Roman" w:eastAsia="方正仿宋_GBK" w:cs="Times New Roman"/>
                <w:snapToGrid w:val="0"/>
                <w:kern w:val="0"/>
                <w:sz w:val="21"/>
                <w:szCs w:val="21"/>
                <w:lang w:val="zh-CN"/>
              </w:rPr>
              <w:t>防洪</w:t>
            </w:r>
          </w:p>
          <w:p>
            <w:pPr>
              <w:widowControl/>
              <w:adjustRightInd w:val="0"/>
              <w:spacing w:line="240" w:lineRule="exact"/>
              <w:ind w:firstLine="0" w:firstLineChars="0"/>
              <w:jc w:val="center"/>
              <w:rPr>
                <w:rFonts w:hint="default" w:ascii="Times New Roman" w:hAnsi="Times New Roman" w:eastAsia="方正仿宋_GBK" w:cs="Times New Roman"/>
                <w:snapToGrid w:val="0"/>
                <w:kern w:val="0"/>
                <w:sz w:val="21"/>
                <w:szCs w:val="21"/>
                <w:lang w:val="zh-CN"/>
              </w:rPr>
            </w:pPr>
            <w:r>
              <w:rPr>
                <w:rFonts w:hint="default" w:ascii="Times New Roman" w:hAnsi="Times New Roman" w:eastAsia="方正仿宋_GBK" w:cs="Times New Roman"/>
                <w:snapToGrid w:val="0"/>
                <w:kern w:val="0"/>
                <w:sz w:val="21"/>
                <w:szCs w:val="21"/>
                <w:lang w:val="zh-CN"/>
              </w:rPr>
              <w:t>规划区</w:t>
            </w:r>
          </w:p>
        </w:tc>
        <w:tc>
          <w:tcPr>
            <w:tcW w:w="1276" w:type="dxa"/>
            <w:noWrap w:val="0"/>
            <w:vAlign w:val="center"/>
          </w:tcPr>
          <w:p>
            <w:pPr>
              <w:widowControl/>
              <w:adjustRightInd w:val="0"/>
              <w:spacing w:line="240" w:lineRule="exact"/>
              <w:ind w:firstLine="0" w:firstLineChars="0"/>
              <w:jc w:val="center"/>
              <w:rPr>
                <w:rFonts w:hint="default" w:ascii="Times New Roman" w:hAnsi="Times New Roman" w:eastAsia="方正仿宋_GBK" w:cs="Times New Roman"/>
                <w:snapToGrid w:val="0"/>
                <w:kern w:val="0"/>
                <w:sz w:val="21"/>
                <w:szCs w:val="21"/>
                <w:lang w:val="zh-CN"/>
              </w:rPr>
            </w:pPr>
            <w:r>
              <w:rPr>
                <w:rFonts w:hint="default" w:ascii="Times New Roman" w:hAnsi="Times New Roman" w:eastAsia="方正仿宋_GBK" w:cs="Times New Roman"/>
                <w:snapToGrid w:val="0"/>
                <w:kern w:val="0"/>
                <w:sz w:val="21"/>
                <w:szCs w:val="21"/>
                <w:lang w:val="zh-CN"/>
              </w:rPr>
              <w:t>渝东南山区土壤保持功能区</w:t>
            </w:r>
          </w:p>
        </w:tc>
        <w:tc>
          <w:tcPr>
            <w:tcW w:w="2693" w:type="dxa"/>
            <w:noWrap w:val="0"/>
            <w:vAlign w:val="center"/>
          </w:tcPr>
          <w:p>
            <w:pPr>
              <w:widowControl/>
              <w:adjustRightInd w:val="0"/>
              <w:spacing w:line="240" w:lineRule="exact"/>
              <w:ind w:firstLine="0" w:firstLineChars="0"/>
              <w:jc w:val="left"/>
              <w:rPr>
                <w:rFonts w:hint="default" w:ascii="Times New Roman" w:hAnsi="Times New Roman" w:eastAsia="方正仿宋_GBK" w:cs="Times New Roman"/>
                <w:snapToGrid w:val="0"/>
                <w:kern w:val="0"/>
                <w:sz w:val="21"/>
                <w:szCs w:val="21"/>
                <w:lang w:val="zh-CN"/>
              </w:rPr>
            </w:pPr>
            <w:r>
              <w:rPr>
                <w:rFonts w:hint="default" w:ascii="Times New Roman" w:hAnsi="Times New Roman" w:eastAsia="方正仿宋_GBK" w:cs="Times New Roman"/>
                <w:snapToGrid w:val="0"/>
                <w:kern w:val="0"/>
                <w:sz w:val="21"/>
                <w:szCs w:val="21"/>
                <w:lang w:val="zh-CN"/>
              </w:rPr>
              <w:t>森林资源不合理开发利用带来生态功能退化问题较为突出，主要表现为水土流失加重、石漠化问题突出、地质灾害增多、野生动植物栖息地破坏较严重。</w:t>
            </w:r>
          </w:p>
        </w:tc>
        <w:tc>
          <w:tcPr>
            <w:tcW w:w="4401" w:type="dxa"/>
            <w:noWrap w:val="0"/>
            <w:vAlign w:val="center"/>
          </w:tcPr>
          <w:p>
            <w:pPr>
              <w:widowControl/>
              <w:adjustRightInd w:val="0"/>
              <w:spacing w:line="240" w:lineRule="exact"/>
              <w:ind w:firstLine="0" w:firstLineChars="0"/>
              <w:jc w:val="left"/>
              <w:rPr>
                <w:rFonts w:hint="default" w:ascii="Times New Roman" w:hAnsi="Times New Roman" w:eastAsia="方正仿宋_GBK" w:cs="Times New Roman"/>
                <w:snapToGrid w:val="0"/>
                <w:kern w:val="0"/>
                <w:sz w:val="21"/>
                <w:szCs w:val="21"/>
                <w:lang w:val="zh-CN"/>
              </w:rPr>
            </w:pPr>
            <w:r>
              <w:rPr>
                <w:rFonts w:hint="default" w:ascii="Times New Roman" w:hAnsi="Times New Roman" w:eastAsia="方正仿宋_GBK" w:cs="Times New Roman"/>
                <w:snapToGrid w:val="0"/>
                <w:kern w:val="0"/>
                <w:sz w:val="21"/>
                <w:szCs w:val="21"/>
                <w:lang w:val="zh-CN"/>
              </w:rPr>
              <w:t>（1）加强自然保护区群建设，扩大保护范围；</w:t>
            </w:r>
          </w:p>
          <w:p>
            <w:pPr>
              <w:widowControl/>
              <w:adjustRightInd w:val="0"/>
              <w:spacing w:line="240" w:lineRule="exact"/>
              <w:ind w:firstLine="0" w:firstLineChars="0"/>
              <w:jc w:val="left"/>
              <w:rPr>
                <w:rFonts w:hint="default" w:ascii="Times New Roman" w:hAnsi="Times New Roman" w:eastAsia="方正仿宋_GBK" w:cs="Times New Roman"/>
                <w:snapToGrid w:val="0"/>
                <w:kern w:val="0"/>
                <w:sz w:val="21"/>
                <w:szCs w:val="21"/>
                <w:lang w:val="zh-CN"/>
              </w:rPr>
            </w:pPr>
            <w:r>
              <w:rPr>
                <w:rFonts w:hint="default" w:ascii="Times New Roman" w:hAnsi="Times New Roman" w:eastAsia="方正仿宋_GBK" w:cs="Times New Roman"/>
                <w:snapToGrid w:val="0"/>
                <w:kern w:val="0"/>
                <w:sz w:val="21"/>
                <w:szCs w:val="21"/>
                <w:lang w:val="zh-CN"/>
              </w:rPr>
              <w:t>（2）坚持自然恢复，恢复常绿阔叶林的乔、灌、草植被体系，优化森林生态系统结构；</w:t>
            </w:r>
          </w:p>
          <w:p>
            <w:pPr>
              <w:widowControl/>
              <w:adjustRightInd w:val="0"/>
              <w:spacing w:line="240" w:lineRule="exact"/>
              <w:ind w:firstLine="0" w:firstLineChars="0"/>
              <w:jc w:val="left"/>
              <w:rPr>
                <w:rFonts w:hint="default" w:ascii="Times New Roman" w:hAnsi="Times New Roman" w:eastAsia="方正仿宋_GBK" w:cs="Times New Roman"/>
                <w:snapToGrid w:val="0"/>
                <w:kern w:val="0"/>
                <w:sz w:val="21"/>
                <w:szCs w:val="21"/>
                <w:lang w:val="zh-CN"/>
              </w:rPr>
            </w:pPr>
            <w:r>
              <w:rPr>
                <w:rFonts w:hint="default" w:ascii="Times New Roman" w:hAnsi="Times New Roman" w:eastAsia="方正仿宋_GBK" w:cs="Times New Roman"/>
                <w:snapToGrid w:val="0"/>
                <w:kern w:val="0"/>
                <w:sz w:val="21"/>
                <w:szCs w:val="21"/>
                <w:lang w:val="zh-CN"/>
              </w:rPr>
              <w:t>（3）继续实施退耕还林、还草工程，以及石漠化治理工程；</w:t>
            </w:r>
          </w:p>
          <w:p>
            <w:pPr>
              <w:widowControl/>
              <w:adjustRightInd w:val="0"/>
              <w:spacing w:line="240" w:lineRule="exact"/>
              <w:ind w:firstLine="0" w:firstLineChars="0"/>
              <w:jc w:val="left"/>
              <w:rPr>
                <w:rFonts w:hint="default" w:ascii="Times New Roman" w:hAnsi="Times New Roman" w:eastAsia="方正仿宋_GBK" w:cs="Times New Roman"/>
                <w:snapToGrid w:val="0"/>
                <w:kern w:val="0"/>
                <w:sz w:val="21"/>
                <w:szCs w:val="21"/>
                <w:lang w:val="zh-CN"/>
              </w:rPr>
            </w:pPr>
            <w:r>
              <w:rPr>
                <w:rFonts w:hint="default" w:ascii="Times New Roman" w:hAnsi="Times New Roman" w:eastAsia="方正仿宋_GBK" w:cs="Times New Roman"/>
                <w:snapToGrid w:val="0"/>
                <w:kern w:val="0"/>
                <w:sz w:val="21"/>
                <w:szCs w:val="21"/>
                <w:lang w:val="zh-CN"/>
              </w:rPr>
              <w:t>（4）加强地质灾害的监督与预防。</w:t>
            </w:r>
          </w:p>
        </w:tc>
      </w:tr>
    </w:tbl>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本次规划的防洪工程，不涉及森林资源开发利用，在规划实施过程中落实各项植被恢复和水土保持措施后，将不会加剧区域水土流失问题。并且，规划水库工程实施后还将有效降低山洪暴发的危害，减轻区域地质灾害，对维护水土保持和生态保护有积极意义。因此，符合《全国生态功能区划》。</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1.3.2</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en-US" w:eastAsia="zh-CN"/>
        </w:rPr>
        <w:t>与《重庆主体功能区规划》的符合性分析</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根据《重庆主体功能区规划》，本次规划区域处于重庆市一小时经济圈内，属于重点开发区域，发展目标包括：合理调整国土空间（适度扩大服务业、制造业、交通、公共服务设施和城市居住等建设空间，减少农村生活空间，适当扩大绿色生态空间）、加快城镇化进程、加快产业发展、促进人口集聚、提高发展质量（转变发展方式，控制开发时序，保护好生态环境和基本农田，降低单位产出的资源消耗和污染排放，提高单位空间的产出效率和人口集聚密度）。发展定位中提出，切实保护好渝西和渝西北地区的耕地和基本农田，稳定提高方山丘陵地区的农产品综合生产能力；加强缙云山、中梁山、铜锣山、明月山、云雾山、四面山、黑山等山脉的保护和生态建设，做好长江、嘉陵江、涪江、綦江等河流污染防治，提高生态环境质量和区域的资源环境承载能力。</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本次防洪规划的实施将提高綦江主城区的防洪能力，保障人民生命财产安全和经济社会发展。同时也将大幅提升城市景观和品味，进一步升级綦江旅游度假区品质，有力支撑区域产业发展与升级，满足《重庆市主体功能区规划》的定位和加快产业发展等要求。各规划工程的水污染防治方案将与区域水污染防治要求将衔接一致，符合《重庆市主体功能区规划》做好河流污染防治的要求。</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1.3.3</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en-US" w:eastAsia="zh-CN"/>
        </w:rPr>
        <w:t>与《重庆市生态功能区划》的符合性分析</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根据《重庆市生态功能区划（修编）》（重庆市环境保护厅等，2008年），防洪规划区属于重庆市生态功能区划中的“江津</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綦江低山丘陵水文调蓄生态功能区”，生态功能定位：以水文调蓄和水源涵养为主。</w:t>
      </w:r>
    </w:p>
    <w:p>
      <w:pPr>
        <w:spacing w:after="60"/>
        <w:ind w:firstLine="240" w:firstLineChars="100"/>
        <w:outlineLvl w:val="5"/>
        <w:rPr>
          <w:rFonts w:hint="default" w:ascii="Times New Roman" w:hAnsi="Times New Roman" w:eastAsia="黑体" w:cs="Times New Roman"/>
          <w:sz w:val="24"/>
          <w:szCs w:val="20"/>
        </w:rPr>
      </w:pPr>
      <w:r>
        <w:rPr>
          <w:rFonts w:hint="default" w:ascii="Times New Roman" w:hAnsi="Times New Roman" w:eastAsia="黑体" w:cs="Times New Roman"/>
          <w:sz w:val="24"/>
          <w:szCs w:val="20"/>
        </w:rPr>
        <w:t>表9.3</w:t>
      </w:r>
      <w:r>
        <w:rPr>
          <w:rFonts w:hint="default" w:ascii="Times New Roman" w:hAnsi="Times New Roman" w:eastAsia="黑体" w:cs="Times New Roman"/>
          <w:sz w:val="24"/>
          <w:szCs w:val="20"/>
          <w:lang w:eastAsia="zh-CN"/>
        </w:rPr>
        <w:t>—</w:t>
      </w:r>
      <w:r>
        <w:rPr>
          <w:rFonts w:hint="default" w:ascii="Times New Roman" w:hAnsi="Times New Roman" w:eastAsia="黑体" w:cs="Times New Roman"/>
          <w:sz w:val="24"/>
          <w:szCs w:val="20"/>
        </w:rPr>
        <w:t>2         防洪规划区与所属重庆市生态功能区划</w:t>
      </w:r>
    </w:p>
    <w:tbl>
      <w:tblPr>
        <w:tblStyle w:val="88"/>
        <w:tblW w:w="5000"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0" w:type="dxa"/>
          <w:bottom w:w="0" w:type="dxa"/>
          <w:right w:w="0" w:type="dxa"/>
        </w:tblCellMar>
      </w:tblPr>
      <w:tblGrid>
        <w:gridCol w:w="970"/>
        <w:gridCol w:w="1250"/>
        <w:gridCol w:w="1616"/>
        <w:gridCol w:w="1983"/>
        <w:gridCol w:w="3268"/>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534" w:type="pct"/>
            <w:noWrap w:val="0"/>
            <w:vAlign w:val="center"/>
          </w:tcPr>
          <w:p>
            <w:pPr>
              <w:widowControl/>
              <w:adjustRightInd w:val="0"/>
              <w:spacing w:line="240" w:lineRule="exact"/>
              <w:ind w:firstLine="0" w:firstLineChars="0"/>
              <w:jc w:val="center"/>
              <w:rPr>
                <w:rFonts w:hint="eastAsia" w:ascii="方正黑体_GBK" w:hAnsi="方正黑体_GBK" w:eastAsia="方正黑体_GBK" w:cs="方正黑体_GBK"/>
                <w:snapToGrid w:val="0"/>
                <w:kern w:val="0"/>
                <w:sz w:val="21"/>
                <w:szCs w:val="21"/>
                <w:lang w:val="zh-CN"/>
              </w:rPr>
            </w:pPr>
            <w:r>
              <w:rPr>
                <w:rFonts w:hint="eastAsia" w:ascii="方正黑体_GBK" w:hAnsi="方正黑体_GBK" w:eastAsia="方正黑体_GBK" w:cs="方正黑体_GBK"/>
                <w:snapToGrid w:val="0"/>
                <w:kern w:val="0"/>
                <w:sz w:val="21"/>
                <w:szCs w:val="21"/>
                <w:lang w:val="zh-CN"/>
              </w:rPr>
              <w:t>区域</w:t>
            </w:r>
          </w:p>
        </w:tc>
        <w:tc>
          <w:tcPr>
            <w:tcW w:w="688" w:type="pct"/>
            <w:noWrap w:val="0"/>
            <w:vAlign w:val="center"/>
          </w:tcPr>
          <w:p>
            <w:pPr>
              <w:widowControl/>
              <w:adjustRightInd w:val="0"/>
              <w:spacing w:line="240" w:lineRule="exact"/>
              <w:ind w:firstLine="0" w:firstLineChars="0"/>
              <w:jc w:val="center"/>
              <w:rPr>
                <w:rFonts w:hint="eastAsia" w:ascii="方正黑体_GBK" w:hAnsi="方正黑体_GBK" w:eastAsia="方正黑体_GBK" w:cs="方正黑体_GBK"/>
                <w:snapToGrid w:val="0"/>
                <w:kern w:val="0"/>
                <w:sz w:val="21"/>
                <w:szCs w:val="21"/>
                <w:lang w:val="zh-CN"/>
              </w:rPr>
            </w:pPr>
            <w:r>
              <w:rPr>
                <w:rFonts w:hint="eastAsia" w:ascii="方正黑体_GBK" w:hAnsi="方正黑体_GBK" w:eastAsia="方正黑体_GBK" w:cs="方正黑体_GBK"/>
                <w:snapToGrid w:val="0"/>
                <w:kern w:val="0"/>
                <w:sz w:val="21"/>
                <w:szCs w:val="21"/>
                <w:lang w:val="zh-CN"/>
              </w:rPr>
              <w:t>所属功能区</w:t>
            </w:r>
          </w:p>
        </w:tc>
        <w:tc>
          <w:tcPr>
            <w:tcW w:w="889" w:type="pct"/>
            <w:noWrap w:val="0"/>
            <w:vAlign w:val="center"/>
          </w:tcPr>
          <w:p>
            <w:pPr>
              <w:widowControl/>
              <w:adjustRightInd w:val="0"/>
              <w:spacing w:line="240" w:lineRule="exact"/>
              <w:ind w:firstLine="0" w:firstLineChars="0"/>
              <w:jc w:val="center"/>
              <w:rPr>
                <w:rFonts w:hint="eastAsia" w:ascii="方正黑体_GBK" w:hAnsi="方正黑体_GBK" w:eastAsia="方正黑体_GBK" w:cs="方正黑体_GBK"/>
                <w:snapToGrid w:val="0"/>
                <w:kern w:val="0"/>
                <w:sz w:val="21"/>
                <w:szCs w:val="21"/>
                <w:lang w:val="zh-CN"/>
              </w:rPr>
            </w:pPr>
            <w:r>
              <w:rPr>
                <w:rFonts w:hint="eastAsia" w:ascii="方正黑体_GBK" w:hAnsi="方正黑体_GBK" w:eastAsia="方正黑体_GBK" w:cs="方正黑体_GBK"/>
                <w:snapToGrid w:val="0"/>
                <w:kern w:val="0"/>
                <w:sz w:val="21"/>
                <w:szCs w:val="21"/>
                <w:lang w:val="zh-CN"/>
              </w:rPr>
              <w:t>生态功能定位</w:t>
            </w:r>
          </w:p>
        </w:tc>
        <w:tc>
          <w:tcPr>
            <w:tcW w:w="1091" w:type="pct"/>
            <w:noWrap w:val="0"/>
            <w:vAlign w:val="center"/>
          </w:tcPr>
          <w:p>
            <w:pPr>
              <w:widowControl/>
              <w:adjustRightInd w:val="0"/>
              <w:spacing w:line="240" w:lineRule="exact"/>
              <w:ind w:firstLine="0" w:firstLineChars="0"/>
              <w:jc w:val="center"/>
              <w:rPr>
                <w:rFonts w:hint="eastAsia" w:ascii="方正黑体_GBK" w:hAnsi="方正黑体_GBK" w:eastAsia="方正黑体_GBK" w:cs="方正黑体_GBK"/>
                <w:snapToGrid w:val="0"/>
                <w:kern w:val="0"/>
                <w:sz w:val="21"/>
                <w:szCs w:val="21"/>
                <w:lang w:val="zh-CN"/>
              </w:rPr>
            </w:pPr>
            <w:r>
              <w:rPr>
                <w:rFonts w:hint="eastAsia" w:ascii="方正黑体_GBK" w:hAnsi="方正黑体_GBK" w:eastAsia="方正黑体_GBK" w:cs="方正黑体_GBK"/>
                <w:snapToGrid w:val="0"/>
                <w:kern w:val="0"/>
                <w:sz w:val="21"/>
                <w:szCs w:val="21"/>
                <w:lang w:val="zh-CN"/>
              </w:rPr>
              <w:t>主要生态问题</w:t>
            </w:r>
          </w:p>
        </w:tc>
        <w:tc>
          <w:tcPr>
            <w:tcW w:w="1798" w:type="pct"/>
            <w:noWrap w:val="0"/>
            <w:vAlign w:val="center"/>
          </w:tcPr>
          <w:p>
            <w:pPr>
              <w:widowControl/>
              <w:adjustRightInd w:val="0"/>
              <w:spacing w:line="240" w:lineRule="exact"/>
              <w:ind w:firstLine="0" w:firstLineChars="0"/>
              <w:jc w:val="center"/>
              <w:rPr>
                <w:rFonts w:hint="eastAsia" w:ascii="方正黑体_GBK" w:hAnsi="方正黑体_GBK" w:eastAsia="方正黑体_GBK" w:cs="方正黑体_GBK"/>
                <w:snapToGrid w:val="0"/>
                <w:kern w:val="0"/>
                <w:sz w:val="21"/>
                <w:szCs w:val="21"/>
                <w:lang w:val="zh-CN"/>
              </w:rPr>
            </w:pPr>
            <w:r>
              <w:rPr>
                <w:rFonts w:hint="eastAsia" w:ascii="方正黑体_GBK" w:hAnsi="方正黑体_GBK" w:eastAsia="方正黑体_GBK" w:cs="方正黑体_GBK"/>
                <w:snapToGrid w:val="0"/>
                <w:kern w:val="0"/>
                <w:sz w:val="21"/>
                <w:szCs w:val="21"/>
                <w:lang w:val="zh-CN"/>
              </w:rPr>
              <w:t>生态保护主要措施</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534" w:type="pct"/>
            <w:noWrap w:val="0"/>
            <w:vAlign w:val="center"/>
          </w:tcPr>
          <w:p>
            <w:pPr>
              <w:widowControl/>
              <w:adjustRightInd w:val="0"/>
              <w:spacing w:line="240" w:lineRule="exact"/>
              <w:ind w:firstLine="0" w:firstLineChars="0"/>
              <w:jc w:val="center"/>
              <w:rPr>
                <w:rFonts w:hint="default" w:ascii="Times New Roman" w:hAnsi="Times New Roman" w:eastAsia="方正仿宋_GBK" w:cs="Times New Roman"/>
                <w:snapToGrid w:val="0"/>
                <w:kern w:val="0"/>
                <w:sz w:val="21"/>
                <w:szCs w:val="21"/>
                <w:lang w:val="zh-CN"/>
              </w:rPr>
            </w:pPr>
            <w:r>
              <w:rPr>
                <w:rFonts w:hint="default" w:ascii="Times New Roman" w:hAnsi="Times New Roman" w:eastAsia="方正仿宋_GBK" w:cs="Times New Roman"/>
                <w:snapToGrid w:val="0"/>
                <w:kern w:val="0"/>
                <w:sz w:val="21"/>
                <w:szCs w:val="21"/>
                <w:lang w:val="zh-CN"/>
              </w:rPr>
              <w:t>防洪</w:t>
            </w:r>
          </w:p>
          <w:p>
            <w:pPr>
              <w:widowControl/>
              <w:adjustRightInd w:val="0"/>
              <w:spacing w:line="240" w:lineRule="exact"/>
              <w:ind w:firstLine="0" w:firstLineChars="0"/>
              <w:jc w:val="center"/>
              <w:rPr>
                <w:rFonts w:hint="default" w:ascii="Times New Roman" w:hAnsi="Times New Roman" w:eastAsia="方正仿宋_GBK" w:cs="Times New Roman"/>
                <w:snapToGrid w:val="0"/>
                <w:kern w:val="0"/>
                <w:sz w:val="21"/>
                <w:szCs w:val="21"/>
                <w:lang w:val="zh-CN"/>
              </w:rPr>
            </w:pPr>
            <w:r>
              <w:rPr>
                <w:rFonts w:hint="default" w:ascii="Times New Roman" w:hAnsi="Times New Roman" w:eastAsia="方正仿宋_GBK" w:cs="Times New Roman"/>
                <w:snapToGrid w:val="0"/>
                <w:kern w:val="0"/>
                <w:sz w:val="21"/>
                <w:szCs w:val="21"/>
                <w:lang w:val="zh-CN"/>
              </w:rPr>
              <w:t>规划区</w:t>
            </w:r>
          </w:p>
        </w:tc>
        <w:tc>
          <w:tcPr>
            <w:tcW w:w="688" w:type="pct"/>
            <w:noWrap w:val="0"/>
            <w:vAlign w:val="center"/>
          </w:tcPr>
          <w:p>
            <w:pPr>
              <w:widowControl/>
              <w:adjustRightInd w:val="0"/>
              <w:spacing w:line="240" w:lineRule="exact"/>
              <w:ind w:firstLine="0" w:firstLineChars="0"/>
              <w:jc w:val="center"/>
              <w:rPr>
                <w:rFonts w:hint="default" w:ascii="Times New Roman" w:hAnsi="Times New Roman" w:eastAsia="方正仿宋_GBK" w:cs="Times New Roman"/>
                <w:snapToGrid w:val="0"/>
                <w:kern w:val="0"/>
                <w:sz w:val="21"/>
                <w:szCs w:val="21"/>
                <w:lang w:val="zh-CN"/>
              </w:rPr>
            </w:pPr>
            <w:r>
              <w:rPr>
                <w:rFonts w:hint="default" w:ascii="Times New Roman" w:hAnsi="Times New Roman" w:eastAsia="方正仿宋_GBK" w:cs="Times New Roman"/>
                <w:snapToGrid w:val="0"/>
                <w:kern w:val="0"/>
                <w:sz w:val="21"/>
                <w:szCs w:val="21"/>
                <w:lang w:val="zh-CN"/>
              </w:rPr>
              <w:t>渝东南山区土壤保持功能区</w:t>
            </w:r>
          </w:p>
        </w:tc>
        <w:tc>
          <w:tcPr>
            <w:tcW w:w="889" w:type="pct"/>
            <w:noWrap w:val="0"/>
            <w:vAlign w:val="center"/>
          </w:tcPr>
          <w:p>
            <w:pPr>
              <w:widowControl/>
              <w:adjustRightInd w:val="0"/>
              <w:spacing w:line="240" w:lineRule="exact"/>
              <w:ind w:firstLine="0" w:firstLineChars="0"/>
              <w:jc w:val="center"/>
              <w:rPr>
                <w:rFonts w:hint="default" w:ascii="Times New Roman" w:hAnsi="Times New Roman" w:eastAsia="方正仿宋_GBK" w:cs="Times New Roman"/>
                <w:snapToGrid w:val="0"/>
                <w:kern w:val="0"/>
                <w:sz w:val="21"/>
                <w:szCs w:val="21"/>
                <w:lang w:val="zh-CN"/>
              </w:rPr>
            </w:pPr>
            <w:r>
              <w:rPr>
                <w:rFonts w:hint="default" w:ascii="Times New Roman" w:hAnsi="Times New Roman" w:eastAsia="方正仿宋_GBK" w:cs="Times New Roman"/>
                <w:snapToGrid w:val="0"/>
                <w:kern w:val="0"/>
                <w:sz w:val="21"/>
                <w:szCs w:val="21"/>
                <w:lang w:val="zh-CN"/>
              </w:rPr>
              <w:t>主导生态功能为水文调蓄和水源涵养</w:t>
            </w:r>
          </w:p>
        </w:tc>
        <w:tc>
          <w:tcPr>
            <w:tcW w:w="1091" w:type="pct"/>
            <w:noWrap w:val="0"/>
            <w:vAlign w:val="center"/>
          </w:tcPr>
          <w:p>
            <w:pPr>
              <w:widowControl/>
              <w:adjustRightInd w:val="0"/>
              <w:spacing w:line="240" w:lineRule="exact"/>
              <w:ind w:firstLine="0" w:firstLineChars="0"/>
              <w:jc w:val="left"/>
              <w:rPr>
                <w:rFonts w:hint="default" w:ascii="Times New Roman" w:hAnsi="Times New Roman" w:eastAsia="方正仿宋_GBK" w:cs="Times New Roman"/>
                <w:snapToGrid w:val="0"/>
                <w:kern w:val="0"/>
                <w:sz w:val="21"/>
                <w:szCs w:val="21"/>
                <w:lang w:val="zh-CN"/>
              </w:rPr>
            </w:pPr>
            <w:r>
              <w:rPr>
                <w:rFonts w:hint="default" w:ascii="Times New Roman" w:hAnsi="Times New Roman" w:eastAsia="方正仿宋_GBK" w:cs="Times New Roman"/>
                <w:snapToGrid w:val="0"/>
                <w:kern w:val="0"/>
                <w:sz w:val="21"/>
                <w:szCs w:val="21"/>
                <w:lang w:val="zh-CN"/>
              </w:rPr>
              <w:t>（1）局部区域森林生态系统有退化趋势，工业、生活、旅游对植被造成的破坏比较严重；</w:t>
            </w:r>
          </w:p>
          <w:p>
            <w:pPr>
              <w:widowControl/>
              <w:adjustRightInd w:val="0"/>
              <w:spacing w:line="240" w:lineRule="exact"/>
              <w:ind w:firstLine="0" w:firstLineChars="0"/>
              <w:jc w:val="left"/>
              <w:rPr>
                <w:rFonts w:hint="default" w:ascii="Times New Roman" w:hAnsi="Times New Roman" w:eastAsia="方正仿宋_GBK" w:cs="Times New Roman"/>
                <w:snapToGrid w:val="0"/>
                <w:kern w:val="0"/>
                <w:sz w:val="21"/>
                <w:szCs w:val="21"/>
                <w:lang w:val="zh-CN"/>
              </w:rPr>
            </w:pPr>
            <w:r>
              <w:rPr>
                <w:rFonts w:hint="default" w:ascii="Times New Roman" w:hAnsi="Times New Roman" w:eastAsia="方正仿宋_GBK" w:cs="Times New Roman"/>
                <w:snapToGrid w:val="0"/>
                <w:kern w:val="0"/>
                <w:sz w:val="21"/>
                <w:szCs w:val="21"/>
                <w:lang w:val="zh-CN"/>
              </w:rPr>
              <w:t>（2）次级河流存在一定的水质污染问题，长江干支流的水质保护面临压力；</w:t>
            </w:r>
          </w:p>
          <w:p>
            <w:pPr>
              <w:widowControl/>
              <w:adjustRightInd w:val="0"/>
              <w:spacing w:line="240" w:lineRule="exact"/>
              <w:ind w:firstLine="0" w:firstLineChars="0"/>
              <w:jc w:val="left"/>
              <w:rPr>
                <w:rFonts w:hint="default" w:ascii="Times New Roman" w:hAnsi="Times New Roman" w:eastAsia="方正仿宋_GBK" w:cs="Times New Roman"/>
                <w:snapToGrid w:val="0"/>
                <w:kern w:val="0"/>
                <w:sz w:val="21"/>
                <w:szCs w:val="21"/>
                <w:lang w:val="zh-CN"/>
              </w:rPr>
            </w:pPr>
            <w:r>
              <w:rPr>
                <w:rFonts w:hint="default" w:ascii="Times New Roman" w:hAnsi="Times New Roman" w:eastAsia="方正仿宋_GBK" w:cs="Times New Roman"/>
                <w:snapToGrid w:val="0"/>
                <w:kern w:val="0"/>
                <w:sz w:val="21"/>
                <w:szCs w:val="21"/>
                <w:lang w:val="zh-CN"/>
              </w:rPr>
              <w:t>（3）地质灾害频繁，土壤侵蚀敏感性区域分布较广</w:t>
            </w:r>
          </w:p>
        </w:tc>
        <w:tc>
          <w:tcPr>
            <w:tcW w:w="1798" w:type="pct"/>
            <w:noWrap w:val="0"/>
            <w:vAlign w:val="center"/>
          </w:tcPr>
          <w:p>
            <w:pPr>
              <w:widowControl/>
              <w:adjustRightInd w:val="0"/>
              <w:spacing w:line="240" w:lineRule="exact"/>
              <w:ind w:firstLine="0" w:firstLineChars="0"/>
              <w:jc w:val="left"/>
              <w:rPr>
                <w:rFonts w:hint="default" w:ascii="Times New Roman" w:hAnsi="Times New Roman" w:eastAsia="方正仿宋_GBK" w:cs="Times New Roman"/>
                <w:snapToGrid w:val="0"/>
                <w:kern w:val="0"/>
                <w:sz w:val="21"/>
                <w:szCs w:val="21"/>
                <w:lang w:val="zh-CN"/>
              </w:rPr>
            </w:pPr>
            <w:r>
              <w:rPr>
                <w:rFonts w:hint="default" w:ascii="Times New Roman" w:hAnsi="Times New Roman" w:eastAsia="方正仿宋_GBK" w:cs="Times New Roman"/>
                <w:snapToGrid w:val="0"/>
                <w:kern w:val="0"/>
                <w:sz w:val="21"/>
                <w:szCs w:val="21"/>
                <w:lang w:val="zh-CN"/>
              </w:rPr>
              <w:t>（1）大力开展陡坡耕地的退耕还林和裸岩石山的植被恢复，加大水土保持力度，进一步提高辖区内的森林覆盖率；</w:t>
            </w:r>
          </w:p>
          <w:p>
            <w:pPr>
              <w:widowControl/>
              <w:adjustRightInd w:val="0"/>
              <w:spacing w:line="240" w:lineRule="exact"/>
              <w:ind w:firstLine="0" w:firstLineChars="0"/>
              <w:jc w:val="left"/>
              <w:rPr>
                <w:rFonts w:hint="default" w:ascii="Times New Roman" w:hAnsi="Times New Roman" w:eastAsia="方正仿宋_GBK" w:cs="Times New Roman"/>
                <w:snapToGrid w:val="0"/>
                <w:kern w:val="0"/>
                <w:sz w:val="21"/>
                <w:szCs w:val="21"/>
                <w:lang w:val="zh-CN"/>
              </w:rPr>
            </w:pPr>
            <w:r>
              <w:rPr>
                <w:rFonts w:hint="default" w:ascii="Times New Roman" w:hAnsi="Times New Roman" w:eastAsia="方正仿宋_GBK" w:cs="Times New Roman"/>
                <w:snapToGrid w:val="0"/>
                <w:kern w:val="0"/>
                <w:sz w:val="21"/>
                <w:szCs w:val="21"/>
                <w:lang w:val="zh-CN"/>
              </w:rPr>
              <w:t>（2）建设完整的亚热带常绿阔叶林植被体系，强化水文调蓄功能；</w:t>
            </w:r>
          </w:p>
          <w:p>
            <w:pPr>
              <w:widowControl/>
              <w:adjustRightInd w:val="0"/>
              <w:spacing w:line="240" w:lineRule="exact"/>
              <w:ind w:firstLine="0" w:firstLineChars="0"/>
              <w:jc w:val="left"/>
              <w:rPr>
                <w:rFonts w:hint="default" w:ascii="Times New Roman" w:hAnsi="Times New Roman" w:eastAsia="方正仿宋_GBK" w:cs="Times New Roman"/>
                <w:snapToGrid w:val="0"/>
                <w:kern w:val="0"/>
                <w:sz w:val="21"/>
                <w:szCs w:val="21"/>
                <w:lang w:val="zh-CN"/>
              </w:rPr>
            </w:pPr>
            <w:r>
              <w:rPr>
                <w:rFonts w:hint="default" w:ascii="Times New Roman" w:hAnsi="Times New Roman" w:eastAsia="方正仿宋_GBK" w:cs="Times New Roman"/>
                <w:snapToGrid w:val="0"/>
                <w:kern w:val="0"/>
                <w:sz w:val="21"/>
                <w:szCs w:val="21"/>
                <w:lang w:val="zh-CN"/>
              </w:rPr>
              <w:t>（3）鼓励各种渠道的植被恢复，加快损毁农田的复垦进程；</w:t>
            </w:r>
          </w:p>
          <w:p>
            <w:pPr>
              <w:widowControl/>
              <w:adjustRightInd w:val="0"/>
              <w:spacing w:line="240" w:lineRule="exact"/>
              <w:ind w:firstLine="0" w:firstLineChars="0"/>
              <w:jc w:val="left"/>
              <w:rPr>
                <w:rFonts w:hint="default" w:ascii="Times New Roman" w:hAnsi="Times New Roman" w:eastAsia="方正仿宋_GBK" w:cs="Times New Roman"/>
                <w:snapToGrid w:val="0"/>
                <w:kern w:val="0"/>
                <w:sz w:val="21"/>
                <w:szCs w:val="21"/>
                <w:lang w:val="zh-CN"/>
              </w:rPr>
            </w:pPr>
            <w:r>
              <w:rPr>
                <w:rFonts w:hint="default" w:ascii="Times New Roman" w:hAnsi="Times New Roman" w:eastAsia="方正仿宋_GBK" w:cs="Times New Roman"/>
                <w:snapToGrid w:val="0"/>
                <w:kern w:val="0"/>
                <w:sz w:val="21"/>
                <w:szCs w:val="21"/>
                <w:lang w:val="zh-CN"/>
              </w:rPr>
              <w:t>（4）加大环境保护设施建设，增加生活废水处理装置，严格控制未达标生产废水的排放；</w:t>
            </w:r>
          </w:p>
          <w:p>
            <w:pPr>
              <w:widowControl/>
              <w:adjustRightInd w:val="0"/>
              <w:spacing w:line="240" w:lineRule="exact"/>
              <w:ind w:firstLine="0" w:firstLineChars="0"/>
              <w:jc w:val="left"/>
              <w:rPr>
                <w:rFonts w:hint="default" w:ascii="Times New Roman" w:hAnsi="Times New Roman" w:eastAsia="方正仿宋_GBK" w:cs="Times New Roman"/>
                <w:snapToGrid w:val="0"/>
                <w:kern w:val="0"/>
                <w:sz w:val="21"/>
                <w:szCs w:val="21"/>
                <w:lang w:val="zh-CN"/>
              </w:rPr>
            </w:pPr>
            <w:r>
              <w:rPr>
                <w:rFonts w:hint="default" w:ascii="Times New Roman" w:hAnsi="Times New Roman" w:eastAsia="方正仿宋_GBK" w:cs="Times New Roman"/>
                <w:snapToGrid w:val="0"/>
                <w:kern w:val="0"/>
                <w:sz w:val="21"/>
                <w:szCs w:val="21"/>
                <w:lang w:val="zh-CN"/>
              </w:rPr>
              <w:t>（5）积极开展长江干支流的水质污染综合整治，保护饮用水源地</w:t>
            </w:r>
          </w:p>
        </w:tc>
      </w:tr>
    </w:tbl>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本次防洪规划中，河道整治、堤防工程均位于城区段，不涉及水文调蓄和水源涵养。规划藻渡水库等防洪水库为年调节水库，水库建成后将会加强区域水文调蓄能力。水库实施期间，施工生产废水、生活污水尽可能回用，确需外排则需处理达到《污水综合排放标准》（GB8978</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96）一级标准。对于施工引起的地表植被破坏，将及时采取水土流失防控措施和植被恢复措施。水库建成后，将提高流域防洪减灾能力，有利于减少自然灾害对生态环境的不利影响，有利于维持流域生态系统和生物多样性，规划工程实施阶段落实各项措施后，不会造成区域生态功能退化。总体而言，在规划项目实施期间落实各项目环保措施后，符合重庆市生态功能区划中对于区域生态保护的要求。</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2.规划环境制约因素分析</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流域内分布有自然保护区、风景名胜区、森林公园、饮用水源保护区、地质公园等环境敏感区，为贯彻落实生态防洪原则，充分保护现有河流的自然环境，推进水生态文明建设，处理好治理与保护、防洪与城市景观格局的关系，给洪水以出路，实</w:t>
      </w:r>
      <w:r>
        <w:rPr>
          <w:rFonts w:hint="eastAsia" w:ascii="Times New Roman" w:hAnsi="Times New Roman" w:eastAsia="方正仿宋_GBK" w:cs="Times New Roman"/>
          <w:spacing w:val="-6"/>
          <w:sz w:val="32"/>
          <w:szCs w:val="32"/>
          <w:lang w:val="en-US" w:eastAsia="zh-CN"/>
        </w:rPr>
        <w:t>现人与自然和谐相处，规划防洪工程的制约因素分析详见表9.3</w:t>
      </w:r>
      <w:r>
        <w:rPr>
          <w:rFonts w:hint="eastAsia" w:ascii="Times New Roman" w:eastAsia="方正仿宋_GBK" w:cs="Times New Roman"/>
          <w:spacing w:val="-6"/>
          <w:sz w:val="32"/>
          <w:szCs w:val="32"/>
          <w:lang w:val="en-US" w:eastAsia="zh-CN"/>
        </w:rPr>
        <w:t>—</w:t>
      </w:r>
      <w:r>
        <w:rPr>
          <w:rFonts w:hint="eastAsia" w:ascii="Times New Roman" w:hAnsi="Times New Roman" w:eastAsia="方正仿宋_GBK" w:cs="Times New Roman"/>
          <w:sz w:val="32"/>
          <w:szCs w:val="32"/>
          <w:lang w:val="en-US" w:eastAsia="zh-CN"/>
        </w:rPr>
        <w:t>3。</w:t>
      </w:r>
    </w:p>
    <w:p>
      <w:pPr>
        <w:spacing w:after="60" w:line="540" w:lineRule="exact"/>
        <w:ind w:firstLine="240" w:firstLineChars="100"/>
        <w:outlineLvl w:val="5"/>
        <w:rPr>
          <w:rFonts w:hint="default" w:ascii="Times New Roman" w:hAnsi="Times New Roman" w:eastAsia="黑体" w:cs="Times New Roman"/>
          <w:sz w:val="24"/>
          <w:szCs w:val="20"/>
        </w:rPr>
      </w:pPr>
      <w:r>
        <w:rPr>
          <w:rFonts w:hint="default" w:ascii="Times New Roman" w:hAnsi="Times New Roman" w:eastAsia="黑体" w:cs="Times New Roman"/>
          <w:sz w:val="24"/>
          <w:szCs w:val="20"/>
        </w:rPr>
        <w:t>表9.3</w:t>
      </w:r>
      <w:r>
        <w:rPr>
          <w:rFonts w:hint="default" w:ascii="Times New Roman" w:hAnsi="Times New Roman" w:eastAsia="黑体" w:cs="Times New Roman"/>
          <w:sz w:val="24"/>
          <w:szCs w:val="20"/>
          <w:lang w:eastAsia="zh-CN"/>
        </w:rPr>
        <w:t>—</w:t>
      </w:r>
      <w:r>
        <w:rPr>
          <w:rFonts w:hint="default" w:ascii="Times New Roman" w:hAnsi="Times New Roman" w:eastAsia="黑体" w:cs="Times New Roman"/>
          <w:sz w:val="24"/>
          <w:szCs w:val="20"/>
        </w:rPr>
        <w:t>3           规划防洪工程及其环境制约性因素分析表</w:t>
      </w:r>
    </w:p>
    <w:tbl>
      <w:tblPr>
        <w:tblStyle w:val="88"/>
        <w:tblW w:w="5008"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0" w:type="dxa"/>
          <w:bottom w:w="0" w:type="dxa"/>
          <w:right w:w="0" w:type="dxa"/>
        </w:tblCellMar>
      </w:tblPr>
      <w:tblGrid>
        <w:gridCol w:w="574"/>
        <w:gridCol w:w="1284"/>
        <w:gridCol w:w="2268"/>
        <w:gridCol w:w="3406"/>
        <w:gridCol w:w="1570"/>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1020" w:type="pct"/>
            <w:gridSpan w:val="2"/>
            <w:noWrap w:val="0"/>
            <w:vAlign w:val="center"/>
          </w:tcPr>
          <w:p>
            <w:pPr>
              <w:widowControl/>
              <w:adjustRightInd w:val="0"/>
              <w:spacing w:line="240" w:lineRule="exact"/>
              <w:ind w:firstLine="0" w:firstLineChars="0"/>
              <w:jc w:val="center"/>
              <w:rPr>
                <w:rFonts w:hint="default" w:ascii="Times New Roman" w:hAnsi="Times New Roman" w:eastAsia="方正黑体_GBK" w:cs="Times New Roman"/>
                <w:snapToGrid w:val="0"/>
                <w:kern w:val="0"/>
                <w:sz w:val="21"/>
                <w:szCs w:val="21"/>
                <w:lang w:val="zh-CN"/>
              </w:rPr>
            </w:pPr>
            <w:r>
              <w:rPr>
                <w:rFonts w:hint="default" w:ascii="Times New Roman" w:hAnsi="Times New Roman" w:eastAsia="方正黑体_GBK" w:cs="Times New Roman"/>
                <w:snapToGrid w:val="0"/>
                <w:kern w:val="0"/>
                <w:sz w:val="21"/>
                <w:szCs w:val="21"/>
                <w:lang w:val="zh-CN"/>
              </w:rPr>
              <w:t>规划防洪工程方案</w:t>
            </w:r>
          </w:p>
        </w:tc>
        <w:tc>
          <w:tcPr>
            <w:tcW w:w="1245" w:type="pct"/>
            <w:noWrap w:val="0"/>
            <w:vAlign w:val="center"/>
          </w:tcPr>
          <w:p>
            <w:pPr>
              <w:widowControl/>
              <w:adjustRightInd w:val="0"/>
              <w:spacing w:line="240" w:lineRule="exact"/>
              <w:ind w:firstLine="0" w:firstLineChars="0"/>
              <w:jc w:val="center"/>
              <w:rPr>
                <w:rFonts w:hint="default" w:ascii="Times New Roman" w:hAnsi="Times New Roman" w:eastAsia="方正黑体_GBK" w:cs="Times New Roman"/>
                <w:snapToGrid w:val="0"/>
                <w:kern w:val="0"/>
                <w:sz w:val="21"/>
                <w:szCs w:val="21"/>
                <w:lang w:val="zh-CN"/>
              </w:rPr>
            </w:pPr>
            <w:r>
              <w:rPr>
                <w:rFonts w:hint="default" w:ascii="Times New Roman" w:hAnsi="Times New Roman" w:eastAsia="方正黑体_GBK" w:cs="Times New Roman"/>
                <w:snapToGrid w:val="0"/>
                <w:kern w:val="0"/>
                <w:sz w:val="21"/>
                <w:szCs w:val="21"/>
                <w:lang w:val="zh-CN"/>
              </w:rPr>
              <w:t>主要工程措施</w:t>
            </w:r>
          </w:p>
        </w:tc>
        <w:tc>
          <w:tcPr>
            <w:tcW w:w="1870" w:type="pct"/>
            <w:noWrap w:val="0"/>
            <w:vAlign w:val="center"/>
          </w:tcPr>
          <w:p>
            <w:pPr>
              <w:widowControl/>
              <w:adjustRightInd w:val="0"/>
              <w:spacing w:line="240" w:lineRule="exact"/>
              <w:ind w:firstLine="0" w:firstLineChars="0"/>
              <w:jc w:val="center"/>
              <w:rPr>
                <w:rFonts w:hint="default" w:ascii="Times New Roman" w:hAnsi="Times New Roman" w:eastAsia="方正黑体_GBK" w:cs="Times New Roman"/>
                <w:snapToGrid w:val="0"/>
                <w:kern w:val="0"/>
                <w:sz w:val="21"/>
                <w:szCs w:val="21"/>
                <w:lang w:val="zh-CN"/>
              </w:rPr>
            </w:pPr>
            <w:r>
              <w:rPr>
                <w:rFonts w:hint="default" w:ascii="Times New Roman" w:hAnsi="Times New Roman" w:eastAsia="方正黑体_GBK" w:cs="Times New Roman"/>
                <w:snapToGrid w:val="0"/>
                <w:kern w:val="0"/>
                <w:sz w:val="21"/>
                <w:szCs w:val="21"/>
                <w:lang w:val="zh-CN"/>
              </w:rPr>
              <w:t>与环境敏感区位置关系</w:t>
            </w:r>
          </w:p>
        </w:tc>
        <w:tc>
          <w:tcPr>
            <w:tcW w:w="862" w:type="pct"/>
            <w:noWrap w:val="0"/>
            <w:vAlign w:val="center"/>
          </w:tcPr>
          <w:p>
            <w:pPr>
              <w:widowControl/>
              <w:adjustRightInd w:val="0"/>
              <w:spacing w:line="240" w:lineRule="exact"/>
              <w:ind w:firstLine="0" w:firstLineChars="0"/>
              <w:jc w:val="center"/>
              <w:rPr>
                <w:rFonts w:hint="default" w:ascii="Times New Roman" w:hAnsi="Times New Roman" w:eastAsia="方正黑体_GBK" w:cs="Times New Roman"/>
                <w:snapToGrid w:val="0"/>
                <w:kern w:val="0"/>
                <w:sz w:val="21"/>
                <w:szCs w:val="21"/>
                <w:lang w:val="zh-CN"/>
              </w:rPr>
            </w:pPr>
            <w:r>
              <w:rPr>
                <w:rFonts w:hint="default" w:ascii="Times New Roman" w:hAnsi="Times New Roman" w:eastAsia="方正黑体_GBK" w:cs="Times New Roman"/>
                <w:snapToGrid w:val="0"/>
                <w:kern w:val="0"/>
                <w:sz w:val="21"/>
                <w:szCs w:val="21"/>
                <w:lang w:val="zh-CN"/>
              </w:rPr>
              <w:t>环境制约因素分析</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315" w:type="pct"/>
            <w:vMerge w:val="restart"/>
            <w:noWrap w:val="0"/>
            <w:vAlign w:val="center"/>
          </w:tcPr>
          <w:p>
            <w:pPr>
              <w:widowControl/>
              <w:adjustRightInd w:val="0"/>
              <w:spacing w:line="240" w:lineRule="exact"/>
              <w:ind w:firstLine="0" w:firstLineChars="0"/>
              <w:jc w:val="both"/>
              <w:rPr>
                <w:rFonts w:hint="default" w:ascii="Times New Roman" w:hAnsi="Times New Roman" w:eastAsia="方正仿宋_GBK" w:cs="Times New Roman"/>
                <w:snapToGrid w:val="0"/>
                <w:kern w:val="0"/>
                <w:sz w:val="21"/>
                <w:szCs w:val="21"/>
                <w:lang w:val="zh-CN"/>
              </w:rPr>
            </w:pPr>
            <w:r>
              <w:rPr>
                <w:rFonts w:hint="default" w:ascii="Times New Roman" w:hAnsi="Times New Roman" w:eastAsia="方正仿宋_GBK" w:cs="Times New Roman"/>
                <w:snapToGrid w:val="0"/>
                <w:kern w:val="0"/>
                <w:sz w:val="21"/>
                <w:szCs w:val="21"/>
                <w:lang w:val="zh-CN"/>
              </w:rPr>
              <w:t>堤防工程</w:t>
            </w:r>
          </w:p>
        </w:tc>
        <w:tc>
          <w:tcPr>
            <w:tcW w:w="704" w:type="pct"/>
            <w:noWrap w:val="0"/>
            <w:vAlign w:val="center"/>
          </w:tcPr>
          <w:p>
            <w:pPr>
              <w:widowControl/>
              <w:adjustRightInd w:val="0"/>
              <w:spacing w:line="240" w:lineRule="exact"/>
              <w:ind w:firstLine="0" w:firstLineChars="0"/>
              <w:jc w:val="both"/>
              <w:rPr>
                <w:rFonts w:hint="default" w:ascii="Times New Roman" w:hAnsi="Times New Roman" w:eastAsia="方正仿宋_GBK" w:cs="Times New Roman"/>
                <w:snapToGrid w:val="0"/>
                <w:kern w:val="0"/>
                <w:sz w:val="21"/>
                <w:szCs w:val="21"/>
                <w:lang w:val="zh-CN"/>
              </w:rPr>
            </w:pPr>
            <w:r>
              <w:rPr>
                <w:rFonts w:hint="default" w:ascii="Times New Roman" w:hAnsi="Times New Roman" w:eastAsia="方正仿宋_GBK" w:cs="Times New Roman"/>
                <w:bCs/>
                <w:kern w:val="0"/>
                <w:sz w:val="21"/>
                <w:szCs w:val="21"/>
              </w:rPr>
              <w:t>綦江城区河道综合治理工程</w:t>
            </w:r>
          </w:p>
        </w:tc>
        <w:tc>
          <w:tcPr>
            <w:tcW w:w="1245" w:type="pct"/>
            <w:noWrap w:val="0"/>
            <w:vAlign w:val="center"/>
          </w:tcPr>
          <w:p>
            <w:pPr>
              <w:widowControl/>
              <w:adjustRightInd w:val="0"/>
              <w:spacing w:line="240" w:lineRule="exact"/>
              <w:ind w:firstLine="0" w:firstLineChars="0"/>
              <w:jc w:val="both"/>
              <w:rPr>
                <w:rFonts w:hint="default" w:ascii="Times New Roman" w:hAnsi="Times New Roman" w:eastAsia="方正仿宋_GBK" w:cs="Times New Roman"/>
                <w:snapToGrid w:val="0"/>
                <w:kern w:val="0"/>
                <w:sz w:val="21"/>
                <w:szCs w:val="21"/>
              </w:rPr>
            </w:pPr>
            <w:r>
              <w:rPr>
                <w:rFonts w:hint="default" w:ascii="Times New Roman" w:hAnsi="Times New Roman" w:eastAsia="方正仿宋_GBK" w:cs="Times New Roman"/>
                <w:snapToGrid w:val="0"/>
                <w:kern w:val="0"/>
                <w:sz w:val="21"/>
                <w:szCs w:val="21"/>
                <w:lang w:val="zh-CN"/>
              </w:rPr>
              <w:t>新建堤防总长16.44km。其中，綦江干流12.02 km、支流4.42</w:t>
            </w:r>
            <w:r>
              <w:rPr>
                <w:rFonts w:hint="default" w:ascii="Times New Roman" w:hAnsi="Times New Roman" w:eastAsia="方正仿宋_GBK" w:cs="Times New Roman"/>
                <w:snapToGrid w:val="0"/>
                <w:kern w:val="0"/>
                <w:sz w:val="21"/>
                <w:szCs w:val="21"/>
              </w:rPr>
              <w:t>km</w:t>
            </w:r>
            <w:r>
              <w:rPr>
                <w:rFonts w:hint="default" w:ascii="Times New Roman" w:hAnsi="Times New Roman" w:eastAsia="方正仿宋_GBK" w:cs="Times New Roman"/>
                <w:snapToGrid w:val="0"/>
                <w:kern w:val="0"/>
                <w:sz w:val="21"/>
                <w:szCs w:val="21"/>
                <w:lang w:val="zh-CN"/>
              </w:rPr>
              <w:t>。</w:t>
            </w:r>
          </w:p>
        </w:tc>
        <w:tc>
          <w:tcPr>
            <w:tcW w:w="1870" w:type="pct"/>
            <w:noWrap w:val="0"/>
            <w:vAlign w:val="center"/>
          </w:tcPr>
          <w:p>
            <w:pPr>
              <w:widowControl/>
              <w:adjustRightInd w:val="0"/>
              <w:spacing w:line="240" w:lineRule="exact"/>
              <w:ind w:firstLine="0" w:firstLineChars="0"/>
              <w:jc w:val="both"/>
              <w:rPr>
                <w:rFonts w:hint="default" w:ascii="Times New Roman" w:hAnsi="Times New Roman" w:eastAsia="方正仿宋_GBK" w:cs="Times New Roman"/>
                <w:snapToGrid w:val="0"/>
                <w:kern w:val="0"/>
                <w:sz w:val="21"/>
                <w:szCs w:val="21"/>
                <w:lang w:val="zh-CN"/>
              </w:rPr>
            </w:pPr>
            <w:r>
              <w:rPr>
                <w:rFonts w:hint="default" w:ascii="Times New Roman" w:hAnsi="Times New Roman" w:eastAsia="方正仿宋_GBK" w:cs="Times New Roman"/>
                <w:snapToGrid w:val="0"/>
                <w:kern w:val="0"/>
                <w:sz w:val="21"/>
                <w:szCs w:val="21"/>
                <w:lang w:val="zh-CN"/>
              </w:rPr>
              <w:t>堤防加固工程位于綦江干流綦江主城区河段，不涉及自然保护区、风景名胜区、森林公园、湿地公园、地质公园等生态敏感区。距堤防加固工程最近的生态敏感区为綦江国家地质公园翠屏山片区，距离为1.65km。</w:t>
            </w:r>
          </w:p>
        </w:tc>
        <w:tc>
          <w:tcPr>
            <w:tcW w:w="862" w:type="pct"/>
            <w:noWrap w:val="0"/>
            <w:vAlign w:val="center"/>
          </w:tcPr>
          <w:p>
            <w:pPr>
              <w:widowControl/>
              <w:adjustRightInd w:val="0"/>
              <w:spacing w:line="240" w:lineRule="exact"/>
              <w:ind w:firstLine="0" w:firstLineChars="0"/>
              <w:jc w:val="both"/>
              <w:rPr>
                <w:rFonts w:hint="default" w:ascii="Times New Roman" w:hAnsi="Times New Roman" w:eastAsia="方正仿宋_GBK" w:cs="Times New Roman"/>
                <w:snapToGrid w:val="0"/>
                <w:kern w:val="0"/>
                <w:sz w:val="21"/>
                <w:szCs w:val="21"/>
                <w:lang w:val="zh-CN"/>
              </w:rPr>
            </w:pPr>
            <w:r>
              <w:rPr>
                <w:rFonts w:hint="default" w:ascii="Times New Roman" w:hAnsi="Times New Roman" w:eastAsia="方正仿宋_GBK" w:cs="Times New Roman"/>
                <w:snapToGrid w:val="0"/>
                <w:kern w:val="0"/>
                <w:sz w:val="21"/>
                <w:szCs w:val="21"/>
                <w:lang w:val="zh-CN"/>
              </w:rPr>
              <w:t>无环境制约因素。</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315" w:type="pct"/>
            <w:vMerge w:val="continue"/>
            <w:noWrap w:val="0"/>
            <w:vAlign w:val="center"/>
          </w:tcPr>
          <w:p>
            <w:pPr>
              <w:widowControl/>
              <w:adjustRightInd w:val="0"/>
              <w:spacing w:line="240" w:lineRule="exact"/>
              <w:ind w:firstLine="0" w:firstLineChars="0"/>
              <w:jc w:val="both"/>
              <w:rPr>
                <w:rFonts w:hint="default" w:ascii="Times New Roman" w:hAnsi="Times New Roman" w:eastAsia="方正仿宋_GBK" w:cs="Times New Roman"/>
                <w:snapToGrid w:val="0"/>
                <w:kern w:val="0"/>
                <w:sz w:val="21"/>
                <w:szCs w:val="21"/>
                <w:lang w:val="zh-CN"/>
              </w:rPr>
            </w:pPr>
          </w:p>
        </w:tc>
        <w:tc>
          <w:tcPr>
            <w:tcW w:w="704" w:type="pct"/>
            <w:noWrap w:val="0"/>
            <w:vAlign w:val="center"/>
          </w:tcPr>
          <w:p>
            <w:pPr>
              <w:widowControl/>
              <w:adjustRightInd w:val="0"/>
              <w:spacing w:line="240" w:lineRule="exact"/>
              <w:ind w:firstLine="0" w:firstLineChars="0"/>
              <w:jc w:val="both"/>
              <w:rPr>
                <w:rFonts w:hint="default" w:ascii="Times New Roman" w:hAnsi="Times New Roman" w:eastAsia="方正仿宋_GBK" w:cs="Times New Roman"/>
                <w:snapToGrid w:val="0"/>
                <w:kern w:val="0"/>
                <w:sz w:val="21"/>
                <w:szCs w:val="21"/>
                <w:lang w:val="zh-CN"/>
              </w:rPr>
            </w:pPr>
            <w:r>
              <w:rPr>
                <w:rFonts w:hint="default" w:ascii="Times New Roman" w:hAnsi="Times New Roman" w:eastAsia="方正仿宋_GBK" w:cs="Times New Roman"/>
                <w:bCs/>
                <w:kern w:val="0"/>
                <w:sz w:val="21"/>
                <w:szCs w:val="21"/>
              </w:rPr>
              <w:t>房屋拆迁工程</w:t>
            </w:r>
          </w:p>
        </w:tc>
        <w:tc>
          <w:tcPr>
            <w:tcW w:w="1245" w:type="pct"/>
            <w:noWrap w:val="0"/>
            <w:vAlign w:val="center"/>
          </w:tcPr>
          <w:p>
            <w:pPr>
              <w:widowControl/>
              <w:adjustRightInd w:val="0"/>
              <w:spacing w:line="240" w:lineRule="exact"/>
              <w:ind w:firstLine="0" w:firstLineChars="0"/>
              <w:jc w:val="both"/>
              <w:rPr>
                <w:rFonts w:hint="default" w:ascii="Times New Roman" w:hAnsi="Times New Roman" w:eastAsia="方正仿宋_GBK" w:cs="Times New Roman"/>
                <w:snapToGrid w:val="0"/>
                <w:kern w:val="0"/>
                <w:sz w:val="21"/>
                <w:szCs w:val="21"/>
                <w:lang w:val="zh-CN"/>
              </w:rPr>
            </w:pPr>
            <w:r>
              <w:rPr>
                <w:rFonts w:hint="default" w:ascii="Times New Roman" w:hAnsi="Times New Roman" w:eastAsia="方正仿宋_GBK" w:cs="Times New Roman"/>
                <w:snapToGrid w:val="0"/>
                <w:kern w:val="0"/>
                <w:sz w:val="21"/>
                <w:szCs w:val="21"/>
                <w:lang w:val="zh-CN"/>
              </w:rPr>
              <w:t>对严重碍洪的房屋实施拆迁，拆迁房屋面积</w:t>
            </w:r>
            <w:r>
              <w:rPr>
                <w:rFonts w:hint="default" w:ascii="Times New Roman" w:hAnsi="Times New Roman" w:eastAsia="方正仿宋_GBK" w:cs="Times New Roman"/>
                <w:snapToGrid w:val="0"/>
                <w:kern w:val="0"/>
                <w:sz w:val="21"/>
                <w:szCs w:val="21"/>
              </w:rPr>
              <w:t>30.09</w:t>
            </w:r>
            <w:r>
              <w:rPr>
                <w:rFonts w:hint="default" w:ascii="Times New Roman" w:hAnsi="Times New Roman" w:eastAsia="方正仿宋_GBK" w:cs="Times New Roman"/>
                <w:snapToGrid w:val="0"/>
                <w:kern w:val="0"/>
                <w:sz w:val="21"/>
                <w:szCs w:val="21"/>
                <w:lang w:val="zh-CN"/>
              </w:rPr>
              <w:t>万m</w:t>
            </w:r>
            <w:r>
              <w:rPr>
                <w:rFonts w:hint="default" w:ascii="Times New Roman" w:hAnsi="Times New Roman" w:eastAsia="方正仿宋_GBK" w:cs="Times New Roman"/>
                <w:snapToGrid w:val="0"/>
                <w:kern w:val="0"/>
                <w:sz w:val="21"/>
                <w:szCs w:val="21"/>
                <w:vertAlign w:val="superscript"/>
                <w:lang w:val="zh-CN"/>
              </w:rPr>
              <w:t>2</w:t>
            </w:r>
            <w:r>
              <w:rPr>
                <w:rFonts w:hint="default" w:ascii="Times New Roman" w:hAnsi="Times New Roman" w:eastAsia="方正仿宋_GBK" w:cs="Times New Roman"/>
                <w:snapToGrid w:val="0"/>
                <w:kern w:val="0"/>
                <w:sz w:val="21"/>
                <w:szCs w:val="21"/>
                <w:lang w:val="zh-CN"/>
              </w:rPr>
              <w:t>（含各楼层面积）</w:t>
            </w:r>
          </w:p>
        </w:tc>
        <w:tc>
          <w:tcPr>
            <w:tcW w:w="1870" w:type="pct"/>
            <w:noWrap w:val="0"/>
            <w:vAlign w:val="center"/>
          </w:tcPr>
          <w:p>
            <w:pPr>
              <w:widowControl/>
              <w:adjustRightInd w:val="0"/>
              <w:spacing w:line="240" w:lineRule="exact"/>
              <w:ind w:firstLine="0" w:firstLineChars="0"/>
              <w:jc w:val="both"/>
              <w:rPr>
                <w:rFonts w:hint="default" w:ascii="Times New Roman" w:hAnsi="Times New Roman" w:eastAsia="方正仿宋_GBK" w:cs="Times New Roman"/>
                <w:snapToGrid w:val="0"/>
                <w:kern w:val="0"/>
                <w:sz w:val="21"/>
                <w:szCs w:val="21"/>
                <w:lang w:val="zh-CN"/>
              </w:rPr>
            </w:pPr>
            <w:r>
              <w:rPr>
                <w:rFonts w:hint="default" w:ascii="Times New Roman" w:hAnsi="Times New Roman" w:eastAsia="方正仿宋_GBK" w:cs="Times New Roman"/>
                <w:snapToGrid w:val="0"/>
                <w:kern w:val="0"/>
                <w:sz w:val="21"/>
                <w:szCs w:val="21"/>
                <w:lang w:val="zh-CN"/>
              </w:rPr>
              <w:t>位于綦江城区内，主要拆迁房屋为城区低洼地段建筑物。距堤防加固工程最近的生态敏感区为綦江国家地质公园翠屏山片区，距离为1.2km。</w:t>
            </w:r>
          </w:p>
        </w:tc>
        <w:tc>
          <w:tcPr>
            <w:tcW w:w="862" w:type="pct"/>
            <w:noWrap w:val="0"/>
            <w:vAlign w:val="center"/>
          </w:tcPr>
          <w:p>
            <w:pPr>
              <w:widowControl/>
              <w:adjustRightInd w:val="0"/>
              <w:spacing w:line="240" w:lineRule="exact"/>
              <w:ind w:firstLine="0" w:firstLineChars="0"/>
              <w:jc w:val="both"/>
              <w:rPr>
                <w:rFonts w:hint="default" w:ascii="Times New Roman" w:hAnsi="Times New Roman" w:eastAsia="方正仿宋_GBK" w:cs="Times New Roman"/>
                <w:snapToGrid w:val="0"/>
                <w:kern w:val="0"/>
                <w:sz w:val="21"/>
                <w:szCs w:val="21"/>
                <w:lang w:val="zh-CN"/>
              </w:rPr>
            </w:pPr>
            <w:r>
              <w:rPr>
                <w:rFonts w:hint="default" w:ascii="Times New Roman" w:hAnsi="Times New Roman" w:eastAsia="方正仿宋_GBK" w:cs="Times New Roman"/>
                <w:snapToGrid w:val="0"/>
                <w:kern w:val="0"/>
                <w:sz w:val="21"/>
                <w:szCs w:val="21"/>
                <w:lang w:val="zh-CN"/>
              </w:rPr>
              <w:t>无环境制约因素。</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PrEx>
        <w:trPr>
          <w:trHeight w:val="340" w:hRule="atLeast"/>
          <w:jc w:val="center"/>
        </w:trPr>
        <w:tc>
          <w:tcPr>
            <w:tcW w:w="315" w:type="pct"/>
            <w:noWrap w:val="0"/>
            <w:vAlign w:val="center"/>
          </w:tcPr>
          <w:p>
            <w:pPr>
              <w:widowControl/>
              <w:adjustRightInd w:val="0"/>
              <w:spacing w:line="240" w:lineRule="exact"/>
              <w:ind w:firstLine="0" w:firstLineChars="0"/>
              <w:jc w:val="both"/>
              <w:rPr>
                <w:rFonts w:hint="default" w:ascii="Times New Roman" w:hAnsi="Times New Roman" w:eastAsia="方正仿宋_GBK" w:cs="Times New Roman"/>
                <w:snapToGrid w:val="0"/>
                <w:kern w:val="0"/>
                <w:sz w:val="21"/>
                <w:szCs w:val="21"/>
                <w:lang w:val="zh-CN"/>
              </w:rPr>
            </w:pPr>
            <w:r>
              <w:rPr>
                <w:rFonts w:hint="default" w:ascii="Times New Roman" w:hAnsi="Times New Roman" w:eastAsia="方正仿宋_GBK" w:cs="Times New Roman"/>
                <w:snapToGrid w:val="0"/>
                <w:kern w:val="0"/>
                <w:sz w:val="21"/>
                <w:szCs w:val="21"/>
                <w:lang w:val="zh-CN"/>
              </w:rPr>
              <w:t>河道整治</w:t>
            </w:r>
          </w:p>
        </w:tc>
        <w:tc>
          <w:tcPr>
            <w:tcW w:w="704" w:type="pct"/>
            <w:noWrap w:val="0"/>
            <w:vAlign w:val="center"/>
          </w:tcPr>
          <w:p>
            <w:pPr>
              <w:widowControl/>
              <w:adjustRightInd w:val="0"/>
              <w:spacing w:line="240" w:lineRule="exact"/>
              <w:ind w:firstLine="0" w:firstLineChars="0"/>
              <w:jc w:val="both"/>
              <w:rPr>
                <w:rFonts w:hint="default" w:ascii="Times New Roman" w:hAnsi="Times New Roman" w:eastAsia="方正仿宋_GBK" w:cs="Times New Roman"/>
                <w:snapToGrid w:val="0"/>
                <w:kern w:val="0"/>
                <w:sz w:val="21"/>
                <w:szCs w:val="21"/>
                <w:lang w:val="zh-CN"/>
              </w:rPr>
            </w:pPr>
            <w:r>
              <w:rPr>
                <w:rFonts w:hint="default" w:ascii="Times New Roman" w:hAnsi="Times New Roman" w:eastAsia="方正仿宋_GBK" w:cs="Times New Roman"/>
                <w:bCs/>
                <w:kern w:val="0"/>
                <w:sz w:val="21"/>
                <w:szCs w:val="21"/>
              </w:rPr>
              <w:t>河道疏浚工程</w:t>
            </w:r>
          </w:p>
        </w:tc>
        <w:tc>
          <w:tcPr>
            <w:tcW w:w="1245" w:type="pct"/>
            <w:noWrap w:val="0"/>
            <w:vAlign w:val="center"/>
          </w:tcPr>
          <w:p>
            <w:pPr>
              <w:widowControl/>
              <w:adjustRightInd w:val="0"/>
              <w:spacing w:line="240" w:lineRule="exact"/>
              <w:ind w:firstLine="0" w:firstLineChars="0"/>
              <w:jc w:val="both"/>
              <w:rPr>
                <w:rFonts w:hint="default" w:ascii="Times New Roman" w:hAnsi="Times New Roman" w:eastAsia="方正仿宋_GBK" w:cs="Times New Roman"/>
                <w:snapToGrid w:val="0"/>
                <w:kern w:val="0"/>
                <w:sz w:val="21"/>
                <w:szCs w:val="21"/>
                <w:lang w:val="zh-CN"/>
              </w:rPr>
            </w:pPr>
            <w:r>
              <w:rPr>
                <w:rFonts w:hint="default" w:ascii="Times New Roman" w:hAnsi="Times New Roman" w:eastAsia="方正仿宋_GBK" w:cs="Times New Roman"/>
                <w:bCs/>
                <w:kern w:val="0"/>
                <w:sz w:val="21"/>
                <w:szCs w:val="21"/>
              </w:rPr>
              <w:t>对綦江区主城区河段的彩虹桥至城北大桥3.02km、城区下游的北渡场河段3.74km，共计6.76km进行疏浚，疏挖深度为0.20</w:t>
            </w:r>
            <w:r>
              <w:rPr>
                <w:rFonts w:hint="default" w:ascii="Times New Roman" w:hAnsi="Times New Roman" w:eastAsia="方正仿宋_GBK" w:cs="Times New Roman"/>
                <w:bCs/>
                <w:kern w:val="0"/>
                <w:sz w:val="21"/>
                <w:szCs w:val="21"/>
                <w:lang w:eastAsia="zh-CN"/>
              </w:rPr>
              <w:t>—</w:t>
            </w:r>
            <w:r>
              <w:rPr>
                <w:rFonts w:hint="default" w:ascii="Times New Roman" w:hAnsi="Times New Roman" w:eastAsia="方正仿宋_GBK" w:cs="Times New Roman"/>
                <w:bCs/>
                <w:kern w:val="0"/>
                <w:sz w:val="21"/>
                <w:szCs w:val="21"/>
              </w:rPr>
              <w:t>4.33m，疏浚土方量约100万m</w:t>
            </w:r>
            <w:r>
              <w:rPr>
                <w:rFonts w:hint="default" w:ascii="Times New Roman" w:hAnsi="Times New Roman" w:eastAsia="方正仿宋_GBK" w:cs="Times New Roman"/>
                <w:bCs/>
                <w:kern w:val="0"/>
                <w:sz w:val="21"/>
                <w:szCs w:val="21"/>
                <w:vertAlign w:val="superscript"/>
              </w:rPr>
              <w:t>3</w:t>
            </w:r>
          </w:p>
        </w:tc>
        <w:tc>
          <w:tcPr>
            <w:tcW w:w="1870" w:type="pct"/>
            <w:noWrap w:val="0"/>
            <w:vAlign w:val="center"/>
          </w:tcPr>
          <w:p>
            <w:pPr>
              <w:widowControl/>
              <w:adjustRightInd w:val="0"/>
              <w:spacing w:line="240" w:lineRule="exact"/>
              <w:ind w:firstLine="0" w:firstLineChars="0"/>
              <w:jc w:val="both"/>
              <w:rPr>
                <w:rFonts w:hint="default" w:ascii="Times New Roman" w:hAnsi="Times New Roman" w:eastAsia="方正仿宋_GBK" w:cs="Times New Roman"/>
                <w:snapToGrid w:val="0"/>
                <w:kern w:val="0"/>
                <w:sz w:val="21"/>
                <w:szCs w:val="21"/>
                <w:lang w:val="zh-CN"/>
              </w:rPr>
            </w:pPr>
            <w:r>
              <w:rPr>
                <w:rFonts w:hint="default" w:ascii="Times New Roman" w:hAnsi="Times New Roman" w:eastAsia="方正仿宋_GBK" w:cs="Times New Roman"/>
                <w:snapToGrid w:val="0"/>
                <w:kern w:val="0"/>
                <w:sz w:val="21"/>
                <w:szCs w:val="21"/>
                <w:lang w:val="zh-CN"/>
              </w:rPr>
              <w:t>位于主城区河段，不涉及环境敏感区。</w:t>
            </w:r>
          </w:p>
        </w:tc>
        <w:tc>
          <w:tcPr>
            <w:tcW w:w="862" w:type="pct"/>
            <w:noWrap w:val="0"/>
            <w:vAlign w:val="center"/>
          </w:tcPr>
          <w:p>
            <w:pPr>
              <w:widowControl/>
              <w:adjustRightInd w:val="0"/>
              <w:spacing w:line="240" w:lineRule="exact"/>
              <w:ind w:firstLine="0" w:firstLineChars="0"/>
              <w:jc w:val="both"/>
              <w:rPr>
                <w:rFonts w:hint="default" w:ascii="Times New Roman" w:hAnsi="Times New Roman" w:eastAsia="方正仿宋_GBK" w:cs="Times New Roman"/>
                <w:snapToGrid w:val="0"/>
                <w:kern w:val="0"/>
                <w:sz w:val="21"/>
                <w:szCs w:val="21"/>
                <w:lang w:val="zh-CN"/>
              </w:rPr>
            </w:pPr>
            <w:r>
              <w:rPr>
                <w:rFonts w:hint="default" w:ascii="Times New Roman" w:hAnsi="Times New Roman" w:eastAsia="方正仿宋_GBK" w:cs="Times New Roman"/>
                <w:snapToGrid w:val="0"/>
                <w:kern w:val="0"/>
                <w:sz w:val="21"/>
                <w:szCs w:val="21"/>
                <w:lang w:val="zh-CN"/>
              </w:rPr>
              <w:t>无环境制约因素。</w:t>
            </w:r>
          </w:p>
        </w:tc>
      </w:tr>
    </w:tbl>
    <w:p>
      <w:pPr>
        <w:spacing w:after="60"/>
        <w:ind w:firstLine="280" w:firstLineChars="100"/>
        <w:outlineLvl w:val="5"/>
        <w:rPr>
          <w:rFonts w:hint="default" w:ascii="Times New Roman" w:hAnsi="Times New Roman" w:eastAsia="黑体" w:cs="Times New Roman"/>
          <w:sz w:val="24"/>
          <w:szCs w:val="20"/>
        </w:rPr>
      </w:pPr>
      <w:r>
        <w:br w:type="page"/>
      </w:r>
      <w:r>
        <w:rPr>
          <w:rFonts w:hint="default" w:ascii="Times New Roman" w:hAnsi="Times New Roman" w:eastAsia="黑体" w:cs="Times New Roman"/>
          <w:sz w:val="24"/>
          <w:szCs w:val="20"/>
        </w:rPr>
        <w:t>续表9.3</w:t>
      </w:r>
      <w:r>
        <w:rPr>
          <w:rFonts w:hint="default" w:ascii="Times New Roman" w:hAnsi="Times New Roman" w:eastAsia="黑体" w:cs="Times New Roman"/>
          <w:sz w:val="24"/>
          <w:szCs w:val="20"/>
          <w:lang w:eastAsia="zh-CN"/>
        </w:rPr>
        <w:t>—</w:t>
      </w:r>
      <w:r>
        <w:rPr>
          <w:rFonts w:hint="default" w:ascii="Times New Roman" w:hAnsi="Times New Roman" w:eastAsia="黑体" w:cs="Times New Roman"/>
          <w:sz w:val="24"/>
          <w:szCs w:val="20"/>
        </w:rPr>
        <w:t>3         规划防洪工程及其环境制约性因素分析表</w:t>
      </w:r>
    </w:p>
    <w:tbl>
      <w:tblPr>
        <w:tblStyle w:val="88"/>
        <w:tblW w:w="5000"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0" w:type="dxa"/>
          <w:bottom w:w="0" w:type="dxa"/>
          <w:right w:w="0" w:type="dxa"/>
        </w:tblCellMar>
      </w:tblPr>
      <w:tblGrid>
        <w:gridCol w:w="574"/>
        <w:gridCol w:w="1281"/>
        <w:gridCol w:w="2264"/>
        <w:gridCol w:w="2693"/>
        <w:gridCol w:w="2275"/>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1021" w:type="pct"/>
            <w:gridSpan w:val="2"/>
            <w:noWrap w:val="0"/>
            <w:vAlign w:val="center"/>
          </w:tcPr>
          <w:p>
            <w:pPr>
              <w:widowControl/>
              <w:adjustRightInd w:val="0"/>
              <w:spacing w:line="240" w:lineRule="exact"/>
              <w:ind w:firstLine="0" w:firstLineChars="0"/>
              <w:jc w:val="center"/>
              <w:rPr>
                <w:rFonts w:hint="eastAsia" w:ascii="方正黑体_GBK" w:hAnsi="方正黑体_GBK" w:eastAsia="方正黑体_GBK" w:cs="方正黑体_GBK"/>
                <w:snapToGrid w:val="0"/>
                <w:kern w:val="0"/>
                <w:sz w:val="21"/>
                <w:szCs w:val="21"/>
                <w:lang w:val="zh-CN"/>
              </w:rPr>
            </w:pPr>
            <w:r>
              <w:rPr>
                <w:rFonts w:hint="eastAsia" w:ascii="方正黑体_GBK" w:hAnsi="方正黑体_GBK" w:eastAsia="方正黑体_GBK" w:cs="方正黑体_GBK"/>
                <w:snapToGrid w:val="0"/>
                <w:kern w:val="0"/>
                <w:sz w:val="21"/>
                <w:szCs w:val="21"/>
                <w:lang w:val="zh-CN"/>
              </w:rPr>
              <w:t>规划防洪工程方案</w:t>
            </w:r>
          </w:p>
        </w:tc>
        <w:tc>
          <w:tcPr>
            <w:tcW w:w="1246" w:type="pct"/>
            <w:noWrap w:val="0"/>
            <w:vAlign w:val="center"/>
          </w:tcPr>
          <w:p>
            <w:pPr>
              <w:widowControl/>
              <w:adjustRightInd w:val="0"/>
              <w:spacing w:line="240" w:lineRule="exact"/>
              <w:ind w:firstLine="0" w:firstLineChars="0"/>
              <w:jc w:val="center"/>
              <w:rPr>
                <w:rFonts w:hint="eastAsia" w:ascii="方正黑体_GBK" w:hAnsi="方正黑体_GBK" w:eastAsia="方正黑体_GBK" w:cs="方正黑体_GBK"/>
                <w:snapToGrid w:val="0"/>
                <w:kern w:val="0"/>
                <w:sz w:val="21"/>
                <w:szCs w:val="21"/>
                <w:lang w:val="zh-CN"/>
              </w:rPr>
            </w:pPr>
            <w:r>
              <w:rPr>
                <w:rFonts w:hint="eastAsia" w:ascii="方正黑体_GBK" w:hAnsi="方正黑体_GBK" w:eastAsia="方正黑体_GBK" w:cs="方正黑体_GBK"/>
                <w:snapToGrid w:val="0"/>
                <w:kern w:val="0"/>
                <w:sz w:val="21"/>
                <w:szCs w:val="21"/>
                <w:lang w:val="zh-CN"/>
              </w:rPr>
              <w:t>主要工程措施</w:t>
            </w:r>
          </w:p>
        </w:tc>
        <w:tc>
          <w:tcPr>
            <w:tcW w:w="1482" w:type="pct"/>
            <w:noWrap w:val="0"/>
            <w:vAlign w:val="center"/>
          </w:tcPr>
          <w:p>
            <w:pPr>
              <w:widowControl/>
              <w:adjustRightInd w:val="0"/>
              <w:spacing w:line="240" w:lineRule="exact"/>
              <w:ind w:firstLine="0" w:firstLineChars="0"/>
              <w:jc w:val="center"/>
              <w:rPr>
                <w:rFonts w:hint="eastAsia" w:ascii="方正黑体_GBK" w:hAnsi="方正黑体_GBK" w:eastAsia="方正黑体_GBK" w:cs="方正黑体_GBK"/>
                <w:snapToGrid w:val="0"/>
                <w:kern w:val="0"/>
                <w:sz w:val="21"/>
                <w:szCs w:val="21"/>
                <w:lang w:val="zh-CN"/>
              </w:rPr>
            </w:pPr>
            <w:r>
              <w:rPr>
                <w:rFonts w:hint="eastAsia" w:ascii="方正黑体_GBK" w:hAnsi="方正黑体_GBK" w:eastAsia="方正黑体_GBK" w:cs="方正黑体_GBK"/>
                <w:snapToGrid w:val="0"/>
                <w:kern w:val="0"/>
                <w:sz w:val="21"/>
                <w:szCs w:val="21"/>
                <w:lang w:val="zh-CN"/>
              </w:rPr>
              <w:t>与环境敏感区位置关系</w:t>
            </w:r>
          </w:p>
        </w:tc>
        <w:tc>
          <w:tcPr>
            <w:tcW w:w="1251" w:type="pct"/>
            <w:noWrap w:val="0"/>
            <w:vAlign w:val="center"/>
          </w:tcPr>
          <w:p>
            <w:pPr>
              <w:widowControl/>
              <w:adjustRightInd w:val="0"/>
              <w:spacing w:line="240" w:lineRule="exact"/>
              <w:ind w:firstLine="0" w:firstLineChars="0"/>
              <w:jc w:val="center"/>
              <w:rPr>
                <w:rFonts w:hint="eastAsia" w:ascii="方正黑体_GBK" w:hAnsi="方正黑体_GBK" w:eastAsia="方正黑体_GBK" w:cs="方正黑体_GBK"/>
                <w:snapToGrid w:val="0"/>
                <w:kern w:val="0"/>
                <w:sz w:val="21"/>
                <w:szCs w:val="21"/>
                <w:lang w:val="zh-CN"/>
              </w:rPr>
            </w:pPr>
            <w:r>
              <w:rPr>
                <w:rFonts w:hint="eastAsia" w:ascii="方正黑体_GBK" w:hAnsi="方正黑体_GBK" w:eastAsia="方正黑体_GBK" w:cs="方正黑体_GBK"/>
                <w:snapToGrid w:val="0"/>
                <w:kern w:val="0"/>
                <w:sz w:val="21"/>
                <w:szCs w:val="21"/>
                <w:lang w:val="zh-CN"/>
              </w:rPr>
              <w:t>环境制约因素分析</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316" w:type="pct"/>
            <w:vMerge w:val="restart"/>
            <w:noWrap w:val="0"/>
            <w:vAlign w:val="center"/>
          </w:tcPr>
          <w:p>
            <w:pPr>
              <w:widowControl/>
              <w:adjustRightInd w:val="0"/>
              <w:spacing w:line="240" w:lineRule="exact"/>
              <w:ind w:firstLine="0" w:firstLineChars="0"/>
              <w:jc w:val="both"/>
              <w:rPr>
                <w:rFonts w:hint="default" w:ascii="Times New Roman" w:hAnsi="Times New Roman" w:eastAsia="方正仿宋_GBK" w:cs="Times New Roman"/>
                <w:snapToGrid w:val="0"/>
                <w:kern w:val="0"/>
                <w:sz w:val="21"/>
                <w:szCs w:val="21"/>
                <w:lang w:val="zh-CN"/>
              </w:rPr>
            </w:pPr>
            <w:r>
              <w:rPr>
                <w:rFonts w:hint="default" w:ascii="Times New Roman" w:hAnsi="Times New Roman" w:eastAsia="方正仿宋_GBK" w:cs="Times New Roman"/>
                <w:snapToGrid w:val="0"/>
                <w:kern w:val="0"/>
                <w:sz w:val="21"/>
                <w:szCs w:val="21"/>
                <w:lang w:val="zh-CN"/>
              </w:rPr>
              <w:t>河道整治</w:t>
            </w:r>
          </w:p>
        </w:tc>
        <w:tc>
          <w:tcPr>
            <w:tcW w:w="705" w:type="pct"/>
            <w:noWrap w:val="0"/>
            <w:vAlign w:val="center"/>
          </w:tcPr>
          <w:p>
            <w:pPr>
              <w:widowControl/>
              <w:adjustRightInd w:val="0"/>
              <w:spacing w:line="240" w:lineRule="exact"/>
              <w:ind w:firstLine="0" w:firstLineChars="0"/>
              <w:jc w:val="both"/>
              <w:rPr>
                <w:rFonts w:hint="default" w:ascii="Times New Roman" w:hAnsi="Times New Roman" w:eastAsia="方正仿宋_GBK" w:cs="Times New Roman"/>
                <w:snapToGrid w:val="0"/>
                <w:kern w:val="0"/>
                <w:sz w:val="21"/>
                <w:szCs w:val="21"/>
                <w:lang w:val="zh-CN"/>
              </w:rPr>
            </w:pPr>
            <w:r>
              <w:rPr>
                <w:rFonts w:hint="default" w:ascii="Times New Roman" w:hAnsi="Times New Roman" w:eastAsia="方正仿宋_GBK" w:cs="Times New Roman"/>
                <w:bCs/>
                <w:kern w:val="0"/>
                <w:sz w:val="21"/>
                <w:szCs w:val="21"/>
              </w:rPr>
              <w:t>航运梯级优化改建工程</w:t>
            </w:r>
          </w:p>
        </w:tc>
        <w:tc>
          <w:tcPr>
            <w:tcW w:w="1246" w:type="pct"/>
            <w:noWrap w:val="0"/>
            <w:vAlign w:val="center"/>
          </w:tcPr>
          <w:p>
            <w:pPr>
              <w:widowControl/>
              <w:adjustRightInd w:val="0"/>
              <w:spacing w:line="240" w:lineRule="exact"/>
              <w:ind w:firstLine="0" w:firstLineChars="0"/>
              <w:jc w:val="both"/>
              <w:rPr>
                <w:rFonts w:hint="default" w:ascii="Times New Roman" w:hAnsi="Times New Roman" w:eastAsia="方正仿宋_GBK" w:cs="Times New Roman"/>
                <w:snapToGrid w:val="0"/>
                <w:kern w:val="0"/>
                <w:sz w:val="21"/>
                <w:szCs w:val="21"/>
                <w:lang w:val="zh-CN"/>
              </w:rPr>
            </w:pPr>
            <w:r>
              <w:rPr>
                <w:rFonts w:hint="default" w:ascii="Times New Roman" w:hAnsi="Times New Roman" w:eastAsia="方正仿宋_GBK" w:cs="Times New Roman"/>
                <w:bCs/>
                <w:kern w:val="0"/>
                <w:sz w:val="21"/>
                <w:szCs w:val="21"/>
              </w:rPr>
              <w:t>对大常、石溪口、桥河、桥溪口枢纽进行改造</w:t>
            </w:r>
          </w:p>
        </w:tc>
        <w:tc>
          <w:tcPr>
            <w:tcW w:w="1482" w:type="pct"/>
            <w:noWrap w:val="0"/>
            <w:vAlign w:val="center"/>
          </w:tcPr>
          <w:p>
            <w:pPr>
              <w:widowControl/>
              <w:adjustRightInd w:val="0"/>
              <w:spacing w:line="240" w:lineRule="exact"/>
              <w:ind w:firstLine="0" w:firstLineChars="0"/>
              <w:jc w:val="both"/>
              <w:rPr>
                <w:rFonts w:hint="default" w:ascii="Times New Roman" w:hAnsi="Times New Roman" w:eastAsia="方正仿宋_GBK" w:cs="Times New Roman"/>
                <w:snapToGrid w:val="0"/>
                <w:kern w:val="0"/>
                <w:sz w:val="21"/>
                <w:szCs w:val="21"/>
                <w:lang w:val="zh-CN"/>
              </w:rPr>
            </w:pPr>
            <w:r>
              <w:rPr>
                <w:rFonts w:hint="default" w:ascii="Times New Roman" w:hAnsi="Times New Roman" w:eastAsia="方正仿宋_GBK" w:cs="Times New Roman"/>
                <w:snapToGrid w:val="0"/>
                <w:kern w:val="0"/>
                <w:sz w:val="21"/>
                <w:szCs w:val="21"/>
                <w:lang w:val="zh-CN"/>
              </w:rPr>
              <w:t>位于主城区河段，不涉及环境敏感区。</w:t>
            </w:r>
          </w:p>
        </w:tc>
        <w:tc>
          <w:tcPr>
            <w:tcW w:w="1251" w:type="pct"/>
            <w:noWrap w:val="0"/>
            <w:vAlign w:val="center"/>
          </w:tcPr>
          <w:p>
            <w:pPr>
              <w:widowControl/>
              <w:adjustRightInd w:val="0"/>
              <w:spacing w:line="240" w:lineRule="exact"/>
              <w:ind w:firstLine="0" w:firstLineChars="0"/>
              <w:jc w:val="both"/>
              <w:rPr>
                <w:rFonts w:hint="default" w:ascii="Times New Roman" w:hAnsi="Times New Roman" w:eastAsia="方正仿宋_GBK" w:cs="Times New Roman"/>
                <w:snapToGrid w:val="0"/>
                <w:kern w:val="0"/>
                <w:sz w:val="21"/>
                <w:szCs w:val="21"/>
                <w:lang w:val="zh-CN"/>
              </w:rPr>
            </w:pPr>
            <w:r>
              <w:rPr>
                <w:rFonts w:hint="default" w:ascii="Times New Roman" w:hAnsi="Times New Roman" w:eastAsia="方正仿宋_GBK" w:cs="Times New Roman"/>
                <w:snapToGrid w:val="0"/>
                <w:kern w:val="0"/>
                <w:sz w:val="21"/>
                <w:szCs w:val="21"/>
                <w:lang w:val="zh-CN"/>
              </w:rPr>
              <w:t>无环境制约因素。</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316" w:type="pct"/>
            <w:vMerge w:val="continue"/>
            <w:noWrap w:val="0"/>
            <w:vAlign w:val="center"/>
          </w:tcPr>
          <w:p>
            <w:pPr>
              <w:widowControl/>
              <w:adjustRightInd w:val="0"/>
              <w:spacing w:line="240" w:lineRule="exact"/>
              <w:ind w:firstLine="0" w:firstLineChars="0"/>
              <w:jc w:val="both"/>
              <w:rPr>
                <w:rFonts w:hint="default" w:ascii="Times New Roman" w:hAnsi="Times New Roman" w:eastAsia="方正仿宋_GBK" w:cs="Times New Roman"/>
                <w:snapToGrid w:val="0"/>
                <w:kern w:val="0"/>
                <w:sz w:val="21"/>
                <w:szCs w:val="21"/>
                <w:lang w:val="zh-CN"/>
              </w:rPr>
            </w:pPr>
          </w:p>
        </w:tc>
        <w:tc>
          <w:tcPr>
            <w:tcW w:w="705" w:type="pct"/>
            <w:noWrap w:val="0"/>
            <w:vAlign w:val="center"/>
          </w:tcPr>
          <w:p>
            <w:pPr>
              <w:widowControl/>
              <w:adjustRightInd w:val="0"/>
              <w:spacing w:line="240" w:lineRule="exact"/>
              <w:ind w:firstLine="0" w:firstLineChars="0"/>
              <w:jc w:val="both"/>
              <w:rPr>
                <w:rFonts w:hint="default" w:ascii="Times New Roman" w:hAnsi="Times New Roman" w:eastAsia="方正仿宋_GBK" w:cs="Times New Roman"/>
                <w:snapToGrid w:val="0"/>
                <w:kern w:val="0"/>
                <w:sz w:val="21"/>
                <w:szCs w:val="21"/>
                <w:lang w:val="zh-CN"/>
              </w:rPr>
            </w:pPr>
            <w:r>
              <w:rPr>
                <w:rFonts w:hint="default" w:ascii="Times New Roman" w:hAnsi="Times New Roman" w:eastAsia="方正仿宋_GBK" w:cs="Times New Roman"/>
                <w:bCs/>
                <w:kern w:val="0"/>
                <w:sz w:val="21"/>
                <w:szCs w:val="21"/>
              </w:rPr>
              <w:t>跨河桥梁改造工程</w:t>
            </w:r>
          </w:p>
        </w:tc>
        <w:tc>
          <w:tcPr>
            <w:tcW w:w="1246" w:type="pct"/>
            <w:noWrap w:val="0"/>
            <w:vAlign w:val="center"/>
          </w:tcPr>
          <w:p>
            <w:pPr>
              <w:widowControl/>
              <w:adjustRightInd w:val="0"/>
              <w:spacing w:line="240" w:lineRule="exact"/>
              <w:ind w:firstLine="0" w:firstLineChars="0"/>
              <w:jc w:val="both"/>
              <w:rPr>
                <w:rFonts w:hint="default" w:ascii="Times New Roman" w:hAnsi="Times New Roman" w:eastAsia="方正仿宋_GBK" w:cs="Times New Roman"/>
                <w:snapToGrid w:val="0"/>
                <w:kern w:val="0"/>
                <w:sz w:val="21"/>
                <w:szCs w:val="21"/>
                <w:lang w:val="zh-CN"/>
              </w:rPr>
            </w:pPr>
          </w:p>
        </w:tc>
        <w:tc>
          <w:tcPr>
            <w:tcW w:w="1482" w:type="pct"/>
            <w:noWrap w:val="0"/>
            <w:vAlign w:val="center"/>
          </w:tcPr>
          <w:p>
            <w:pPr>
              <w:widowControl/>
              <w:adjustRightInd w:val="0"/>
              <w:spacing w:line="240" w:lineRule="exact"/>
              <w:ind w:firstLine="0" w:firstLineChars="0"/>
              <w:jc w:val="both"/>
              <w:rPr>
                <w:rFonts w:hint="default" w:ascii="Times New Roman" w:hAnsi="Times New Roman" w:eastAsia="方正仿宋_GBK" w:cs="Times New Roman"/>
                <w:snapToGrid w:val="0"/>
                <w:kern w:val="0"/>
                <w:sz w:val="21"/>
                <w:szCs w:val="21"/>
                <w:lang w:val="zh-CN"/>
              </w:rPr>
            </w:pPr>
            <w:r>
              <w:rPr>
                <w:rFonts w:hint="default" w:ascii="Times New Roman" w:hAnsi="Times New Roman" w:eastAsia="方正仿宋_GBK" w:cs="Times New Roman"/>
                <w:snapToGrid w:val="0"/>
                <w:kern w:val="0"/>
                <w:sz w:val="21"/>
                <w:szCs w:val="21"/>
                <w:lang w:val="zh-CN"/>
              </w:rPr>
              <w:t>位于主城区河段，不涉及环境敏感区。</w:t>
            </w:r>
          </w:p>
        </w:tc>
        <w:tc>
          <w:tcPr>
            <w:tcW w:w="1251" w:type="pct"/>
            <w:noWrap w:val="0"/>
            <w:vAlign w:val="center"/>
          </w:tcPr>
          <w:p>
            <w:pPr>
              <w:widowControl/>
              <w:adjustRightInd w:val="0"/>
              <w:spacing w:line="240" w:lineRule="exact"/>
              <w:ind w:firstLine="0" w:firstLineChars="0"/>
              <w:jc w:val="both"/>
              <w:rPr>
                <w:rFonts w:hint="default" w:ascii="Times New Roman" w:hAnsi="Times New Roman" w:eastAsia="方正仿宋_GBK" w:cs="Times New Roman"/>
                <w:snapToGrid w:val="0"/>
                <w:kern w:val="0"/>
                <w:sz w:val="21"/>
                <w:szCs w:val="21"/>
                <w:lang w:val="zh-CN"/>
              </w:rPr>
            </w:pPr>
            <w:r>
              <w:rPr>
                <w:rFonts w:hint="default" w:ascii="Times New Roman" w:hAnsi="Times New Roman" w:eastAsia="方正仿宋_GBK" w:cs="Times New Roman"/>
                <w:snapToGrid w:val="0"/>
                <w:kern w:val="0"/>
                <w:sz w:val="21"/>
                <w:szCs w:val="21"/>
                <w:lang w:val="zh-CN"/>
              </w:rPr>
              <w:t>无环境制约因素。</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316" w:type="pct"/>
            <w:noWrap w:val="0"/>
            <w:vAlign w:val="center"/>
          </w:tcPr>
          <w:p>
            <w:pPr>
              <w:widowControl/>
              <w:adjustRightInd w:val="0"/>
              <w:spacing w:line="240" w:lineRule="exact"/>
              <w:ind w:firstLine="0" w:firstLineChars="0"/>
              <w:jc w:val="both"/>
              <w:rPr>
                <w:rFonts w:hint="default" w:ascii="Times New Roman" w:hAnsi="Times New Roman" w:eastAsia="方正仿宋_GBK" w:cs="Times New Roman"/>
                <w:snapToGrid w:val="0"/>
                <w:kern w:val="0"/>
                <w:sz w:val="21"/>
                <w:szCs w:val="21"/>
                <w:lang w:val="zh-CN"/>
              </w:rPr>
            </w:pPr>
            <w:r>
              <w:rPr>
                <w:rFonts w:hint="default" w:ascii="Times New Roman" w:hAnsi="Times New Roman" w:eastAsia="方正仿宋_GBK" w:cs="Times New Roman"/>
                <w:snapToGrid w:val="0"/>
                <w:kern w:val="0"/>
                <w:sz w:val="21"/>
                <w:szCs w:val="21"/>
                <w:lang w:val="zh-CN"/>
              </w:rPr>
              <w:t>防洪水库</w:t>
            </w:r>
          </w:p>
        </w:tc>
        <w:tc>
          <w:tcPr>
            <w:tcW w:w="705" w:type="pct"/>
            <w:noWrap w:val="0"/>
            <w:vAlign w:val="center"/>
          </w:tcPr>
          <w:p>
            <w:pPr>
              <w:widowControl/>
              <w:adjustRightInd w:val="0"/>
              <w:spacing w:line="240" w:lineRule="exact"/>
              <w:ind w:firstLine="0" w:firstLineChars="0"/>
              <w:jc w:val="both"/>
              <w:rPr>
                <w:rFonts w:hint="default" w:ascii="Times New Roman" w:hAnsi="Times New Roman" w:eastAsia="方正仿宋_GBK" w:cs="Times New Roman"/>
                <w:snapToGrid w:val="0"/>
                <w:kern w:val="0"/>
                <w:sz w:val="21"/>
                <w:szCs w:val="21"/>
                <w:lang w:val="zh-CN"/>
              </w:rPr>
            </w:pPr>
            <w:r>
              <w:rPr>
                <w:rFonts w:hint="default" w:ascii="Times New Roman" w:hAnsi="Times New Roman" w:eastAsia="方正仿宋_GBK" w:cs="Times New Roman"/>
                <w:snapToGrid w:val="0"/>
                <w:kern w:val="0"/>
                <w:sz w:val="21"/>
                <w:szCs w:val="21"/>
                <w:lang w:val="zh-CN"/>
              </w:rPr>
              <w:t>藻渡水库</w:t>
            </w:r>
          </w:p>
        </w:tc>
        <w:tc>
          <w:tcPr>
            <w:tcW w:w="1246" w:type="pct"/>
            <w:noWrap w:val="0"/>
            <w:vAlign w:val="center"/>
          </w:tcPr>
          <w:p>
            <w:pPr>
              <w:widowControl/>
              <w:adjustRightInd w:val="0"/>
              <w:spacing w:line="240" w:lineRule="exact"/>
              <w:ind w:firstLine="0" w:firstLineChars="0"/>
              <w:jc w:val="both"/>
              <w:rPr>
                <w:rFonts w:hint="default" w:ascii="Times New Roman" w:hAnsi="Times New Roman" w:eastAsia="方正仿宋_GBK" w:cs="Times New Roman"/>
                <w:snapToGrid w:val="0"/>
                <w:kern w:val="0"/>
                <w:sz w:val="21"/>
                <w:szCs w:val="21"/>
                <w:lang w:val="zh-CN"/>
              </w:rPr>
            </w:pPr>
            <w:r>
              <w:rPr>
                <w:rFonts w:hint="default" w:ascii="Times New Roman" w:hAnsi="Times New Roman" w:eastAsia="方正仿宋_GBK" w:cs="Times New Roman"/>
                <w:snapToGrid w:val="0"/>
                <w:kern w:val="0"/>
                <w:sz w:val="21"/>
                <w:szCs w:val="21"/>
                <w:lang w:val="zh-CN"/>
              </w:rPr>
              <w:t>在綦江城区上游，藻渡河上修建藻渡水库，设计预留防洪库容4963万m</w:t>
            </w:r>
            <w:r>
              <w:rPr>
                <w:rFonts w:hint="default" w:ascii="Times New Roman" w:hAnsi="Times New Roman" w:eastAsia="方正仿宋_GBK" w:cs="Times New Roman"/>
                <w:snapToGrid w:val="0"/>
                <w:kern w:val="0"/>
                <w:sz w:val="21"/>
                <w:szCs w:val="21"/>
                <w:vertAlign w:val="superscript"/>
                <w:lang w:val="zh-CN"/>
              </w:rPr>
              <w:t>3</w:t>
            </w:r>
            <w:r>
              <w:rPr>
                <w:rFonts w:hint="default" w:ascii="Times New Roman" w:hAnsi="Times New Roman" w:eastAsia="方正仿宋_GBK" w:cs="Times New Roman"/>
                <w:snapToGrid w:val="0"/>
                <w:kern w:val="0"/>
                <w:sz w:val="21"/>
                <w:szCs w:val="21"/>
                <w:lang w:val="zh-CN"/>
              </w:rPr>
              <w:t>，将主城区防洪标准提高至50年一遇</w:t>
            </w:r>
          </w:p>
        </w:tc>
        <w:tc>
          <w:tcPr>
            <w:tcW w:w="1482" w:type="pct"/>
            <w:noWrap w:val="0"/>
            <w:vAlign w:val="center"/>
          </w:tcPr>
          <w:p>
            <w:pPr>
              <w:widowControl/>
              <w:adjustRightInd w:val="0"/>
              <w:spacing w:line="240" w:lineRule="exact"/>
              <w:ind w:firstLine="0" w:firstLineChars="0"/>
              <w:jc w:val="both"/>
              <w:rPr>
                <w:rFonts w:hint="default" w:ascii="Times New Roman" w:hAnsi="Times New Roman" w:eastAsia="方正仿宋_GBK" w:cs="Times New Roman"/>
                <w:snapToGrid w:val="0"/>
                <w:kern w:val="0"/>
                <w:sz w:val="21"/>
                <w:szCs w:val="21"/>
                <w:lang w:val="zh-CN"/>
              </w:rPr>
            </w:pPr>
            <w:r>
              <w:rPr>
                <w:rFonts w:hint="default" w:ascii="Times New Roman" w:hAnsi="Times New Roman" w:eastAsia="方正仿宋_GBK" w:cs="Times New Roman"/>
                <w:snapToGrid w:val="0"/>
                <w:kern w:val="0"/>
                <w:sz w:val="21"/>
                <w:szCs w:val="21"/>
                <w:lang w:val="zh-CN"/>
              </w:rPr>
              <w:t>规划藻渡水库工程占地及淹没区内，无生态敏感区。藻渡水库工程涉及赶水镇藻渡河饮用水源保护区的一级和二级保护区。</w:t>
            </w:r>
          </w:p>
        </w:tc>
        <w:tc>
          <w:tcPr>
            <w:tcW w:w="1251" w:type="pct"/>
            <w:noWrap w:val="0"/>
            <w:vAlign w:val="center"/>
          </w:tcPr>
          <w:p>
            <w:pPr>
              <w:widowControl/>
              <w:adjustRightInd w:val="0"/>
              <w:spacing w:line="240" w:lineRule="exact"/>
              <w:ind w:firstLine="0" w:firstLineChars="0"/>
              <w:jc w:val="both"/>
              <w:rPr>
                <w:rFonts w:hint="default" w:ascii="Times New Roman" w:hAnsi="Times New Roman" w:eastAsia="方正仿宋_GBK" w:cs="Times New Roman"/>
                <w:snapToGrid w:val="0"/>
                <w:kern w:val="0"/>
                <w:sz w:val="21"/>
                <w:szCs w:val="21"/>
                <w:lang w:val="zh-CN"/>
              </w:rPr>
            </w:pPr>
            <w:r>
              <w:rPr>
                <w:rFonts w:hint="default" w:ascii="Times New Roman" w:hAnsi="Times New Roman" w:eastAsia="方正仿宋_GBK" w:cs="Times New Roman"/>
                <w:snapToGrid w:val="0"/>
                <w:kern w:val="0"/>
                <w:sz w:val="21"/>
                <w:szCs w:val="21"/>
                <w:lang w:val="zh-CN"/>
              </w:rPr>
              <w:t>藻渡水库施工期间，采取措施由铁石垭水厂；藻渡水库建成后，将统一由藻渡水库取水口集中供水。</w:t>
            </w:r>
          </w:p>
          <w:p>
            <w:pPr>
              <w:widowControl/>
              <w:adjustRightInd w:val="0"/>
              <w:spacing w:line="240" w:lineRule="exact"/>
              <w:ind w:firstLine="0" w:firstLineChars="0"/>
              <w:jc w:val="both"/>
              <w:rPr>
                <w:rFonts w:hint="default" w:ascii="Times New Roman" w:hAnsi="Times New Roman" w:eastAsia="方正仿宋_GBK" w:cs="Times New Roman"/>
                <w:snapToGrid w:val="0"/>
                <w:kern w:val="0"/>
                <w:sz w:val="21"/>
                <w:szCs w:val="21"/>
                <w:lang w:val="zh-CN"/>
              </w:rPr>
            </w:pPr>
            <w:r>
              <w:rPr>
                <w:rFonts w:hint="default" w:ascii="Times New Roman" w:hAnsi="Times New Roman" w:eastAsia="方正仿宋_GBK" w:cs="Times New Roman"/>
                <w:snapToGrid w:val="0"/>
                <w:kern w:val="0"/>
                <w:sz w:val="21"/>
                <w:szCs w:val="21"/>
                <w:lang w:val="zh-CN"/>
              </w:rPr>
              <w:t>因此，将采取措施保证居民饮用水的水量和水质安全，不受藻渡水库工程建设的影响。</w:t>
            </w:r>
          </w:p>
          <w:p>
            <w:pPr>
              <w:widowControl/>
              <w:adjustRightInd w:val="0"/>
              <w:spacing w:line="240" w:lineRule="exact"/>
              <w:ind w:firstLine="0" w:firstLineChars="0"/>
              <w:jc w:val="both"/>
              <w:rPr>
                <w:rFonts w:hint="default" w:ascii="Times New Roman" w:hAnsi="Times New Roman" w:eastAsia="方正仿宋_GBK" w:cs="Times New Roman"/>
                <w:snapToGrid w:val="0"/>
                <w:kern w:val="0"/>
                <w:sz w:val="21"/>
                <w:szCs w:val="21"/>
                <w:lang w:val="zh-CN"/>
              </w:rPr>
            </w:pPr>
            <w:r>
              <w:rPr>
                <w:rFonts w:hint="default" w:ascii="Times New Roman" w:hAnsi="Times New Roman" w:eastAsia="方正仿宋_GBK" w:cs="Times New Roman"/>
                <w:snapToGrid w:val="0"/>
                <w:kern w:val="0"/>
                <w:sz w:val="21"/>
                <w:szCs w:val="21"/>
                <w:lang w:val="zh-CN"/>
              </w:rPr>
              <w:t>项目实施阶段，还应征求</w:t>
            </w:r>
            <w:r>
              <w:rPr>
                <w:rFonts w:hint="default" w:ascii="Times New Roman" w:hAnsi="Times New Roman" w:eastAsia="方正仿宋_GBK" w:cs="Times New Roman"/>
                <w:snapToGrid w:val="0"/>
                <w:kern w:val="0"/>
                <w:sz w:val="21"/>
                <w:szCs w:val="21"/>
              </w:rPr>
              <w:t>相关</w:t>
            </w:r>
            <w:r>
              <w:rPr>
                <w:rFonts w:hint="default" w:ascii="Times New Roman" w:hAnsi="Times New Roman" w:eastAsia="方正仿宋_GBK" w:cs="Times New Roman"/>
                <w:snapToGrid w:val="0"/>
                <w:kern w:val="0"/>
                <w:sz w:val="21"/>
                <w:szCs w:val="21"/>
                <w:lang w:val="zh-CN"/>
              </w:rPr>
              <w:t>主管部门意见。</w:t>
            </w:r>
          </w:p>
        </w:tc>
      </w:tr>
    </w:tbl>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3.环境影响识别</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szCs w:val="20"/>
        </w:rPr>
      </w:pPr>
      <w:r>
        <w:rPr>
          <w:rFonts w:hint="eastAsia" w:ascii="Times New Roman" w:hAnsi="Times New Roman" w:eastAsia="方正仿宋_GBK" w:cs="Times New Roman"/>
          <w:sz w:val="32"/>
          <w:szCs w:val="32"/>
          <w:lang w:val="en-US" w:eastAsia="zh-CN"/>
        </w:rPr>
        <w:t>规划对环境的影响涉及面广，影响因素复杂，受影响的环境系统及环境要素较多。各项规划总体布局、规划方案、工程规模及实施时序是决定规划环境影响的基本因素。因各项规划的内容和影响因素不同，在环境要素上各有其评价重点。根据规划环境影响程度识别矩阵（见表9.3</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4），本次规划环境影响评价重点因子为水文水资源、水环境、生态环境、土地资源、社会环境。</w:t>
      </w:r>
    </w:p>
    <w:p>
      <w:pPr>
        <w:spacing w:after="60"/>
        <w:ind w:firstLine="240" w:firstLineChars="100"/>
        <w:outlineLvl w:val="5"/>
        <w:rPr>
          <w:rFonts w:hint="default" w:ascii="Times New Roman" w:hAnsi="Times New Roman" w:eastAsia="黑体" w:cs="Times New Roman"/>
          <w:sz w:val="24"/>
          <w:szCs w:val="20"/>
        </w:rPr>
      </w:pPr>
      <w:r>
        <w:rPr>
          <w:rFonts w:hint="default" w:ascii="Times New Roman" w:hAnsi="Times New Roman" w:eastAsia="黑体" w:cs="Times New Roman"/>
          <w:sz w:val="24"/>
          <w:szCs w:val="20"/>
        </w:rPr>
        <w:t>表9.3</w:t>
      </w:r>
      <w:r>
        <w:rPr>
          <w:rFonts w:hint="default" w:ascii="Times New Roman" w:hAnsi="Times New Roman" w:eastAsia="黑体" w:cs="Times New Roman"/>
          <w:sz w:val="24"/>
          <w:szCs w:val="20"/>
          <w:lang w:eastAsia="zh-CN"/>
        </w:rPr>
        <w:t>—</w:t>
      </w:r>
      <w:r>
        <w:rPr>
          <w:rFonts w:hint="default" w:ascii="Times New Roman" w:hAnsi="Times New Roman" w:eastAsia="黑体" w:cs="Times New Roman"/>
          <w:sz w:val="24"/>
          <w:szCs w:val="20"/>
        </w:rPr>
        <w:t>4           綦江城区防洪规划环境影响程度识别矩阵</w:t>
      </w:r>
    </w:p>
    <w:tbl>
      <w:tblPr>
        <w:tblStyle w:val="88"/>
        <w:tblW w:w="5000"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0" w:type="dxa"/>
          <w:bottom w:w="0" w:type="dxa"/>
          <w:right w:w="0" w:type="dxa"/>
        </w:tblCellMar>
      </w:tblPr>
      <w:tblGrid>
        <w:gridCol w:w="982"/>
        <w:gridCol w:w="490"/>
        <w:gridCol w:w="733"/>
        <w:gridCol w:w="493"/>
        <w:gridCol w:w="491"/>
        <w:gridCol w:w="493"/>
        <w:gridCol w:w="734"/>
        <w:gridCol w:w="491"/>
        <w:gridCol w:w="491"/>
        <w:gridCol w:w="734"/>
        <w:gridCol w:w="493"/>
        <w:gridCol w:w="491"/>
        <w:gridCol w:w="493"/>
        <w:gridCol w:w="491"/>
        <w:gridCol w:w="491"/>
        <w:gridCol w:w="496"/>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541" w:type="pct"/>
            <w:vMerge w:val="restart"/>
            <w:noWrap w:val="0"/>
            <w:vAlign w:val="center"/>
          </w:tcPr>
          <w:p>
            <w:pPr>
              <w:adjustRightInd w:val="0"/>
              <w:spacing w:line="240" w:lineRule="exact"/>
              <w:ind w:firstLine="0" w:firstLineChars="0"/>
              <w:jc w:val="center"/>
              <w:rPr>
                <w:rFonts w:hint="default" w:ascii="Times New Roman" w:hAnsi="Times New Roman" w:eastAsia="方正黑体_GBK" w:cs="Times New Roman"/>
                <w:snapToGrid w:val="0"/>
                <w:kern w:val="0"/>
                <w:sz w:val="21"/>
                <w:szCs w:val="21"/>
                <w:lang w:val="zh-CN"/>
              </w:rPr>
            </w:pPr>
            <w:r>
              <w:rPr>
                <w:rFonts w:hint="default" w:ascii="Times New Roman" w:hAnsi="Times New Roman" w:eastAsia="方正黑体_GBK" w:cs="Times New Roman"/>
                <w:snapToGrid w:val="0"/>
                <w:kern w:val="0"/>
                <w:sz w:val="21"/>
                <w:szCs w:val="21"/>
                <w:lang w:val="zh-CN"/>
              </w:rPr>
              <w:t>规划工程</w:t>
            </w:r>
          </w:p>
        </w:tc>
        <w:tc>
          <w:tcPr>
            <w:tcW w:w="4459" w:type="pct"/>
            <w:gridSpan w:val="15"/>
            <w:noWrap w:val="0"/>
            <w:vAlign w:val="center"/>
          </w:tcPr>
          <w:p>
            <w:pPr>
              <w:widowControl/>
              <w:adjustRightInd w:val="0"/>
              <w:spacing w:line="240" w:lineRule="exact"/>
              <w:ind w:firstLine="0" w:firstLineChars="0"/>
              <w:jc w:val="center"/>
              <w:rPr>
                <w:rFonts w:hint="default" w:ascii="Times New Roman" w:hAnsi="Times New Roman" w:eastAsia="方正黑体_GBK" w:cs="Times New Roman"/>
                <w:snapToGrid w:val="0"/>
                <w:kern w:val="0"/>
                <w:sz w:val="21"/>
                <w:szCs w:val="21"/>
                <w:lang w:val="zh-CN"/>
              </w:rPr>
            </w:pPr>
            <w:r>
              <w:rPr>
                <w:rFonts w:hint="default" w:ascii="Times New Roman" w:hAnsi="Times New Roman" w:eastAsia="方正黑体_GBK" w:cs="Times New Roman"/>
                <w:snapToGrid w:val="0"/>
                <w:kern w:val="0"/>
                <w:sz w:val="21"/>
                <w:szCs w:val="21"/>
                <w:lang w:val="zh-CN"/>
              </w:rPr>
              <w:t>环境要素</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541" w:type="pct"/>
            <w:vMerge w:val="continue"/>
            <w:noWrap w:val="0"/>
            <w:vAlign w:val="center"/>
          </w:tcPr>
          <w:p>
            <w:pPr>
              <w:widowControl/>
              <w:adjustRightInd w:val="0"/>
              <w:spacing w:line="240" w:lineRule="exact"/>
              <w:ind w:firstLine="0" w:firstLineChars="0"/>
              <w:jc w:val="center"/>
              <w:rPr>
                <w:rFonts w:hint="default" w:ascii="Times New Roman" w:hAnsi="Times New Roman" w:eastAsia="方正黑体_GBK" w:cs="Times New Roman"/>
                <w:snapToGrid w:val="0"/>
                <w:kern w:val="0"/>
                <w:sz w:val="21"/>
                <w:szCs w:val="21"/>
                <w:lang w:val="zh-CN"/>
              </w:rPr>
            </w:pPr>
          </w:p>
        </w:tc>
        <w:tc>
          <w:tcPr>
            <w:tcW w:w="945" w:type="pct"/>
            <w:gridSpan w:val="3"/>
            <w:noWrap w:val="0"/>
            <w:vAlign w:val="center"/>
          </w:tcPr>
          <w:p>
            <w:pPr>
              <w:widowControl/>
              <w:adjustRightInd w:val="0"/>
              <w:spacing w:line="240" w:lineRule="exact"/>
              <w:ind w:firstLine="0" w:firstLineChars="0"/>
              <w:jc w:val="center"/>
              <w:rPr>
                <w:rFonts w:hint="default" w:ascii="Times New Roman" w:hAnsi="Times New Roman" w:eastAsia="方正黑体_GBK" w:cs="Times New Roman"/>
                <w:snapToGrid w:val="0"/>
                <w:kern w:val="0"/>
                <w:sz w:val="21"/>
                <w:szCs w:val="21"/>
                <w:lang w:val="zh-CN"/>
              </w:rPr>
            </w:pPr>
            <w:r>
              <w:rPr>
                <w:rFonts w:hint="default" w:ascii="Times New Roman" w:hAnsi="Times New Roman" w:eastAsia="方正黑体_GBK" w:cs="Times New Roman"/>
                <w:snapToGrid w:val="0"/>
                <w:kern w:val="0"/>
                <w:sz w:val="21"/>
                <w:szCs w:val="21"/>
                <w:lang w:val="zh-CN"/>
              </w:rPr>
              <w:t>水文水资源</w:t>
            </w:r>
          </w:p>
        </w:tc>
        <w:tc>
          <w:tcPr>
            <w:tcW w:w="541" w:type="pct"/>
            <w:gridSpan w:val="2"/>
            <w:noWrap w:val="0"/>
            <w:vAlign w:val="center"/>
          </w:tcPr>
          <w:p>
            <w:pPr>
              <w:widowControl/>
              <w:adjustRightInd w:val="0"/>
              <w:spacing w:line="240" w:lineRule="exact"/>
              <w:ind w:firstLine="0" w:firstLineChars="0"/>
              <w:jc w:val="center"/>
              <w:rPr>
                <w:rFonts w:hint="default" w:ascii="Times New Roman" w:hAnsi="Times New Roman" w:eastAsia="方正黑体_GBK" w:cs="Times New Roman"/>
                <w:snapToGrid w:val="0"/>
                <w:kern w:val="0"/>
                <w:sz w:val="21"/>
                <w:szCs w:val="21"/>
                <w:lang w:val="zh-CN"/>
              </w:rPr>
            </w:pPr>
            <w:r>
              <w:rPr>
                <w:rFonts w:hint="default" w:ascii="Times New Roman" w:hAnsi="Times New Roman" w:eastAsia="方正黑体_GBK" w:cs="Times New Roman"/>
                <w:snapToGrid w:val="0"/>
                <w:kern w:val="0"/>
                <w:sz w:val="21"/>
                <w:szCs w:val="21"/>
                <w:lang w:val="zh-CN"/>
              </w:rPr>
              <w:t>水环境</w:t>
            </w:r>
          </w:p>
        </w:tc>
        <w:tc>
          <w:tcPr>
            <w:tcW w:w="1619" w:type="pct"/>
            <w:gridSpan w:val="5"/>
            <w:noWrap w:val="0"/>
            <w:vAlign w:val="center"/>
          </w:tcPr>
          <w:p>
            <w:pPr>
              <w:widowControl/>
              <w:adjustRightInd w:val="0"/>
              <w:spacing w:line="240" w:lineRule="exact"/>
              <w:ind w:firstLine="0" w:firstLineChars="0"/>
              <w:jc w:val="center"/>
              <w:rPr>
                <w:rFonts w:hint="default" w:ascii="Times New Roman" w:hAnsi="Times New Roman" w:eastAsia="方正黑体_GBK" w:cs="Times New Roman"/>
                <w:snapToGrid w:val="0"/>
                <w:kern w:val="0"/>
                <w:sz w:val="21"/>
                <w:szCs w:val="21"/>
                <w:lang w:val="zh-CN"/>
              </w:rPr>
            </w:pPr>
            <w:r>
              <w:rPr>
                <w:rFonts w:hint="default" w:ascii="Times New Roman" w:hAnsi="Times New Roman" w:eastAsia="方正黑体_GBK" w:cs="Times New Roman"/>
                <w:snapToGrid w:val="0"/>
                <w:kern w:val="0"/>
                <w:sz w:val="21"/>
                <w:szCs w:val="21"/>
                <w:lang w:val="zh-CN"/>
              </w:rPr>
              <w:t>生态环境</w:t>
            </w:r>
          </w:p>
        </w:tc>
        <w:tc>
          <w:tcPr>
            <w:tcW w:w="541" w:type="pct"/>
            <w:gridSpan w:val="2"/>
            <w:noWrap w:val="0"/>
            <w:vAlign w:val="center"/>
          </w:tcPr>
          <w:p>
            <w:pPr>
              <w:widowControl/>
              <w:adjustRightInd w:val="0"/>
              <w:spacing w:line="240" w:lineRule="exact"/>
              <w:ind w:firstLine="0" w:firstLineChars="0"/>
              <w:jc w:val="center"/>
              <w:rPr>
                <w:rFonts w:hint="default" w:ascii="Times New Roman" w:hAnsi="Times New Roman" w:eastAsia="方正黑体_GBK" w:cs="Times New Roman"/>
                <w:snapToGrid w:val="0"/>
                <w:kern w:val="0"/>
                <w:sz w:val="21"/>
                <w:szCs w:val="21"/>
                <w:lang w:val="zh-CN"/>
              </w:rPr>
            </w:pPr>
            <w:r>
              <w:rPr>
                <w:rFonts w:hint="default" w:ascii="Times New Roman" w:hAnsi="Times New Roman" w:eastAsia="方正黑体_GBK" w:cs="Times New Roman"/>
                <w:snapToGrid w:val="0"/>
                <w:kern w:val="0"/>
                <w:sz w:val="21"/>
                <w:szCs w:val="21"/>
                <w:lang w:val="zh-CN"/>
              </w:rPr>
              <w:t>土地资源</w:t>
            </w:r>
          </w:p>
        </w:tc>
        <w:tc>
          <w:tcPr>
            <w:tcW w:w="814" w:type="pct"/>
            <w:gridSpan w:val="3"/>
            <w:noWrap w:val="0"/>
            <w:vAlign w:val="center"/>
          </w:tcPr>
          <w:p>
            <w:pPr>
              <w:widowControl/>
              <w:adjustRightInd w:val="0"/>
              <w:spacing w:line="240" w:lineRule="exact"/>
              <w:ind w:firstLine="0" w:firstLineChars="0"/>
              <w:jc w:val="center"/>
              <w:rPr>
                <w:rFonts w:hint="default" w:ascii="Times New Roman" w:hAnsi="Times New Roman" w:eastAsia="方正黑体_GBK" w:cs="Times New Roman"/>
                <w:snapToGrid w:val="0"/>
                <w:kern w:val="0"/>
                <w:sz w:val="21"/>
                <w:szCs w:val="21"/>
                <w:lang w:val="zh-CN"/>
              </w:rPr>
            </w:pPr>
            <w:r>
              <w:rPr>
                <w:rFonts w:hint="default" w:ascii="Times New Roman" w:hAnsi="Times New Roman" w:eastAsia="方正黑体_GBK" w:cs="Times New Roman"/>
                <w:snapToGrid w:val="0"/>
                <w:kern w:val="0"/>
                <w:sz w:val="21"/>
                <w:szCs w:val="21"/>
                <w:lang w:val="zh-CN"/>
              </w:rPr>
              <w:t>社会环境</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541" w:type="pct"/>
            <w:vMerge w:val="continue"/>
            <w:noWrap w:val="0"/>
            <w:vAlign w:val="center"/>
          </w:tcPr>
          <w:p>
            <w:pPr>
              <w:widowControl/>
              <w:adjustRightInd w:val="0"/>
              <w:spacing w:line="240" w:lineRule="exact"/>
              <w:ind w:firstLine="0" w:firstLineChars="0"/>
              <w:jc w:val="center"/>
              <w:rPr>
                <w:rFonts w:hint="default" w:ascii="Times New Roman" w:hAnsi="Times New Roman" w:eastAsia="方正黑体_GBK" w:cs="Times New Roman"/>
                <w:snapToGrid w:val="0"/>
                <w:kern w:val="0"/>
                <w:sz w:val="21"/>
                <w:szCs w:val="21"/>
                <w:lang w:val="zh-CN"/>
              </w:rPr>
            </w:pPr>
          </w:p>
        </w:tc>
        <w:tc>
          <w:tcPr>
            <w:tcW w:w="270" w:type="pct"/>
            <w:noWrap w:val="0"/>
            <w:vAlign w:val="center"/>
          </w:tcPr>
          <w:p>
            <w:pPr>
              <w:widowControl/>
              <w:adjustRightInd w:val="0"/>
              <w:spacing w:line="240" w:lineRule="exact"/>
              <w:ind w:firstLine="0" w:firstLineChars="0"/>
              <w:jc w:val="center"/>
              <w:rPr>
                <w:rFonts w:hint="default" w:ascii="Times New Roman" w:hAnsi="Times New Roman" w:eastAsia="方正黑体_GBK" w:cs="Times New Roman"/>
                <w:snapToGrid w:val="0"/>
                <w:kern w:val="0"/>
                <w:sz w:val="21"/>
                <w:szCs w:val="21"/>
                <w:lang w:val="zh-CN"/>
              </w:rPr>
            </w:pPr>
            <w:r>
              <w:rPr>
                <w:rFonts w:hint="default" w:ascii="Times New Roman" w:hAnsi="Times New Roman" w:eastAsia="方正黑体_GBK" w:cs="Times New Roman"/>
                <w:snapToGrid w:val="0"/>
                <w:kern w:val="0"/>
                <w:sz w:val="21"/>
                <w:szCs w:val="21"/>
                <w:lang w:val="zh-CN"/>
              </w:rPr>
              <w:t>水文</w:t>
            </w:r>
          </w:p>
          <w:p>
            <w:pPr>
              <w:widowControl/>
              <w:adjustRightInd w:val="0"/>
              <w:spacing w:line="240" w:lineRule="exact"/>
              <w:ind w:firstLine="0" w:firstLineChars="0"/>
              <w:jc w:val="center"/>
              <w:rPr>
                <w:rFonts w:hint="default" w:ascii="Times New Roman" w:hAnsi="Times New Roman" w:eastAsia="方正黑体_GBK" w:cs="Times New Roman"/>
                <w:snapToGrid w:val="0"/>
                <w:kern w:val="0"/>
                <w:sz w:val="21"/>
                <w:szCs w:val="21"/>
                <w:lang w:val="zh-CN"/>
              </w:rPr>
            </w:pPr>
            <w:r>
              <w:rPr>
                <w:rFonts w:hint="default" w:ascii="Times New Roman" w:hAnsi="Times New Roman" w:eastAsia="方正黑体_GBK" w:cs="Times New Roman"/>
                <w:snapToGrid w:val="0"/>
                <w:kern w:val="0"/>
                <w:sz w:val="21"/>
                <w:szCs w:val="21"/>
                <w:lang w:val="zh-CN"/>
              </w:rPr>
              <w:t>情势</w:t>
            </w:r>
          </w:p>
        </w:tc>
        <w:tc>
          <w:tcPr>
            <w:tcW w:w="404" w:type="pct"/>
            <w:noWrap w:val="0"/>
            <w:vAlign w:val="center"/>
          </w:tcPr>
          <w:p>
            <w:pPr>
              <w:widowControl/>
              <w:adjustRightInd w:val="0"/>
              <w:spacing w:line="240" w:lineRule="exact"/>
              <w:ind w:firstLine="0" w:firstLineChars="0"/>
              <w:jc w:val="center"/>
              <w:rPr>
                <w:rFonts w:hint="default" w:ascii="Times New Roman" w:hAnsi="Times New Roman" w:eastAsia="方正黑体_GBK" w:cs="Times New Roman"/>
                <w:snapToGrid w:val="0"/>
                <w:kern w:val="0"/>
                <w:sz w:val="21"/>
                <w:szCs w:val="21"/>
                <w:lang w:val="zh-CN"/>
              </w:rPr>
            </w:pPr>
            <w:r>
              <w:rPr>
                <w:rFonts w:hint="default" w:ascii="Times New Roman" w:hAnsi="Times New Roman" w:eastAsia="方正黑体_GBK" w:cs="Times New Roman"/>
                <w:snapToGrid w:val="0"/>
                <w:kern w:val="0"/>
                <w:sz w:val="21"/>
                <w:szCs w:val="21"/>
                <w:lang w:val="zh-CN"/>
              </w:rPr>
              <w:t>水资源</w:t>
            </w:r>
          </w:p>
        </w:tc>
        <w:tc>
          <w:tcPr>
            <w:tcW w:w="270" w:type="pct"/>
            <w:noWrap w:val="0"/>
            <w:vAlign w:val="center"/>
          </w:tcPr>
          <w:p>
            <w:pPr>
              <w:widowControl/>
              <w:adjustRightInd w:val="0"/>
              <w:spacing w:line="240" w:lineRule="exact"/>
              <w:ind w:firstLine="0" w:firstLineChars="0"/>
              <w:jc w:val="center"/>
              <w:rPr>
                <w:rFonts w:hint="default" w:ascii="Times New Roman" w:hAnsi="Times New Roman" w:eastAsia="方正黑体_GBK" w:cs="Times New Roman"/>
                <w:snapToGrid w:val="0"/>
                <w:kern w:val="0"/>
                <w:sz w:val="21"/>
                <w:szCs w:val="21"/>
                <w:lang w:val="zh-CN"/>
              </w:rPr>
            </w:pPr>
            <w:r>
              <w:rPr>
                <w:rFonts w:hint="default" w:ascii="Times New Roman" w:hAnsi="Times New Roman" w:eastAsia="方正黑体_GBK" w:cs="Times New Roman"/>
                <w:snapToGrid w:val="0"/>
                <w:kern w:val="0"/>
                <w:sz w:val="21"/>
                <w:szCs w:val="21"/>
                <w:lang w:val="zh-CN"/>
              </w:rPr>
              <w:t>泥沙</w:t>
            </w:r>
          </w:p>
        </w:tc>
        <w:tc>
          <w:tcPr>
            <w:tcW w:w="270" w:type="pct"/>
            <w:noWrap w:val="0"/>
            <w:vAlign w:val="center"/>
          </w:tcPr>
          <w:p>
            <w:pPr>
              <w:widowControl/>
              <w:adjustRightInd w:val="0"/>
              <w:spacing w:line="240" w:lineRule="exact"/>
              <w:ind w:firstLine="0" w:firstLineChars="0"/>
              <w:jc w:val="center"/>
              <w:rPr>
                <w:rFonts w:hint="default" w:ascii="Times New Roman" w:hAnsi="Times New Roman" w:eastAsia="方正黑体_GBK" w:cs="Times New Roman"/>
                <w:snapToGrid w:val="0"/>
                <w:kern w:val="0"/>
                <w:sz w:val="21"/>
                <w:szCs w:val="21"/>
                <w:lang w:val="zh-CN"/>
              </w:rPr>
            </w:pPr>
            <w:r>
              <w:rPr>
                <w:rFonts w:hint="default" w:ascii="Times New Roman" w:hAnsi="Times New Roman" w:eastAsia="方正黑体_GBK" w:cs="Times New Roman"/>
                <w:snapToGrid w:val="0"/>
                <w:kern w:val="0"/>
                <w:sz w:val="21"/>
                <w:szCs w:val="21"/>
                <w:lang w:val="zh-CN"/>
              </w:rPr>
              <w:t>水温</w:t>
            </w:r>
          </w:p>
        </w:tc>
        <w:tc>
          <w:tcPr>
            <w:tcW w:w="270" w:type="pct"/>
            <w:noWrap w:val="0"/>
            <w:vAlign w:val="center"/>
          </w:tcPr>
          <w:p>
            <w:pPr>
              <w:widowControl/>
              <w:adjustRightInd w:val="0"/>
              <w:spacing w:line="240" w:lineRule="exact"/>
              <w:ind w:firstLine="0" w:firstLineChars="0"/>
              <w:jc w:val="center"/>
              <w:rPr>
                <w:rFonts w:hint="default" w:ascii="Times New Roman" w:hAnsi="Times New Roman" w:eastAsia="方正黑体_GBK" w:cs="Times New Roman"/>
                <w:snapToGrid w:val="0"/>
                <w:kern w:val="0"/>
                <w:sz w:val="21"/>
                <w:szCs w:val="21"/>
                <w:lang w:val="zh-CN"/>
              </w:rPr>
            </w:pPr>
            <w:r>
              <w:rPr>
                <w:rFonts w:hint="default" w:ascii="Times New Roman" w:hAnsi="Times New Roman" w:eastAsia="方正黑体_GBK" w:cs="Times New Roman"/>
                <w:snapToGrid w:val="0"/>
                <w:kern w:val="0"/>
                <w:sz w:val="21"/>
                <w:szCs w:val="21"/>
                <w:lang w:val="zh-CN"/>
              </w:rPr>
              <w:t>水质</w:t>
            </w:r>
          </w:p>
        </w:tc>
        <w:tc>
          <w:tcPr>
            <w:tcW w:w="404" w:type="pct"/>
            <w:noWrap w:val="0"/>
            <w:vAlign w:val="center"/>
          </w:tcPr>
          <w:p>
            <w:pPr>
              <w:widowControl/>
              <w:adjustRightInd w:val="0"/>
              <w:spacing w:line="240" w:lineRule="exact"/>
              <w:ind w:firstLine="0" w:firstLineChars="0"/>
              <w:jc w:val="center"/>
              <w:rPr>
                <w:rFonts w:hint="default" w:ascii="Times New Roman" w:hAnsi="Times New Roman" w:eastAsia="方正黑体_GBK" w:cs="Times New Roman"/>
                <w:snapToGrid w:val="0"/>
                <w:kern w:val="0"/>
                <w:sz w:val="21"/>
                <w:szCs w:val="21"/>
                <w:lang w:val="zh-CN"/>
              </w:rPr>
            </w:pPr>
            <w:r>
              <w:rPr>
                <w:rFonts w:hint="default" w:ascii="Times New Roman" w:hAnsi="Times New Roman" w:eastAsia="方正黑体_GBK" w:cs="Times New Roman"/>
                <w:snapToGrid w:val="0"/>
                <w:kern w:val="0"/>
                <w:sz w:val="21"/>
                <w:szCs w:val="21"/>
                <w:lang w:val="zh-CN"/>
              </w:rPr>
              <w:t>生态</w:t>
            </w:r>
          </w:p>
          <w:p>
            <w:pPr>
              <w:widowControl/>
              <w:adjustRightInd w:val="0"/>
              <w:spacing w:line="240" w:lineRule="exact"/>
              <w:ind w:firstLine="0" w:firstLineChars="0"/>
              <w:jc w:val="center"/>
              <w:rPr>
                <w:rFonts w:hint="default" w:ascii="Times New Roman" w:hAnsi="Times New Roman" w:eastAsia="方正黑体_GBK" w:cs="Times New Roman"/>
                <w:snapToGrid w:val="0"/>
                <w:kern w:val="0"/>
                <w:sz w:val="21"/>
                <w:szCs w:val="21"/>
                <w:lang w:val="zh-CN"/>
              </w:rPr>
            </w:pPr>
            <w:r>
              <w:rPr>
                <w:rFonts w:hint="default" w:ascii="Times New Roman" w:hAnsi="Times New Roman" w:eastAsia="方正黑体_GBK" w:cs="Times New Roman"/>
                <w:snapToGrid w:val="0"/>
                <w:kern w:val="0"/>
                <w:sz w:val="21"/>
                <w:szCs w:val="21"/>
                <w:lang w:val="zh-CN"/>
              </w:rPr>
              <w:t>完整性</w:t>
            </w:r>
          </w:p>
        </w:tc>
        <w:tc>
          <w:tcPr>
            <w:tcW w:w="270" w:type="pct"/>
            <w:noWrap w:val="0"/>
            <w:vAlign w:val="center"/>
          </w:tcPr>
          <w:p>
            <w:pPr>
              <w:widowControl/>
              <w:adjustRightInd w:val="0"/>
              <w:spacing w:line="240" w:lineRule="exact"/>
              <w:ind w:firstLine="0" w:firstLineChars="0"/>
              <w:jc w:val="center"/>
              <w:rPr>
                <w:rFonts w:hint="default" w:ascii="Times New Roman" w:hAnsi="Times New Roman" w:eastAsia="方正黑体_GBK" w:cs="Times New Roman"/>
                <w:snapToGrid w:val="0"/>
                <w:kern w:val="0"/>
                <w:sz w:val="21"/>
                <w:szCs w:val="21"/>
                <w:lang w:val="zh-CN"/>
              </w:rPr>
            </w:pPr>
            <w:r>
              <w:rPr>
                <w:rFonts w:hint="default" w:ascii="Times New Roman" w:hAnsi="Times New Roman" w:eastAsia="方正黑体_GBK" w:cs="Times New Roman"/>
                <w:snapToGrid w:val="0"/>
                <w:kern w:val="0"/>
                <w:sz w:val="21"/>
                <w:szCs w:val="21"/>
                <w:lang w:val="zh-CN"/>
              </w:rPr>
              <w:t>陆生</w:t>
            </w:r>
          </w:p>
          <w:p>
            <w:pPr>
              <w:widowControl/>
              <w:adjustRightInd w:val="0"/>
              <w:spacing w:line="240" w:lineRule="exact"/>
              <w:ind w:firstLine="0" w:firstLineChars="0"/>
              <w:jc w:val="center"/>
              <w:rPr>
                <w:rFonts w:hint="default" w:ascii="Times New Roman" w:hAnsi="Times New Roman" w:eastAsia="方正黑体_GBK" w:cs="Times New Roman"/>
                <w:snapToGrid w:val="0"/>
                <w:kern w:val="0"/>
                <w:sz w:val="21"/>
                <w:szCs w:val="21"/>
                <w:lang w:val="zh-CN"/>
              </w:rPr>
            </w:pPr>
            <w:r>
              <w:rPr>
                <w:rFonts w:hint="default" w:ascii="Times New Roman" w:hAnsi="Times New Roman" w:eastAsia="方正黑体_GBK" w:cs="Times New Roman"/>
                <w:snapToGrid w:val="0"/>
                <w:kern w:val="0"/>
                <w:sz w:val="21"/>
                <w:szCs w:val="21"/>
                <w:lang w:val="zh-CN"/>
              </w:rPr>
              <w:t>生物</w:t>
            </w:r>
          </w:p>
        </w:tc>
        <w:tc>
          <w:tcPr>
            <w:tcW w:w="270" w:type="pct"/>
            <w:noWrap w:val="0"/>
            <w:vAlign w:val="center"/>
          </w:tcPr>
          <w:p>
            <w:pPr>
              <w:widowControl/>
              <w:adjustRightInd w:val="0"/>
              <w:spacing w:line="240" w:lineRule="exact"/>
              <w:ind w:firstLine="0" w:firstLineChars="0"/>
              <w:jc w:val="center"/>
              <w:rPr>
                <w:rFonts w:hint="default" w:ascii="Times New Roman" w:hAnsi="Times New Roman" w:eastAsia="方正黑体_GBK" w:cs="Times New Roman"/>
                <w:snapToGrid w:val="0"/>
                <w:kern w:val="0"/>
                <w:sz w:val="21"/>
                <w:szCs w:val="21"/>
                <w:lang w:val="zh-CN"/>
              </w:rPr>
            </w:pPr>
            <w:r>
              <w:rPr>
                <w:rFonts w:hint="default" w:ascii="Times New Roman" w:hAnsi="Times New Roman" w:eastAsia="方正黑体_GBK" w:cs="Times New Roman"/>
                <w:snapToGrid w:val="0"/>
                <w:kern w:val="0"/>
                <w:sz w:val="21"/>
                <w:szCs w:val="21"/>
                <w:lang w:val="zh-CN"/>
              </w:rPr>
              <w:t>水生</w:t>
            </w:r>
          </w:p>
          <w:p>
            <w:pPr>
              <w:widowControl/>
              <w:adjustRightInd w:val="0"/>
              <w:spacing w:line="240" w:lineRule="exact"/>
              <w:ind w:firstLine="0" w:firstLineChars="0"/>
              <w:jc w:val="center"/>
              <w:rPr>
                <w:rFonts w:hint="default" w:ascii="Times New Roman" w:hAnsi="Times New Roman" w:eastAsia="方正黑体_GBK" w:cs="Times New Roman"/>
                <w:snapToGrid w:val="0"/>
                <w:kern w:val="0"/>
                <w:sz w:val="21"/>
                <w:szCs w:val="21"/>
                <w:lang w:val="zh-CN"/>
              </w:rPr>
            </w:pPr>
            <w:r>
              <w:rPr>
                <w:rFonts w:hint="default" w:ascii="Times New Roman" w:hAnsi="Times New Roman" w:eastAsia="方正黑体_GBK" w:cs="Times New Roman"/>
                <w:snapToGrid w:val="0"/>
                <w:kern w:val="0"/>
                <w:sz w:val="21"/>
                <w:szCs w:val="21"/>
                <w:lang w:val="zh-CN"/>
              </w:rPr>
              <w:t>生物</w:t>
            </w:r>
          </w:p>
        </w:tc>
        <w:tc>
          <w:tcPr>
            <w:tcW w:w="404" w:type="pct"/>
            <w:noWrap w:val="0"/>
            <w:vAlign w:val="center"/>
          </w:tcPr>
          <w:p>
            <w:pPr>
              <w:widowControl/>
              <w:adjustRightInd w:val="0"/>
              <w:spacing w:line="240" w:lineRule="exact"/>
              <w:ind w:firstLine="0" w:firstLineChars="0"/>
              <w:jc w:val="center"/>
              <w:rPr>
                <w:rFonts w:hint="default" w:ascii="Times New Roman" w:hAnsi="Times New Roman" w:eastAsia="方正黑体_GBK" w:cs="Times New Roman"/>
                <w:snapToGrid w:val="0"/>
                <w:kern w:val="0"/>
                <w:sz w:val="21"/>
                <w:szCs w:val="21"/>
                <w:lang w:val="zh-CN"/>
              </w:rPr>
            </w:pPr>
            <w:r>
              <w:rPr>
                <w:rFonts w:hint="default" w:ascii="Times New Roman" w:hAnsi="Times New Roman" w:eastAsia="方正黑体_GBK" w:cs="Times New Roman"/>
                <w:snapToGrid w:val="0"/>
                <w:kern w:val="0"/>
                <w:sz w:val="21"/>
                <w:szCs w:val="21"/>
                <w:lang w:val="zh-CN"/>
              </w:rPr>
              <w:t>环境</w:t>
            </w:r>
          </w:p>
          <w:p>
            <w:pPr>
              <w:widowControl/>
              <w:adjustRightInd w:val="0"/>
              <w:spacing w:line="240" w:lineRule="exact"/>
              <w:ind w:firstLine="0" w:firstLineChars="0"/>
              <w:jc w:val="center"/>
              <w:rPr>
                <w:rFonts w:hint="default" w:ascii="Times New Roman" w:hAnsi="Times New Roman" w:eastAsia="方正黑体_GBK" w:cs="Times New Roman"/>
                <w:snapToGrid w:val="0"/>
                <w:kern w:val="0"/>
                <w:sz w:val="21"/>
                <w:szCs w:val="21"/>
                <w:lang w:val="zh-CN"/>
              </w:rPr>
            </w:pPr>
            <w:r>
              <w:rPr>
                <w:rFonts w:hint="default" w:ascii="Times New Roman" w:hAnsi="Times New Roman" w:eastAsia="方正黑体_GBK" w:cs="Times New Roman"/>
                <w:snapToGrid w:val="0"/>
                <w:kern w:val="0"/>
                <w:sz w:val="21"/>
                <w:szCs w:val="21"/>
                <w:lang w:val="zh-CN"/>
              </w:rPr>
              <w:t>敏感区</w:t>
            </w:r>
          </w:p>
        </w:tc>
        <w:tc>
          <w:tcPr>
            <w:tcW w:w="270" w:type="pct"/>
            <w:noWrap w:val="0"/>
            <w:vAlign w:val="center"/>
          </w:tcPr>
          <w:p>
            <w:pPr>
              <w:widowControl/>
              <w:adjustRightInd w:val="0"/>
              <w:spacing w:line="240" w:lineRule="exact"/>
              <w:ind w:firstLine="0" w:firstLineChars="0"/>
              <w:jc w:val="center"/>
              <w:rPr>
                <w:rFonts w:hint="default" w:ascii="Times New Roman" w:hAnsi="Times New Roman" w:eastAsia="方正黑体_GBK" w:cs="Times New Roman"/>
                <w:snapToGrid w:val="0"/>
                <w:kern w:val="0"/>
                <w:sz w:val="21"/>
                <w:szCs w:val="21"/>
                <w:lang w:val="zh-CN"/>
              </w:rPr>
            </w:pPr>
            <w:r>
              <w:rPr>
                <w:rFonts w:hint="default" w:ascii="Times New Roman" w:hAnsi="Times New Roman" w:eastAsia="方正黑体_GBK" w:cs="Times New Roman"/>
                <w:snapToGrid w:val="0"/>
                <w:kern w:val="0"/>
                <w:sz w:val="21"/>
                <w:szCs w:val="21"/>
                <w:lang w:val="zh-CN"/>
              </w:rPr>
              <w:t>水土</w:t>
            </w:r>
          </w:p>
          <w:p>
            <w:pPr>
              <w:widowControl/>
              <w:adjustRightInd w:val="0"/>
              <w:spacing w:line="240" w:lineRule="exact"/>
              <w:ind w:firstLine="0" w:firstLineChars="0"/>
              <w:jc w:val="center"/>
              <w:rPr>
                <w:rFonts w:hint="default" w:ascii="Times New Roman" w:hAnsi="Times New Roman" w:eastAsia="方正黑体_GBK" w:cs="Times New Roman"/>
                <w:snapToGrid w:val="0"/>
                <w:kern w:val="0"/>
                <w:sz w:val="21"/>
                <w:szCs w:val="21"/>
                <w:lang w:val="zh-CN"/>
              </w:rPr>
            </w:pPr>
            <w:r>
              <w:rPr>
                <w:rFonts w:hint="default" w:ascii="Times New Roman" w:hAnsi="Times New Roman" w:eastAsia="方正黑体_GBK" w:cs="Times New Roman"/>
                <w:snapToGrid w:val="0"/>
                <w:kern w:val="0"/>
                <w:sz w:val="21"/>
                <w:szCs w:val="21"/>
                <w:lang w:val="zh-CN"/>
              </w:rPr>
              <w:t>流失</w:t>
            </w:r>
          </w:p>
        </w:tc>
        <w:tc>
          <w:tcPr>
            <w:tcW w:w="270" w:type="pct"/>
            <w:noWrap w:val="0"/>
            <w:vAlign w:val="center"/>
          </w:tcPr>
          <w:p>
            <w:pPr>
              <w:widowControl/>
              <w:adjustRightInd w:val="0"/>
              <w:spacing w:line="240" w:lineRule="exact"/>
              <w:ind w:firstLine="0" w:firstLineChars="0"/>
              <w:jc w:val="center"/>
              <w:rPr>
                <w:rFonts w:hint="default" w:ascii="Times New Roman" w:hAnsi="Times New Roman" w:eastAsia="方正黑体_GBK" w:cs="Times New Roman"/>
                <w:snapToGrid w:val="0"/>
                <w:kern w:val="0"/>
                <w:sz w:val="21"/>
                <w:szCs w:val="21"/>
                <w:lang w:val="zh-CN"/>
              </w:rPr>
            </w:pPr>
            <w:r>
              <w:rPr>
                <w:rFonts w:hint="default" w:ascii="Times New Roman" w:hAnsi="Times New Roman" w:eastAsia="方正黑体_GBK" w:cs="Times New Roman"/>
                <w:snapToGrid w:val="0"/>
                <w:kern w:val="0"/>
                <w:sz w:val="21"/>
                <w:szCs w:val="21"/>
                <w:lang w:val="zh-CN"/>
              </w:rPr>
              <w:t>土地</w:t>
            </w:r>
          </w:p>
          <w:p>
            <w:pPr>
              <w:widowControl/>
              <w:adjustRightInd w:val="0"/>
              <w:spacing w:line="240" w:lineRule="exact"/>
              <w:ind w:firstLine="0" w:firstLineChars="0"/>
              <w:jc w:val="center"/>
              <w:rPr>
                <w:rFonts w:hint="default" w:ascii="Times New Roman" w:hAnsi="Times New Roman" w:eastAsia="方正黑体_GBK" w:cs="Times New Roman"/>
                <w:snapToGrid w:val="0"/>
                <w:kern w:val="0"/>
                <w:sz w:val="21"/>
                <w:szCs w:val="21"/>
                <w:lang w:val="zh-CN"/>
              </w:rPr>
            </w:pPr>
            <w:r>
              <w:rPr>
                <w:rFonts w:hint="default" w:ascii="Times New Roman" w:hAnsi="Times New Roman" w:eastAsia="方正黑体_GBK" w:cs="Times New Roman"/>
                <w:snapToGrid w:val="0"/>
                <w:kern w:val="0"/>
                <w:sz w:val="21"/>
                <w:szCs w:val="21"/>
                <w:lang w:val="zh-CN"/>
              </w:rPr>
              <w:t>利用</w:t>
            </w:r>
          </w:p>
        </w:tc>
        <w:tc>
          <w:tcPr>
            <w:tcW w:w="270" w:type="pct"/>
            <w:noWrap w:val="0"/>
            <w:vAlign w:val="center"/>
          </w:tcPr>
          <w:p>
            <w:pPr>
              <w:widowControl/>
              <w:adjustRightInd w:val="0"/>
              <w:spacing w:line="240" w:lineRule="exact"/>
              <w:ind w:firstLine="0" w:firstLineChars="0"/>
              <w:jc w:val="center"/>
              <w:rPr>
                <w:rFonts w:hint="default" w:ascii="Times New Roman" w:hAnsi="Times New Roman" w:eastAsia="方正黑体_GBK" w:cs="Times New Roman"/>
                <w:snapToGrid w:val="0"/>
                <w:kern w:val="0"/>
                <w:sz w:val="21"/>
                <w:szCs w:val="21"/>
                <w:lang w:val="zh-CN"/>
              </w:rPr>
            </w:pPr>
            <w:r>
              <w:rPr>
                <w:rFonts w:hint="default" w:ascii="Times New Roman" w:hAnsi="Times New Roman" w:eastAsia="方正黑体_GBK" w:cs="Times New Roman"/>
                <w:snapToGrid w:val="0"/>
                <w:kern w:val="0"/>
                <w:sz w:val="21"/>
                <w:szCs w:val="21"/>
                <w:lang w:val="zh-CN"/>
              </w:rPr>
              <w:t>土壤</w:t>
            </w:r>
          </w:p>
          <w:p>
            <w:pPr>
              <w:widowControl/>
              <w:adjustRightInd w:val="0"/>
              <w:spacing w:line="240" w:lineRule="exact"/>
              <w:ind w:firstLine="0" w:firstLineChars="0"/>
              <w:jc w:val="center"/>
              <w:rPr>
                <w:rFonts w:hint="default" w:ascii="Times New Roman" w:hAnsi="Times New Roman" w:eastAsia="方正黑体_GBK" w:cs="Times New Roman"/>
                <w:snapToGrid w:val="0"/>
                <w:kern w:val="0"/>
                <w:sz w:val="21"/>
                <w:szCs w:val="21"/>
                <w:lang w:val="zh-CN"/>
              </w:rPr>
            </w:pPr>
            <w:r>
              <w:rPr>
                <w:rFonts w:hint="default" w:ascii="Times New Roman" w:hAnsi="Times New Roman" w:eastAsia="方正黑体_GBK" w:cs="Times New Roman"/>
                <w:snapToGrid w:val="0"/>
                <w:kern w:val="0"/>
                <w:sz w:val="21"/>
                <w:szCs w:val="21"/>
                <w:lang w:val="zh-CN"/>
              </w:rPr>
              <w:t>环境</w:t>
            </w:r>
          </w:p>
        </w:tc>
        <w:tc>
          <w:tcPr>
            <w:tcW w:w="270" w:type="pct"/>
            <w:noWrap w:val="0"/>
            <w:vAlign w:val="center"/>
          </w:tcPr>
          <w:p>
            <w:pPr>
              <w:widowControl/>
              <w:adjustRightInd w:val="0"/>
              <w:spacing w:line="240" w:lineRule="exact"/>
              <w:ind w:firstLine="0" w:firstLineChars="0"/>
              <w:jc w:val="center"/>
              <w:rPr>
                <w:rFonts w:hint="default" w:ascii="Times New Roman" w:hAnsi="Times New Roman" w:eastAsia="方正黑体_GBK" w:cs="Times New Roman"/>
                <w:snapToGrid w:val="0"/>
                <w:kern w:val="0"/>
                <w:sz w:val="21"/>
                <w:szCs w:val="21"/>
                <w:lang w:val="zh-CN"/>
              </w:rPr>
            </w:pPr>
            <w:r>
              <w:rPr>
                <w:rFonts w:hint="default" w:ascii="Times New Roman" w:hAnsi="Times New Roman" w:eastAsia="方正黑体_GBK" w:cs="Times New Roman"/>
                <w:snapToGrid w:val="0"/>
                <w:kern w:val="0"/>
                <w:sz w:val="21"/>
                <w:szCs w:val="21"/>
                <w:lang w:val="zh-CN"/>
              </w:rPr>
              <w:t>社会</w:t>
            </w:r>
          </w:p>
          <w:p>
            <w:pPr>
              <w:widowControl/>
              <w:adjustRightInd w:val="0"/>
              <w:spacing w:line="240" w:lineRule="exact"/>
              <w:ind w:firstLine="0" w:firstLineChars="0"/>
              <w:jc w:val="center"/>
              <w:rPr>
                <w:rFonts w:hint="default" w:ascii="Times New Roman" w:hAnsi="Times New Roman" w:eastAsia="方正黑体_GBK" w:cs="Times New Roman"/>
                <w:snapToGrid w:val="0"/>
                <w:kern w:val="0"/>
                <w:sz w:val="21"/>
                <w:szCs w:val="21"/>
                <w:lang w:val="zh-CN"/>
              </w:rPr>
            </w:pPr>
            <w:r>
              <w:rPr>
                <w:rFonts w:hint="default" w:ascii="Times New Roman" w:hAnsi="Times New Roman" w:eastAsia="方正黑体_GBK" w:cs="Times New Roman"/>
                <w:snapToGrid w:val="0"/>
                <w:kern w:val="0"/>
                <w:sz w:val="21"/>
                <w:szCs w:val="21"/>
                <w:lang w:val="zh-CN"/>
              </w:rPr>
              <w:t>经济</w:t>
            </w:r>
          </w:p>
        </w:tc>
        <w:tc>
          <w:tcPr>
            <w:tcW w:w="270" w:type="pct"/>
            <w:noWrap w:val="0"/>
            <w:vAlign w:val="center"/>
          </w:tcPr>
          <w:p>
            <w:pPr>
              <w:widowControl/>
              <w:adjustRightInd w:val="0"/>
              <w:spacing w:line="240" w:lineRule="exact"/>
              <w:ind w:firstLine="0" w:firstLineChars="0"/>
              <w:jc w:val="center"/>
              <w:rPr>
                <w:rFonts w:hint="default" w:ascii="Times New Roman" w:hAnsi="Times New Roman" w:eastAsia="方正黑体_GBK" w:cs="Times New Roman"/>
                <w:snapToGrid w:val="0"/>
                <w:kern w:val="0"/>
                <w:sz w:val="21"/>
                <w:szCs w:val="21"/>
                <w:lang w:val="zh-CN"/>
              </w:rPr>
            </w:pPr>
            <w:r>
              <w:rPr>
                <w:rFonts w:hint="default" w:ascii="Times New Roman" w:hAnsi="Times New Roman" w:eastAsia="方正黑体_GBK" w:cs="Times New Roman"/>
                <w:snapToGrid w:val="0"/>
                <w:kern w:val="0"/>
                <w:sz w:val="21"/>
                <w:szCs w:val="21"/>
                <w:lang w:val="zh-CN"/>
              </w:rPr>
              <w:t>移民</w:t>
            </w:r>
          </w:p>
          <w:p>
            <w:pPr>
              <w:widowControl/>
              <w:adjustRightInd w:val="0"/>
              <w:spacing w:line="240" w:lineRule="exact"/>
              <w:ind w:firstLine="0" w:firstLineChars="0"/>
              <w:jc w:val="center"/>
              <w:rPr>
                <w:rFonts w:hint="default" w:ascii="Times New Roman" w:hAnsi="Times New Roman" w:eastAsia="方正黑体_GBK" w:cs="Times New Roman"/>
                <w:snapToGrid w:val="0"/>
                <w:kern w:val="0"/>
                <w:sz w:val="21"/>
                <w:szCs w:val="21"/>
                <w:lang w:val="zh-CN"/>
              </w:rPr>
            </w:pPr>
            <w:r>
              <w:rPr>
                <w:rFonts w:hint="default" w:ascii="Times New Roman" w:hAnsi="Times New Roman" w:eastAsia="方正黑体_GBK" w:cs="Times New Roman"/>
                <w:snapToGrid w:val="0"/>
                <w:kern w:val="0"/>
                <w:sz w:val="21"/>
                <w:szCs w:val="21"/>
                <w:lang w:val="zh-CN"/>
              </w:rPr>
              <w:t>安置</w:t>
            </w:r>
          </w:p>
        </w:tc>
        <w:tc>
          <w:tcPr>
            <w:tcW w:w="274" w:type="pct"/>
            <w:noWrap w:val="0"/>
            <w:vAlign w:val="center"/>
          </w:tcPr>
          <w:p>
            <w:pPr>
              <w:widowControl/>
              <w:adjustRightInd w:val="0"/>
              <w:spacing w:line="240" w:lineRule="exact"/>
              <w:ind w:firstLine="0" w:firstLineChars="0"/>
              <w:jc w:val="center"/>
              <w:rPr>
                <w:rFonts w:hint="default" w:ascii="Times New Roman" w:hAnsi="Times New Roman" w:eastAsia="方正黑体_GBK" w:cs="Times New Roman"/>
                <w:snapToGrid w:val="0"/>
                <w:kern w:val="0"/>
                <w:sz w:val="21"/>
                <w:szCs w:val="21"/>
                <w:lang w:val="zh-CN"/>
              </w:rPr>
            </w:pPr>
            <w:r>
              <w:rPr>
                <w:rFonts w:hint="default" w:ascii="Times New Roman" w:hAnsi="Times New Roman" w:eastAsia="方正黑体_GBK" w:cs="Times New Roman"/>
                <w:snapToGrid w:val="0"/>
                <w:kern w:val="0"/>
                <w:sz w:val="21"/>
                <w:szCs w:val="21"/>
                <w:lang w:val="zh-CN"/>
              </w:rPr>
              <w:t>人群</w:t>
            </w:r>
          </w:p>
          <w:p>
            <w:pPr>
              <w:widowControl/>
              <w:adjustRightInd w:val="0"/>
              <w:spacing w:line="240" w:lineRule="exact"/>
              <w:ind w:firstLine="0" w:firstLineChars="0"/>
              <w:jc w:val="center"/>
              <w:rPr>
                <w:rFonts w:hint="default" w:ascii="Times New Roman" w:hAnsi="Times New Roman" w:eastAsia="方正黑体_GBK" w:cs="Times New Roman"/>
                <w:snapToGrid w:val="0"/>
                <w:kern w:val="0"/>
                <w:sz w:val="21"/>
                <w:szCs w:val="21"/>
                <w:lang w:val="zh-CN"/>
              </w:rPr>
            </w:pPr>
            <w:r>
              <w:rPr>
                <w:rFonts w:hint="default" w:ascii="Times New Roman" w:hAnsi="Times New Roman" w:eastAsia="方正黑体_GBK" w:cs="Times New Roman"/>
                <w:snapToGrid w:val="0"/>
                <w:kern w:val="0"/>
                <w:sz w:val="21"/>
                <w:szCs w:val="21"/>
                <w:lang w:val="zh-CN"/>
              </w:rPr>
              <w:t>健康</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541" w:type="pct"/>
            <w:noWrap w:val="0"/>
            <w:vAlign w:val="center"/>
          </w:tcPr>
          <w:p>
            <w:pPr>
              <w:widowControl/>
              <w:adjustRightInd w:val="0"/>
              <w:spacing w:line="240" w:lineRule="exact"/>
              <w:ind w:firstLine="0" w:firstLineChars="0"/>
              <w:jc w:val="center"/>
              <w:rPr>
                <w:rFonts w:hint="eastAsia" w:ascii="方正仿宋_GBK" w:hAnsi="方正仿宋_GBK" w:eastAsia="方正仿宋_GBK" w:cs="方正仿宋_GBK"/>
                <w:snapToGrid w:val="0"/>
                <w:kern w:val="0"/>
                <w:sz w:val="21"/>
                <w:szCs w:val="21"/>
                <w:lang w:val="zh-CN"/>
              </w:rPr>
            </w:pPr>
            <w:r>
              <w:rPr>
                <w:rFonts w:hint="eastAsia" w:ascii="方正仿宋_GBK" w:hAnsi="方正仿宋_GBK" w:eastAsia="方正仿宋_GBK" w:cs="方正仿宋_GBK"/>
                <w:snapToGrid w:val="0"/>
                <w:kern w:val="0"/>
                <w:sz w:val="21"/>
                <w:szCs w:val="21"/>
                <w:lang w:val="zh-CN"/>
              </w:rPr>
              <w:t>堤防加固</w:t>
            </w:r>
          </w:p>
          <w:p>
            <w:pPr>
              <w:widowControl/>
              <w:adjustRightInd w:val="0"/>
              <w:spacing w:line="240" w:lineRule="exact"/>
              <w:ind w:firstLine="0" w:firstLineChars="0"/>
              <w:jc w:val="center"/>
              <w:rPr>
                <w:rFonts w:hint="eastAsia" w:ascii="方正仿宋_GBK" w:hAnsi="方正仿宋_GBK" w:eastAsia="方正仿宋_GBK" w:cs="方正仿宋_GBK"/>
                <w:snapToGrid w:val="0"/>
                <w:kern w:val="0"/>
                <w:sz w:val="21"/>
                <w:szCs w:val="21"/>
                <w:lang w:val="zh-CN"/>
              </w:rPr>
            </w:pPr>
            <w:r>
              <w:rPr>
                <w:rFonts w:hint="eastAsia" w:ascii="方正仿宋_GBK" w:hAnsi="方正仿宋_GBK" w:eastAsia="方正仿宋_GBK" w:cs="方正仿宋_GBK"/>
                <w:snapToGrid w:val="0"/>
                <w:kern w:val="0"/>
                <w:sz w:val="21"/>
                <w:szCs w:val="21"/>
                <w:lang w:val="zh-CN"/>
              </w:rPr>
              <w:t>工程</w:t>
            </w:r>
          </w:p>
        </w:tc>
        <w:tc>
          <w:tcPr>
            <w:tcW w:w="270" w:type="pct"/>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c>
          <w:tcPr>
            <w:tcW w:w="404" w:type="pct"/>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270" w:type="pct"/>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270" w:type="pct"/>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270" w:type="pct"/>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c>
          <w:tcPr>
            <w:tcW w:w="404" w:type="pct"/>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270" w:type="pct"/>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c>
          <w:tcPr>
            <w:tcW w:w="270" w:type="pct"/>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c>
          <w:tcPr>
            <w:tcW w:w="404" w:type="pct"/>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270" w:type="pct"/>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270" w:type="pct"/>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c>
          <w:tcPr>
            <w:tcW w:w="270" w:type="pct"/>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270" w:type="pct"/>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c>
          <w:tcPr>
            <w:tcW w:w="270" w:type="pct"/>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c>
          <w:tcPr>
            <w:tcW w:w="274" w:type="pct"/>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541" w:type="pct"/>
            <w:noWrap w:val="0"/>
            <w:vAlign w:val="center"/>
          </w:tcPr>
          <w:p>
            <w:pPr>
              <w:widowControl/>
              <w:adjustRightInd w:val="0"/>
              <w:spacing w:line="240" w:lineRule="exact"/>
              <w:ind w:firstLine="0" w:firstLineChars="0"/>
              <w:jc w:val="center"/>
              <w:rPr>
                <w:rFonts w:hint="eastAsia" w:ascii="方正仿宋_GBK" w:hAnsi="方正仿宋_GBK" w:eastAsia="方正仿宋_GBK" w:cs="方正仿宋_GBK"/>
                <w:snapToGrid w:val="0"/>
                <w:kern w:val="0"/>
                <w:sz w:val="21"/>
                <w:szCs w:val="21"/>
                <w:lang w:val="zh-CN"/>
              </w:rPr>
            </w:pPr>
            <w:r>
              <w:rPr>
                <w:rFonts w:hint="eastAsia" w:ascii="方正仿宋_GBK" w:hAnsi="方正仿宋_GBK" w:eastAsia="方正仿宋_GBK" w:cs="方正仿宋_GBK"/>
                <w:snapToGrid w:val="0"/>
                <w:kern w:val="0"/>
                <w:sz w:val="21"/>
                <w:szCs w:val="21"/>
                <w:lang w:val="zh-CN"/>
              </w:rPr>
              <w:t>河道整治</w:t>
            </w:r>
          </w:p>
          <w:p>
            <w:pPr>
              <w:widowControl/>
              <w:adjustRightInd w:val="0"/>
              <w:spacing w:line="240" w:lineRule="exact"/>
              <w:ind w:firstLine="0" w:firstLineChars="0"/>
              <w:jc w:val="center"/>
              <w:rPr>
                <w:rFonts w:hint="eastAsia" w:ascii="方正仿宋_GBK" w:hAnsi="方正仿宋_GBK" w:eastAsia="方正仿宋_GBK" w:cs="方正仿宋_GBK"/>
                <w:snapToGrid w:val="0"/>
                <w:kern w:val="0"/>
                <w:sz w:val="21"/>
                <w:szCs w:val="21"/>
                <w:lang w:val="zh-CN"/>
              </w:rPr>
            </w:pPr>
            <w:r>
              <w:rPr>
                <w:rFonts w:hint="eastAsia" w:ascii="方正仿宋_GBK" w:hAnsi="方正仿宋_GBK" w:eastAsia="方正仿宋_GBK" w:cs="方正仿宋_GBK"/>
                <w:snapToGrid w:val="0"/>
                <w:kern w:val="0"/>
                <w:sz w:val="21"/>
                <w:szCs w:val="21"/>
                <w:lang w:val="zh-CN"/>
              </w:rPr>
              <w:t>工程</w:t>
            </w:r>
          </w:p>
        </w:tc>
        <w:tc>
          <w:tcPr>
            <w:tcW w:w="270" w:type="pct"/>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c>
          <w:tcPr>
            <w:tcW w:w="404" w:type="pct"/>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c>
          <w:tcPr>
            <w:tcW w:w="270" w:type="pct"/>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c>
          <w:tcPr>
            <w:tcW w:w="270" w:type="pct"/>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270" w:type="pct"/>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c>
          <w:tcPr>
            <w:tcW w:w="404" w:type="pct"/>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270" w:type="pct"/>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270" w:type="pct"/>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c>
          <w:tcPr>
            <w:tcW w:w="404" w:type="pct"/>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270" w:type="pct"/>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270" w:type="pct"/>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270" w:type="pct"/>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c>
          <w:tcPr>
            <w:tcW w:w="270" w:type="pct"/>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c>
          <w:tcPr>
            <w:tcW w:w="270" w:type="pct"/>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p>
        </w:tc>
        <w:tc>
          <w:tcPr>
            <w:tcW w:w="274" w:type="pct"/>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541" w:type="pct"/>
            <w:noWrap w:val="0"/>
            <w:vAlign w:val="center"/>
          </w:tcPr>
          <w:p>
            <w:pPr>
              <w:widowControl/>
              <w:adjustRightInd w:val="0"/>
              <w:spacing w:line="240" w:lineRule="exact"/>
              <w:ind w:firstLine="0" w:firstLineChars="0"/>
              <w:jc w:val="center"/>
              <w:rPr>
                <w:rFonts w:hint="eastAsia" w:ascii="方正仿宋_GBK" w:hAnsi="方正仿宋_GBK" w:eastAsia="方正仿宋_GBK" w:cs="方正仿宋_GBK"/>
                <w:snapToGrid w:val="0"/>
                <w:kern w:val="0"/>
                <w:sz w:val="21"/>
                <w:szCs w:val="21"/>
                <w:lang w:val="zh-CN"/>
              </w:rPr>
            </w:pPr>
            <w:r>
              <w:rPr>
                <w:rFonts w:hint="eastAsia" w:ascii="方正仿宋_GBK" w:hAnsi="方正仿宋_GBK" w:eastAsia="方正仿宋_GBK" w:cs="方正仿宋_GBK"/>
                <w:snapToGrid w:val="0"/>
                <w:kern w:val="0"/>
                <w:sz w:val="21"/>
                <w:szCs w:val="21"/>
                <w:lang w:val="zh-CN"/>
              </w:rPr>
              <w:t>防洪水库</w:t>
            </w:r>
          </w:p>
          <w:p>
            <w:pPr>
              <w:widowControl/>
              <w:adjustRightInd w:val="0"/>
              <w:spacing w:line="240" w:lineRule="exact"/>
              <w:ind w:firstLine="0" w:firstLineChars="0"/>
              <w:jc w:val="center"/>
              <w:rPr>
                <w:rFonts w:hint="eastAsia" w:ascii="方正仿宋_GBK" w:hAnsi="方正仿宋_GBK" w:eastAsia="方正仿宋_GBK" w:cs="方正仿宋_GBK"/>
                <w:snapToGrid w:val="0"/>
                <w:kern w:val="0"/>
                <w:sz w:val="21"/>
                <w:szCs w:val="21"/>
                <w:lang w:val="zh-CN"/>
              </w:rPr>
            </w:pPr>
            <w:r>
              <w:rPr>
                <w:rFonts w:hint="eastAsia" w:ascii="方正仿宋_GBK" w:hAnsi="方正仿宋_GBK" w:eastAsia="方正仿宋_GBK" w:cs="方正仿宋_GBK"/>
                <w:snapToGrid w:val="0"/>
                <w:kern w:val="0"/>
                <w:sz w:val="21"/>
                <w:szCs w:val="21"/>
                <w:lang w:val="zh-CN"/>
              </w:rPr>
              <w:t>工程</w:t>
            </w:r>
          </w:p>
        </w:tc>
        <w:tc>
          <w:tcPr>
            <w:tcW w:w="270" w:type="pct"/>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c>
          <w:tcPr>
            <w:tcW w:w="404" w:type="pct"/>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c>
          <w:tcPr>
            <w:tcW w:w="270" w:type="pct"/>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c>
          <w:tcPr>
            <w:tcW w:w="270" w:type="pct"/>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c>
          <w:tcPr>
            <w:tcW w:w="270" w:type="pct"/>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c>
          <w:tcPr>
            <w:tcW w:w="404" w:type="pct"/>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c>
          <w:tcPr>
            <w:tcW w:w="270" w:type="pct"/>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c>
          <w:tcPr>
            <w:tcW w:w="270" w:type="pct"/>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c>
          <w:tcPr>
            <w:tcW w:w="404" w:type="pct"/>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c>
          <w:tcPr>
            <w:tcW w:w="270" w:type="pct"/>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c>
          <w:tcPr>
            <w:tcW w:w="270" w:type="pct"/>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c>
          <w:tcPr>
            <w:tcW w:w="270" w:type="pct"/>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c>
          <w:tcPr>
            <w:tcW w:w="270" w:type="pct"/>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c>
          <w:tcPr>
            <w:tcW w:w="270" w:type="pct"/>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c>
          <w:tcPr>
            <w:tcW w:w="274" w:type="pct"/>
            <w:noWrap w:val="0"/>
            <w:vAlign w:val="center"/>
          </w:tcPr>
          <w:p>
            <w:pPr>
              <w:widowControl/>
              <w:adjustRightInd w:val="0"/>
              <w:spacing w:line="240" w:lineRule="exact"/>
              <w:ind w:firstLine="0" w:firstLineChars="0"/>
              <w:jc w:val="center"/>
              <w:rPr>
                <w:rFonts w:hint="eastAsia" w:ascii="楷体_GB2312" w:eastAsia="楷体_GB2312"/>
                <w:snapToGrid w:val="0"/>
                <w:kern w:val="0"/>
                <w:sz w:val="21"/>
                <w:szCs w:val="21"/>
                <w:lang w:val="zh-CN"/>
              </w:rPr>
            </w:pPr>
            <w:r>
              <w:rPr>
                <w:rFonts w:hint="eastAsia" w:ascii="楷体_GB2312" w:eastAsia="楷体_GB2312"/>
                <w:snapToGrid w:val="0"/>
                <w:kern w:val="0"/>
                <w:sz w:val="21"/>
                <w:szCs w:val="21"/>
                <w:lang w:val="zh-CN"/>
              </w:rPr>
              <w:t>○</w:t>
            </w:r>
          </w:p>
        </w:tc>
      </w:tr>
    </w:tbl>
    <w:p>
      <w:pPr>
        <w:widowControl/>
        <w:adjustRightInd w:val="0"/>
        <w:spacing w:line="0" w:lineRule="atLeast"/>
        <w:ind w:firstLine="0" w:firstLineChars="0"/>
        <w:jc w:val="left"/>
        <w:rPr>
          <w:rFonts w:ascii="Times New Roman" w:eastAsia="楷体_GB2312"/>
          <w:snapToGrid w:val="0"/>
          <w:kern w:val="0"/>
          <w:sz w:val="21"/>
          <w:szCs w:val="21"/>
          <w:lang w:val="zh-CN"/>
        </w:rPr>
      </w:pPr>
      <w:r>
        <w:rPr>
          <w:rFonts w:hint="eastAsia" w:ascii="Times New Roman" w:eastAsia="楷体_GB2312"/>
          <w:snapToGrid w:val="0"/>
          <w:kern w:val="0"/>
          <w:sz w:val="21"/>
          <w:szCs w:val="21"/>
          <w:lang w:val="zh-CN"/>
        </w:rPr>
        <w:t>注：○：表示影响重要性较小，即规划影响较敏感或对环境目标贡献值（正或负）较小；●：表示影响重要性显著，即规划影响敏感性高或对环境目标贡献值（正或负）很突出。</w:t>
      </w:r>
    </w:p>
    <w:p>
      <w:pPr>
        <w:keepNext w:val="0"/>
        <w:keepLines w:val="0"/>
        <w:pageBreakBefore w:val="0"/>
        <w:widowControl w:val="0"/>
        <w:kinsoku/>
        <w:wordWrap/>
        <w:overflowPunct/>
        <w:topLinePunct w:val="0"/>
        <w:autoSpaceDE/>
        <w:autoSpaceDN/>
        <w:bidi w:val="0"/>
        <w:adjustRightInd/>
        <w:snapToGrid/>
        <w:ind w:firstLine="640" w:firstLineChars="200"/>
        <w:textAlignment w:val="auto"/>
        <w:outlineLvl w:val="1"/>
        <w:rPr>
          <w:rFonts w:hint="eastAsia" w:ascii="方正楷体_GBK" w:hAnsi="方正楷体_GBK" w:eastAsia="方正楷体_GBK" w:cs="方正楷体_GBK"/>
          <w:bCs/>
          <w:sz w:val="32"/>
          <w:lang w:val="zh-CN"/>
        </w:rPr>
      </w:pPr>
      <w:bookmarkStart w:id="209" w:name="_Toc31352"/>
      <w:r>
        <w:rPr>
          <w:rFonts w:hint="eastAsia" w:ascii="方正楷体_GBK" w:hAnsi="方正楷体_GBK" w:eastAsia="方正楷体_GBK" w:cs="方正楷体_GBK"/>
          <w:bCs/>
          <w:sz w:val="32"/>
          <w:lang w:val="zh-CN"/>
        </w:rPr>
        <w:t>（</w:t>
      </w:r>
      <w:r>
        <w:rPr>
          <w:rFonts w:hint="eastAsia" w:ascii="方正楷体_GBK" w:hAnsi="方正楷体_GBK" w:eastAsia="方正楷体_GBK" w:cs="方正楷体_GBK"/>
          <w:bCs/>
          <w:sz w:val="32"/>
          <w:lang w:val="en-US" w:eastAsia="zh-CN"/>
        </w:rPr>
        <w:t>四</w:t>
      </w:r>
      <w:r>
        <w:rPr>
          <w:rFonts w:hint="eastAsia" w:ascii="方正楷体_GBK" w:hAnsi="方正楷体_GBK" w:eastAsia="方正楷体_GBK" w:cs="方正楷体_GBK"/>
          <w:bCs/>
          <w:sz w:val="32"/>
          <w:lang w:val="zh-CN"/>
        </w:rPr>
        <w:t>）环境影响分析与评价</w:t>
      </w:r>
      <w:bookmarkEnd w:id="209"/>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1</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水文情势的影响</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规划防洪工程中对水文情势的影响较大的工程主要为藻渡水库。水库建成后，坝前水位抬高，河道水面变宽，水面面积增加，水流变缓；坝下河段水流量减少，河道水面变窄，水位明显降低，使天然河流原有的径流过程发生显著的变化。藻渡水库等工程已考虑在坝下设置不低于10%的生态流量，可以一定程度上减小水量减少对坝下水生生态的影响。</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规划藻渡水库等防洪水库运行后，库区段水文情势发生较大改变，水位、水深、水面宽度、水面面积、蓄水量等增加，流量、流速减小，并且距离坝址越远，水文要素变化幅度越小。</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2</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水环境的影响</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本次防洪规划实施过程中，各工程建设活动如控制不当，将排放一定数量的生产废水和生活污水，可能影响局部河段水质。如河道整治、堤防工程实施过程中，涉水工程施工导致局部河段SS浓度上升，河流水质变差。藻渡水库大坝施工过程中，可能对大坝下游0.9km处的赶水镇藻渡河水源取水口水质造成影响。</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防洪规划实施后，藻渡等防洪水库运营将造成河流水文情势发生较大变化，对河流污染物迁移扩散产生显著影响。库区水体流速减缓，污染物降解系数降低，降低了污染物自净能力，但由于停留时间延长，氨氮、COD水环境容量较建库前有所增加。库区水体流速减缓也易造成库区富营养化。水库建成后，坝下河段水质将与水库下泄水质接近，坝下水质年内变化将趋于平坦，减少因上游来水水质变化而引起的波动。</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为减轻规划实施的可能带来的环境影响，拟采取的环保措施包括：规划项目施工期间对基坑废水沉淀处理后外排；藻渡水库施工期间采取水源临时变更措施，消除对赶水镇饮用水源水质的影响；藻渡水库在运营期间加强库区汇水区面源污染治理，维护水库库区水质。</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3</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生态环境的影响</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zh-CN" w:eastAsia="zh-CN"/>
        </w:rPr>
      </w:pPr>
      <w:r>
        <w:rPr>
          <w:rFonts w:hint="eastAsia" w:ascii="Times New Roman" w:hAnsi="Times New Roman" w:eastAsia="方正仿宋_GBK" w:cs="Times New Roman"/>
          <w:sz w:val="32"/>
          <w:szCs w:val="32"/>
          <w:lang w:val="en-US" w:eastAsia="zh-CN"/>
        </w:rPr>
        <w:t>3.1</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zh-CN" w:eastAsia="zh-CN"/>
        </w:rPr>
        <w:t>生态系统完整性</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綦江流域是由水生生态和陆生生态构成的完整生态系统，具有生境支持、生物多样性维持，水源、净化、美化环境等多种功能。防洪规划实施后，流域景观生态体系的结构和功能不会发生明显变化，流域的景观生态优势度基本保持现状，而河流服务功能将增强。由于规划建设项目的淹没和占地，部分区域森林、灌草丛生态系统将受影响，水域面积增大，区域植被异质度降低，生物生产力略有减少；生态系统具有阻抗稳定性，经过一段时间，景观生态将达到新的平衡。</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zh-CN" w:eastAsia="zh-CN"/>
        </w:rPr>
      </w:pPr>
      <w:r>
        <w:rPr>
          <w:rFonts w:hint="eastAsia" w:ascii="Times New Roman" w:hAnsi="Times New Roman" w:eastAsia="方正仿宋_GBK" w:cs="Times New Roman"/>
          <w:sz w:val="32"/>
          <w:szCs w:val="32"/>
          <w:lang w:val="en-US" w:eastAsia="zh-CN"/>
        </w:rPr>
        <w:t>3.2</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zh-CN" w:eastAsia="zh-CN"/>
        </w:rPr>
        <w:t>陆生生态</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防洪规划中各规划工程的实施都会对陆生生态环境产生影响，主要表现在工程占地对地表植被的破坏。其中藻渡水库等工程的影响面最广，其水库淹没、移民安置、施工占地、料场开挖、弃渣堆放将改变部分区域的土地利用类型，破坏原有植被，减少陆生动物的栖息生境。</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规划水库蓄水前，将对水库淹没区内植物及植被进行清理，处于库区正常蓄水位以下的植物及植被将直接受到破坏。工程淹没、占地对区域农作物、阔叶林的影响相对较大，对其它植被的影响相对较小。堤防加固工程对地表植被的影响，主要是对施工区域内河道两侧现有人工绿化植被的破坏。在施工结束后，将人工复植绿化林，恢复河道景观。</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规划实施后，水库蓄水将淹没原库区内部分生境，涉及生境类型多样，原栖息于此的部分野生动物栖息地损失，使其受到一定影响，大多数野生动物都会随着水库蓄水水位的逐步抬升，逐渐向水库周边的高海拔区域迁移，规避水库蓄水带来的不利影响，因此，一般不会危及野生动物生存。由于相似的生境在评价区内较多，它们会向周围相似生境顺利转移，因此水库蓄水淹没对陆生野生动物栖息和觅食影响较小。</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zh-CN" w:eastAsia="zh-CN"/>
        </w:rPr>
      </w:pPr>
      <w:r>
        <w:rPr>
          <w:rFonts w:hint="eastAsia" w:ascii="Times New Roman" w:hAnsi="Times New Roman" w:eastAsia="方正仿宋_GBK" w:cs="Times New Roman"/>
          <w:sz w:val="32"/>
          <w:szCs w:val="32"/>
          <w:lang w:val="en-US" w:eastAsia="zh-CN"/>
        </w:rPr>
        <w:t>3.3</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zh-CN" w:eastAsia="zh-CN"/>
        </w:rPr>
        <w:t>水生生态</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3.3.1</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en-US" w:eastAsia="zh-CN"/>
        </w:rPr>
        <w:t>对浮游植物的影响</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规划藻渡等防洪水库建成后，库中水流减缓、营养物质有所滞留，水体透明度增大，水体环境由河流生态型向水库生态型转化，浮游植物种类和生物量可能增加，但幅度不大。库区浮游植物种类由喜流水性种类向静缓流种类转变，且营养物质增加将有利于浮游植物生长繁殖，其种类和生物量将会有所增加；水库坝下河段水量减少，浮游植物栖息空间萎缩，总生物量将有所减少。</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规划水库工程、堤防加固工程、河道整治工程等在实施过程中，将会造成水体中悬浮物增加，水体透明度降低，浑浊度增加，浮游植物光合作用效率降低，从而抑制浮游植物生长、繁殖，将对浮游植物群落结构产生影响。</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3.3.2</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en-US" w:eastAsia="zh-CN"/>
        </w:rPr>
        <w:t>对浮游动物的影响</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规划水库建成后，库区水深增加，水体流速变缓，营养物质有所滞留，有利于促进浮游动物的生长繁殖；坝下流量减少，流速减小，浮游动物的种类组成和生物量将有所减少。</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堤防加固工程、河道整治工程对浮游动物的影响与对浮游植物类似，河道悬浮物增加会对浮游动物的生长和繁殖产生一定程度的影响，浮游植物群落结构改变也会对浮游动物群落结构产生影响。但河道整治、堤防工程施工结束后，影响即可消除。</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3.3.3</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en-US" w:eastAsia="zh-CN"/>
        </w:rPr>
        <w:t>对底栖动物的影响</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规划水库建成蓄水后，水库水位上升，流速下降，营养物质累积，部分流水型种类在库区范围内消失，以静水或缓流型种类为主，底栖动物种类有所下降，密度、生物量或将有所提升。坝下减水河段，河道流量减少，水位降低，对底栖动物将造成一定影响；摇蚊科生物种类及数量将有一定幅度增加，底栖动物密度、生物量在现有基础上或将增加。</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堤防加固工程、河道整治工程施工过程中挖泥和回填将直接改变底栖动物生活环境，对其种类组成、生物量、生态分布产生一定的影响。水下作业活动人为地改变底栖动物的生境，但仅改变了部分河段沿岸的底质环境，整体影响不大。</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3.3.4</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en-US" w:eastAsia="zh-CN"/>
        </w:rPr>
        <w:t>对鱼类的影响</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规划水库工程建成后，原有连续的河流生态系统被分割成不连续的单元，造成鱼类生境的片断化，使坝上、坝下鱼类群体基因的交流受到影响，可能会降低物种的活力。流域内已建电站多为引水式电站，坝址以下形成减水河段，枯水季节水流很小，水生生物栖息、繁殖现状已受到一定影响，且流域内现有电站均未设过鱼措施，流域内鱼类已形成了阻隔效应。另外，水文情势变化对鱼类资源及分布会造成一定影响，将引起库区鱼类种类组成发生演变，适应静水的种类，如鲢、黄颡鱼类、鲤、鲫等成为优势种，原适应流水生活的鱼类将减少。</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通过对綦江流域的水生生态现状调查，藻渡河上有3处适宜鱼类繁殖的生境，分别在在马桑坎河河口上游约4.3km处、鲤鱼河河口约200米、藻渡河干流狮溪镇产卵场。藻渡水库回水长度约27km，此3处产卵场均在库尾上游，因此藻渡水库蓄水不会淹没这3处产卵场。除此3处集中的产卵场外，评价区范围内分布的鱼类以产粘沉性卵为主，对产卵场条件要求不严格，在砾石浅滩、水质较清澈的河段即可产卵繁殖。藻渡水库建成运行后，库区适宜鱼类产卵的小生境将减少，会影响部分鱼类的繁殖。</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藻渡河鱼类索饵场主要分布于支流汇口和沿岸浅滩生境。藻渡水库建成运行后，将淹没岩洞电站和坡渡电站，回水至羊蹬镇，蓄水导致泥沙沉积，水体的透明度将得到提高，水体流速明显减缓，硅藻门和绿藻门中喜流水环境的藻类将逐渐在库区消失，而喜静水环境的藻类种类和数量都将增加，浮游动物的种类与数量也将增加，并成为仔稚鱼开口饵料。藻渡水库建成运行后，河道水体加深，有利于鱼类越冬。对綦江的几处产卵场、索饵场、越冬场因距离较远，影响较小。</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堤防加固工程、河道整治工程除因施工过程中涉水作业造成水体浑浊，对城区段及下游部分河段鱼类造成影响外，运营期基本无影响。</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3.3.5</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en-US" w:eastAsia="zh-CN"/>
        </w:rPr>
        <w:t>对重点保护水生动物的影响</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流域内无国家级重点保护鱼类，列入《重庆市重点保护水生野生动物名录》（1999年）的有细磷裂腹鱼、岩原鲤、长薄鳅、四川华吸鳅，其中岩原鲤被纳入《中国濒危动物红皮书》和《中国物种红色名录》；另外，中华倒刺鲃、细鳞裂腹鱼、岩原鲤、宽口光唇鱼4种鱼类为长江上游特有鱼类。</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藻渡水库工程建设期间，坝址施工、导流、施工所造成的废渣和污水将有部分会进入坝址以下河段，废水、废渣可改变水体的透明度、影响水体pH值，加之施工带来的噪声污染，分布于水库坝址以下河段的保护鱼类会向下游迁移。而分布于库尾以上河段的保护鱼类不会受到施工的影响。藻渡水库等均位于綦江支流，建设运行对綦江干流河段流速、水深、水面宽度影响不大，细磷裂腹鱼、岩原鲤、长薄鳅、四川华吸鳅的适宜生境不会产生较大改变，在保证河道生态流量的情况下，种群资源受到的影响较小。</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4</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土地资源的影响</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规划水库工程的建设将淹没或占用土地，对土地资源产生一定的负面影响。水库淹没将改变库区原有的土地利用结构，原有的耕地、林地、牧草地及其它用地等将变为水域，耕地、林地面积等有所减少，而水域面积增加较多。</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 xml:space="preserve">规划防洪工程主要仍在原河道范围内建设，占地类型以河滩地为主，部分河段涉及到征地拆迁，将占用少部分建设用地。 </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河道整治工程是对现有河道清淤整治，工程范围均在现有河道内，不新增占地。</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5</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社会环境的影响</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zh-CN" w:eastAsia="zh-CN"/>
        </w:rPr>
      </w:pPr>
      <w:r>
        <w:rPr>
          <w:rFonts w:hint="eastAsia" w:ascii="Times New Roman" w:hAnsi="Times New Roman" w:eastAsia="方正仿宋_GBK" w:cs="Times New Roman"/>
          <w:sz w:val="32"/>
          <w:szCs w:val="32"/>
          <w:lang w:val="en-US" w:eastAsia="zh-CN"/>
        </w:rPr>
        <w:t>5.1</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zh-CN" w:eastAsia="zh-CN"/>
        </w:rPr>
        <w:t>对经济社会的影响</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防洪规划的实施将提高綦江主城区的防洪能力，保障人民生命财产安全和经济社会发展。同时也将大幅提升城市景观和品味，进一步升级綦江旅游度假区品质。</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zh-CN" w:eastAsia="zh-CN"/>
        </w:rPr>
      </w:pPr>
      <w:r>
        <w:rPr>
          <w:rFonts w:hint="eastAsia" w:ascii="Times New Roman" w:hAnsi="Times New Roman" w:eastAsia="方正仿宋_GBK" w:cs="Times New Roman"/>
          <w:sz w:val="32"/>
          <w:szCs w:val="32"/>
          <w:lang w:val="en-US" w:eastAsia="zh-CN"/>
        </w:rPr>
        <w:t>5.2</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zh-CN" w:eastAsia="zh-CN"/>
        </w:rPr>
        <w:t>水库淹没和移民</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规划水库工程的实施，将产生水库淹没和移民安置，会对生态环境和迁建村镇的环境带来一定的影响，还将涉及产业结构、社会关系、收入分配、生活方式、民族文化、传统习俗和人群心理因素等诸方面。通过认真贯彻移民生产、生活安置和环境保护各项政策，加强移民安置工程的环境保护，进行一次性安置和后期扶持，对区域社会经济发展和居民生活水平的提高总体上是有利的，不利影响通过采取措施是可减缓的。</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zh-CN" w:eastAsia="zh-CN"/>
        </w:rPr>
      </w:pPr>
      <w:r>
        <w:rPr>
          <w:rFonts w:hint="eastAsia" w:ascii="Times New Roman" w:hAnsi="Times New Roman" w:eastAsia="方正仿宋_GBK" w:cs="Times New Roman"/>
          <w:sz w:val="32"/>
          <w:szCs w:val="32"/>
          <w:lang w:val="en-US" w:eastAsia="zh-CN"/>
        </w:rPr>
        <w:t>5.3</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zh-CN" w:eastAsia="zh-CN"/>
        </w:rPr>
        <w:t>对景观资源的影响</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重庆市綦江区域旅游景观资源丰富，主要有重庆綦江国家地质公园、綦江古剑山旅游风景区、綦江老瀛山旅游风景区。经初步分析，本次防洪规划均避开了以上区域，规划实施不会对上述景观资源产生不利影响。另一方面，规划藻渡水库建成后，水库将溶山、水、林于一色，山清水秀，成为新的景点。同时，水库</w:t>
      </w:r>
      <w:r>
        <w:rPr>
          <w:rFonts w:hint="eastAsia" w:ascii="Times New Roman" w:hAnsi="Times New Roman" w:eastAsia="方正仿宋_GBK" w:cs="Times New Roman"/>
          <w:spacing w:val="-6"/>
          <w:sz w:val="32"/>
          <w:szCs w:val="32"/>
          <w:lang w:val="en-US" w:eastAsia="zh-CN"/>
        </w:rPr>
        <w:t>建成后，随着当地交通等基础设施的改善，也将带动当地旅游发</w:t>
      </w:r>
      <w:r>
        <w:rPr>
          <w:rFonts w:hint="eastAsia" w:ascii="Times New Roman" w:hAnsi="Times New Roman" w:eastAsia="方正仿宋_GBK" w:cs="Times New Roman"/>
          <w:sz w:val="32"/>
          <w:szCs w:val="32"/>
          <w:lang w:val="en-US" w:eastAsia="zh-CN"/>
        </w:rPr>
        <w:t>展。</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zh-CN" w:eastAsia="zh-CN"/>
        </w:rPr>
      </w:pPr>
      <w:r>
        <w:rPr>
          <w:rFonts w:hint="eastAsia" w:ascii="Times New Roman" w:hAnsi="Times New Roman" w:eastAsia="方正仿宋_GBK" w:cs="Times New Roman"/>
          <w:sz w:val="32"/>
          <w:szCs w:val="32"/>
          <w:lang w:val="en-US" w:eastAsia="zh-CN"/>
        </w:rPr>
        <w:t>5.4</w:t>
      </w:r>
      <w:r>
        <w:rPr>
          <w:rFonts w:hint="eastAsia" w:ascii="Times New Roman" w:eastAsia="方正仿宋_GBK" w:cs="Times New Roman"/>
          <w:sz w:val="32"/>
          <w:szCs w:val="32"/>
          <w:lang w:val="en-US" w:eastAsia="zh-CN"/>
        </w:rPr>
        <w:t xml:space="preserve"> </w:t>
      </w:r>
      <w:r>
        <w:rPr>
          <w:rFonts w:hint="eastAsia" w:ascii="Times New Roman" w:hAnsi="Times New Roman" w:eastAsia="方正仿宋_GBK" w:cs="Times New Roman"/>
          <w:sz w:val="32"/>
          <w:szCs w:val="32"/>
          <w:lang w:val="zh-CN" w:eastAsia="zh-CN"/>
        </w:rPr>
        <w:t>对人群健康的影响</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本规划防洪实施后，綦江主城区内洪涝灾害相应减少，涝水滞留时间的减少，有利于改善蓄洪区及涝区环境卫生条件，减少疾病的流行与蔓延，降低蓄洪区及涝区受淹后疫情传播的威胁。</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规划实施也可能对人群健康产生一定不利影响，主要有移民安置、工程施工和水库蓄水等。若移民搬迁后留下的厕所、垃圾等的卫生清理不彻底，将增加库周爆发伤寒副伤寒、菌痢等介水传染病的可能性。工程施工期间，将有大量外来施工人员进场，可能导致疾病流行。水库蓄水初期，随着水库水位抬升，鼠类将向库周迁移，鼠疫和钩端螺旋体病的自然疫源性疾病发生率有可能上升；水库蓄水后，水域面积扩大，库区媒介蚊类的密度可能增大，如不采取有效防治措施，虫媒传染病发病率有可能上升。</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6</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对环境敏感区的影响</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经初步识别，规划工程不涉及自然保护区、风景名胜区、森林公园、湿地公园、地质公园等生态敏感区，仅规划藻渡水库工程涉及1处饮用水水源保护。因此，本节分析规划藻渡工程实施对饮用水水源保护区的影响。</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规划藻渡水库工程涉及水源区范围内的赶水水厂取水口，该取水口位于藻渡坝下0.9km，划定有藻渡河饮用水水源保护区。赶水水厂取水口年取水量100万m</w:t>
      </w:r>
      <w:r>
        <w:rPr>
          <w:rFonts w:hint="eastAsia" w:ascii="Times New Roman" w:hAnsi="Times New Roman" w:eastAsia="方正仿宋_GBK" w:cs="Times New Roman"/>
          <w:sz w:val="32"/>
          <w:szCs w:val="32"/>
          <w:vertAlign w:val="superscript"/>
          <w:lang w:val="en-US" w:eastAsia="zh-CN"/>
        </w:rPr>
        <w:t>3</w:t>
      </w:r>
      <w:r>
        <w:rPr>
          <w:rFonts w:hint="eastAsia" w:ascii="Times New Roman" w:hAnsi="Times New Roman" w:eastAsia="方正仿宋_GBK" w:cs="Times New Roman"/>
          <w:sz w:val="32"/>
          <w:szCs w:val="32"/>
          <w:lang w:val="en-US" w:eastAsia="zh-CN"/>
        </w:rPr>
        <w:t>，主要为城乡生活用水，供水对象为赶水镇及周边部分农村。水库工程施工扰动水体会造成取水口水质悬浮物增加等不利影响，为此，拟制定《綦江区赶水镇藻渡水厂取水口停用替代方案》，工程施工期将停用赶水镇藻渡水厂取水口，重新铺设三马口水库</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铁石垭水厂</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藻渡水厂供水管道，改由铁石垭水厂供水，以保证赶水镇的供水安全；工程建成后，由藻渡水库向藻渡水厂供水。重庆市綦江区水利局以《重庆市綦江区水利局关于赶水镇藻渡水厂取水口停用替代方案的复函》（綦水函〔2019〕40号）同意了该方案。因此，藻渡水库工程建设不会对赶水镇生活用水造成影响。</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outlineLvl w:val="1"/>
        <w:rPr>
          <w:rFonts w:hint="eastAsia" w:ascii="方正楷体_GBK" w:hAnsi="方正楷体_GBK" w:eastAsia="方正楷体_GBK" w:cs="方正楷体_GBK"/>
          <w:bCs/>
          <w:sz w:val="32"/>
          <w:lang w:val="zh-CN"/>
        </w:rPr>
      </w:pPr>
      <w:bookmarkStart w:id="210" w:name="_Toc15705"/>
      <w:r>
        <w:rPr>
          <w:rFonts w:hint="eastAsia" w:ascii="方正楷体_GBK" w:hAnsi="方正楷体_GBK" w:eastAsia="方正楷体_GBK" w:cs="方正楷体_GBK"/>
          <w:bCs/>
          <w:sz w:val="32"/>
          <w:lang w:val="zh-CN"/>
        </w:rPr>
        <w:t>（</w:t>
      </w:r>
      <w:r>
        <w:rPr>
          <w:rFonts w:hint="eastAsia" w:ascii="方正楷体_GBK" w:hAnsi="方正楷体_GBK" w:eastAsia="方正楷体_GBK" w:cs="方正楷体_GBK"/>
          <w:bCs/>
          <w:sz w:val="32"/>
          <w:lang w:val="en-US" w:eastAsia="zh-CN"/>
        </w:rPr>
        <w:t>五</w:t>
      </w:r>
      <w:r>
        <w:rPr>
          <w:rFonts w:hint="eastAsia" w:ascii="方正楷体_GBK" w:hAnsi="方正楷体_GBK" w:eastAsia="方正楷体_GBK" w:cs="方正楷体_GBK"/>
          <w:bCs/>
          <w:sz w:val="32"/>
          <w:lang w:val="zh-CN"/>
        </w:rPr>
        <w:t>）规划方案综合论证</w:t>
      </w:r>
      <w:bookmarkEnd w:id="210"/>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rPr>
      </w:pPr>
      <w:r>
        <w:rPr>
          <w:rFonts w:hint="default" w:ascii="Times New Roman" w:hAnsi="Times New Roman" w:eastAsia="方正仿宋_GBK" w:cs="Times New Roman"/>
          <w:bCs/>
          <w:sz w:val="32"/>
          <w:szCs w:val="32"/>
          <w:lang w:val="en-US" w:eastAsia="zh-CN"/>
        </w:rPr>
        <w:t>1</w:t>
      </w:r>
      <w:r>
        <w:rPr>
          <w:rFonts w:hint="eastAsia" w:ascii="Times New Roman" w:eastAsia="方正仿宋_GBK" w:cs="Times New Roman"/>
          <w:sz w:val="32"/>
          <w:szCs w:val="32"/>
          <w:lang w:val="en-US" w:eastAsia="zh-CN"/>
        </w:rPr>
        <w:t>．</w:t>
      </w:r>
      <w:r>
        <w:rPr>
          <w:rFonts w:hint="default" w:ascii="Times New Roman" w:hAnsi="Times New Roman" w:eastAsia="方正仿宋_GBK" w:cs="Times New Roman"/>
          <w:bCs/>
          <w:sz w:val="32"/>
          <w:szCs w:val="32"/>
        </w:rPr>
        <w:t>规划方案综合论证</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outlineLvl w:val="3"/>
        <w:rPr>
          <w:rFonts w:hint="default" w:ascii="Times New Roman" w:hAnsi="Times New Roman" w:eastAsia="方正仿宋_GBK" w:cs="Times New Roman"/>
          <w:sz w:val="32"/>
          <w:szCs w:val="32"/>
          <w:lang w:val="zh-CN"/>
        </w:rPr>
      </w:pPr>
      <w:r>
        <w:rPr>
          <w:rFonts w:hint="default" w:ascii="Times New Roman" w:hAnsi="Times New Roman" w:eastAsia="方正仿宋_GBK" w:cs="Times New Roman"/>
          <w:sz w:val="32"/>
          <w:szCs w:val="32"/>
          <w:lang w:val="en-US" w:eastAsia="zh-CN"/>
        </w:rPr>
        <w:t>1.1</w:t>
      </w:r>
      <w:r>
        <w:rPr>
          <w:rFonts w:hint="eastAsia" w:ascii="Times New Roman" w:eastAsia="方正仿宋_GBK" w:cs="Times New Roman"/>
          <w:sz w:val="32"/>
          <w:szCs w:val="32"/>
          <w:lang w:val="en-US" w:eastAsia="zh-CN"/>
        </w:rPr>
        <w:t xml:space="preserve"> </w:t>
      </w:r>
      <w:r>
        <w:rPr>
          <w:rFonts w:hint="default" w:ascii="Times New Roman" w:hAnsi="Times New Roman" w:eastAsia="方正仿宋_GBK" w:cs="Times New Roman"/>
          <w:sz w:val="32"/>
          <w:szCs w:val="32"/>
          <w:lang w:val="zh-CN"/>
        </w:rPr>
        <w:t>规划目标的环境合理性论证</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规划的总体目标是通过加固綦江城区河段堤防提高防洪能力，并在上游建设藻渡水库等防洪水库拦蓄洪水，结合流域防洪工程联合调度，建立可靠的城市防洪减灾体系，全面提升城市防洪安全保障能力，建立洪水风险管理的基本制度，并显著提升綦江区水利信息化水平。</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綦江城区防洪规划符合现行产业政策，符合重庆市、綦江区国民经济和社会发展规划、水利建设规划、生态保护规划等有关要求。规划方案目标基本合理。</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outlineLvl w:val="3"/>
        <w:rPr>
          <w:rFonts w:hint="default" w:ascii="Times New Roman" w:hAnsi="Times New Roman" w:eastAsia="方正仿宋_GBK" w:cs="Times New Roman"/>
          <w:sz w:val="32"/>
          <w:szCs w:val="32"/>
          <w:lang w:val="zh-CN"/>
        </w:rPr>
      </w:pPr>
      <w:r>
        <w:rPr>
          <w:rFonts w:hint="default" w:ascii="Times New Roman" w:hAnsi="Times New Roman" w:eastAsia="方正仿宋_GBK" w:cs="Times New Roman"/>
          <w:sz w:val="32"/>
          <w:szCs w:val="32"/>
          <w:lang w:val="en-US" w:eastAsia="zh-CN"/>
        </w:rPr>
        <w:t>1.2</w:t>
      </w:r>
      <w:r>
        <w:rPr>
          <w:rFonts w:hint="eastAsia" w:ascii="Times New Roman" w:eastAsia="方正仿宋_GBK" w:cs="Times New Roman"/>
          <w:sz w:val="32"/>
          <w:szCs w:val="32"/>
          <w:lang w:val="en-US" w:eastAsia="zh-CN"/>
        </w:rPr>
        <w:t xml:space="preserve"> </w:t>
      </w:r>
      <w:r>
        <w:rPr>
          <w:rFonts w:hint="default" w:ascii="Times New Roman" w:hAnsi="Times New Roman" w:eastAsia="方正仿宋_GBK" w:cs="Times New Roman"/>
          <w:sz w:val="32"/>
          <w:szCs w:val="32"/>
          <w:lang w:val="zh-CN"/>
        </w:rPr>
        <w:t>规划布局环境合理性</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綦江城区防洪规划是在现已形成的綦江区城市发展格局的基础上，根据主城区防洪的任务与目标，结合流域自然特性、经济</w:t>
      </w:r>
      <w:r>
        <w:rPr>
          <w:rFonts w:hint="default" w:ascii="Times New Roman" w:hAnsi="Times New Roman" w:eastAsia="方正仿宋_GBK" w:cs="Times New Roman"/>
          <w:spacing w:val="-6"/>
          <w:sz w:val="32"/>
          <w:szCs w:val="32"/>
        </w:rPr>
        <w:t>社会条件和水利设施建设现状，制定綦江城区防洪规划的总体布</w:t>
      </w:r>
      <w:r>
        <w:rPr>
          <w:rFonts w:hint="default" w:ascii="Times New Roman" w:hAnsi="Times New Roman" w:eastAsia="方正仿宋_GBK" w:cs="Times New Roman"/>
          <w:sz w:val="32"/>
          <w:szCs w:val="32"/>
        </w:rPr>
        <w:t>局。</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本次防洪规划由堤防加固工程、河道整治工程、防洪水库工程组成。其中，堤防加固工程位于綦江主城区河段，上游起于綦江火车站，下游止于城北大桥，长约5km。堤防加固工程段不涉及自然保护区、风景名胜区、饮用水源保护区、生态红线等生态敏感区。</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河道整治工程包括：綦江主城区河段的彩虹桥至城北大桥3.02km、城区下游的北渡场河段3.74km，共计6.76km进行疏浚；对大常、石溪口、桥河、桥溪口4座航电采用全闸改造。河道整治段不涉及自然保护区、风景名胜区、饮用水源保护区、生态红线等生态敏感区。</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防洪水库工程中，藻渡水库工程涉及赶水镇藻渡河饮用水源保护区，赶水镇水厂取水口位于拟建藻渡水库坝下约0.9km处。赶水镇藻渡河饮用水源一级保护区水域范围为取水口上游1000m至下游100m的整个水域，二级保护区水域范围为取水口上游1000</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2000m，下游100</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200m的整个水域。因此，藻渡水库工程涉及赶水镇藻渡河饮用水源保护区的一级和二级保护区。在藻渡水库施工期间，应采取措施停用赶水镇藻渡水厂取水口，改由铁石垭水厂供水，以保证赶水镇的供水安全，不会对赶水镇生活用水造成影响。并且规划藻渡水库工程是属于新建饮用水源工程，水库建成后，赶水镇将统一由藻渡水库供水。规划藻渡水库符合饮用水源保护区的相关法律法规。</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防洪规划区域原有的地带性植被为亚热带常绿阔叶林，但由于该区域农耕历史较长，人为活动频繁，区域内地带性植被多已遭破坏，现状植被以次生性针叶林、阔叶林、竹林、灌丛和灌草丛为主。规划区域也不直接涉及珍稀野生动植物野外群落的集中分布地，规划实施对陆生生物多样性的影响较小。对单个项目实施工程中发现的珍稀濒危物种的集中分布地，实行就地保护，严禁进行深入的扰动。</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总体而言，规划实施后不会破坏生态系统结构和功能，可以维系区域生态功能区的功能，规划布局总体合理。</w:t>
      </w:r>
    </w:p>
    <w:p>
      <w:pPr>
        <w:keepNext w:val="0"/>
        <w:keepLines w:val="0"/>
        <w:pageBreakBefore w:val="0"/>
        <w:widowControl w:val="0"/>
        <w:kinsoku/>
        <w:wordWrap/>
        <w:overflowPunct/>
        <w:topLinePunct w:val="0"/>
        <w:autoSpaceDE/>
        <w:autoSpaceDN/>
        <w:bidi w:val="0"/>
        <w:snapToGrid/>
        <w:spacing w:line="560" w:lineRule="exact"/>
        <w:ind w:firstLine="640" w:firstLineChars="200"/>
        <w:textAlignment w:val="auto"/>
        <w:outlineLvl w:val="3"/>
        <w:rPr>
          <w:rFonts w:hint="default" w:ascii="Times New Roman" w:hAnsi="Times New Roman" w:eastAsia="方正仿宋_GBK" w:cs="Times New Roman"/>
          <w:sz w:val="32"/>
          <w:szCs w:val="32"/>
          <w:lang w:val="zh-CN"/>
        </w:rPr>
      </w:pPr>
      <w:r>
        <w:rPr>
          <w:rFonts w:hint="default" w:ascii="Times New Roman" w:hAnsi="Times New Roman" w:eastAsia="方正仿宋_GBK" w:cs="Times New Roman"/>
          <w:sz w:val="32"/>
          <w:szCs w:val="32"/>
          <w:lang w:val="en-US" w:eastAsia="zh-CN"/>
        </w:rPr>
        <w:t>1.3</w:t>
      </w:r>
      <w:r>
        <w:rPr>
          <w:rFonts w:hint="eastAsia" w:ascii="Times New Roman" w:eastAsia="方正仿宋_GBK" w:cs="Times New Roman"/>
          <w:sz w:val="32"/>
          <w:szCs w:val="32"/>
          <w:lang w:val="en-US" w:eastAsia="zh-CN"/>
        </w:rPr>
        <w:t xml:space="preserve"> </w:t>
      </w:r>
      <w:r>
        <w:rPr>
          <w:rFonts w:hint="default" w:ascii="Times New Roman" w:hAnsi="Times New Roman" w:eastAsia="方正仿宋_GBK" w:cs="Times New Roman"/>
          <w:sz w:val="32"/>
          <w:szCs w:val="32"/>
          <w:lang w:val="zh-CN"/>
        </w:rPr>
        <w:t>规划规模的合理性</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本次防洪规划中，通过堤防加固工程、河道整治工程、防洪水库工程等措施，将主城区防洪标准提高至50年一遇，三江街道防洪标准达到50年一遇，与《重庆市綦江区城乡总体规划（2012</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2020年）》中规划的防洪标准一致。因此，规划规模是合理的。</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rPr>
      </w:pPr>
      <w:r>
        <w:rPr>
          <w:rFonts w:hint="default" w:ascii="Times New Roman" w:hAnsi="Times New Roman" w:eastAsia="方正仿宋_GBK" w:cs="Times New Roman"/>
          <w:bCs/>
          <w:sz w:val="32"/>
          <w:szCs w:val="32"/>
          <w:lang w:val="en-US" w:eastAsia="zh-CN"/>
        </w:rPr>
        <w:t>2</w:t>
      </w:r>
      <w:r>
        <w:rPr>
          <w:rFonts w:hint="eastAsia" w:ascii="Times New Roman" w:eastAsia="方正仿宋_GBK" w:cs="Times New Roman"/>
          <w:sz w:val="32"/>
          <w:szCs w:val="32"/>
          <w:lang w:val="en-US" w:eastAsia="zh-CN"/>
        </w:rPr>
        <w:t>．</w:t>
      </w:r>
      <w:r>
        <w:rPr>
          <w:rFonts w:hint="default" w:ascii="Times New Roman" w:hAnsi="Times New Roman" w:eastAsia="方正仿宋_GBK" w:cs="Times New Roman"/>
          <w:bCs/>
          <w:sz w:val="32"/>
          <w:szCs w:val="32"/>
        </w:rPr>
        <w:t>环境目标可达性</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綦江城区防洪规划各工程措施均不涉及自然保护区、风景名胜区、森林公园等环境敏感区，藻渡水库涉及饮用水源保护区也拟定了较为健全完善的措施，保护目标总体上是可以达到的。规划的生态环境及保护目标实现状况见表9.5</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1。</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textAlignment w:val="auto"/>
        <w:rPr>
          <w:rFonts w:hint="default" w:ascii="Times New Roman" w:hAnsi="Times New Roman" w:eastAsia="方正仿宋_GBK" w:cs="Times New Roman"/>
          <w:sz w:val="32"/>
          <w:szCs w:val="32"/>
        </w:rPr>
        <w:sectPr>
          <w:headerReference r:id="rId49" w:type="first"/>
          <w:footerReference r:id="rId52" w:type="first"/>
          <w:headerReference r:id="rId47" w:type="default"/>
          <w:footerReference r:id="rId50" w:type="default"/>
          <w:headerReference r:id="rId48" w:type="even"/>
          <w:footerReference r:id="rId51" w:type="even"/>
          <w:pgSz w:w="11907" w:h="16840"/>
          <w:pgMar w:top="1616" w:right="1418" w:bottom="1616" w:left="1418" w:header="851" w:footer="1304" w:gutter="0"/>
          <w:pgBorders>
            <w:top w:val="none" w:sz="0" w:space="0"/>
            <w:left w:val="none" w:sz="0" w:space="0"/>
            <w:bottom w:val="none" w:sz="0" w:space="0"/>
            <w:right w:val="none" w:sz="0" w:space="0"/>
          </w:pgBorders>
          <w:pgNumType w:fmt="decimal"/>
          <w:cols w:space="720" w:num="1"/>
          <w:docGrid w:type="lines" w:linePitch="381" w:charSpace="0"/>
        </w:sectPr>
      </w:pPr>
    </w:p>
    <w:p>
      <w:pPr>
        <w:spacing w:after="60"/>
        <w:ind w:firstLine="240" w:firstLineChars="100"/>
        <w:outlineLvl w:val="5"/>
        <w:rPr>
          <w:rFonts w:hint="default" w:ascii="Times New Roman" w:hAnsi="Times New Roman" w:eastAsia="黑体" w:cs="Times New Roman"/>
          <w:sz w:val="24"/>
          <w:szCs w:val="20"/>
        </w:rPr>
      </w:pPr>
      <w:r>
        <w:rPr>
          <w:rFonts w:hint="default" w:ascii="Times New Roman" w:hAnsi="Times New Roman" w:eastAsia="黑体" w:cs="Times New Roman"/>
          <w:sz w:val="24"/>
          <w:szCs w:val="20"/>
        </w:rPr>
        <w:t>表9.5</w:t>
      </w:r>
      <w:r>
        <w:rPr>
          <w:rFonts w:hint="default" w:ascii="Times New Roman" w:hAnsi="Times New Roman" w:eastAsia="黑体" w:cs="Times New Roman"/>
          <w:sz w:val="24"/>
          <w:szCs w:val="20"/>
          <w:lang w:eastAsia="zh-CN"/>
        </w:rPr>
        <w:t>—</w:t>
      </w:r>
      <w:r>
        <w:rPr>
          <w:rFonts w:hint="default" w:ascii="Times New Roman" w:hAnsi="Times New Roman" w:eastAsia="黑体" w:cs="Times New Roman"/>
          <w:sz w:val="24"/>
          <w:szCs w:val="20"/>
        </w:rPr>
        <w:t>1                              綦江城区防洪规划环境影响评价指标体系</w:t>
      </w:r>
    </w:p>
    <w:tbl>
      <w:tblPr>
        <w:tblStyle w:val="88"/>
        <w:tblW w:w="5000"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autofit"/>
        <w:tblCellMar>
          <w:top w:w="0" w:type="dxa"/>
          <w:left w:w="0" w:type="dxa"/>
          <w:bottom w:w="0" w:type="dxa"/>
          <w:right w:w="0" w:type="dxa"/>
        </w:tblCellMar>
      </w:tblPr>
      <w:tblGrid>
        <w:gridCol w:w="1136"/>
        <w:gridCol w:w="1226"/>
        <w:gridCol w:w="2501"/>
        <w:gridCol w:w="2896"/>
        <w:gridCol w:w="4349"/>
        <w:gridCol w:w="1516"/>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867" w:type="pct"/>
            <w:gridSpan w:val="2"/>
            <w:noWrap w:val="0"/>
            <w:vAlign w:val="center"/>
          </w:tcPr>
          <w:p>
            <w:pPr>
              <w:widowControl/>
              <w:spacing w:line="240" w:lineRule="exact"/>
              <w:ind w:firstLine="0" w:firstLineChars="0"/>
              <w:jc w:val="center"/>
              <w:rPr>
                <w:rFonts w:hint="eastAsia" w:ascii="楷体_GB2312" w:eastAsia="楷体_GB2312"/>
                <w:sz w:val="18"/>
                <w:szCs w:val="18"/>
              </w:rPr>
            </w:pPr>
            <w:r>
              <w:rPr>
                <w:rFonts w:hint="eastAsia" w:ascii="楷体_GB2312" w:eastAsia="楷体_GB2312"/>
                <w:sz w:val="18"/>
                <w:szCs w:val="18"/>
              </w:rPr>
              <w:t>环境要素</w:t>
            </w:r>
          </w:p>
        </w:tc>
        <w:tc>
          <w:tcPr>
            <w:tcW w:w="918" w:type="pct"/>
            <w:noWrap w:val="0"/>
            <w:vAlign w:val="center"/>
          </w:tcPr>
          <w:p>
            <w:pPr>
              <w:widowControl/>
              <w:spacing w:line="240" w:lineRule="exact"/>
              <w:ind w:firstLine="0" w:firstLineChars="0"/>
              <w:jc w:val="center"/>
              <w:rPr>
                <w:rFonts w:hint="eastAsia" w:ascii="楷体_GB2312" w:eastAsia="楷体_GB2312"/>
                <w:sz w:val="18"/>
                <w:szCs w:val="18"/>
              </w:rPr>
            </w:pPr>
            <w:r>
              <w:rPr>
                <w:rFonts w:hint="eastAsia" w:ascii="楷体_GB2312" w:eastAsia="楷体_GB2312"/>
                <w:sz w:val="18"/>
                <w:szCs w:val="18"/>
              </w:rPr>
              <w:t>环境目标</w:t>
            </w:r>
          </w:p>
        </w:tc>
        <w:tc>
          <w:tcPr>
            <w:tcW w:w="1063" w:type="pct"/>
            <w:noWrap w:val="0"/>
            <w:vAlign w:val="center"/>
          </w:tcPr>
          <w:p>
            <w:pPr>
              <w:widowControl/>
              <w:spacing w:line="240" w:lineRule="exact"/>
              <w:ind w:firstLine="0" w:firstLineChars="0"/>
              <w:jc w:val="center"/>
              <w:rPr>
                <w:rFonts w:hint="eastAsia" w:ascii="楷体_GB2312" w:eastAsia="楷体_GB2312"/>
                <w:sz w:val="18"/>
                <w:szCs w:val="18"/>
              </w:rPr>
            </w:pPr>
            <w:r>
              <w:rPr>
                <w:rFonts w:hint="eastAsia" w:ascii="楷体_GB2312" w:eastAsia="楷体_GB2312"/>
                <w:sz w:val="18"/>
                <w:szCs w:val="18"/>
              </w:rPr>
              <w:t>评价指标</w:t>
            </w:r>
          </w:p>
        </w:tc>
        <w:tc>
          <w:tcPr>
            <w:tcW w:w="1596" w:type="pct"/>
            <w:noWrap w:val="0"/>
            <w:vAlign w:val="center"/>
          </w:tcPr>
          <w:p>
            <w:pPr>
              <w:widowControl/>
              <w:spacing w:line="240" w:lineRule="exact"/>
              <w:ind w:firstLine="0" w:firstLineChars="0"/>
              <w:jc w:val="center"/>
              <w:rPr>
                <w:rFonts w:hint="eastAsia" w:ascii="楷体_GB2312" w:eastAsia="楷体_GB2312"/>
                <w:sz w:val="18"/>
                <w:szCs w:val="18"/>
              </w:rPr>
            </w:pPr>
            <w:r>
              <w:rPr>
                <w:rFonts w:hint="eastAsia" w:ascii="楷体_GB2312" w:eastAsia="楷体_GB2312"/>
                <w:sz w:val="18"/>
                <w:szCs w:val="18"/>
              </w:rPr>
              <w:t>规划方案</w:t>
            </w:r>
          </w:p>
        </w:tc>
        <w:tc>
          <w:tcPr>
            <w:tcW w:w="556" w:type="pct"/>
            <w:noWrap w:val="0"/>
            <w:vAlign w:val="center"/>
          </w:tcPr>
          <w:p>
            <w:pPr>
              <w:widowControl/>
              <w:spacing w:line="240" w:lineRule="exact"/>
              <w:ind w:firstLine="0" w:firstLineChars="0"/>
              <w:jc w:val="center"/>
              <w:rPr>
                <w:rFonts w:hint="eastAsia" w:ascii="楷体_GB2312" w:eastAsia="楷体_GB2312"/>
                <w:sz w:val="18"/>
                <w:szCs w:val="18"/>
              </w:rPr>
            </w:pPr>
            <w:r>
              <w:rPr>
                <w:rFonts w:hint="eastAsia" w:ascii="楷体_GB2312" w:eastAsia="楷体_GB2312"/>
                <w:sz w:val="18"/>
                <w:szCs w:val="18"/>
              </w:rPr>
              <w:t>可达性</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417" w:type="pct"/>
            <w:vMerge w:val="restart"/>
            <w:noWrap w:val="0"/>
            <w:vAlign w:val="center"/>
          </w:tcPr>
          <w:p>
            <w:pPr>
              <w:widowControl/>
              <w:spacing w:line="240" w:lineRule="exact"/>
              <w:ind w:firstLine="0" w:firstLineChars="0"/>
              <w:jc w:val="center"/>
              <w:rPr>
                <w:rFonts w:hint="eastAsia" w:ascii="楷体_GB2312" w:eastAsia="楷体_GB2312"/>
                <w:sz w:val="18"/>
                <w:szCs w:val="18"/>
              </w:rPr>
            </w:pPr>
            <w:r>
              <w:rPr>
                <w:rFonts w:hint="eastAsia" w:ascii="楷体_GB2312" w:eastAsia="楷体_GB2312"/>
                <w:sz w:val="18"/>
                <w:szCs w:val="18"/>
              </w:rPr>
              <w:t>水环境</w:t>
            </w:r>
          </w:p>
        </w:tc>
        <w:tc>
          <w:tcPr>
            <w:tcW w:w="450" w:type="pct"/>
            <w:noWrap w:val="0"/>
            <w:vAlign w:val="center"/>
          </w:tcPr>
          <w:p>
            <w:pPr>
              <w:widowControl/>
              <w:spacing w:line="240" w:lineRule="exact"/>
              <w:ind w:firstLine="0" w:firstLineChars="0"/>
              <w:jc w:val="center"/>
              <w:rPr>
                <w:rFonts w:hint="eastAsia" w:ascii="楷体_GB2312" w:eastAsia="楷体_GB2312"/>
                <w:sz w:val="18"/>
                <w:szCs w:val="18"/>
              </w:rPr>
            </w:pPr>
            <w:r>
              <w:rPr>
                <w:rFonts w:hint="eastAsia" w:ascii="楷体_GB2312" w:eastAsia="楷体_GB2312"/>
                <w:sz w:val="18"/>
                <w:szCs w:val="18"/>
              </w:rPr>
              <w:t>水文情势</w:t>
            </w:r>
          </w:p>
        </w:tc>
        <w:tc>
          <w:tcPr>
            <w:tcW w:w="918" w:type="pct"/>
            <w:noWrap w:val="0"/>
            <w:vAlign w:val="center"/>
          </w:tcPr>
          <w:p>
            <w:pPr>
              <w:widowControl/>
              <w:spacing w:line="240" w:lineRule="exact"/>
              <w:ind w:firstLine="0" w:firstLineChars="0"/>
              <w:jc w:val="left"/>
              <w:rPr>
                <w:rFonts w:hint="eastAsia" w:ascii="楷体_GB2312" w:eastAsia="楷体_GB2312"/>
                <w:sz w:val="18"/>
                <w:szCs w:val="18"/>
              </w:rPr>
            </w:pPr>
            <w:r>
              <w:rPr>
                <w:rFonts w:hint="eastAsia" w:ascii="楷体_GB2312" w:eastAsia="楷体_GB2312"/>
                <w:sz w:val="18"/>
                <w:szCs w:val="18"/>
              </w:rPr>
              <w:t>保证景观及生态用水量，满足鱼类生存及繁衍的基本条件</w:t>
            </w:r>
          </w:p>
        </w:tc>
        <w:tc>
          <w:tcPr>
            <w:tcW w:w="1063" w:type="pct"/>
            <w:noWrap w:val="0"/>
            <w:vAlign w:val="center"/>
          </w:tcPr>
          <w:p>
            <w:pPr>
              <w:widowControl/>
              <w:spacing w:line="240" w:lineRule="exact"/>
              <w:ind w:firstLine="0" w:firstLineChars="0"/>
              <w:jc w:val="left"/>
              <w:rPr>
                <w:rFonts w:hint="eastAsia" w:ascii="楷体_GB2312" w:eastAsia="楷体_GB2312"/>
                <w:sz w:val="18"/>
                <w:szCs w:val="18"/>
              </w:rPr>
            </w:pPr>
            <w:r>
              <w:rPr>
                <w:rFonts w:hint="eastAsia" w:ascii="楷体_GB2312" w:eastAsia="楷体_GB2312"/>
                <w:sz w:val="18"/>
                <w:szCs w:val="18"/>
              </w:rPr>
              <w:t>下泄生态流量，不低于多年平均流量的10%</w:t>
            </w:r>
          </w:p>
        </w:tc>
        <w:tc>
          <w:tcPr>
            <w:tcW w:w="1596" w:type="pct"/>
            <w:noWrap w:val="0"/>
            <w:vAlign w:val="center"/>
          </w:tcPr>
          <w:p>
            <w:pPr>
              <w:widowControl/>
              <w:spacing w:line="240" w:lineRule="exact"/>
              <w:ind w:firstLine="0" w:firstLineChars="0"/>
              <w:jc w:val="left"/>
              <w:rPr>
                <w:rFonts w:hint="eastAsia" w:ascii="楷体_GB2312" w:eastAsia="楷体_GB2312"/>
                <w:sz w:val="18"/>
                <w:szCs w:val="18"/>
              </w:rPr>
            </w:pPr>
            <w:r>
              <w:rPr>
                <w:rFonts w:hint="eastAsia" w:ascii="楷体_GB2312" w:eastAsia="楷体_GB2312"/>
                <w:sz w:val="18"/>
                <w:szCs w:val="18"/>
              </w:rPr>
              <w:t>生态流量不小于多年平均径流的10%。</w:t>
            </w:r>
          </w:p>
        </w:tc>
        <w:tc>
          <w:tcPr>
            <w:tcW w:w="556" w:type="pct"/>
            <w:noWrap w:val="0"/>
            <w:vAlign w:val="center"/>
          </w:tcPr>
          <w:p>
            <w:pPr>
              <w:widowControl/>
              <w:spacing w:line="240" w:lineRule="exact"/>
              <w:ind w:firstLine="0" w:firstLineChars="0"/>
              <w:jc w:val="center"/>
              <w:rPr>
                <w:rFonts w:hint="eastAsia" w:ascii="楷体_GB2312" w:eastAsia="楷体_GB2312"/>
                <w:sz w:val="18"/>
                <w:szCs w:val="18"/>
              </w:rPr>
            </w:pPr>
            <w:r>
              <w:rPr>
                <w:rFonts w:hint="eastAsia" w:ascii="楷体_GB2312" w:eastAsia="楷体_GB2312"/>
                <w:sz w:val="18"/>
                <w:szCs w:val="18"/>
              </w:rPr>
              <w:t>采取措施后可达</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417" w:type="pct"/>
            <w:vMerge w:val="continue"/>
            <w:noWrap w:val="0"/>
            <w:vAlign w:val="center"/>
          </w:tcPr>
          <w:p>
            <w:pPr>
              <w:widowControl/>
              <w:spacing w:line="240" w:lineRule="exact"/>
              <w:ind w:firstLine="0" w:firstLineChars="0"/>
              <w:jc w:val="center"/>
              <w:rPr>
                <w:rFonts w:hint="eastAsia" w:ascii="楷体_GB2312" w:eastAsia="楷体_GB2312"/>
                <w:sz w:val="18"/>
                <w:szCs w:val="18"/>
              </w:rPr>
            </w:pPr>
          </w:p>
        </w:tc>
        <w:tc>
          <w:tcPr>
            <w:tcW w:w="450" w:type="pct"/>
            <w:noWrap w:val="0"/>
            <w:vAlign w:val="center"/>
          </w:tcPr>
          <w:p>
            <w:pPr>
              <w:widowControl/>
              <w:spacing w:line="240" w:lineRule="exact"/>
              <w:ind w:firstLine="0" w:firstLineChars="0"/>
              <w:jc w:val="center"/>
              <w:rPr>
                <w:rFonts w:hint="eastAsia" w:ascii="楷体_GB2312" w:eastAsia="楷体_GB2312"/>
                <w:sz w:val="18"/>
                <w:szCs w:val="18"/>
              </w:rPr>
            </w:pPr>
            <w:r>
              <w:rPr>
                <w:rFonts w:hint="eastAsia" w:ascii="楷体_GB2312" w:eastAsia="楷体_GB2312"/>
                <w:sz w:val="18"/>
                <w:szCs w:val="18"/>
              </w:rPr>
              <w:t>水质</w:t>
            </w:r>
          </w:p>
        </w:tc>
        <w:tc>
          <w:tcPr>
            <w:tcW w:w="918" w:type="pct"/>
            <w:noWrap w:val="0"/>
            <w:vAlign w:val="center"/>
          </w:tcPr>
          <w:p>
            <w:pPr>
              <w:widowControl/>
              <w:spacing w:line="240" w:lineRule="exact"/>
              <w:ind w:firstLine="0" w:firstLineChars="0"/>
              <w:jc w:val="left"/>
              <w:rPr>
                <w:rFonts w:hint="eastAsia" w:ascii="楷体_GB2312" w:eastAsia="楷体_GB2312"/>
                <w:sz w:val="18"/>
                <w:szCs w:val="18"/>
              </w:rPr>
            </w:pPr>
            <w:r>
              <w:rPr>
                <w:rFonts w:hint="eastAsia" w:ascii="楷体_GB2312" w:eastAsia="楷体_GB2312"/>
                <w:sz w:val="18"/>
                <w:szCs w:val="18"/>
              </w:rPr>
              <w:t>流域水域满足相应功能区划要求</w:t>
            </w:r>
          </w:p>
        </w:tc>
        <w:tc>
          <w:tcPr>
            <w:tcW w:w="1063" w:type="pct"/>
            <w:noWrap w:val="0"/>
            <w:vAlign w:val="center"/>
          </w:tcPr>
          <w:p>
            <w:pPr>
              <w:widowControl/>
              <w:spacing w:line="240" w:lineRule="exact"/>
              <w:ind w:firstLine="0" w:firstLineChars="0"/>
              <w:jc w:val="left"/>
              <w:rPr>
                <w:rFonts w:hint="eastAsia" w:ascii="楷体_GB2312" w:eastAsia="楷体_GB2312"/>
                <w:sz w:val="18"/>
                <w:szCs w:val="18"/>
              </w:rPr>
            </w:pPr>
            <w:r>
              <w:rPr>
                <w:rFonts w:hint="eastAsia" w:ascii="楷体_GB2312" w:eastAsia="楷体_GB2312"/>
                <w:sz w:val="18"/>
                <w:szCs w:val="18"/>
              </w:rPr>
              <w:t>废水达标排放，流域水环境满足相应功能区划要求</w:t>
            </w:r>
          </w:p>
        </w:tc>
        <w:tc>
          <w:tcPr>
            <w:tcW w:w="1596" w:type="pct"/>
            <w:noWrap w:val="0"/>
            <w:vAlign w:val="center"/>
          </w:tcPr>
          <w:p>
            <w:pPr>
              <w:widowControl/>
              <w:spacing w:line="240" w:lineRule="exact"/>
              <w:ind w:firstLine="0" w:firstLineChars="0"/>
              <w:jc w:val="left"/>
              <w:rPr>
                <w:rFonts w:hint="eastAsia" w:ascii="楷体_GB2312" w:eastAsia="楷体_GB2312"/>
                <w:sz w:val="18"/>
                <w:szCs w:val="18"/>
              </w:rPr>
            </w:pPr>
            <w:r>
              <w:rPr>
                <w:rFonts w:hint="eastAsia" w:ascii="楷体_GB2312" w:eastAsia="楷体_GB2312"/>
                <w:sz w:val="18"/>
                <w:szCs w:val="18"/>
              </w:rPr>
              <w:t>施工期废水尽量回用不外排，饮用水源保护区河段禁止排放废水，向其余河段排放废水需处理达到《污水综合排放标准》（GB8978</w:t>
            </w:r>
            <w:r>
              <w:rPr>
                <w:rFonts w:hint="eastAsia" w:ascii="楷体_GB2312" w:eastAsia="楷体_GB2312"/>
                <w:sz w:val="18"/>
                <w:szCs w:val="18"/>
                <w:lang w:eastAsia="zh-CN"/>
              </w:rPr>
              <w:t>—</w:t>
            </w:r>
            <w:r>
              <w:rPr>
                <w:rFonts w:hint="eastAsia" w:ascii="楷体_GB2312" w:eastAsia="楷体_GB2312"/>
                <w:sz w:val="18"/>
                <w:szCs w:val="18"/>
              </w:rPr>
              <w:t>96）一级标准。</w:t>
            </w:r>
          </w:p>
        </w:tc>
        <w:tc>
          <w:tcPr>
            <w:tcW w:w="556" w:type="pct"/>
            <w:noWrap w:val="0"/>
            <w:vAlign w:val="center"/>
          </w:tcPr>
          <w:p>
            <w:pPr>
              <w:widowControl/>
              <w:spacing w:line="240" w:lineRule="exact"/>
              <w:ind w:firstLine="0" w:firstLineChars="0"/>
              <w:jc w:val="center"/>
              <w:rPr>
                <w:rFonts w:hint="eastAsia" w:ascii="楷体_GB2312" w:eastAsia="楷体_GB2312"/>
                <w:sz w:val="18"/>
                <w:szCs w:val="18"/>
              </w:rPr>
            </w:pPr>
            <w:r>
              <w:rPr>
                <w:rFonts w:hint="eastAsia" w:ascii="楷体_GB2312" w:eastAsia="楷体_GB2312"/>
                <w:sz w:val="18"/>
                <w:szCs w:val="18"/>
              </w:rPr>
              <w:t>水环境保护措施落实后可达</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417" w:type="pct"/>
            <w:vMerge w:val="continue"/>
            <w:noWrap w:val="0"/>
            <w:vAlign w:val="center"/>
          </w:tcPr>
          <w:p>
            <w:pPr>
              <w:widowControl/>
              <w:spacing w:line="240" w:lineRule="exact"/>
              <w:ind w:firstLine="0" w:firstLineChars="0"/>
              <w:jc w:val="center"/>
              <w:rPr>
                <w:rFonts w:hint="eastAsia" w:ascii="楷体_GB2312" w:eastAsia="楷体_GB2312"/>
                <w:sz w:val="18"/>
                <w:szCs w:val="18"/>
              </w:rPr>
            </w:pPr>
          </w:p>
        </w:tc>
        <w:tc>
          <w:tcPr>
            <w:tcW w:w="450" w:type="pct"/>
            <w:noWrap w:val="0"/>
            <w:vAlign w:val="center"/>
          </w:tcPr>
          <w:p>
            <w:pPr>
              <w:widowControl/>
              <w:spacing w:line="240" w:lineRule="exact"/>
              <w:ind w:firstLine="0" w:firstLineChars="0"/>
              <w:jc w:val="center"/>
              <w:rPr>
                <w:rFonts w:hint="eastAsia" w:ascii="楷体_GB2312" w:eastAsia="楷体_GB2312"/>
                <w:sz w:val="18"/>
                <w:szCs w:val="18"/>
              </w:rPr>
            </w:pPr>
            <w:r>
              <w:rPr>
                <w:rFonts w:hint="eastAsia" w:ascii="楷体_GB2312" w:eastAsia="楷体_GB2312"/>
                <w:sz w:val="18"/>
                <w:szCs w:val="18"/>
              </w:rPr>
              <w:t>水温</w:t>
            </w:r>
          </w:p>
        </w:tc>
        <w:tc>
          <w:tcPr>
            <w:tcW w:w="918" w:type="pct"/>
            <w:noWrap w:val="0"/>
            <w:vAlign w:val="center"/>
          </w:tcPr>
          <w:p>
            <w:pPr>
              <w:widowControl/>
              <w:spacing w:line="240" w:lineRule="exact"/>
              <w:ind w:firstLine="0" w:firstLineChars="0"/>
              <w:jc w:val="left"/>
              <w:rPr>
                <w:rFonts w:hint="eastAsia" w:ascii="楷体_GB2312" w:eastAsia="楷体_GB2312"/>
                <w:sz w:val="18"/>
                <w:szCs w:val="18"/>
              </w:rPr>
            </w:pPr>
            <w:r>
              <w:rPr>
                <w:rFonts w:hint="eastAsia" w:ascii="楷体_GB2312" w:eastAsia="楷体_GB2312"/>
                <w:sz w:val="18"/>
                <w:szCs w:val="18"/>
              </w:rPr>
              <w:t>低温水状况</w:t>
            </w:r>
          </w:p>
        </w:tc>
        <w:tc>
          <w:tcPr>
            <w:tcW w:w="1063" w:type="pct"/>
            <w:noWrap w:val="0"/>
            <w:vAlign w:val="center"/>
          </w:tcPr>
          <w:p>
            <w:pPr>
              <w:widowControl/>
              <w:spacing w:line="240" w:lineRule="exact"/>
              <w:ind w:firstLine="0" w:firstLineChars="0"/>
              <w:jc w:val="left"/>
              <w:rPr>
                <w:rFonts w:hint="eastAsia" w:ascii="楷体_GB2312" w:eastAsia="楷体_GB2312"/>
                <w:sz w:val="18"/>
                <w:szCs w:val="18"/>
              </w:rPr>
            </w:pPr>
            <w:r>
              <w:rPr>
                <w:rFonts w:hint="eastAsia" w:ascii="楷体_GB2312" w:eastAsia="楷体_GB2312"/>
                <w:sz w:val="18"/>
                <w:szCs w:val="18"/>
              </w:rPr>
              <w:t>水库下泄低温水不对下游水生生态系统造成不利影响</w:t>
            </w:r>
          </w:p>
        </w:tc>
        <w:tc>
          <w:tcPr>
            <w:tcW w:w="1596" w:type="pct"/>
            <w:noWrap w:val="0"/>
            <w:vAlign w:val="center"/>
          </w:tcPr>
          <w:p>
            <w:pPr>
              <w:widowControl/>
              <w:spacing w:line="240" w:lineRule="exact"/>
              <w:ind w:firstLine="0" w:firstLineChars="0"/>
              <w:jc w:val="left"/>
              <w:rPr>
                <w:rFonts w:hint="eastAsia" w:ascii="楷体_GB2312" w:eastAsia="楷体_GB2312"/>
                <w:sz w:val="18"/>
                <w:szCs w:val="18"/>
              </w:rPr>
            </w:pPr>
            <w:r>
              <w:rPr>
                <w:rFonts w:hint="eastAsia" w:ascii="楷体_GB2312" w:eastAsia="楷体_GB2312"/>
                <w:sz w:val="18"/>
                <w:szCs w:val="18"/>
              </w:rPr>
              <w:t>建议藻渡水库运营期间采取水温影响减缓措施。</w:t>
            </w:r>
          </w:p>
        </w:tc>
        <w:tc>
          <w:tcPr>
            <w:tcW w:w="556" w:type="pct"/>
            <w:noWrap w:val="0"/>
            <w:vAlign w:val="center"/>
          </w:tcPr>
          <w:p>
            <w:pPr>
              <w:widowControl/>
              <w:spacing w:line="240" w:lineRule="exact"/>
              <w:ind w:firstLine="0" w:firstLineChars="0"/>
              <w:jc w:val="center"/>
              <w:rPr>
                <w:rFonts w:hint="eastAsia" w:ascii="楷体_GB2312" w:eastAsia="楷体_GB2312"/>
                <w:sz w:val="18"/>
                <w:szCs w:val="18"/>
              </w:rPr>
            </w:pPr>
            <w:r>
              <w:rPr>
                <w:rFonts w:hint="eastAsia" w:ascii="楷体_GB2312" w:eastAsia="楷体_GB2312"/>
                <w:sz w:val="18"/>
                <w:szCs w:val="18"/>
              </w:rPr>
              <w:t>采取措施后可达</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417" w:type="pct"/>
            <w:vMerge w:val="restart"/>
            <w:noWrap w:val="0"/>
            <w:vAlign w:val="center"/>
          </w:tcPr>
          <w:p>
            <w:pPr>
              <w:widowControl/>
              <w:spacing w:line="240" w:lineRule="exact"/>
              <w:ind w:firstLine="0" w:firstLineChars="0"/>
              <w:jc w:val="center"/>
              <w:rPr>
                <w:rFonts w:hint="eastAsia" w:ascii="楷体_GB2312" w:eastAsia="楷体_GB2312"/>
                <w:sz w:val="18"/>
                <w:szCs w:val="18"/>
              </w:rPr>
            </w:pPr>
            <w:r>
              <w:rPr>
                <w:rFonts w:hint="eastAsia" w:ascii="楷体_GB2312" w:eastAsia="楷体_GB2312"/>
                <w:sz w:val="18"/>
                <w:szCs w:val="18"/>
              </w:rPr>
              <w:t>生态环境</w:t>
            </w:r>
          </w:p>
        </w:tc>
        <w:tc>
          <w:tcPr>
            <w:tcW w:w="450" w:type="pct"/>
            <w:noWrap w:val="0"/>
            <w:vAlign w:val="center"/>
          </w:tcPr>
          <w:p>
            <w:pPr>
              <w:widowControl/>
              <w:spacing w:line="240" w:lineRule="exact"/>
              <w:ind w:firstLine="0" w:firstLineChars="0"/>
              <w:jc w:val="center"/>
              <w:rPr>
                <w:rFonts w:hint="eastAsia" w:ascii="楷体_GB2312" w:eastAsia="楷体_GB2312"/>
                <w:sz w:val="18"/>
                <w:szCs w:val="18"/>
              </w:rPr>
            </w:pPr>
            <w:r>
              <w:rPr>
                <w:rFonts w:hint="eastAsia" w:ascii="楷体_GB2312" w:eastAsia="楷体_GB2312"/>
                <w:sz w:val="18"/>
                <w:szCs w:val="18"/>
              </w:rPr>
              <w:t>陆生生态</w:t>
            </w:r>
          </w:p>
        </w:tc>
        <w:tc>
          <w:tcPr>
            <w:tcW w:w="918" w:type="pct"/>
            <w:noWrap w:val="0"/>
            <w:vAlign w:val="center"/>
          </w:tcPr>
          <w:p>
            <w:pPr>
              <w:widowControl/>
              <w:spacing w:line="240" w:lineRule="exact"/>
              <w:ind w:firstLine="0" w:firstLineChars="0"/>
              <w:jc w:val="left"/>
              <w:rPr>
                <w:rFonts w:hint="eastAsia" w:ascii="楷体_GB2312" w:eastAsia="楷体_GB2312"/>
                <w:sz w:val="18"/>
                <w:szCs w:val="18"/>
              </w:rPr>
            </w:pPr>
            <w:r>
              <w:rPr>
                <w:rFonts w:hint="eastAsia" w:ascii="楷体_GB2312" w:eastAsia="楷体_GB2312"/>
                <w:sz w:val="18"/>
                <w:szCs w:val="18"/>
              </w:rPr>
              <w:t>保护陆生生态环境，减少占用林草地</w:t>
            </w:r>
          </w:p>
        </w:tc>
        <w:tc>
          <w:tcPr>
            <w:tcW w:w="1063" w:type="pct"/>
            <w:noWrap w:val="0"/>
            <w:vAlign w:val="center"/>
          </w:tcPr>
          <w:p>
            <w:pPr>
              <w:widowControl/>
              <w:spacing w:line="240" w:lineRule="exact"/>
              <w:ind w:firstLine="0" w:firstLineChars="0"/>
              <w:jc w:val="left"/>
              <w:rPr>
                <w:rFonts w:hint="eastAsia" w:ascii="楷体_GB2312" w:eastAsia="楷体_GB2312"/>
                <w:sz w:val="18"/>
                <w:szCs w:val="18"/>
              </w:rPr>
            </w:pPr>
            <w:r>
              <w:rPr>
                <w:rFonts w:hint="eastAsia" w:ascii="楷体_GB2312" w:eastAsia="楷体_GB2312"/>
                <w:sz w:val="18"/>
                <w:szCs w:val="18"/>
              </w:rPr>
              <w:t>不得影响生态系统的完整性，加强对森林植被及野生动物栖息地的保护。</w:t>
            </w:r>
          </w:p>
        </w:tc>
        <w:tc>
          <w:tcPr>
            <w:tcW w:w="1596" w:type="pct"/>
            <w:noWrap w:val="0"/>
            <w:vAlign w:val="center"/>
          </w:tcPr>
          <w:p>
            <w:pPr>
              <w:widowControl/>
              <w:spacing w:line="240" w:lineRule="exact"/>
              <w:ind w:firstLine="0" w:firstLineChars="0"/>
              <w:jc w:val="left"/>
              <w:rPr>
                <w:rFonts w:hint="eastAsia" w:ascii="楷体_GB2312" w:eastAsia="楷体_GB2312"/>
                <w:sz w:val="18"/>
                <w:szCs w:val="18"/>
              </w:rPr>
            </w:pPr>
            <w:r>
              <w:rPr>
                <w:rFonts w:hint="eastAsia" w:ascii="楷体_GB2312" w:eastAsia="楷体_GB2312"/>
                <w:sz w:val="18"/>
                <w:szCs w:val="18"/>
              </w:rPr>
              <w:t>规划方案不会影响生态系统的完整性，项目实施阶段可采取陆生生态保护措施，减轻对陆生生态环境影响。</w:t>
            </w:r>
          </w:p>
        </w:tc>
        <w:tc>
          <w:tcPr>
            <w:tcW w:w="556" w:type="pct"/>
            <w:noWrap w:val="0"/>
            <w:vAlign w:val="center"/>
          </w:tcPr>
          <w:p>
            <w:pPr>
              <w:widowControl/>
              <w:spacing w:line="240" w:lineRule="exact"/>
              <w:ind w:firstLine="0" w:firstLineChars="0"/>
              <w:jc w:val="center"/>
              <w:rPr>
                <w:rFonts w:hint="eastAsia" w:ascii="楷体_GB2312" w:eastAsia="楷体_GB2312"/>
                <w:sz w:val="18"/>
                <w:szCs w:val="18"/>
              </w:rPr>
            </w:pPr>
            <w:r>
              <w:rPr>
                <w:rFonts w:hint="eastAsia" w:ascii="楷体_GB2312" w:eastAsia="楷体_GB2312"/>
                <w:sz w:val="18"/>
                <w:szCs w:val="18"/>
              </w:rPr>
              <w:t>采取措施后可达</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417" w:type="pct"/>
            <w:vMerge w:val="continue"/>
            <w:noWrap w:val="0"/>
            <w:vAlign w:val="center"/>
          </w:tcPr>
          <w:p>
            <w:pPr>
              <w:widowControl/>
              <w:spacing w:line="240" w:lineRule="exact"/>
              <w:ind w:firstLine="0" w:firstLineChars="0"/>
              <w:jc w:val="center"/>
              <w:rPr>
                <w:rFonts w:hint="eastAsia" w:ascii="楷体_GB2312" w:eastAsia="楷体_GB2312"/>
                <w:sz w:val="18"/>
                <w:szCs w:val="18"/>
              </w:rPr>
            </w:pPr>
          </w:p>
        </w:tc>
        <w:tc>
          <w:tcPr>
            <w:tcW w:w="450" w:type="pct"/>
            <w:noWrap w:val="0"/>
            <w:vAlign w:val="center"/>
          </w:tcPr>
          <w:p>
            <w:pPr>
              <w:widowControl/>
              <w:spacing w:line="240" w:lineRule="exact"/>
              <w:ind w:firstLine="0" w:firstLineChars="0"/>
              <w:jc w:val="center"/>
              <w:rPr>
                <w:rFonts w:hint="eastAsia" w:ascii="楷体_GB2312" w:eastAsia="楷体_GB2312"/>
                <w:sz w:val="18"/>
                <w:szCs w:val="18"/>
              </w:rPr>
            </w:pPr>
            <w:r>
              <w:rPr>
                <w:rFonts w:hint="eastAsia" w:ascii="楷体_GB2312" w:eastAsia="楷体_GB2312"/>
                <w:sz w:val="18"/>
                <w:szCs w:val="18"/>
              </w:rPr>
              <w:t>水生生态</w:t>
            </w:r>
          </w:p>
        </w:tc>
        <w:tc>
          <w:tcPr>
            <w:tcW w:w="918" w:type="pct"/>
            <w:noWrap w:val="0"/>
            <w:vAlign w:val="center"/>
          </w:tcPr>
          <w:p>
            <w:pPr>
              <w:widowControl/>
              <w:spacing w:line="240" w:lineRule="exact"/>
              <w:ind w:firstLine="0" w:firstLineChars="0"/>
              <w:jc w:val="left"/>
              <w:rPr>
                <w:rFonts w:hint="eastAsia" w:ascii="楷体_GB2312" w:eastAsia="楷体_GB2312"/>
                <w:sz w:val="18"/>
                <w:szCs w:val="18"/>
              </w:rPr>
            </w:pPr>
            <w:r>
              <w:rPr>
                <w:rFonts w:hint="eastAsia" w:ascii="楷体_GB2312" w:eastAsia="楷体_GB2312"/>
                <w:sz w:val="18"/>
                <w:szCs w:val="18"/>
              </w:rPr>
              <w:t>维持水生生态环境，保护鱼类及其三场</w:t>
            </w:r>
          </w:p>
        </w:tc>
        <w:tc>
          <w:tcPr>
            <w:tcW w:w="1063" w:type="pct"/>
            <w:noWrap w:val="0"/>
            <w:vAlign w:val="center"/>
          </w:tcPr>
          <w:p>
            <w:pPr>
              <w:widowControl/>
              <w:spacing w:line="240" w:lineRule="exact"/>
              <w:ind w:firstLine="0" w:firstLineChars="0"/>
              <w:jc w:val="left"/>
              <w:rPr>
                <w:rFonts w:hint="eastAsia" w:ascii="楷体_GB2312" w:eastAsia="楷体_GB2312"/>
                <w:sz w:val="18"/>
                <w:szCs w:val="18"/>
              </w:rPr>
            </w:pPr>
            <w:r>
              <w:rPr>
                <w:rFonts w:hint="eastAsia" w:ascii="楷体_GB2312" w:eastAsia="楷体_GB2312"/>
                <w:sz w:val="18"/>
                <w:szCs w:val="18"/>
              </w:rPr>
              <w:t>减轻对鱼类及其三场的影响</w:t>
            </w:r>
          </w:p>
        </w:tc>
        <w:tc>
          <w:tcPr>
            <w:tcW w:w="1596" w:type="pct"/>
            <w:noWrap w:val="0"/>
            <w:vAlign w:val="center"/>
          </w:tcPr>
          <w:p>
            <w:pPr>
              <w:widowControl/>
              <w:spacing w:line="240" w:lineRule="exact"/>
              <w:ind w:firstLine="0" w:firstLineChars="0"/>
              <w:jc w:val="left"/>
              <w:rPr>
                <w:rFonts w:hint="eastAsia" w:ascii="楷体_GB2312" w:eastAsia="楷体_GB2312"/>
                <w:sz w:val="18"/>
                <w:szCs w:val="18"/>
              </w:rPr>
            </w:pPr>
            <w:r>
              <w:rPr>
                <w:rFonts w:hint="eastAsia" w:ascii="楷体_GB2312" w:eastAsia="楷体_GB2312"/>
                <w:sz w:val="18"/>
                <w:szCs w:val="18"/>
              </w:rPr>
              <w:t>不对鱼类及其重要生境造成大的影响。</w:t>
            </w:r>
          </w:p>
        </w:tc>
        <w:tc>
          <w:tcPr>
            <w:tcW w:w="556" w:type="pct"/>
            <w:noWrap w:val="0"/>
            <w:vAlign w:val="center"/>
          </w:tcPr>
          <w:p>
            <w:pPr>
              <w:widowControl/>
              <w:spacing w:line="240" w:lineRule="exact"/>
              <w:ind w:firstLine="0" w:firstLineChars="0"/>
              <w:jc w:val="center"/>
              <w:rPr>
                <w:rFonts w:hint="eastAsia" w:ascii="楷体_GB2312" w:eastAsia="楷体_GB2312"/>
                <w:sz w:val="18"/>
                <w:szCs w:val="18"/>
              </w:rPr>
            </w:pPr>
            <w:r>
              <w:rPr>
                <w:rFonts w:hint="eastAsia" w:ascii="楷体_GB2312" w:eastAsia="楷体_GB2312"/>
                <w:sz w:val="18"/>
                <w:szCs w:val="18"/>
              </w:rPr>
              <w:t>采取措施后可达</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417" w:type="pct"/>
            <w:vMerge w:val="continue"/>
            <w:noWrap w:val="0"/>
            <w:vAlign w:val="center"/>
          </w:tcPr>
          <w:p>
            <w:pPr>
              <w:widowControl/>
              <w:spacing w:line="240" w:lineRule="exact"/>
              <w:ind w:firstLine="0" w:firstLineChars="0"/>
              <w:jc w:val="center"/>
              <w:rPr>
                <w:rFonts w:hint="eastAsia" w:ascii="楷体_GB2312" w:eastAsia="楷体_GB2312"/>
                <w:sz w:val="18"/>
                <w:szCs w:val="18"/>
              </w:rPr>
            </w:pPr>
          </w:p>
        </w:tc>
        <w:tc>
          <w:tcPr>
            <w:tcW w:w="450" w:type="pct"/>
            <w:noWrap w:val="0"/>
            <w:vAlign w:val="center"/>
          </w:tcPr>
          <w:p>
            <w:pPr>
              <w:widowControl/>
              <w:spacing w:line="240" w:lineRule="exact"/>
              <w:ind w:firstLine="0" w:firstLineChars="0"/>
              <w:jc w:val="center"/>
              <w:rPr>
                <w:rFonts w:hint="eastAsia" w:ascii="楷体_GB2312" w:eastAsia="楷体_GB2312"/>
                <w:sz w:val="18"/>
                <w:szCs w:val="18"/>
              </w:rPr>
            </w:pPr>
            <w:r>
              <w:rPr>
                <w:rFonts w:hint="eastAsia" w:ascii="楷体_GB2312" w:eastAsia="楷体_GB2312"/>
                <w:sz w:val="18"/>
                <w:szCs w:val="18"/>
              </w:rPr>
              <w:t>生物多样性</w:t>
            </w:r>
          </w:p>
        </w:tc>
        <w:tc>
          <w:tcPr>
            <w:tcW w:w="918" w:type="pct"/>
            <w:noWrap w:val="0"/>
            <w:vAlign w:val="center"/>
          </w:tcPr>
          <w:p>
            <w:pPr>
              <w:widowControl/>
              <w:spacing w:line="240" w:lineRule="exact"/>
              <w:ind w:firstLine="0" w:firstLineChars="0"/>
              <w:jc w:val="left"/>
              <w:rPr>
                <w:rFonts w:hint="eastAsia" w:ascii="楷体_GB2312" w:eastAsia="楷体_GB2312"/>
                <w:sz w:val="18"/>
                <w:szCs w:val="18"/>
              </w:rPr>
            </w:pPr>
            <w:r>
              <w:rPr>
                <w:rFonts w:hint="eastAsia" w:ascii="楷体_GB2312" w:eastAsia="楷体_GB2312"/>
                <w:sz w:val="18"/>
                <w:szCs w:val="18"/>
              </w:rPr>
              <w:t>保护生物多样性</w:t>
            </w:r>
          </w:p>
        </w:tc>
        <w:tc>
          <w:tcPr>
            <w:tcW w:w="1063" w:type="pct"/>
            <w:noWrap w:val="0"/>
            <w:vAlign w:val="center"/>
          </w:tcPr>
          <w:p>
            <w:pPr>
              <w:widowControl/>
              <w:spacing w:line="240" w:lineRule="exact"/>
              <w:ind w:firstLine="0" w:firstLineChars="0"/>
              <w:jc w:val="left"/>
              <w:rPr>
                <w:rFonts w:hint="eastAsia" w:ascii="楷体_GB2312" w:eastAsia="楷体_GB2312"/>
                <w:sz w:val="18"/>
                <w:szCs w:val="18"/>
              </w:rPr>
            </w:pPr>
            <w:r>
              <w:rPr>
                <w:rFonts w:hint="eastAsia" w:ascii="楷体_GB2312" w:eastAsia="楷体_GB2312"/>
                <w:sz w:val="18"/>
                <w:szCs w:val="18"/>
              </w:rPr>
              <w:t>是否导致物种消失</w:t>
            </w:r>
          </w:p>
        </w:tc>
        <w:tc>
          <w:tcPr>
            <w:tcW w:w="1596" w:type="pct"/>
            <w:noWrap w:val="0"/>
            <w:vAlign w:val="center"/>
          </w:tcPr>
          <w:p>
            <w:pPr>
              <w:widowControl/>
              <w:spacing w:line="240" w:lineRule="exact"/>
              <w:ind w:firstLine="0" w:firstLineChars="0"/>
              <w:jc w:val="left"/>
              <w:rPr>
                <w:rFonts w:hint="eastAsia" w:ascii="楷体_GB2312" w:eastAsia="楷体_GB2312"/>
                <w:sz w:val="18"/>
                <w:szCs w:val="18"/>
              </w:rPr>
            </w:pPr>
            <w:r>
              <w:rPr>
                <w:rFonts w:hint="eastAsia" w:ascii="楷体_GB2312" w:eastAsia="楷体_GB2312"/>
                <w:sz w:val="18"/>
                <w:szCs w:val="18"/>
              </w:rPr>
              <w:t>不会导致物种消失，保持流域生物多样性</w:t>
            </w:r>
          </w:p>
        </w:tc>
        <w:tc>
          <w:tcPr>
            <w:tcW w:w="556" w:type="pct"/>
            <w:noWrap w:val="0"/>
            <w:vAlign w:val="center"/>
          </w:tcPr>
          <w:p>
            <w:pPr>
              <w:widowControl/>
              <w:spacing w:line="240" w:lineRule="exact"/>
              <w:ind w:firstLine="0" w:firstLineChars="0"/>
              <w:jc w:val="center"/>
              <w:rPr>
                <w:rFonts w:hint="eastAsia" w:ascii="楷体_GB2312" w:eastAsia="楷体_GB2312"/>
                <w:sz w:val="18"/>
                <w:szCs w:val="18"/>
              </w:rPr>
            </w:pPr>
            <w:r>
              <w:rPr>
                <w:rFonts w:hint="eastAsia" w:ascii="楷体_GB2312" w:eastAsia="楷体_GB2312"/>
                <w:sz w:val="18"/>
                <w:szCs w:val="18"/>
              </w:rPr>
              <w:t>采取措施后可达</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417" w:type="pct"/>
            <w:vMerge w:val="continue"/>
            <w:noWrap w:val="0"/>
            <w:vAlign w:val="center"/>
          </w:tcPr>
          <w:p>
            <w:pPr>
              <w:widowControl/>
              <w:spacing w:line="240" w:lineRule="exact"/>
              <w:ind w:firstLine="0" w:firstLineChars="0"/>
              <w:jc w:val="center"/>
              <w:rPr>
                <w:rFonts w:hint="eastAsia" w:ascii="楷体_GB2312" w:eastAsia="楷体_GB2312"/>
                <w:sz w:val="18"/>
                <w:szCs w:val="18"/>
              </w:rPr>
            </w:pPr>
          </w:p>
        </w:tc>
        <w:tc>
          <w:tcPr>
            <w:tcW w:w="450" w:type="pct"/>
            <w:noWrap w:val="0"/>
            <w:vAlign w:val="center"/>
          </w:tcPr>
          <w:p>
            <w:pPr>
              <w:widowControl/>
              <w:spacing w:line="240" w:lineRule="exact"/>
              <w:ind w:firstLine="0" w:firstLineChars="0"/>
              <w:jc w:val="center"/>
              <w:rPr>
                <w:rFonts w:hint="eastAsia" w:ascii="楷体_GB2312" w:eastAsia="楷体_GB2312"/>
                <w:sz w:val="18"/>
                <w:szCs w:val="18"/>
              </w:rPr>
            </w:pPr>
            <w:r>
              <w:rPr>
                <w:rFonts w:hint="eastAsia" w:ascii="楷体_GB2312" w:eastAsia="楷体_GB2312"/>
                <w:sz w:val="18"/>
                <w:szCs w:val="18"/>
              </w:rPr>
              <w:t>水土流失</w:t>
            </w:r>
          </w:p>
        </w:tc>
        <w:tc>
          <w:tcPr>
            <w:tcW w:w="918" w:type="pct"/>
            <w:noWrap w:val="0"/>
            <w:vAlign w:val="center"/>
          </w:tcPr>
          <w:p>
            <w:pPr>
              <w:widowControl/>
              <w:spacing w:line="240" w:lineRule="exact"/>
              <w:ind w:firstLine="0" w:firstLineChars="0"/>
              <w:jc w:val="left"/>
              <w:rPr>
                <w:rFonts w:hint="eastAsia" w:ascii="楷体_GB2312" w:eastAsia="楷体_GB2312"/>
                <w:sz w:val="18"/>
                <w:szCs w:val="18"/>
              </w:rPr>
            </w:pPr>
            <w:r>
              <w:rPr>
                <w:rFonts w:hint="eastAsia" w:ascii="楷体_GB2312" w:eastAsia="楷体_GB2312"/>
                <w:sz w:val="18"/>
                <w:szCs w:val="18"/>
              </w:rPr>
              <w:t>减少水土流失</w:t>
            </w:r>
          </w:p>
        </w:tc>
        <w:tc>
          <w:tcPr>
            <w:tcW w:w="1063" w:type="pct"/>
            <w:noWrap w:val="0"/>
            <w:vAlign w:val="center"/>
          </w:tcPr>
          <w:p>
            <w:pPr>
              <w:widowControl/>
              <w:spacing w:line="240" w:lineRule="exact"/>
              <w:ind w:firstLine="0" w:firstLineChars="0"/>
              <w:jc w:val="left"/>
              <w:rPr>
                <w:rFonts w:hint="eastAsia" w:ascii="楷体_GB2312" w:eastAsia="楷体_GB2312"/>
                <w:sz w:val="18"/>
                <w:szCs w:val="18"/>
              </w:rPr>
            </w:pPr>
            <w:r>
              <w:rPr>
                <w:rFonts w:hint="eastAsia" w:ascii="楷体_GB2312" w:eastAsia="楷体_GB2312"/>
                <w:sz w:val="18"/>
                <w:szCs w:val="18"/>
              </w:rPr>
              <w:t>采取水保措施，防止水土流失</w:t>
            </w:r>
          </w:p>
        </w:tc>
        <w:tc>
          <w:tcPr>
            <w:tcW w:w="1596" w:type="pct"/>
            <w:noWrap w:val="0"/>
            <w:vAlign w:val="center"/>
          </w:tcPr>
          <w:p>
            <w:pPr>
              <w:widowControl/>
              <w:spacing w:line="240" w:lineRule="exact"/>
              <w:ind w:firstLine="0" w:firstLineChars="0"/>
              <w:jc w:val="left"/>
              <w:rPr>
                <w:rFonts w:hint="eastAsia" w:ascii="楷体_GB2312" w:eastAsia="楷体_GB2312"/>
                <w:sz w:val="18"/>
                <w:szCs w:val="18"/>
              </w:rPr>
            </w:pPr>
            <w:r>
              <w:rPr>
                <w:rFonts w:hint="eastAsia" w:ascii="楷体_GB2312" w:eastAsia="楷体_GB2312"/>
                <w:sz w:val="18"/>
                <w:szCs w:val="18"/>
              </w:rPr>
              <w:t>项目实施阶段采取相应水保措施，可有效减轻水土流失。</w:t>
            </w:r>
          </w:p>
        </w:tc>
        <w:tc>
          <w:tcPr>
            <w:tcW w:w="556" w:type="pct"/>
            <w:noWrap w:val="0"/>
            <w:vAlign w:val="center"/>
          </w:tcPr>
          <w:p>
            <w:pPr>
              <w:widowControl/>
              <w:spacing w:line="240" w:lineRule="exact"/>
              <w:ind w:firstLine="0" w:firstLineChars="0"/>
              <w:jc w:val="center"/>
              <w:rPr>
                <w:rFonts w:hint="eastAsia" w:ascii="楷体_GB2312" w:eastAsia="楷体_GB2312"/>
                <w:sz w:val="18"/>
                <w:szCs w:val="18"/>
              </w:rPr>
            </w:pPr>
            <w:r>
              <w:rPr>
                <w:rFonts w:hint="eastAsia" w:ascii="楷体_GB2312" w:eastAsia="楷体_GB2312"/>
                <w:sz w:val="18"/>
                <w:szCs w:val="18"/>
              </w:rPr>
              <w:t>采取措施后可达</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417" w:type="pct"/>
            <w:noWrap w:val="0"/>
            <w:vAlign w:val="center"/>
          </w:tcPr>
          <w:p>
            <w:pPr>
              <w:widowControl/>
              <w:spacing w:line="240" w:lineRule="exact"/>
              <w:ind w:firstLine="0" w:firstLineChars="0"/>
              <w:jc w:val="center"/>
              <w:rPr>
                <w:rFonts w:hint="eastAsia" w:ascii="楷体_GB2312" w:eastAsia="楷体_GB2312"/>
                <w:sz w:val="18"/>
                <w:szCs w:val="18"/>
              </w:rPr>
            </w:pPr>
            <w:r>
              <w:rPr>
                <w:rFonts w:hint="eastAsia" w:ascii="楷体_GB2312" w:eastAsia="楷体_GB2312"/>
                <w:sz w:val="18"/>
                <w:szCs w:val="18"/>
              </w:rPr>
              <w:t>环境敏感区域</w:t>
            </w:r>
          </w:p>
        </w:tc>
        <w:tc>
          <w:tcPr>
            <w:tcW w:w="450" w:type="pct"/>
            <w:noWrap w:val="0"/>
            <w:vAlign w:val="center"/>
          </w:tcPr>
          <w:p>
            <w:pPr>
              <w:widowControl/>
              <w:spacing w:line="240" w:lineRule="exact"/>
              <w:ind w:firstLine="0" w:firstLineChars="0"/>
              <w:jc w:val="center"/>
              <w:rPr>
                <w:rFonts w:hint="eastAsia" w:ascii="楷体_GB2312" w:eastAsia="楷体_GB2312"/>
                <w:sz w:val="18"/>
                <w:szCs w:val="18"/>
              </w:rPr>
            </w:pPr>
            <w:r>
              <w:rPr>
                <w:rFonts w:hint="eastAsia" w:ascii="楷体_GB2312" w:eastAsia="楷体_GB2312"/>
                <w:sz w:val="18"/>
                <w:szCs w:val="18"/>
              </w:rPr>
              <w:t>饮用水源</w:t>
            </w:r>
          </w:p>
          <w:p>
            <w:pPr>
              <w:widowControl/>
              <w:spacing w:line="240" w:lineRule="exact"/>
              <w:ind w:firstLine="0" w:firstLineChars="0"/>
              <w:jc w:val="center"/>
              <w:rPr>
                <w:rFonts w:hint="eastAsia" w:ascii="楷体_GB2312" w:eastAsia="楷体_GB2312"/>
                <w:sz w:val="18"/>
                <w:szCs w:val="18"/>
              </w:rPr>
            </w:pPr>
            <w:r>
              <w:rPr>
                <w:rFonts w:hint="eastAsia" w:ascii="楷体_GB2312" w:eastAsia="楷体_GB2312"/>
                <w:sz w:val="18"/>
                <w:szCs w:val="18"/>
              </w:rPr>
              <w:t>保护区</w:t>
            </w:r>
          </w:p>
        </w:tc>
        <w:tc>
          <w:tcPr>
            <w:tcW w:w="918" w:type="pct"/>
            <w:noWrap w:val="0"/>
            <w:vAlign w:val="center"/>
          </w:tcPr>
          <w:p>
            <w:pPr>
              <w:widowControl/>
              <w:spacing w:line="240" w:lineRule="exact"/>
              <w:ind w:firstLine="0" w:firstLineChars="0"/>
              <w:jc w:val="left"/>
              <w:rPr>
                <w:rFonts w:hint="eastAsia" w:ascii="楷体_GB2312" w:eastAsia="楷体_GB2312"/>
                <w:sz w:val="18"/>
                <w:szCs w:val="18"/>
              </w:rPr>
            </w:pPr>
            <w:r>
              <w:rPr>
                <w:rFonts w:hint="eastAsia" w:ascii="楷体_GB2312" w:eastAsia="楷体_GB2312"/>
                <w:sz w:val="18"/>
                <w:szCs w:val="18"/>
              </w:rPr>
              <w:t>符合饮用水源保护区相关法律法规的管理要求</w:t>
            </w:r>
          </w:p>
        </w:tc>
        <w:tc>
          <w:tcPr>
            <w:tcW w:w="1063" w:type="pct"/>
            <w:noWrap w:val="0"/>
            <w:vAlign w:val="center"/>
          </w:tcPr>
          <w:p>
            <w:pPr>
              <w:widowControl/>
              <w:spacing w:line="240" w:lineRule="exact"/>
              <w:ind w:firstLine="0" w:firstLineChars="0"/>
              <w:jc w:val="left"/>
              <w:rPr>
                <w:rFonts w:hint="eastAsia" w:ascii="楷体_GB2312" w:eastAsia="楷体_GB2312"/>
                <w:sz w:val="18"/>
                <w:szCs w:val="18"/>
              </w:rPr>
            </w:pPr>
            <w:r>
              <w:rPr>
                <w:rFonts w:hint="eastAsia" w:ascii="楷体_GB2312" w:eastAsia="楷体_GB2312"/>
                <w:sz w:val="18"/>
                <w:szCs w:val="18"/>
              </w:rPr>
              <w:t>尽量避让饮用水源保护区，避免和减缓饮用水源保护区受影响范围和程度。</w:t>
            </w:r>
          </w:p>
        </w:tc>
        <w:tc>
          <w:tcPr>
            <w:tcW w:w="1596" w:type="pct"/>
            <w:noWrap w:val="0"/>
            <w:vAlign w:val="center"/>
          </w:tcPr>
          <w:p>
            <w:pPr>
              <w:widowControl/>
              <w:spacing w:line="240" w:lineRule="exact"/>
              <w:ind w:firstLine="0" w:firstLineChars="0"/>
              <w:jc w:val="left"/>
              <w:rPr>
                <w:rFonts w:hint="eastAsia" w:ascii="楷体_GB2312" w:eastAsia="楷体_GB2312"/>
                <w:sz w:val="18"/>
                <w:szCs w:val="18"/>
              </w:rPr>
            </w:pPr>
            <w:r>
              <w:rPr>
                <w:rFonts w:hint="eastAsia" w:ascii="楷体_GB2312" w:eastAsia="楷体_GB2312"/>
                <w:sz w:val="18"/>
                <w:szCs w:val="18"/>
              </w:rPr>
              <w:t>藻渡水库工程施工期将停用赶水镇藻渡水厂取水口，重新铺设三马口水库</w:t>
            </w:r>
            <w:r>
              <w:rPr>
                <w:rFonts w:hint="eastAsia" w:ascii="楷体_GB2312" w:eastAsia="楷体_GB2312"/>
                <w:sz w:val="18"/>
                <w:szCs w:val="18"/>
                <w:lang w:eastAsia="zh-CN"/>
              </w:rPr>
              <w:t>—</w:t>
            </w:r>
            <w:r>
              <w:rPr>
                <w:rFonts w:hint="eastAsia" w:ascii="楷体_GB2312" w:eastAsia="楷体_GB2312"/>
                <w:sz w:val="18"/>
                <w:szCs w:val="18"/>
              </w:rPr>
              <w:t>铁石垭水厂</w:t>
            </w:r>
            <w:r>
              <w:rPr>
                <w:rFonts w:hint="eastAsia" w:ascii="楷体_GB2312" w:eastAsia="楷体_GB2312"/>
                <w:sz w:val="18"/>
                <w:szCs w:val="18"/>
                <w:lang w:eastAsia="zh-CN"/>
              </w:rPr>
              <w:t>—</w:t>
            </w:r>
            <w:r>
              <w:rPr>
                <w:rFonts w:hint="eastAsia" w:ascii="楷体_GB2312" w:eastAsia="楷体_GB2312"/>
                <w:sz w:val="18"/>
                <w:szCs w:val="18"/>
              </w:rPr>
              <w:t>藻渡水厂供水管道，改由铁石垭水厂供水，以保证赶水镇的供水安全；工程建成后，由藻渡水库向藻渡水厂供水。</w:t>
            </w:r>
          </w:p>
        </w:tc>
        <w:tc>
          <w:tcPr>
            <w:tcW w:w="556" w:type="pct"/>
            <w:noWrap w:val="0"/>
            <w:vAlign w:val="center"/>
          </w:tcPr>
          <w:p>
            <w:pPr>
              <w:widowControl/>
              <w:spacing w:line="240" w:lineRule="exact"/>
              <w:ind w:firstLine="0" w:firstLineChars="0"/>
              <w:jc w:val="center"/>
              <w:rPr>
                <w:rFonts w:hint="eastAsia" w:ascii="楷体_GB2312" w:eastAsia="楷体_GB2312"/>
                <w:sz w:val="18"/>
                <w:szCs w:val="18"/>
              </w:rPr>
            </w:pPr>
            <w:r>
              <w:rPr>
                <w:rFonts w:hint="eastAsia" w:ascii="楷体_GB2312" w:eastAsia="楷体_GB2312"/>
                <w:sz w:val="18"/>
                <w:szCs w:val="18"/>
              </w:rPr>
              <w:t>采取措施后可达</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417" w:type="pct"/>
            <w:vMerge w:val="restart"/>
            <w:noWrap w:val="0"/>
            <w:vAlign w:val="center"/>
          </w:tcPr>
          <w:p>
            <w:pPr>
              <w:widowControl/>
              <w:spacing w:line="240" w:lineRule="exact"/>
              <w:ind w:firstLine="0" w:firstLineChars="0"/>
              <w:jc w:val="center"/>
              <w:rPr>
                <w:rFonts w:hint="eastAsia" w:ascii="楷体_GB2312" w:eastAsia="楷体_GB2312"/>
                <w:sz w:val="18"/>
                <w:szCs w:val="18"/>
              </w:rPr>
            </w:pPr>
            <w:r>
              <w:rPr>
                <w:rFonts w:hint="eastAsia" w:ascii="楷体_GB2312" w:eastAsia="楷体_GB2312"/>
                <w:sz w:val="18"/>
                <w:szCs w:val="18"/>
              </w:rPr>
              <w:t>社会环境</w:t>
            </w:r>
          </w:p>
        </w:tc>
        <w:tc>
          <w:tcPr>
            <w:tcW w:w="450" w:type="pct"/>
            <w:noWrap w:val="0"/>
            <w:vAlign w:val="center"/>
          </w:tcPr>
          <w:p>
            <w:pPr>
              <w:widowControl/>
              <w:spacing w:line="240" w:lineRule="exact"/>
              <w:ind w:firstLine="0" w:firstLineChars="0"/>
              <w:jc w:val="center"/>
              <w:rPr>
                <w:rFonts w:hint="eastAsia" w:ascii="楷体_GB2312" w:eastAsia="楷体_GB2312"/>
                <w:sz w:val="18"/>
                <w:szCs w:val="18"/>
              </w:rPr>
            </w:pPr>
            <w:r>
              <w:rPr>
                <w:rFonts w:hint="eastAsia" w:ascii="楷体_GB2312" w:eastAsia="楷体_GB2312"/>
                <w:sz w:val="18"/>
                <w:szCs w:val="18"/>
              </w:rPr>
              <w:t>社会经济</w:t>
            </w:r>
          </w:p>
        </w:tc>
        <w:tc>
          <w:tcPr>
            <w:tcW w:w="918" w:type="pct"/>
            <w:noWrap w:val="0"/>
            <w:vAlign w:val="center"/>
          </w:tcPr>
          <w:p>
            <w:pPr>
              <w:widowControl/>
              <w:spacing w:line="240" w:lineRule="exact"/>
              <w:ind w:firstLine="0" w:firstLineChars="0"/>
              <w:jc w:val="left"/>
              <w:rPr>
                <w:rFonts w:hint="eastAsia" w:ascii="楷体_GB2312" w:eastAsia="楷体_GB2312"/>
                <w:sz w:val="18"/>
                <w:szCs w:val="18"/>
              </w:rPr>
            </w:pPr>
            <w:r>
              <w:rPr>
                <w:rFonts w:hint="eastAsia" w:ascii="楷体_GB2312" w:eastAsia="楷体_GB2312"/>
                <w:sz w:val="18"/>
                <w:szCs w:val="18"/>
              </w:rPr>
              <w:t>规划方案产生综合经济效益</w:t>
            </w:r>
          </w:p>
        </w:tc>
        <w:tc>
          <w:tcPr>
            <w:tcW w:w="1063" w:type="pct"/>
            <w:noWrap w:val="0"/>
            <w:vAlign w:val="center"/>
          </w:tcPr>
          <w:p>
            <w:pPr>
              <w:widowControl/>
              <w:spacing w:line="240" w:lineRule="exact"/>
              <w:ind w:firstLine="0" w:firstLineChars="0"/>
              <w:jc w:val="left"/>
              <w:rPr>
                <w:rFonts w:hint="eastAsia" w:ascii="楷体_GB2312" w:eastAsia="楷体_GB2312"/>
                <w:sz w:val="18"/>
                <w:szCs w:val="18"/>
              </w:rPr>
            </w:pPr>
            <w:r>
              <w:rPr>
                <w:rFonts w:hint="eastAsia" w:ascii="楷体_GB2312" w:eastAsia="楷体_GB2312"/>
                <w:sz w:val="18"/>
                <w:szCs w:val="18"/>
              </w:rPr>
              <w:t>促进地方经济发展</w:t>
            </w:r>
          </w:p>
        </w:tc>
        <w:tc>
          <w:tcPr>
            <w:tcW w:w="1596" w:type="pct"/>
            <w:noWrap w:val="0"/>
            <w:vAlign w:val="center"/>
          </w:tcPr>
          <w:p>
            <w:pPr>
              <w:widowControl/>
              <w:spacing w:line="240" w:lineRule="exact"/>
              <w:ind w:firstLine="0" w:firstLineChars="0"/>
              <w:jc w:val="left"/>
              <w:rPr>
                <w:rFonts w:hint="eastAsia" w:ascii="楷体_GB2312" w:eastAsia="楷体_GB2312"/>
                <w:sz w:val="18"/>
                <w:szCs w:val="18"/>
              </w:rPr>
            </w:pPr>
            <w:r>
              <w:rPr>
                <w:rFonts w:hint="eastAsia" w:ascii="楷体_GB2312" w:eastAsia="楷体_GB2312"/>
                <w:sz w:val="18"/>
                <w:szCs w:val="18"/>
              </w:rPr>
              <w:t>规划的各工程建设会带动区域经济的发展，促进地方经济发展。</w:t>
            </w:r>
          </w:p>
        </w:tc>
        <w:tc>
          <w:tcPr>
            <w:tcW w:w="556" w:type="pct"/>
            <w:noWrap w:val="0"/>
            <w:vAlign w:val="center"/>
          </w:tcPr>
          <w:p>
            <w:pPr>
              <w:widowControl/>
              <w:spacing w:line="240" w:lineRule="exact"/>
              <w:ind w:firstLine="0" w:firstLineChars="0"/>
              <w:jc w:val="center"/>
              <w:rPr>
                <w:rFonts w:hint="eastAsia" w:ascii="楷体_GB2312" w:eastAsia="楷体_GB2312"/>
                <w:sz w:val="18"/>
                <w:szCs w:val="18"/>
              </w:rPr>
            </w:pPr>
            <w:r>
              <w:rPr>
                <w:rFonts w:hint="eastAsia" w:ascii="楷体_GB2312" w:eastAsia="楷体_GB2312"/>
                <w:sz w:val="18"/>
                <w:szCs w:val="18"/>
              </w:rPr>
              <w:t>可达</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417" w:type="pct"/>
            <w:vMerge w:val="continue"/>
            <w:noWrap w:val="0"/>
            <w:vAlign w:val="center"/>
          </w:tcPr>
          <w:p>
            <w:pPr>
              <w:widowControl/>
              <w:spacing w:line="240" w:lineRule="exact"/>
              <w:ind w:firstLine="0" w:firstLineChars="0"/>
              <w:jc w:val="center"/>
              <w:rPr>
                <w:rFonts w:hint="eastAsia" w:ascii="楷体_GB2312" w:eastAsia="楷体_GB2312"/>
                <w:sz w:val="18"/>
                <w:szCs w:val="18"/>
              </w:rPr>
            </w:pPr>
          </w:p>
        </w:tc>
        <w:tc>
          <w:tcPr>
            <w:tcW w:w="450" w:type="pct"/>
            <w:noWrap w:val="0"/>
            <w:vAlign w:val="center"/>
          </w:tcPr>
          <w:p>
            <w:pPr>
              <w:widowControl/>
              <w:spacing w:line="240" w:lineRule="exact"/>
              <w:ind w:firstLine="0" w:firstLineChars="0"/>
              <w:jc w:val="center"/>
              <w:rPr>
                <w:rFonts w:hint="eastAsia" w:ascii="楷体_GB2312" w:eastAsia="楷体_GB2312"/>
                <w:sz w:val="18"/>
                <w:szCs w:val="18"/>
              </w:rPr>
            </w:pPr>
            <w:r>
              <w:rPr>
                <w:rFonts w:hint="eastAsia" w:ascii="楷体_GB2312" w:eastAsia="楷体_GB2312"/>
                <w:sz w:val="18"/>
                <w:szCs w:val="18"/>
              </w:rPr>
              <w:t>土地利用</w:t>
            </w:r>
          </w:p>
        </w:tc>
        <w:tc>
          <w:tcPr>
            <w:tcW w:w="918" w:type="pct"/>
            <w:noWrap w:val="0"/>
            <w:vAlign w:val="center"/>
          </w:tcPr>
          <w:p>
            <w:pPr>
              <w:widowControl/>
              <w:spacing w:line="240" w:lineRule="exact"/>
              <w:ind w:firstLine="0" w:firstLineChars="0"/>
              <w:jc w:val="left"/>
              <w:rPr>
                <w:rFonts w:hint="eastAsia" w:ascii="楷体_GB2312" w:eastAsia="楷体_GB2312"/>
                <w:sz w:val="18"/>
                <w:szCs w:val="18"/>
              </w:rPr>
            </w:pPr>
            <w:r>
              <w:rPr>
                <w:rFonts w:hint="eastAsia" w:ascii="楷体_GB2312" w:eastAsia="楷体_GB2312"/>
                <w:sz w:val="18"/>
                <w:szCs w:val="18"/>
              </w:rPr>
              <w:t>减少工程占地</w:t>
            </w:r>
          </w:p>
        </w:tc>
        <w:tc>
          <w:tcPr>
            <w:tcW w:w="1063" w:type="pct"/>
            <w:noWrap w:val="0"/>
            <w:vAlign w:val="center"/>
          </w:tcPr>
          <w:p>
            <w:pPr>
              <w:widowControl/>
              <w:spacing w:line="240" w:lineRule="exact"/>
              <w:ind w:firstLine="0" w:firstLineChars="0"/>
              <w:jc w:val="left"/>
              <w:rPr>
                <w:rFonts w:hint="eastAsia" w:ascii="楷体_GB2312" w:eastAsia="楷体_GB2312"/>
                <w:sz w:val="18"/>
                <w:szCs w:val="18"/>
              </w:rPr>
            </w:pPr>
            <w:r>
              <w:rPr>
                <w:rFonts w:hint="eastAsia" w:ascii="楷体_GB2312" w:eastAsia="楷体_GB2312"/>
                <w:sz w:val="18"/>
                <w:szCs w:val="18"/>
              </w:rPr>
              <w:t>工程占地面积及类型</w:t>
            </w:r>
          </w:p>
        </w:tc>
        <w:tc>
          <w:tcPr>
            <w:tcW w:w="1596" w:type="pct"/>
            <w:noWrap w:val="0"/>
            <w:vAlign w:val="center"/>
          </w:tcPr>
          <w:p>
            <w:pPr>
              <w:widowControl/>
              <w:spacing w:line="240" w:lineRule="exact"/>
              <w:ind w:firstLine="0" w:firstLineChars="0"/>
              <w:jc w:val="left"/>
              <w:rPr>
                <w:rFonts w:hint="eastAsia" w:ascii="楷体_GB2312" w:eastAsia="楷体_GB2312"/>
                <w:sz w:val="18"/>
                <w:szCs w:val="18"/>
              </w:rPr>
            </w:pPr>
            <w:r>
              <w:rPr>
                <w:rFonts w:hint="eastAsia" w:ascii="楷体_GB2312" w:eastAsia="楷体_GB2312"/>
                <w:sz w:val="18"/>
                <w:szCs w:val="18"/>
              </w:rPr>
              <w:t>规划方案考虑了尽可能减少占地</w:t>
            </w:r>
          </w:p>
        </w:tc>
        <w:tc>
          <w:tcPr>
            <w:tcW w:w="556" w:type="pct"/>
            <w:noWrap w:val="0"/>
            <w:vAlign w:val="center"/>
          </w:tcPr>
          <w:p>
            <w:pPr>
              <w:widowControl/>
              <w:spacing w:line="240" w:lineRule="exact"/>
              <w:ind w:firstLine="0" w:firstLineChars="0"/>
              <w:jc w:val="center"/>
              <w:rPr>
                <w:rFonts w:hint="eastAsia" w:ascii="楷体_GB2312" w:eastAsia="楷体_GB2312"/>
                <w:sz w:val="18"/>
                <w:szCs w:val="18"/>
              </w:rPr>
            </w:pPr>
            <w:r>
              <w:rPr>
                <w:rFonts w:hint="eastAsia" w:ascii="楷体_GB2312" w:eastAsia="楷体_GB2312"/>
                <w:sz w:val="18"/>
                <w:szCs w:val="18"/>
              </w:rPr>
              <w:t>可达</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417" w:type="pct"/>
            <w:vMerge w:val="continue"/>
            <w:noWrap w:val="0"/>
            <w:vAlign w:val="center"/>
          </w:tcPr>
          <w:p>
            <w:pPr>
              <w:widowControl/>
              <w:spacing w:line="240" w:lineRule="exact"/>
              <w:ind w:firstLine="0" w:firstLineChars="0"/>
              <w:jc w:val="center"/>
              <w:rPr>
                <w:rFonts w:hint="eastAsia" w:ascii="楷体_GB2312" w:eastAsia="楷体_GB2312"/>
                <w:sz w:val="18"/>
                <w:szCs w:val="18"/>
              </w:rPr>
            </w:pPr>
          </w:p>
        </w:tc>
        <w:tc>
          <w:tcPr>
            <w:tcW w:w="450" w:type="pct"/>
            <w:noWrap w:val="0"/>
            <w:vAlign w:val="center"/>
          </w:tcPr>
          <w:p>
            <w:pPr>
              <w:widowControl/>
              <w:spacing w:line="240" w:lineRule="exact"/>
              <w:ind w:firstLine="0" w:firstLineChars="0"/>
              <w:jc w:val="center"/>
              <w:rPr>
                <w:rFonts w:hint="eastAsia" w:ascii="楷体_GB2312" w:eastAsia="楷体_GB2312"/>
                <w:sz w:val="18"/>
                <w:szCs w:val="18"/>
              </w:rPr>
            </w:pPr>
            <w:r>
              <w:rPr>
                <w:rFonts w:hint="eastAsia" w:ascii="楷体_GB2312" w:eastAsia="楷体_GB2312"/>
                <w:sz w:val="18"/>
                <w:szCs w:val="18"/>
              </w:rPr>
              <w:t>农业生产</w:t>
            </w:r>
          </w:p>
        </w:tc>
        <w:tc>
          <w:tcPr>
            <w:tcW w:w="918" w:type="pct"/>
            <w:noWrap w:val="0"/>
            <w:vAlign w:val="center"/>
          </w:tcPr>
          <w:p>
            <w:pPr>
              <w:widowControl/>
              <w:spacing w:line="240" w:lineRule="exact"/>
              <w:ind w:firstLine="0" w:firstLineChars="0"/>
              <w:jc w:val="left"/>
              <w:rPr>
                <w:rFonts w:hint="eastAsia" w:ascii="楷体_GB2312" w:eastAsia="楷体_GB2312"/>
                <w:sz w:val="18"/>
                <w:szCs w:val="18"/>
              </w:rPr>
            </w:pPr>
            <w:r>
              <w:rPr>
                <w:rFonts w:hint="eastAsia" w:ascii="楷体_GB2312" w:eastAsia="楷体_GB2312"/>
                <w:sz w:val="18"/>
                <w:szCs w:val="18"/>
              </w:rPr>
              <w:t>减少对区域农业的影响</w:t>
            </w:r>
          </w:p>
        </w:tc>
        <w:tc>
          <w:tcPr>
            <w:tcW w:w="1063" w:type="pct"/>
            <w:noWrap w:val="0"/>
            <w:vAlign w:val="center"/>
          </w:tcPr>
          <w:p>
            <w:pPr>
              <w:widowControl/>
              <w:spacing w:line="240" w:lineRule="exact"/>
              <w:ind w:firstLine="0" w:firstLineChars="0"/>
              <w:jc w:val="left"/>
              <w:rPr>
                <w:rFonts w:hint="eastAsia" w:ascii="楷体_GB2312" w:eastAsia="楷体_GB2312"/>
                <w:sz w:val="18"/>
                <w:szCs w:val="18"/>
              </w:rPr>
            </w:pPr>
            <w:r>
              <w:rPr>
                <w:rFonts w:hint="eastAsia" w:ascii="楷体_GB2312" w:eastAsia="楷体_GB2312"/>
                <w:sz w:val="18"/>
                <w:szCs w:val="18"/>
              </w:rPr>
              <w:t>不得影响农业生产。</w:t>
            </w:r>
          </w:p>
        </w:tc>
        <w:tc>
          <w:tcPr>
            <w:tcW w:w="1596" w:type="pct"/>
            <w:noWrap w:val="0"/>
            <w:vAlign w:val="center"/>
          </w:tcPr>
          <w:p>
            <w:pPr>
              <w:widowControl/>
              <w:spacing w:line="240" w:lineRule="exact"/>
              <w:ind w:firstLine="0" w:firstLineChars="0"/>
              <w:jc w:val="left"/>
              <w:rPr>
                <w:rFonts w:hint="eastAsia" w:ascii="楷体_GB2312" w:eastAsia="楷体_GB2312"/>
                <w:sz w:val="18"/>
                <w:szCs w:val="18"/>
              </w:rPr>
            </w:pPr>
            <w:r>
              <w:rPr>
                <w:rFonts w:hint="eastAsia" w:ascii="楷体_GB2312" w:eastAsia="楷体_GB2312"/>
                <w:sz w:val="18"/>
                <w:szCs w:val="18"/>
              </w:rPr>
              <w:t>规划方案占用耕地较小，不会影响区域农业生产</w:t>
            </w:r>
          </w:p>
        </w:tc>
        <w:tc>
          <w:tcPr>
            <w:tcW w:w="556" w:type="pct"/>
            <w:noWrap w:val="0"/>
            <w:vAlign w:val="center"/>
          </w:tcPr>
          <w:p>
            <w:pPr>
              <w:widowControl/>
              <w:spacing w:line="240" w:lineRule="exact"/>
              <w:ind w:firstLine="0" w:firstLineChars="0"/>
              <w:jc w:val="center"/>
              <w:rPr>
                <w:rFonts w:hint="eastAsia" w:ascii="楷体_GB2312" w:eastAsia="楷体_GB2312"/>
                <w:sz w:val="18"/>
                <w:szCs w:val="18"/>
              </w:rPr>
            </w:pPr>
            <w:r>
              <w:rPr>
                <w:rFonts w:hint="eastAsia" w:ascii="楷体_GB2312" w:eastAsia="楷体_GB2312"/>
                <w:sz w:val="18"/>
                <w:szCs w:val="18"/>
              </w:rPr>
              <w:t>可达</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417" w:type="pct"/>
            <w:vMerge w:val="continue"/>
            <w:noWrap w:val="0"/>
            <w:vAlign w:val="center"/>
          </w:tcPr>
          <w:p>
            <w:pPr>
              <w:widowControl/>
              <w:spacing w:line="240" w:lineRule="exact"/>
              <w:ind w:firstLine="0" w:firstLineChars="0"/>
              <w:jc w:val="center"/>
              <w:rPr>
                <w:rFonts w:hint="eastAsia" w:ascii="楷体_GB2312" w:eastAsia="楷体_GB2312"/>
                <w:sz w:val="18"/>
                <w:szCs w:val="18"/>
              </w:rPr>
            </w:pPr>
          </w:p>
        </w:tc>
        <w:tc>
          <w:tcPr>
            <w:tcW w:w="450" w:type="pct"/>
            <w:noWrap w:val="0"/>
            <w:vAlign w:val="center"/>
          </w:tcPr>
          <w:p>
            <w:pPr>
              <w:widowControl/>
              <w:spacing w:line="240" w:lineRule="exact"/>
              <w:ind w:firstLine="0" w:firstLineChars="0"/>
              <w:jc w:val="center"/>
              <w:rPr>
                <w:rFonts w:hint="eastAsia" w:ascii="楷体_GB2312" w:eastAsia="楷体_GB2312"/>
                <w:sz w:val="18"/>
                <w:szCs w:val="18"/>
              </w:rPr>
            </w:pPr>
            <w:r>
              <w:rPr>
                <w:rFonts w:hint="eastAsia" w:ascii="楷体_GB2312" w:eastAsia="楷体_GB2312"/>
                <w:sz w:val="18"/>
                <w:szCs w:val="18"/>
              </w:rPr>
              <w:t>移民安置</w:t>
            </w:r>
          </w:p>
        </w:tc>
        <w:tc>
          <w:tcPr>
            <w:tcW w:w="918" w:type="pct"/>
            <w:noWrap w:val="0"/>
            <w:vAlign w:val="center"/>
          </w:tcPr>
          <w:p>
            <w:pPr>
              <w:widowControl/>
              <w:spacing w:line="240" w:lineRule="exact"/>
              <w:ind w:firstLine="0" w:firstLineChars="0"/>
              <w:jc w:val="left"/>
              <w:rPr>
                <w:rFonts w:hint="eastAsia" w:ascii="楷体_GB2312" w:eastAsia="楷体_GB2312"/>
                <w:sz w:val="18"/>
                <w:szCs w:val="18"/>
              </w:rPr>
            </w:pPr>
            <w:r>
              <w:rPr>
                <w:rFonts w:hint="eastAsia" w:ascii="楷体_GB2312" w:eastAsia="楷体_GB2312"/>
                <w:sz w:val="18"/>
                <w:szCs w:val="18"/>
              </w:rPr>
              <w:t>妥善做好移民安置</w:t>
            </w:r>
          </w:p>
        </w:tc>
        <w:tc>
          <w:tcPr>
            <w:tcW w:w="1063" w:type="pct"/>
            <w:noWrap w:val="0"/>
            <w:vAlign w:val="center"/>
          </w:tcPr>
          <w:p>
            <w:pPr>
              <w:widowControl/>
              <w:spacing w:line="240" w:lineRule="exact"/>
              <w:ind w:firstLine="0" w:firstLineChars="0"/>
              <w:jc w:val="left"/>
              <w:rPr>
                <w:rFonts w:hint="eastAsia" w:ascii="楷体_GB2312" w:eastAsia="楷体_GB2312"/>
                <w:sz w:val="18"/>
                <w:szCs w:val="18"/>
              </w:rPr>
            </w:pPr>
            <w:r>
              <w:rPr>
                <w:rFonts w:hint="eastAsia" w:ascii="楷体_GB2312" w:eastAsia="楷体_GB2312"/>
                <w:sz w:val="18"/>
                <w:szCs w:val="18"/>
              </w:rPr>
              <w:t>不得影响社会稳定。</w:t>
            </w:r>
          </w:p>
        </w:tc>
        <w:tc>
          <w:tcPr>
            <w:tcW w:w="1596" w:type="pct"/>
            <w:noWrap w:val="0"/>
            <w:vAlign w:val="center"/>
          </w:tcPr>
          <w:p>
            <w:pPr>
              <w:widowControl/>
              <w:spacing w:line="240" w:lineRule="exact"/>
              <w:ind w:firstLine="0" w:firstLineChars="0"/>
              <w:jc w:val="left"/>
              <w:rPr>
                <w:rFonts w:hint="eastAsia" w:ascii="楷体_GB2312" w:eastAsia="楷体_GB2312"/>
                <w:sz w:val="18"/>
                <w:szCs w:val="18"/>
              </w:rPr>
            </w:pPr>
            <w:r>
              <w:rPr>
                <w:rFonts w:hint="eastAsia" w:ascii="楷体_GB2312" w:eastAsia="楷体_GB2312"/>
                <w:sz w:val="18"/>
                <w:szCs w:val="18"/>
              </w:rPr>
              <w:t>水库工程涉及移民安置。</w:t>
            </w:r>
          </w:p>
        </w:tc>
        <w:tc>
          <w:tcPr>
            <w:tcW w:w="556" w:type="pct"/>
            <w:noWrap w:val="0"/>
            <w:vAlign w:val="center"/>
          </w:tcPr>
          <w:p>
            <w:pPr>
              <w:widowControl/>
              <w:spacing w:line="240" w:lineRule="exact"/>
              <w:ind w:firstLine="0" w:firstLineChars="0"/>
              <w:jc w:val="center"/>
              <w:rPr>
                <w:rFonts w:hint="eastAsia" w:ascii="楷体_GB2312" w:eastAsia="楷体_GB2312"/>
                <w:sz w:val="18"/>
                <w:szCs w:val="18"/>
              </w:rPr>
            </w:pPr>
            <w:r>
              <w:rPr>
                <w:rFonts w:hint="eastAsia" w:ascii="楷体_GB2312" w:eastAsia="楷体_GB2312"/>
                <w:sz w:val="18"/>
                <w:szCs w:val="18"/>
              </w:rPr>
              <w:t>采取措施后可达</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417" w:type="pct"/>
            <w:vMerge w:val="restart"/>
            <w:noWrap w:val="0"/>
            <w:vAlign w:val="center"/>
          </w:tcPr>
          <w:p>
            <w:pPr>
              <w:widowControl/>
              <w:spacing w:line="240" w:lineRule="exact"/>
              <w:ind w:firstLine="0" w:firstLineChars="0"/>
              <w:jc w:val="center"/>
              <w:rPr>
                <w:rFonts w:hint="eastAsia" w:ascii="楷体_GB2312" w:eastAsia="楷体_GB2312"/>
                <w:sz w:val="18"/>
                <w:szCs w:val="18"/>
              </w:rPr>
            </w:pPr>
            <w:r>
              <w:rPr>
                <w:rFonts w:hint="eastAsia" w:ascii="楷体_GB2312" w:eastAsia="楷体_GB2312"/>
                <w:sz w:val="18"/>
                <w:szCs w:val="18"/>
              </w:rPr>
              <w:t>资源承载力</w:t>
            </w:r>
          </w:p>
        </w:tc>
        <w:tc>
          <w:tcPr>
            <w:tcW w:w="450" w:type="pct"/>
            <w:noWrap w:val="0"/>
            <w:vAlign w:val="center"/>
          </w:tcPr>
          <w:p>
            <w:pPr>
              <w:widowControl/>
              <w:spacing w:line="240" w:lineRule="exact"/>
              <w:ind w:firstLine="0" w:firstLineChars="0"/>
              <w:jc w:val="center"/>
              <w:rPr>
                <w:rFonts w:hint="eastAsia" w:ascii="楷体_GB2312" w:eastAsia="楷体_GB2312"/>
                <w:sz w:val="18"/>
                <w:szCs w:val="18"/>
              </w:rPr>
            </w:pPr>
            <w:r>
              <w:rPr>
                <w:rFonts w:hint="eastAsia" w:ascii="楷体_GB2312" w:eastAsia="楷体_GB2312"/>
                <w:sz w:val="18"/>
                <w:szCs w:val="18"/>
              </w:rPr>
              <w:t>水资源</w:t>
            </w:r>
          </w:p>
        </w:tc>
        <w:tc>
          <w:tcPr>
            <w:tcW w:w="918" w:type="pct"/>
            <w:noWrap w:val="0"/>
            <w:vAlign w:val="center"/>
          </w:tcPr>
          <w:p>
            <w:pPr>
              <w:widowControl/>
              <w:spacing w:line="240" w:lineRule="exact"/>
              <w:ind w:firstLine="0" w:firstLineChars="0"/>
              <w:jc w:val="left"/>
              <w:rPr>
                <w:rFonts w:hint="eastAsia" w:ascii="楷体_GB2312" w:eastAsia="楷体_GB2312"/>
                <w:sz w:val="18"/>
                <w:szCs w:val="18"/>
              </w:rPr>
            </w:pPr>
            <w:r>
              <w:rPr>
                <w:rFonts w:hint="eastAsia" w:ascii="楷体_GB2312" w:eastAsia="楷体_GB2312"/>
                <w:sz w:val="18"/>
                <w:szCs w:val="18"/>
              </w:rPr>
              <w:t>合理利用和保护水资源</w:t>
            </w:r>
          </w:p>
        </w:tc>
        <w:tc>
          <w:tcPr>
            <w:tcW w:w="1063" w:type="pct"/>
            <w:noWrap w:val="0"/>
            <w:vAlign w:val="center"/>
          </w:tcPr>
          <w:p>
            <w:pPr>
              <w:widowControl/>
              <w:spacing w:line="240" w:lineRule="exact"/>
              <w:ind w:firstLine="0" w:firstLineChars="0"/>
              <w:jc w:val="left"/>
              <w:rPr>
                <w:rFonts w:hint="eastAsia" w:ascii="楷体_GB2312" w:eastAsia="楷体_GB2312"/>
                <w:sz w:val="18"/>
                <w:szCs w:val="18"/>
              </w:rPr>
            </w:pPr>
            <w:r>
              <w:rPr>
                <w:rFonts w:hint="eastAsia" w:ascii="楷体_GB2312" w:eastAsia="楷体_GB2312"/>
                <w:sz w:val="18"/>
                <w:szCs w:val="18"/>
              </w:rPr>
              <w:t>合理利用和保护水资源</w:t>
            </w:r>
          </w:p>
        </w:tc>
        <w:tc>
          <w:tcPr>
            <w:tcW w:w="1596" w:type="pct"/>
            <w:noWrap w:val="0"/>
            <w:vAlign w:val="center"/>
          </w:tcPr>
          <w:p>
            <w:pPr>
              <w:widowControl/>
              <w:spacing w:line="240" w:lineRule="exact"/>
              <w:ind w:firstLine="0" w:firstLineChars="0"/>
              <w:jc w:val="left"/>
              <w:rPr>
                <w:rFonts w:hint="eastAsia" w:ascii="楷体_GB2312" w:eastAsia="楷体_GB2312"/>
                <w:sz w:val="18"/>
                <w:szCs w:val="18"/>
              </w:rPr>
            </w:pPr>
            <w:r>
              <w:rPr>
                <w:rFonts w:hint="eastAsia" w:ascii="楷体_GB2312" w:eastAsia="楷体_GB2312"/>
                <w:sz w:val="18"/>
                <w:szCs w:val="18"/>
              </w:rPr>
              <w:t>藻渡水库供水工程的实施，将改善渝南片区工程性缺水现状，解决水资源供需矛盾。</w:t>
            </w:r>
          </w:p>
        </w:tc>
        <w:tc>
          <w:tcPr>
            <w:tcW w:w="556" w:type="pct"/>
            <w:noWrap w:val="0"/>
            <w:vAlign w:val="center"/>
          </w:tcPr>
          <w:p>
            <w:pPr>
              <w:widowControl/>
              <w:spacing w:line="240" w:lineRule="exact"/>
              <w:ind w:firstLine="0" w:firstLineChars="0"/>
              <w:jc w:val="center"/>
              <w:rPr>
                <w:rFonts w:hint="eastAsia" w:ascii="楷体_GB2312" w:eastAsia="楷体_GB2312"/>
                <w:sz w:val="18"/>
                <w:szCs w:val="18"/>
              </w:rPr>
            </w:pPr>
            <w:r>
              <w:rPr>
                <w:rFonts w:hint="eastAsia" w:ascii="楷体_GB2312" w:eastAsia="楷体_GB2312"/>
                <w:sz w:val="18"/>
                <w:szCs w:val="18"/>
              </w:rPr>
              <w:t>采取措施后可达</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417" w:type="pct"/>
            <w:vMerge w:val="continue"/>
            <w:noWrap w:val="0"/>
            <w:vAlign w:val="center"/>
          </w:tcPr>
          <w:p>
            <w:pPr>
              <w:widowControl/>
              <w:spacing w:line="240" w:lineRule="exact"/>
              <w:ind w:firstLine="0" w:firstLineChars="0"/>
              <w:jc w:val="center"/>
              <w:rPr>
                <w:rFonts w:hint="eastAsia" w:ascii="楷体_GB2312" w:eastAsia="楷体_GB2312"/>
                <w:sz w:val="18"/>
                <w:szCs w:val="18"/>
              </w:rPr>
            </w:pPr>
          </w:p>
        </w:tc>
        <w:tc>
          <w:tcPr>
            <w:tcW w:w="450" w:type="pct"/>
            <w:noWrap w:val="0"/>
            <w:vAlign w:val="center"/>
          </w:tcPr>
          <w:p>
            <w:pPr>
              <w:widowControl/>
              <w:spacing w:line="240" w:lineRule="exact"/>
              <w:ind w:firstLine="0" w:firstLineChars="0"/>
              <w:jc w:val="center"/>
              <w:rPr>
                <w:rFonts w:hint="eastAsia" w:ascii="楷体_GB2312" w:eastAsia="楷体_GB2312"/>
                <w:sz w:val="18"/>
                <w:szCs w:val="18"/>
              </w:rPr>
            </w:pPr>
            <w:r>
              <w:rPr>
                <w:rFonts w:hint="eastAsia" w:ascii="楷体_GB2312" w:eastAsia="楷体_GB2312"/>
                <w:sz w:val="18"/>
                <w:szCs w:val="18"/>
              </w:rPr>
              <w:t>土地资源</w:t>
            </w:r>
          </w:p>
        </w:tc>
        <w:tc>
          <w:tcPr>
            <w:tcW w:w="918" w:type="pct"/>
            <w:noWrap w:val="0"/>
            <w:vAlign w:val="center"/>
          </w:tcPr>
          <w:p>
            <w:pPr>
              <w:widowControl/>
              <w:spacing w:line="240" w:lineRule="exact"/>
              <w:ind w:firstLine="0" w:firstLineChars="0"/>
              <w:jc w:val="left"/>
              <w:rPr>
                <w:rFonts w:hint="eastAsia" w:ascii="楷体_GB2312" w:eastAsia="楷体_GB2312"/>
                <w:sz w:val="18"/>
                <w:szCs w:val="18"/>
              </w:rPr>
            </w:pPr>
            <w:r>
              <w:rPr>
                <w:rFonts w:hint="eastAsia" w:ascii="楷体_GB2312" w:eastAsia="楷体_GB2312"/>
                <w:sz w:val="18"/>
                <w:szCs w:val="18"/>
              </w:rPr>
              <w:t>合理利用和保护土地资源</w:t>
            </w:r>
          </w:p>
        </w:tc>
        <w:tc>
          <w:tcPr>
            <w:tcW w:w="1063" w:type="pct"/>
            <w:noWrap w:val="0"/>
            <w:vAlign w:val="center"/>
          </w:tcPr>
          <w:p>
            <w:pPr>
              <w:widowControl/>
              <w:spacing w:line="240" w:lineRule="exact"/>
              <w:ind w:firstLine="0" w:firstLineChars="0"/>
              <w:jc w:val="left"/>
              <w:rPr>
                <w:rFonts w:hint="eastAsia" w:ascii="楷体_GB2312" w:eastAsia="楷体_GB2312"/>
                <w:sz w:val="18"/>
                <w:szCs w:val="18"/>
              </w:rPr>
            </w:pPr>
            <w:r>
              <w:rPr>
                <w:rFonts w:hint="eastAsia" w:ascii="楷体_GB2312" w:eastAsia="楷体_GB2312"/>
                <w:sz w:val="18"/>
                <w:szCs w:val="18"/>
              </w:rPr>
              <w:t>合理利用和保护土地资源</w:t>
            </w:r>
          </w:p>
        </w:tc>
        <w:tc>
          <w:tcPr>
            <w:tcW w:w="1596" w:type="pct"/>
            <w:noWrap w:val="0"/>
            <w:vAlign w:val="center"/>
          </w:tcPr>
          <w:p>
            <w:pPr>
              <w:widowControl/>
              <w:spacing w:line="240" w:lineRule="exact"/>
              <w:ind w:firstLine="0" w:firstLineChars="0"/>
              <w:jc w:val="left"/>
              <w:rPr>
                <w:rFonts w:hint="eastAsia" w:ascii="楷体_GB2312" w:eastAsia="楷体_GB2312"/>
                <w:sz w:val="18"/>
                <w:szCs w:val="18"/>
              </w:rPr>
            </w:pPr>
            <w:r>
              <w:rPr>
                <w:rFonts w:hint="eastAsia" w:ascii="楷体_GB2312" w:eastAsia="楷体_GB2312"/>
                <w:sz w:val="18"/>
                <w:szCs w:val="18"/>
              </w:rPr>
              <w:t>规划各工程应合理规划用地，保护土地资源。项目施工期间减少施工临时设施占地，优化施工布局。</w:t>
            </w:r>
          </w:p>
        </w:tc>
        <w:tc>
          <w:tcPr>
            <w:tcW w:w="556" w:type="pct"/>
            <w:noWrap w:val="0"/>
            <w:vAlign w:val="center"/>
          </w:tcPr>
          <w:p>
            <w:pPr>
              <w:widowControl/>
              <w:spacing w:line="240" w:lineRule="exact"/>
              <w:ind w:firstLine="0" w:firstLineChars="0"/>
              <w:jc w:val="center"/>
              <w:rPr>
                <w:rFonts w:hint="eastAsia" w:ascii="楷体_GB2312" w:eastAsia="楷体_GB2312"/>
                <w:sz w:val="18"/>
                <w:szCs w:val="18"/>
              </w:rPr>
            </w:pPr>
            <w:r>
              <w:rPr>
                <w:rFonts w:hint="eastAsia" w:ascii="楷体_GB2312" w:eastAsia="楷体_GB2312"/>
                <w:sz w:val="18"/>
                <w:szCs w:val="18"/>
              </w:rPr>
              <w:t>采取措施后可达</w:t>
            </w:r>
          </w:p>
        </w:tc>
      </w:tr>
    </w:tbl>
    <w:p>
      <w:pPr>
        <w:adjustRightInd w:val="0"/>
        <w:spacing w:line="240" w:lineRule="exact"/>
        <w:ind w:firstLine="0" w:firstLineChars="0"/>
        <w:rPr>
          <w:sz w:val="10"/>
          <w:szCs w:val="10"/>
        </w:rPr>
      </w:pPr>
    </w:p>
    <w:p>
      <w:pPr>
        <w:spacing w:before="120" w:after="120"/>
        <w:ind w:firstLine="0" w:firstLineChars="0"/>
        <w:outlineLvl w:val="1"/>
        <w:rPr>
          <w:rFonts w:ascii="Arial" w:hAnsi="Arial" w:eastAsia="黑体"/>
          <w:bCs/>
          <w:sz w:val="32"/>
          <w:lang w:val="zh-CN"/>
        </w:rPr>
        <w:sectPr>
          <w:headerReference r:id="rId53" w:type="default"/>
          <w:headerReference r:id="rId54" w:type="even"/>
          <w:pgSz w:w="16840" w:h="11907" w:orient="landscape"/>
          <w:pgMar w:top="1418" w:right="1616" w:bottom="1418" w:left="1616" w:header="851" w:footer="1304" w:gutter="0"/>
          <w:pgBorders>
            <w:top w:val="none" w:sz="0" w:space="0"/>
            <w:left w:val="none" w:sz="0" w:space="0"/>
            <w:bottom w:val="none" w:sz="0" w:space="0"/>
            <w:right w:val="none" w:sz="0" w:space="0"/>
          </w:pgBorders>
          <w:pgNumType w:fmt="decimal"/>
          <w:cols w:space="720" w:num="1"/>
          <w:docGrid w:type="lines" w:linePitch="381" w:charSpace="0"/>
        </w:sectPr>
      </w:pPr>
    </w:p>
    <w:p>
      <w:pPr>
        <w:keepNext w:val="0"/>
        <w:keepLines w:val="0"/>
        <w:pageBreakBefore w:val="0"/>
        <w:widowControl w:val="0"/>
        <w:kinsoku/>
        <w:wordWrap/>
        <w:overflowPunct/>
        <w:topLinePunct w:val="0"/>
        <w:autoSpaceDE/>
        <w:autoSpaceDN/>
        <w:bidi w:val="0"/>
        <w:adjustRightInd/>
        <w:snapToGrid/>
        <w:ind w:firstLine="640" w:firstLineChars="200"/>
        <w:textAlignment w:val="auto"/>
        <w:outlineLvl w:val="1"/>
        <w:rPr>
          <w:rFonts w:hint="eastAsia" w:ascii="方正楷体_GBK" w:hAnsi="方正楷体_GBK" w:eastAsia="方正楷体_GBK" w:cs="方正楷体_GBK"/>
          <w:bCs/>
          <w:sz w:val="32"/>
          <w:lang w:val="zh-CN"/>
        </w:rPr>
      </w:pPr>
      <w:bookmarkStart w:id="211" w:name="_Toc8649"/>
      <w:r>
        <w:rPr>
          <w:rFonts w:hint="eastAsia" w:ascii="方正楷体_GBK" w:hAnsi="方正楷体_GBK" w:eastAsia="方正楷体_GBK" w:cs="方正楷体_GBK"/>
          <w:bCs/>
          <w:sz w:val="32"/>
          <w:lang w:val="zh-CN"/>
        </w:rPr>
        <w:t>（</w:t>
      </w:r>
      <w:r>
        <w:rPr>
          <w:rFonts w:hint="eastAsia" w:ascii="方正楷体_GBK" w:hAnsi="方正楷体_GBK" w:eastAsia="方正楷体_GBK" w:cs="方正楷体_GBK"/>
          <w:bCs/>
          <w:sz w:val="32"/>
          <w:lang w:val="en-US" w:eastAsia="zh-CN"/>
        </w:rPr>
        <w:t>六</w:t>
      </w:r>
      <w:r>
        <w:rPr>
          <w:rFonts w:hint="eastAsia" w:ascii="方正楷体_GBK" w:hAnsi="方正楷体_GBK" w:eastAsia="方正楷体_GBK" w:cs="方正楷体_GBK"/>
          <w:bCs/>
          <w:sz w:val="32"/>
          <w:lang w:val="zh-CN"/>
        </w:rPr>
        <w:t>）环境保护对策措施</w:t>
      </w:r>
      <w:bookmarkEnd w:id="211"/>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綦江城区防洪规划的实施，有较好的社会效益、经济效益和生态环境效益，同时也会对生态环境带来一定的不利影响。根据以上环境影响分析，针对不利影响采取如下对策措施。</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1</w:t>
      </w:r>
      <w:r>
        <w:rPr>
          <w:rFonts w:hint="eastAsia" w:ascii="Times New Roman" w:eastAsia="方正仿宋_GBK" w:cs="Times New Roman"/>
          <w:sz w:val="32"/>
          <w:szCs w:val="32"/>
          <w:lang w:val="en-US" w:eastAsia="zh-CN"/>
        </w:rPr>
        <w:t>．</w:t>
      </w:r>
      <w:r>
        <w:rPr>
          <w:rFonts w:hint="default" w:ascii="Times New Roman" w:hAnsi="Times New Roman" w:eastAsia="方正仿宋_GBK" w:cs="Times New Roman"/>
          <w:bCs/>
          <w:sz w:val="32"/>
          <w:szCs w:val="32"/>
          <w:lang w:val="en-US" w:eastAsia="zh-CN"/>
        </w:rPr>
        <w:t>水环境保护</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zh-CN" w:eastAsia="zh-CN"/>
        </w:rPr>
      </w:pPr>
      <w:r>
        <w:rPr>
          <w:rFonts w:hint="eastAsia" w:ascii="Times New Roman" w:hAnsi="Times New Roman" w:eastAsia="方正仿宋_GBK" w:cs="Times New Roman"/>
          <w:bCs/>
          <w:sz w:val="32"/>
          <w:szCs w:val="32"/>
          <w:lang w:val="en-US" w:eastAsia="zh-CN"/>
        </w:rPr>
        <w:t>1.1</w:t>
      </w:r>
      <w:r>
        <w:rPr>
          <w:rFonts w:hint="eastAsia" w:ascii="Times New Roman" w:eastAsia="方正仿宋_GBK" w:cs="Times New Roman"/>
          <w:bCs/>
          <w:sz w:val="32"/>
          <w:szCs w:val="32"/>
          <w:lang w:val="en-US" w:eastAsia="zh-CN"/>
        </w:rPr>
        <w:t xml:space="preserve"> </w:t>
      </w:r>
      <w:r>
        <w:rPr>
          <w:rFonts w:hint="default" w:ascii="Times New Roman" w:hAnsi="Times New Roman" w:eastAsia="方正仿宋_GBK" w:cs="Times New Roman"/>
          <w:bCs/>
          <w:sz w:val="32"/>
          <w:szCs w:val="32"/>
          <w:lang w:val="zh-CN" w:eastAsia="zh-CN"/>
        </w:rPr>
        <w:t>落实</w:t>
      </w:r>
      <w:r>
        <w:rPr>
          <w:rFonts w:hint="eastAsia" w:ascii="Times New Roman" w:hAnsi="Times New Roman" w:eastAsia="方正仿宋_GBK" w:cs="Times New Roman"/>
          <w:bCs/>
          <w:sz w:val="32"/>
          <w:szCs w:val="32"/>
          <w:lang w:val="zh-CN" w:eastAsia="zh-CN"/>
        </w:rPr>
        <w:t>各</w:t>
      </w:r>
      <w:r>
        <w:rPr>
          <w:rFonts w:hint="eastAsia" w:ascii="Times New Roman" w:hAnsi="Times New Roman" w:eastAsia="方正仿宋_GBK" w:cs="Times New Roman"/>
          <w:bCs/>
          <w:sz w:val="32"/>
          <w:szCs w:val="32"/>
          <w:lang w:val="en-US" w:eastAsia="zh-CN"/>
        </w:rPr>
        <w:t>规划工程</w:t>
      </w:r>
      <w:r>
        <w:rPr>
          <w:rFonts w:hint="eastAsia" w:ascii="Times New Roman" w:hAnsi="Times New Roman" w:eastAsia="方正仿宋_GBK" w:cs="Times New Roman"/>
          <w:bCs/>
          <w:sz w:val="32"/>
          <w:szCs w:val="32"/>
          <w:lang w:val="zh-CN" w:eastAsia="zh-CN"/>
        </w:rPr>
        <w:t>水环境保护措施</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规划中各工程施工生产废水与生活污水应尽量回用、不外排。若确需外排，则排放废水需处理达到《污水综合排放标准》（</w:t>
      </w:r>
      <w:r>
        <w:rPr>
          <w:rFonts w:hint="default" w:ascii="Times New Roman" w:hAnsi="Times New Roman" w:eastAsia="方正仿宋_GBK" w:cs="Times New Roman"/>
          <w:bCs/>
          <w:sz w:val="32"/>
          <w:szCs w:val="32"/>
          <w:lang w:val="en-US" w:eastAsia="zh-CN"/>
        </w:rPr>
        <w:t>GB8978</w:t>
      </w:r>
      <w:r>
        <w:rPr>
          <w:rFonts w:hint="eastAsia" w:ascii="Times New Roman" w:eastAsia="方正仿宋_GBK" w:cs="Times New Roman"/>
          <w:bCs/>
          <w:sz w:val="32"/>
          <w:szCs w:val="32"/>
          <w:lang w:val="en-US" w:eastAsia="zh-CN"/>
        </w:rPr>
        <w:t>—</w:t>
      </w:r>
      <w:r>
        <w:rPr>
          <w:rFonts w:hint="default" w:ascii="Times New Roman" w:hAnsi="Times New Roman" w:eastAsia="方正仿宋_GBK" w:cs="Times New Roman"/>
          <w:bCs/>
          <w:sz w:val="32"/>
          <w:szCs w:val="32"/>
          <w:lang w:val="en-US" w:eastAsia="zh-CN"/>
        </w:rPr>
        <w:t>96）一级标准</w:t>
      </w:r>
      <w:r>
        <w:rPr>
          <w:rFonts w:hint="eastAsia" w:ascii="Times New Roman" w:hAnsi="Times New Roman" w:eastAsia="方正仿宋_GBK" w:cs="Times New Roman"/>
          <w:bCs/>
          <w:sz w:val="32"/>
          <w:szCs w:val="32"/>
          <w:lang w:val="en-US" w:eastAsia="zh-CN"/>
        </w:rPr>
        <w:t>，且饮用水源保护区河段禁止排放废水。藻渡水库工程在施工过程中，涉水工程施工应采取围堰形式，对含泥浆基坑排水进行沉淀处理后再排放。对于藻渡水库涉及赶水镇藻渡河饮用水源保护区，在藻渡水库施工期间，应采取措施停用赶水镇藻渡水厂取水口，</w:t>
      </w:r>
      <w:r>
        <w:rPr>
          <w:rFonts w:hint="default" w:ascii="Times New Roman" w:hAnsi="Times New Roman" w:eastAsia="方正仿宋_GBK" w:cs="Times New Roman"/>
          <w:bCs/>
          <w:sz w:val="32"/>
          <w:szCs w:val="32"/>
          <w:lang w:val="en-US" w:eastAsia="zh-CN"/>
        </w:rPr>
        <w:t>改由铁石垭水厂供水，以保证赶水镇的供水安全</w:t>
      </w:r>
      <w:r>
        <w:rPr>
          <w:rFonts w:hint="eastAsia" w:ascii="Times New Roman" w:hAnsi="Times New Roman" w:eastAsia="方正仿宋_GBK" w:cs="Times New Roman"/>
          <w:bCs/>
          <w:sz w:val="32"/>
          <w:szCs w:val="32"/>
          <w:lang w:val="en-US" w:eastAsia="zh-CN"/>
        </w:rPr>
        <w:t>。加强规划范围内饮用水水源地保护，积极推进生态文明建设，保障饮水安全和生态安全。保护生活供水水源，对具有供水任务的河道两侧和囤蓄水库划定保护范围；在水源保护范围内，禁止农业、生活等各类污染。</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zh-CN" w:eastAsia="zh-CN"/>
        </w:rPr>
      </w:pPr>
      <w:r>
        <w:rPr>
          <w:rFonts w:hint="eastAsia" w:ascii="Times New Roman" w:hAnsi="Times New Roman" w:eastAsia="方正仿宋_GBK" w:cs="Times New Roman"/>
          <w:bCs/>
          <w:sz w:val="32"/>
          <w:szCs w:val="32"/>
          <w:lang w:val="en-US" w:eastAsia="zh-CN"/>
        </w:rPr>
        <w:t>1.2</w:t>
      </w:r>
      <w:r>
        <w:rPr>
          <w:rFonts w:hint="eastAsia" w:ascii="Times New Roman" w:eastAsia="方正仿宋_GBK" w:cs="Times New Roman"/>
          <w:bCs/>
          <w:sz w:val="32"/>
          <w:szCs w:val="32"/>
          <w:lang w:val="en-US" w:eastAsia="zh-CN"/>
        </w:rPr>
        <w:t xml:space="preserve"> </w:t>
      </w:r>
      <w:r>
        <w:rPr>
          <w:rFonts w:hint="default" w:ascii="Times New Roman" w:hAnsi="Times New Roman" w:eastAsia="方正仿宋_GBK" w:cs="Times New Roman"/>
          <w:bCs/>
          <w:sz w:val="32"/>
          <w:szCs w:val="32"/>
          <w:lang w:val="zh-CN" w:eastAsia="zh-CN"/>
        </w:rPr>
        <w:t>加强点源、面源治理</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藻渡水库建成后，各库区水体流速减缓，污染物降解系数降低，降低了污染物自净能力，</w:t>
      </w:r>
      <w:r>
        <w:rPr>
          <w:rFonts w:hint="default" w:ascii="Times New Roman" w:hAnsi="Times New Roman" w:eastAsia="方正仿宋_GBK" w:cs="Times New Roman"/>
          <w:bCs/>
          <w:sz w:val="32"/>
          <w:szCs w:val="32"/>
          <w:lang w:val="en-US" w:eastAsia="zh-CN"/>
        </w:rPr>
        <w:t>因此亟需加强对库区面源污染的治理。</w:t>
      </w:r>
      <w:r>
        <w:rPr>
          <w:rFonts w:hint="eastAsia" w:ascii="Times New Roman" w:hAnsi="Times New Roman" w:eastAsia="方正仿宋_GBK" w:cs="Times New Roman"/>
          <w:bCs/>
          <w:sz w:val="32"/>
          <w:szCs w:val="32"/>
          <w:lang w:val="en-US" w:eastAsia="zh-CN"/>
        </w:rPr>
        <w:t>应按水功能区入河排污总量控制要求，加强入河工业污染源和城市生活污染源控制，做到增产减污或增产不增污。面源污染也是影响綦江流域水质的主要因素，为减轻面源污染对流域水环境的不利影响，应合理调整农业产业结构，大力发展生态农业，推广有机肥，减少农药、化肥施用量和流失量；禁止陡坡开荒；改善农业基础设施，加强对水土流失的治理，做到排水有沟、蓄水有池、沉沙有凼、护坎有林、护坡有草，控制和减轻水土流失；要加紧治理库区及以上地区水土流失，减少土壤侵蚀量，造林种草。同时，要采取有力措施，切实保护好现有的林草植被和治理成果。</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zh-CN" w:eastAsia="zh-CN"/>
        </w:rPr>
      </w:pPr>
      <w:r>
        <w:rPr>
          <w:rFonts w:hint="eastAsia" w:ascii="Times New Roman" w:hAnsi="Times New Roman" w:eastAsia="方正仿宋_GBK" w:cs="Times New Roman"/>
          <w:bCs/>
          <w:sz w:val="32"/>
          <w:szCs w:val="32"/>
          <w:lang w:val="en-US" w:eastAsia="zh-CN"/>
        </w:rPr>
        <w:t>1.3</w:t>
      </w:r>
      <w:r>
        <w:rPr>
          <w:rFonts w:hint="eastAsia" w:ascii="Times New Roman" w:eastAsia="方正仿宋_GBK" w:cs="Times New Roman"/>
          <w:bCs/>
          <w:sz w:val="32"/>
          <w:szCs w:val="32"/>
          <w:lang w:val="en-US" w:eastAsia="zh-CN"/>
        </w:rPr>
        <w:t xml:space="preserve"> </w:t>
      </w:r>
      <w:r>
        <w:rPr>
          <w:rFonts w:hint="default" w:ascii="Times New Roman" w:hAnsi="Times New Roman" w:eastAsia="方正仿宋_GBK" w:cs="Times New Roman"/>
          <w:bCs/>
          <w:sz w:val="32"/>
          <w:szCs w:val="32"/>
          <w:lang w:val="zh-CN" w:eastAsia="zh-CN"/>
        </w:rPr>
        <w:t>严格执行相关环境保护法律法规</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坚持规划和工程环境影响评价，有效保护生态环境。实现工程建设与生态环境保护“三同时”，达到工程经济效益与社会、环境效益相统一。</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zh-CN" w:eastAsia="zh-CN"/>
        </w:rPr>
      </w:pPr>
      <w:r>
        <w:rPr>
          <w:rFonts w:hint="eastAsia" w:ascii="Times New Roman" w:hAnsi="Times New Roman" w:eastAsia="方正仿宋_GBK" w:cs="Times New Roman"/>
          <w:bCs/>
          <w:sz w:val="32"/>
          <w:szCs w:val="32"/>
          <w:lang w:val="en-US" w:eastAsia="zh-CN"/>
        </w:rPr>
        <w:t>1.4</w:t>
      </w:r>
      <w:r>
        <w:rPr>
          <w:rFonts w:hint="eastAsia" w:ascii="Times New Roman" w:eastAsia="方正仿宋_GBK" w:cs="Times New Roman"/>
          <w:bCs/>
          <w:sz w:val="32"/>
          <w:szCs w:val="32"/>
          <w:lang w:val="en-US" w:eastAsia="zh-CN"/>
        </w:rPr>
        <w:t xml:space="preserve"> </w:t>
      </w:r>
      <w:r>
        <w:rPr>
          <w:rFonts w:hint="default" w:ascii="Times New Roman" w:hAnsi="Times New Roman" w:eastAsia="方正仿宋_GBK" w:cs="Times New Roman"/>
          <w:bCs/>
          <w:sz w:val="32"/>
          <w:szCs w:val="32"/>
          <w:lang w:val="zh-CN" w:eastAsia="zh-CN"/>
        </w:rPr>
        <w:t>加强水资源保护管理</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推进水资源保护的协调机制建设、法制建设、水功能区规范化管理与水行政执法；加强水资源保护规划工作；加强饮用水源地水质保护；完善流域重大水污染事件应急工作机制；加强水资源保护能力建设；以水功能区管理和入河排污口管理为基础，加强监督管理；积极推进生态文明建设，保障流域饮水安全和生态安全。</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zh-CN" w:eastAsia="zh-CN"/>
        </w:rPr>
      </w:pPr>
      <w:r>
        <w:rPr>
          <w:rFonts w:hint="eastAsia" w:ascii="Times New Roman" w:hAnsi="Times New Roman" w:eastAsia="方正仿宋_GBK" w:cs="Times New Roman"/>
          <w:bCs/>
          <w:sz w:val="32"/>
          <w:szCs w:val="32"/>
          <w:lang w:val="en-US" w:eastAsia="zh-CN"/>
        </w:rPr>
        <w:t>1.5</w:t>
      </w:r>
      <w:r>
        <w:rPr>
          <w:rFonts w:hint="eastAsia" w:ascii="Times New Roman" w:eastAsia="方正仿宋_GBK" w:cs="Times New Roman"/>
          <w:bCs/>
          <w:sz w:val="32"/>
          <w:szCs w:val="32"/>
          <w:lang w:val="en-US" w:eastAsia="zh-CN"/>
        </w:rPr>
        <w:t xml:space="preserve"> </w:t>
      </w:r>
      <w:r>
        <w:rPr>
          <w:rFonts w:hint="default" w:ascii="Times New Roman" w:hAnsi="Times New Roman" w:eastAsia="方正仿宋_GBK" w:cs="Times New Roman"/>
          <w:bCs/>
          <w:sz w:val="32"/>
          <w:szCs w:val="32"/>
          <w:lang w:val="zh-CN" w:eastAsia="zh-CN"/>
        </w:rPr>
        <w:t>完善水库调度方式，保障河流生态环境需水量</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为了维护綦江干流和支流的生态系统健康，统筹供水、灌溉等与生态的关系，建立生态可持续的水库调度模式，应运用先进的调度技术和手段，使藻渡水库等对坝下游生态造成的负面影响控制在可承受的范围内，并逐步修复生态与环境系统。保障河流生态基流，生态流量最低不得小于坝址多年平均流量的</w:t>
      </w:r>
      <w:r>
        <w:rPr>
          <w:rFonts w:hint="default" w:ascii="Times New Roman" w:hAnsi="Times New Roman" w:eastAsia="方正仿宋_GBK" w:cs="Times New Roman"/>
          <w:bCs/>
          <w:sz w:val="32"/>
          <w:szCs w:val="32"/>
          <w:lang w:val="en-US" w:eastAsia="zh-CN"/>
        </w:rPr>
        <w:t>10%；采</w:t>
      </w:r>
      <w:r>
        <w:rPr>
          <w:rFonts w:hint="default" w:ascii="Times New Roman" w:hAnsi="Times New Roman" w:eastAsia="方正仿宋_GBK" w:cs="Times New Roman"/>
          <w:bCs/>
          <w:spacing w:val="-6"/>
          <w:sz w:val="32"/>
          <w:szCs w:val="32"/>
          <w:lang w:val="en-US" w:eastAsia="zh-CN"/>
        </w:rPr>
        <w:t>取水温恢复措施，减小低温水下泄对农作物及下游水生生态的影</w:t>
      </w:r>
      <w:r>
        <w:rPr>
          <w:rFonts w:hint="default" w:ascii="Times New Roman" w:hAnsi="Times New Roman" w:eastAsia="方正仿宋_GBK" w:cs="Times New Roman"/>
          <w:bCs/>
          <w:sz w:val="32"/>
          <w:szCs w:val="32"/>
          <w:lang w:val="en-US" w:eastAsia="zh-CN"/>
        </w:rPr>
        <w:t>响。</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2</w:t>
      </w:r>
      <w:r>
        <w:rPr>
          <w:rFonts w:hint="eastAsia" w:ascii="Times New Roman" w:eastAsia="方正仿宋_GBK" w:cs="Times New Roman"/>
          <w:sz w:val="32"/>
          <w:szCs w:val="32"/>
          <w:lang w:val="en-US" w:eastAsia="zh-CN"/>
        </w:rPr>
        <w:t>．</w:t>
      </w:r>
      <w:r>
        <w:rPr>
          <w:rFonts w:hint="default" w:ascii="Times New Roman" w:hAnsi="Times New Roman" w:eastAsia="方正仿宋_GBK" w:cs="Times New Roman"/>
          <w:bCs/>
          <w:sz w:val="32"/>
          <w:szCs w:val="32"/>
          <w:lang w:val="en-US" w:eastAsia="zh-CN"/>
        </w:rPr>
        <w:t>生态环境保护</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zh-CN" w:eastAsia="zh-CN"/>
        </w:rPr>
      </w:pPr>
      <w:r>
        <w:rPr>
          <w:rFonts w:hint="eastAsia" w:ascii="Times New Roman" w:hAnsi="Times New Roman" w:eastAsia="方正仿宋_GBK" w:cs="Times New Roman"/>
          <w:bCs/>
          <w:sz w:val="32"/>
          <w:szCs w:val="32"/>
          <w:lang w:val="en-US" w:eastAsia="zh-CN"/>
        </w:rPr>
        <w:t>2.1</w:t>
      </w:r>
      <w:r>
        <w:rPr>
          <w:rFonts w:hint="eastAsia" w:ascii="Times New Roman" w:eastAsia="方正仿宋_GBK" w:cs="Times New Roman"/>
          <w:bCs/>
          <w:sz w:val="32"/>
          <w:szCs w:val="32"/>
          <w:lang w:val="en-US" w:eastAsia="zh-CN"/>
        </w:rPr>
        <w:t xml:space="preserve"> </w:t>
      </w:r>
      <w:r>
        <w:rPr>
          <w:rFonts w:hint="default" w:ascii="Times New Roman" w:hAnsi="Times New Roman" w:eastAsia="方正仿宋_GBK" w:cs="Times New Roman"/>
          <w:bCs/>
          <w:sz w:val="32"/>
          <w:szCs w:val="32"/>
          <w:lang w:val="zh-CN" w:eastAsia="zh-CN"/>
        </w:rPr>
        <w:t>陆生生态</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加强原生植被的保护与修复；尽可能减少对农田和植被的淹没及占用，注重与国家正在实施的天然林资源保护、退耕还林防护林体系建设等相衔接；具体工程实施过程中，珍稀、濒危植物或其他有保护价值的植物受到不利影响时，应采取工程防护、移栽、引种繁殖栽培、种质库保存和管理等措施；认真贯彻野生动物保护法规，加强宣传教育，严禁捕杀野生动物、乱砍滥伐。</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zh-CN" w:eastAsia="zh-CN"/>
        </w:rPr>
      </w:pPr>
      <w:r>
        <w:rPr>
          <w:rFonts w:hint="eastAsia" w:ascii="Times New Roman" w:hAnsi="Times New Roman" w:eastAsia="方正仿宋_GBK" w:cs="Times New Roman"/>
          <w:bCs/>
          <w:sz w:val="32"/>
          <w:szCs w:val="32"/>
          <w:lang w:val="en-US" w:eastAsia="zh-CN"/>
        </w:rPr>
        <w:t>2.2</w:t>
      </w:r>
      <w:r>
        <w:rPr>
          <w:rFonts w:hint="eastAsia" w:ascii="Times New Roman" w:eastAsia="方正仿宋_GBK" w:cs="Times New Roman"/>
          <w:bCs/>
          <w:sz w:val="32"/>
          <w:szCs w:val="32"/>
          <w:lang w:val="en-US" w:eastAsia="zh-CN"/>
        </w:rPr>
        <w:t xml:space="preserve"> </w:t>
      </w:r>
      <w:r>
        <w:rPr>
          <w:rFonts w:hint="default" w:ascii="Times New Roman" w:hAnsi="Times New Roman" w:eastAsia="方正仿宋_GBK" w:cs="Times New Roman"/>
          <w:bCs/>
          <w:sz w:val="32"/>
          <w:szCs w:val="32"/>
          <w:lang w:val="zh-CN" w:eastAsia="zh-CN"/>
        </w:rPr>
        <w:t>水生生态</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2.2.1</w:t>
      </w:r>
      <w:r>
        <w:rPr>
          <w:rFonts w:hint="eastAsia" w:ascii="Times New Roman" w:eastAsia="方正仿宋_GBK" w:cs="Times New Roman"/>
          <w:bCs/>
          <w:sz w:val="32"/>
          <w:szCs w:val="32"/>
          <w:lang w:val="en-US" w:eastAsia="zh-CN"/>
        </w:rPr>
        <w:t xml:space="preserve"> </w:t>
      </w:r>
      <w:r>
        <w:rPr>
          <w:rFonts w:hint="default" w:ascii="Times New Roman" w:hAnsi="Times New Roman" w:eastAsia="方正仿宋_GBK" w:cs="Times New Roman"/>
          <w:bCs/>
          <w:sz w:val="32"/>
          <w:szCs w:val="32"/>
          <w:lang w:val="en-US" w:eastAsia="zh-CN"/>
        </w:rPr>
        <w:t>维护河流生态基流</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规划藻渡水库建成后必将会造成坝下游一定距离的河段水量减少。为维护河段生态系统的基本生态需水，在水库建设的施工期、水库蓄水初期和运行期均应严格按照各控制节点河流生态需水要求下泄生态流量。规划项目实施阶段应根据施工规划、工程布置及调度运行方式，进一步研究确定水库最终的生态流量泄放量及泄放方式。</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2.2.2</w:t>
      </w:r>
      <w:r>
        <w:rPr>
          <w:rFonts w:hint="eastAsia" w:ascii="Times New Roman" w:eastAsia="方正仿宋_GBK" w:cs="Times New Roman"/>
          <w:bCs/>
          <w:sz w:val="32"/>
          <w:szCs w:val="32"/>
          <w:lang w:val="en-US" w:eastAsia="zh-CN"/>
        </w:rPr>
        <w:t xml:space="preserve"> </w:t>
      </w:r>
      <w:r>
        <w:rPr>
          <w:rFonts w:hint="default" w:ascii="Times New Roman" w:hAnsi="Times New Roman" w:eastAsia="方正仿宋_GBK" w:cs="Times New Roman"/>
          <w:bCs/>
          <w:sz w:val="32"/>
          <w:szCs w:val="32"/>
          <w:lang w:val="en-US" w:eastAsia="zh-CN"/>
        </w:rPr>
        <w:t>栖息地保护</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结合流域环境现状及规划对流域水生生态的影响分析，对部分河段设立水生生物保护区，保持河段的天然状态，保护綦江流域珍稀、特有鱼类资源。</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2.2.3</w:t>
      </w:r>
      <w:r>
        <w:rPr>
          <w:rFonts w:hint="eastAsia" w:ascii="Times New Roman" w:eastAsia="方正仿宋_GBK" w:cs="Times New Roman"/>
          <w:bCs/>
          <w:sz w:val="32"/>
          <w:szCs w:val="32"/>
          <w:lang w:val="en-US" w:eastAsia="zh-CN"/>
        </w:rPr>
        <w:t xml:space="preserve"> </w:t>
      </w:r>
      <w:r>
        <w:rPr>
          <w:rFonts w:hint="default" w:ascii="Times New Roman" w:hAnsi="Times New Roman" w:eastAsia="方正仿宋_GBK" w:cs="Times New Roman"/>
          <w:bCs/>
          <w:sz w:val="32"/>
          <w:szCs w:val="32"/>
          <w:lang w:val="en-US" w:eastAsia="zh-CN"/>
        </w:rPr>
        <w:t>开展鱼类增殖放流</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在项目实施过程中，针对当地主要鱼类及特有鱼类制定有针对性的保护措施。根据工程建设对水生生境及鱼类资源的影响情况，从流域的角度统筹考虑采取增殖放流、鱼类栖息地保护、过鱼设施等生境修复或补偿措施。</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规划实施过程中，应结合水生态背景调查成果和水库枢纽的布置情况论证大坝阻隔对鱼类资源的影响，从流域的角度统筹考虑研究并确定鱼类增殖放流方式。</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2.2.4</w:t>
      </w:r>
      <w:r>
        <w:rPr>
          <w:rFonts w:hint="eastAsia" w:ascii="Times New Roman" w:eastAsia="方正仿宋_GBK" w:cs="Times New Roman"/>
          <w:bCs/>
          <w:sz w:val="32"/>
          <w:szCs w:val="32"/>
          <w:lang w:val="en-US" w:eastAsia="zh-CN"/>
        </w:rPr>
        <w:t xml:space="preserve"> </w:t>
      </w:r>
      <w:r>
        <w:rPr>
          <w:rFonts w:hint="default" w:ascii="Times New Roman" w:hAnsi="Times New Roman" w:eastAsia="方正仿宋_GBK" w:cs="Times New Roman"/>
          <w:bCs/>
          <w:sz w:val="32"/>
          <w:szCs w:val="32"/>
          <w:lang w:val="en-US" w:eastAsia="zh-CN"/>
        </w:rPr>
        <w:t>过鱼设施</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根据《中华人民共和国水法》第二十七条规定：在水生生物洄游通道、通航或者竹木流放的河流上修建永久性拦河闸坝，建设单位应当同时修建过鱼、过船、过木设施，或者经国务院授权的部门批准采取其他补救措施。因此，藻渡水库工程应考虑建设过鱼设施，保证鱼类种群遗传交流。</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2.2.5</w:t>
      </w:r>
      <w:r>
        <w:rPr>
          <w:rFonts w:hint="eastAsia" w:ascii="Times New Roman" w:eastAsia="方正仿宋_GBK" w:cs="Times New Roman"/>
          <w:bCs/>
          <w:sz w:val="32"/>
          <w:szCs w:val="32"/>
          <w:lang w:val="en-US" w:eastAsia="zh-CN"/>
        </w:rPr>
        <w:t xml:space="preserve"> </w:t>
      </w:r>
      <w:r>
        <w:rPr>
          <w:rFonts w:hint="default" w:ascii="Times New Roman" w:hAnsi="Times New Roman" w:eastAsia="方正仿宋_GBK" w:cs="Times New Roman"/>
          <w:bCs/>
          <w:sz w:val="32"/>
          <w:szCs w:val="32"/>
          <w:lang w:val="en-US" w:eastAsia="zh-CN"/>
        </w:rPr>
        <w:t>加强生态影响的管理措施</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规划工程实施尽量避开水生生物繁殖高峰季节（</w:t>
      </w:r>
      <w:r>
        <w:rPr>
          <w:rFonts w:hint="default" w:ascii="Times New Roman" w:hAnsi="Times New Roman" w:eastAsia="方正仿宋_GBK" w:cs="Times New Roman"/>
          <w:bCs/>
          <w:sz w:val="32"/>
          <w:szCs w:val="32"/>
          <w:lang w:val="en-US" w:eastAsia="zh-CN"/>
        </w:rPr>
        <w:t>4月</w:t>
      </w:r>
      <w:r>
        <w:rPr>
          <w:rFonts w:hint="eastAsia" w:ascii="Times New Roman" w:eastAsia="方正仿宋_GBK" w:cs="Times New Roman"/>
          <w:bCs/>
          <w:sz w:val="32"/>
          <w:szCs w:val="32"/>
          <w:lang w:val="en-US" w:eastAsia="zh-CN"/>
        </w:rPr>
        <w:t>—</w:t>
      </w:r>
      <w:r>
        <w:rPr>
          <w:rFonts w:hint="default" w:ascii="Times New Roman" w:hAnsi="Times New Roman" w:eastAsia="方正仿宋_GBK" w:cs="Times New Roman"/>
          <w:bCs/>
          <w:sz w:val="32"/>
          <w:szCs w:val="32"/>
          <w:lang w:val="en-US" w:eastAsia="zh-CN"/>
        </w:rPr>
        <w:t>7月）；对施工人员、渔民、沿岸居民进行生态环境保护宣传教育，使其自觉履行环保职责，保护</w:t>
      </w:r>
      <w:r>
        <w:rPr>
          <w:rFonts w:hint="eastAsia" w:ascii="Times New Roman" w:hAnsi="Times New Roman" w:eastAsia="方正仿宋_GBK" w:cs="Times New Roman"/>
          <w:bCs/>
          <w:sz w:val="32"/>
          <w:szCs w:val="32"/>
          <w:lang w:val="en-US" w:eastAsia="zh-CN"/>
        </w:rPr>
        <w:t>綦江</w:t>
      </w:r>
      <w:r>
        <w:rPr>
          <w:rFonts w:hint="default" w:ascii="Times New Roman" w:hAnsi="Times New Roman" w:eastAsia="方正仿宋_GBK" w:cs="Times New Roman"/>
          <w:bCs/>
          <w:sz w:val="32"/>
          <w:szCs w:val="32"/>
          <w:lang w:val="en-US" w:eastAsia="zh-CN"/>
        </w:rPr>
        <w:t>水域生态环境。加强渔政管理，采取禁渔措施，严禁非法捕捞野生鱼类，保护鱼类繁殖群体，避免对渔业资源的破坏。</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2.2.6</w:t>
      </w:r>
      <w:r>
        <w:rPr>
          <w:rFonts w:hint="eastAsia" w:ascii="Times New Roman" w:eastAsia="方正仿宋_GBK" w:cs="Times New Roman"/>
          <w:bCs/>
          <w:sz w:val="32"/>
          <w:szCs w:val="32"/>
          <w:lang w:val="en-US" w:eastAsia="zh-CN"/>
        </w:rPr>
        <w:t xml:space="preserve"> </w:t>
      </w:r>
      <w:r>
        <w:rPr>
          <w:rFonts w:hint="default" w:ascii="Times New Roman" w:hAnsi="Times New Roman" w:eastAsia="方正仿宋_GBK" w:cs="Times New Roman"/>
          <w:bCs/>
          <w:sz w:val="32"/>
          <w:szCs w:val="32"/>
          <w:lang w:val="en-US" w:eastAsia="zh-CN"/>
        </w:rPr>
        <w:t>加强水生生物监测</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加强水生生物监测措施。结合规划对水生生物的影响分析，对綦江干流及支流实施水生生物监测，监测内容主要是浮游植物、浮游动物、底栖动物、水生维管束植物种类组成和现存量（生物量和密度），鱼类群落结构和渔业资源动态，并进行总体规划布局，分区域监测。其中，对《重庆市重点保护水生野生动物名录》的有</w:t>
      </w:r>
      <w:r>
        <w:rPr>
          <w:rFonts w:hint="default" w:ascii="Times New Roman" w:hAnsi="Times New Roman" w:eastAsia="方正仿宋_GBK" w:cs="Times New Roman"/>
          <w:bCs/>
          <w:sz w:val="32"/>
          <w:szCs w:val="32"/>
          <w:lang w:val="en-US" w:eastAsia="zh-CN"/>
        </w:rPr>
        <w:t>细磷裂腹鱼、岩原鲤、长薄鳅、四川华吸鳅</w:t>
      </w:r>
      <w:r>
        <w:rPr>
          <w:rFonts w:hint="eastAsia" w:ascii="Times New Roman" w:hAnsi="Times New Roman" w:eastAsia="方正仿宋_GBK" w:cs="Times New Roman"/>
          <w:bCs/>
          <w:sz w:val="32"/>
          <w:szCs w:val="32"/>
          <w:lang w:val="en-US" w:eastAsia="zh-CN"/>
        </w:rPr>
        <w:t>等，以及长江上游特有鱼类应进行重点监测，将工程的不利影响降到最小程度。</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zh-CN" w:eastAsia="zh-CN"/>
        </w:rPr>
      </w:pPr>
      <w:r>
        <w:rPr>
          <w:rFonts w:hint="eastAsia" w:ascii="Times New Roman" w:hAnsi="Times New Roman" w:eastAsia="方正仿宋_GBK" w:cs="Times New Roman"/>
          <w:bCs/>
          <w:sz w:val="32"/>
          <w:szCs w:val="32"/>
          <w:lang w:val="en-US" w:eastAsia="zh-CN"/>
        </w:rPr>
        <w:t>2.3</w:t>
      </w:r>
      <w:r>
        <w:rPr>
          <w:rFonts w:hint="eastAsia" w:ascii="Times New Roman" w:eastAsia="方正仿宋_GBK" w:cs="Times New Roman"/>
          <w:bCs/>
          <w:sz w:val="32"/>
          <w:szCs w:val="32"/>
          <w:lang w:val="en-US" w:eastAsia="zh-CN"/>
        </w:rPr>
        <w:t xml:space="preserve"> </w:t>
      </w:r>
      <w:r>
        <w:rPr>
          <w:rFonts w:hint="default" w:ascii="Times New Roman" w:hAnsi="Times New Roman" w:eastAsia="方正仿宋_GBK" w:cs="Times New Roman"/>
          <w:bCs/>
          <w:sz w:val="32"/>
          <w:szCs w:val="32"/>
          <w:lang w:val="zh-CN" w:eastAsia="zh-CN"/>
        </w:rPr>
        <w:t>水土流失治理</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实施水土保持规划，使水土流失严重地区的生态环境得到显著改善，并向良性方向发展。按照有关法规，在单项工程的可行性研究及初步设计阶段，做好水土保持方案编制及水土保持勘测设计工作，使工程影响导致的新增水土流失得到有效控制，生态得以快速恢复。</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3</w:t>
      </w:r>
      <w:r>
        <w:rPr>
          <w:rFonts w:hint="eastAsia" w:ascii="Times New Roman" w:eastAsia="方正仿宋_GBK" w:cs="Times New Roman"/>
          <w:sz w:val="32"/>
          <w:szCs w:val="32"/>
          <w:lang w:val="en-US" w:eastAsia="zh-CN"/>
        </w:rPr>
        <w:t>．</w:t>
      </w:r>
      <w:r>
        <w:rPr>
          <w:rFonts w:hint="default" w:ascii="Times New Roman" w:hAnsi="Times New Roman" w:eastAsia="方正仿宋_GBK" w:cs="Times New Roman"/>
          <w:bCs/>
          <w:sz w:val="32"/>
          <w:szCs w:val="32"/>
          <w:lang w:val="en-US" w:eastAsia="zh-CN"/>
        </w:rPr>
        <w:t>环境敏感区保护</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根据规划工程与环境敏感区的位置关系识别，藻渡水库涉及饮用水源保护区。对于藻渡水库涉及赶水镇藻渡河饮用水源保护区，在藻渡水库施工期间，拟停用赶水镇藻渡水厂取水口，改由铁石垭水厂供水，以保证赶水镇的供水安全。保护供水水源，对具有供水任务的藻渡水库一定范围内划定为饮用水源地保护区；在水源保护范围内，禁止农业、生活等各类污染。</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4</w:t>
      </w:r>
      <w:r>
        <w:rPr>
          <w:rFonts w:hint="eastAsia" w:ascii="Times New Roman" w:eastAsia="方正仿宋_GBK" w:cs="Times New Roman"/>
          <w:sz w:val="32"/>
          <w:szCs w:val="32"/>
          <w:lang w:val="en-US" w:eastAsia="zh-CN"/>
        </w:rPr>
        <w:t>．</w:t>
      </w:r>
      <w:r>
        <w:rPr>
          <w:rFonts w:hint="default" w:ascii="Times New Roman" w:hAnsi="Times New Roman" w:eastAsia="方正仿宋_GBK" w:cs="Times New Roman"/>
          <w:bCs/>
          <w:sz w:val="32"/>
          <w:szCs w:val="32"/>
          <w:lang w:val="en-US" w:eastAsia="zh-CN"/>
        </w:rPr>
        <w:t>社会环境保护</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4.1</w:t>
      </w:r>
      <w:r>
        <w:rPr>
          <w:rFonts w:hint="eastAsia" w:ascii="Times New Roman" w:eastAsia="方正仿宋_GBK" w:cs="Times New Roman"/>
          <w:bCs/>
          <w:sz w:val="32"/>
          <w:szCs w:val="32"/>
          <w:lang w:val="en-US" w:eastAsia="zh-CN"/>
        </w:rPr>
        <w:t xml:space="preserve"> </w:t>
      </w:r>
      <w:r>
        <w:rPr>
          <w:rFonts w:hint="default" w:ascii="Times New Roman" w:hAnsi="Times New Roman" w:eastAsia="方正仿宋_GBK" w:cs="Times New Roman"/>
          <w:bCs/>
          <w:sz w:val="32"/>
          <w:szCs w:val="32"/>
          <w:lang w:val="en-US" w:eastAsia="zh-CN"/>
        </w:rPr>
        <w:t>重视移民安置工作。结合本</w:t>
      </w:r>
      <w:r>
        <w:rPr>
          <w:rFonts w:hint="eastAsia" w:ascii="Times New Roman" w:hAnsi="Times New Roman" w:eastAsia="方正仿宋_GBK" w:cs="Times New Roman"/>
          <w:bCs/>
          <w:sz w:val="32"/>
          <w:szCs w:val="32"/>
          <w:lang w:val="en-US" w:eastAsia="zh-CN"/>
        </w:rPr>
        <w:t>防洪</w:t>
      </w:r>
      <w:r>
        <w:rPr>
          <w:rFonts w:hint="default" w:ascii="Times New Roman" w:hAnsi="Times New Roman" w:eastAsia="方正仿宋_GBK" w:cs="Times New Roman"/>
          <w:bCs/>
          <w:sz w:val="32"/>
          <w:szCs w:val="32"/>
          <w:lang w:val="en-US" w:eastAsia="zh-CN"/>
        </w:rPr>
        <w:t>规划及区域国民经济发展规划，采取合理有效的移民安置措施和开发方式，做好移民安置规划和后期扶持，如库区移民环境容量不能满足移民安置需要的，应考虑部分移民外迁安置，减轻库区土地的承载压力，多途径妥善安置移民，改善安置区生态环境，保障和改善移民生活，维护库区社会稳定。</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4.2</w:t>
      </w:r>
      <w:r>
        <w:rPr>
          <w:rFonts w:hint="eastAsia" w:ascii="Times New Roman" w:eastAsia="方正仿宋_GBK" w:cs="Times New Roman"/>
          <w:bCs/>
          <w:sz w:val="32"/>
          <w:szCs w:val="32"/>
          <w:lang w:val="en-US" w:eastAsia="zh-CN"/>
        </w:rPr>
        <w:t xml:space="preserve"> </w:t>
      </w:r>
      <w:r>
        <w:rPr>
          <w:rFonts w:hint="default" w:ascii="Times New Roman" w:hAnsi="Times New Roman" w:eastAsia="方正仿宋_GBK" w:cs="Times New Roman"/>
          <w:bCs/>
          <w:sz w:val="32"/>
          <w:szCs w:val="32"/>
          <w:lang w:val="en-US" w:eastAsia="zh-CN"/>
        </w:rPr>
        <w:t>认真贯彻落实党和国家的民族政策和宗教政策，尊重少数</w:t>
      </w:r>
      <w:r>
        <w:rPr>
          <w:rFonts w:hint="default" w:ascii="Times New Roman" w:hAnsi="Times New Roman" w:eastAsia="方正仿宋_GBK" w:cs="Times New Roman"/>
          <w:bCs/>
          <w:spacing w:val="-6"/>
          <w:sz w:val="32"/>
          <w:szCs w:val="32"/>
          <w:lang w:val="en-US" w:eastAsia="zh-CN"/>
        </w:rPr>
        <w:t>民族移民群众的风俗习惯，及时做好与少数民族群众的沟通和协</w:t>
      </w:r>
      <w:r>
        <w:rPr>
          <w:rFonts w:hint="default" w:ascii="Times New Roman" w:hAnsi="Times New Roman" w:eastAsia="方正仿宋_GBK" w:cs="Times New Roman"/>
          <w:bCs/>
          <w:sz w:val="32"/>
          <w:szCs w:val="32"/>
          <w:lang w:val="en-US" w:eastAsia="zh-CN"/>
        </w:rPr>
        <w:t>调。</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4.3</w:t>
      </w:r>
      <w:r>
        <w:rPr>
          <w:rFonts w:hint="eastAsia" w:ascii="Times New Roman" w:eastAsia="方正仿宋_GBK" w:cs="Times New Roman"/>
          <w:bCs/>
          <w:sz w:val="32"/>
          <w:szCs w:val="32"/>
          <w:lang w:val="en-US" w:eastAsia="zh-CN"/>
        </w:rPr>
        <w:t xml:space="preserve"> </w:t>
      </w:r>
      <w:r>
        <w:rPr>
          <w:rFonts w:hint="default" w:ascii="Times New Roman" w:hAnsi="Times New Roman" w:eastAsia="方正仿宋_GBK" w:cs="Times New Roman"/>
          <w:bCs/>
          <w:sz w:val="32"/>
          <w:szCs w:val="32"/>
          <w:lang w:val="en-US" w:eastAsia="zh-CN"/>
        </w:rPr>
        <w:t>避免或尽量少占耕地，严格执行《基本农田保护条例》，特别要加强保护</w:t>
      </w:r>
      <w:r>
        <w:rPr>
          <w:rFonts w:hint="eastAsia" w:ascii="Times New Roman" w:hAnsi="Times New Roman" w:eastAsia="方正仿宋_GBK" w:cs="Times New Roman"/>
          <w:bCs/>
          <w:sz w:val="32"/>
          <w:szCs w:val="32"/>
          <w:lang w:val="en-US" w:eastAsia="zh-CN"/>
        </w:rPr>
        <w:t>永久</w:t>
      </w:r>
      <w:r>
        <w:rPr>
          <w:rFonts w:hint="default" w:ascii="Times New Roman" w:hAnsi="Times New Roman" w:eastAsia="方正仿宋_GBK" w:cs="Times New Roman"/>
          <w:bCs/>
          <w:sz w:val="32"/>
          <w:szCs w:val="32"/>
          <w:lang w:val="en-US" w:eastAsia="zh-CN"/>
        </w:rPr>
        <w:t>基本农田及耕地，做好</w:t>
      </w:r>
      <w:r>
        <w:rPr>
          <w:rFonts w:hint="eastAsia" w:ascii="Times New Roman" w:hAnsi="Times New Roman" w:eastAsia="方正仿宋_GBK" w:cs="Times New Roman"/>
          <w:bCs/>
          <w:sz w:val="32"/>
          <w:szCs w:val="32"/>
          <w:lang w:val="en-US" w:eastAsia="zh-CN"/>
        </w:rPr>
        <w:t>永久</w:t>
      </w:r>
      <w:r>
        <w:rPr>
          <w:rFonts w:hint="default" w:ascii="Times New Roman" w:hAnsi="Times New Roman" w:eastAsia="方正仿宋_GBK" w:cs="Times New Roman"/>
          <w:bCs/>
          <w:sz w:val="32"/>
          <w:szCs w:val="32"/>
          <w:lang w:val="en-US" w:eastAsia="zh-CN"/>
        </w:rPr>
        <w:t>基本农田保护工作；工程临时占地应及时进行复垦；做好规划工程建设在用地方面的可行性论证工作。</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4.4</w:t>
      </w:r>
      <w:r>
        <w:rPr>
          <w:rFonts w:hint="eastAsia" w:ascii="Times New Roman" w:eastAsia="方正仿宋_GBK" w:cs="Times New Roman"/>
          <w:bCs/>
          <w:sz w:val="32"/>
          <w:szCs w:val="32"/>
          <w:lang w:val="en-US" w:eastAsia="zh-CN"/>
        </w:rPr>
        <w:t xml:space="preserve"> </w:t>
      </w:r>
      <w:r>
        <w:rPr>
          <w:rFonts w:hint="default" w:ascii="Times New Roman" w:hAnsi="Times New Roman" w:eastAsia="方正仿宋_GBK" w:cs="Times New Roman"/>
          <w:bCs/>
          <w:sz w:val="32"/>
          <w:szCs w:val="32"/>
          <w:lang w:val="en-US" w:eastAsia="zh-CN"/>
        </w:rPr>
        <w:t>注重文物、景观保护。根据文物保护法律、法规的规定，对可能受淹没和影响的文物进行易地搬迁或重建；在景区资源附近的开发利用活动应同各景区规划相协调。</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default"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4.5</w:t>
      </w:r>
      <w:r>
        <w:rPr>
          <w:rFonts w:hint="eastAsia" w:ascii="Times New Roman" w:eastAsia="方正仿宋_GBK" w:cs="Times New Roman"/>
          <w:bCs/>
          <w:sz w:val="32"/>
          <w:szCs w:val="32"/>
          <w:lang w:val="en-US" w:eastAsia="zh-CN"/>
        </w:rPr>
        <w:t xml:space="preserve"> </w:t>
      </w:r>
      <w:r>
        <w:rPr>
          <w:rFonts w:hint="default" w:ascii="Times New Roman" w:hAnsi="Times New Roman" w:eastAsia="方正仿宋_GBK" w:cs="Times New Roman"/>
          <w:bCs/>
          <w:sz w:val="32"/>
          <w:szCs w:val="32"/>
          <w:lang w:val="en-US" w:eastAsia="zh-CN"/>
        </w:rPr>
        <w:t>具体工程施工前，对施工区进行卫生清理。对新进入施工区的人群进行卫生检疫。加强对施工区饮食的卫生监督与管理，</w:t>
      </w:r>
      <w:r>
        <w:rPr>
          <w:rFonts w:hint="default" w:ascii="Times New Roman" w:hAnsi="Times New Roman" w:eastAsia="方正仿宋_GBK" w:cs="Times New Roman"/>
          <w:bCs/>
          <w:spacing w:val="-6"/>
          <w:sz w:val="32"/>
          <w:szCs w:val="32"/>
          <w:lang w:val="en-US" w:eastAsia="zh-CN"/>
        </w:rPr>
        <w:t>保证饮食和饮水卫生与安全。加强施工期卫生防疫及保健知识宣</w:t>
      </w:r>
      <w:r>
        <w:rPr>
          <w:rFonts w:hint="default" w:ascii="Times New Roman" w:hAnsi="Times New Roman" w:eastAsia="方正仿宋_GBK" w:cs="Times New Roman"/>
          <w:bCs/>
          <w:sz w:val="32"/>
          <w:szCs w:val="32"/>
          <w:lang w:val="en-US" w:eastAsia="zh-CN"/>
        </w:rPr>
        <w:t>传。</w:t>
      </w:r>
    </w:p>
    <w:p>
      <w:pPr>
        <w:keepNext w:val="0"/>
        <w:keepLines w:val="0"/>
        <w:pageBreakBefore w:val="0"/>
        <w:widowControl w:val="0"/>
        <w:kinsoku/>
        <w:wordWrap/>
        <w:overflowPunct/>
        <w:topLinePunct w:val="0"/>
        <w:autoSpaceDE/>
        <w:autoSpaceDN/>
        <w:bidi w:val="0"/>
        <w:adjustRightInd/>
        <w:snapToGrid/>
        <w:ind w:firstLine="640" w:firstLineChars="200"/>
        <w:textAlignment w:val="auto"/>
        <w:outlineLvl w:val="1"/>
        <w:rPr>
          <w:rFonts w:hint="eastAsia" w:ascii="方正楷体_GBK" w:hAnsi="方正楷体_GBK" w:eastAsia="方正楷体_GBK" w:cs="方正楷体_GBK"/>
          <w:bCs/>
          <w:sz w:val="32"/>
          <w:lang w:val="zh-CN"/>
        </w:rPr>
      </w:pPr>
      <w:bookmarkStart w:id="212" w:name="_Toc4918"/>
      <w:r>
        <w:rPr>
          <w:rFonts w:hint="eastAsia" w:ascii="方正楷体_GBK" w:hAnsi="方正楷体_GBK" w:eastAsia="方正楷体_GBK" w:cs="方正楷体_GBK"/>
          <w:bCs/>
          <w:sz w:val="32"/>
          <w:lang w:val="zh-CN"/>
        </w:rPr>
        <w:t>（</w:t>
      </w:r>
      <w:r>
        <w:rPr>
          <w:rFonts w:hint="eastAsia" w:ascii="方正楷体_GBK" w:hAnsi="方正楷体_GBK" w:eastAsia="方正楷体_GBK" w:cs="方正楷体_GBK"/>
          <w:bCs/>
          <w:sz w:val="32"/>
          <w:lang w:val="en-US" w:eastAsia="zh-CN"/>
        </w:rPr>
        <w:t>七</w:t>
      </w:r>
      <w:r>
        <w:rPr>
          <w:rFonts w:hint="eastAsia" w:ascii="方正楷体_GBK" w:hAnsi="方正楷体_GBK" w:eastAsia="方正楷体_GBK" w:cs="方正楷体_GBK"/>
          <w:bCs/>
          <w:sz w:val="32"/>
          <w:lang w:val="zh-CN"/>
        </w:rPr>
        <w:t>）环境监测与跟踪评价计划</w:t>
      </w:r>
      <w:bookmarkEnd w:id="212"/>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1</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bCs/>
          <w:sz w:val="32"/>
          <w:szCs w:val="32"/>
          <w:lang w:val="en-US" w:eastAsia="zh-CN"/>
        </w:rPr>
        <w:t>环境监测计划</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zh-CN" w:eastAsia="zh-CN"/>
        </w:rPr>
      </w:pPr>
      <w:r>
        <w:rPr>
          <w:rFonts w:hint="eastAsia" w:ascii="Times New Roman" w:hAnsi="Times New Roman" w:eastAsia="方正仿宋_GBK" w:cs="Times New Roman"/>
          <w:bCs/>
          <w:sz w:val="32"/>
          <w:szCs w:val="32"/>
          <w:lang w:val="en-US" w:eastAsia="zh-CN"/>
        </w:rPr>
        <w:t>1.1</w:t>
      </w:r>
      <w:r>
        <w:rPr>
          <w:rFonts w:hint="eastAsia" w:ascii="Times New Roman" w:eastAsia="方正仿宋_GBK" w:cs="Times New Roman"/>
          <w:bCs/>
          <w:sz w:val="32"/>
          <w:szCs w:val="32"/>
          <w:lang w:val="en-US" w:eastAsia="zh-CN"/>
        </w:rPr>
        <w:t xml:space="preserve"> </w:t>
      </w:r>
      <w:r>
        <w:rPr>
          <w:rFonts w:hint="eastAsia" w:ascii="Times New Roman" w:hAnsi="Times New Roman" w:eastAsia="方正仿宋_GBK" w:cs="Times New Roman"/>
          <w:bCs/>
          <w:sz w:val="32"/>
          <w:szCs w:val="32"/>
          <w:lang w:val="zh-CN" w:eastAsia="zh-CN"/>
        </w:rPr>
        <w:t>水环境监测</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1.1.1</w:t>
      </w:r>
      <w:r>
        <w:rPr>
          <w:rFonts w:hint="eastAsia" w:ascii="Times New Roman" w:eastAsia="方正仿宋_GBK" w:cs="Times New Roman"/>
          <w:bCs/>
          <w:sz w:val="32"/>
          <w:szCs w:val="32"/>
          <w:lang w:val="en-US" w:eastAsia="zh-CN"/>
        </w:rPr>
        <w:t xml:space="preserve"> </w:t>
      </w:r>
      <w:r>
        <w:rPr>
          <w:rFonts w:hint="eastAsia" w:ascii="Times New Roman" w:hAnsi="Times New Roman" w:eastAsia="方正仿宋_GBK" w:cs="Times New Roman"/>
          <w:bCs/>
          <w:sz w:val="32"/>
          <w:szCs w:val="32"/>
          <w:lang w:val="en-US" w:eastAsia="zh-CN"/>
        </w:rPr>
        <w:t>水温观测</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根据藻渡水库工程实施后水温时空变化及累计影响分析、预测结果，拟对水温影响较大的水库坝下分别设置水温观测断面，以掌握水温沿程变化，据此分析分层取水等水温恢复措施的运行效果，为优化工程运行方式提供依据。</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根据《环境监测技术规范》等有关水库水温贯彻规范规定要求，尽量与项目环评环境监测规划相协调，监测时段为环境本底和施工期观测2年，运行期观测3年。</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1.1.2</w:t>
      </w:r>
      <w:r>
        <w:rPr>
          <w:rFonts w:hint="eastAsia" w:ascii="Times New Roman" w:eastAsia="方正仿宋_GBK" w:cs="Times New Roman"/>
          <w:bCs/>
          <w:sz w:val="32"/>
          <w:szCs w:val="32"/>
          <w:lang w:val="en-US" w:eastAsia="zh-CN"/>
        </w:rPr>
        <w:t xml:space="preserve"> </w:t>
      </w:r>
      <w:r>
        <w:rPr>
          <w:rFonts w:hint="eastAsia" w:ascii="Times New Roman" w:hAnsi="Times New Roman" w:eastAsia="方正仿宋_GBK" w:cs="Times New Roman"/>
          <w:bCs/>
          <w:sz w:val="32"/>
          <w:szCs w:val="32"/>
          <w:lang w:val="en-US" w:eastAsia="zh-CN"/>
        </w:rPr>
        <w:t>水质监测</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在藻渡水库以及堤防加固工程、河道整治工程等河段分别设置监测断面。</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水质指标需重点关注pH、透明度、溶解氧、总磷、高锰酸钾指数、叶绿素a等。</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zh-CN" w:eastAsia="zh-CN"/>
        </w:rPr>
      </w:pPr>
      <w:r>
        <w:rPr>
          <w:rFonts w:hint="eastAsia" w:ascii="Times New Roman" w:hAnsi="Times New Roman" w:eastAsia="方正仿宋_GBK" w:cs="Times New Roman"/>
          <w:bCs/>
          <w:sz w:val="32"/>
          <w:szCs w:val="32"/>
          <w:lang w:val="en-US" w:eastAsia="zh-CN"/>
        </w:rPr>
        <w:t>1.2</w:t>
      </w:r>
      <w:r>
        <w:rPr>
          <w:rFonts w:hint="eastAsia" w:ascii="Times New Roman" w:eastAsia="方正仿宋_GBK" w:cs="Times New Roman"/>
          <w:bCs/>
          <w:sz w:val="32"/>
          <w:szCs w:val="32"/>
          <w:lang w:val="en-US" w:eastAsia="zh-CN"/>
        </w:rPr>
        <w:t xml:space="preserve"> </w:t>
      </w:r>
      <w:r>
        <w:rPr>
          <w:rFonts w:hint="eastAsia" w:ascii="Times New Roman" w:hAnsi="Times New Roman" w:eastAsia="方正仿宋_GBK" w:cs="Times New Roman"/>
          <w:bCs/>
          <w:sz w:val="32"/>
          <w:szCs w:val="32"/>
          <w:lang w:val="zh-CN" w:eastAsia="zh-CN"/>
        </w:rPr>
        <w:t>水生生态监测</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水生生态监测内容包括：浮游植物、浮游动物、底栖动物和水生维管束植物的种类组成、生物量等；鱼类的种类组成、种群结构、渔业资源量等。</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规划实施期间，在藻渡水库等的库区、坝下，以及綦江主城区河段等处设置水生态监测断面。</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zh-CN" w:eastAsia="zh-CN"/>
        </w:rPr>
      </w:pPr>
      <w:r>
        <w:rPr>
          <w:rFonts w:hint="eastAsia" w:ascii="Times New Roman" w:hAnsi="Times New Roman" w:eastAsia="方正仿宋_GBK" w:cs="Times New Roman"/>
          <w:bCs/>
          <w:sz w:val="32"/>
          <w:szCs w:val="32"/>
          <w:lang w:val="en-US" w:eastAsia="zh-CN"/>
        </w:rPr>
        <w:t>1.3</w:t>
      </w:r>
      <w:r>
        <w:rPr>
          <w:rFonts w:hint="eastAsia" w:ascii="Times New Roman" w:eastAsia="方正仿宋_GBK" w:cs="Times New Roman"/>
          <w:bCs/>
          <w:sz w:val="32"/>
          <w:szCs w:val="32"/>
          <w:lang w:val="en-US" w:eastAsia="zh-CN"/>
        </w:rPr>
        <w:t xml:space="preserve"> </w:t>
      </w:r>
      <w:r>
        <w:rPr>
          <w:rFonts w:hint="eastAsia" w:ascii="Times New Roman" w:hAnsi="Times New Roman" w:eastAsia="方正仿宋_GBK" w:cs="Times New Roman"/>
          <w:bCs/>
          <w:sz w:val="32"/>
          <w:szCs w:val="32"/>
          <w:lang w:val="zh-CN" w:eastAsia="zh-CN"/>
        </w:rPr>
        <w:t>陆生生态监测</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根据綦江城区防洪规划评价区的生态环境特点，采取路线调查与样方调查相结合的方法开展评价区域陆生生态调查，以掌握、了解评价区域陆生生态环境的变化及其发展趋势。此外，对集中移民安置区陆生生态环境进行调查。</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陆生生态调查的内容包括：</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①陆生生物生境及自然条件状况及变化情况；</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②评价区域植物资源状况、区系组成及特点，主要植被类型及分布；</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③评价区域景观生态类型及其变化趋势；</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④评价区域野生动物区系组成及特点、资源状况、生态类群及分布；</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pacing w:val="-6"/>
          <w:sz w:val="32"/>
          <w:szCs w:val="32"/>
          <w:lang w:val="en-US" w:eastAsia="zh-CN"/>
        </w:rPr>
      </w:pPr>
      <w:r>
        <w:rPr>
          <w:rFonts w:hint="eastAsia" w:ascii="Times New Roman" w:hAnsi="Times New Roman" w:eastAsia="方正仿宋_GBK" w:cs="Times New Roman"/>
          <w:bCs/>
          <w:sz w:val="32"/>
          <w:szCs w:val="32"/>
          <w:lang w:val="en-US" w:eastAsia="zh-CN"/>
        </w:rPr>
        <w:t>⑤珍稀</w:t>
      </w:r>
      <w:r>
        <w:rPr>
          <w:rFonts w:hint="eastAsia" w:ascii="Times New Roman" w:hAnsi="Times New Roman" w:eastAsia="方正仿宋_GBK" w:cs="Times New Roman"/>
          <w:bCs/>
          <w:spacing w:val="-6"/>
          <w:sz w:val="32"/>
          <w:szCs w:val="32"/>
          <w:lang w:val="en-US" w:eastAsia="zh-CN"/>
        </w:rPr>
        <w:t>、濒危、特有保护动植物种类、数量、分布及生长状况；</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zh-CN" w:eastAsia="zh-CN"/>
        </w:rPr>
      </w:pPr>
      <w:r>
        <w:rPr>
          <w:rFonts w:hint="eastAsia" w:ascii="Times New Roman" w:hAnsi="Times New Roman" w:eastAsia="方正仿宋_GBK" w:cs="Times New Roman"/>
          <w:bCs/>
          <w:sz w:val="32"/>
          <w:szCs w:val="32"/>
          <w:lang w:val="en-US" w:eastAsia="zh-CN"/>
        </w:rPr>
        <w:t>1.4</w:t>
      </w:r>
      <w:r>
        <w:rPr>
          <w:rFonts w:hint="eastAsia" w:ascii="Times New Roman" w:eastAsia="方正仿宋_GBK" w:cs="Times New Roman"/>
          <w:bCs/>
          <w:sz w:val="32"/>
          <w:szCs w:val="32"/>
          <w:lang w:val="en-US" w:eastAsia="zh-CN"/>
        </w:rPr>
        <w:t xml:space="preserve"> </w:t>
      </w:r>
      <w:r>
        <w:rPr>
          <w:rFonts w:hint="eastAsia" w:ascii="Times New Roman" w:hAnsi="Times New Roman" w:eastAsia="方正仿宋_GBK" w:cs="Times New Roman"/>
          <w:bCs/>
          <w:sz w:val="32"/>
          <w:szCs w:val="32"/>
          <w:lang w:val="zh-CN" w:eastAsia="zh-CN"/>
        </w:rPr>
        <w:t>社会环境调查</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1.4.1</w:t>
      </w:r>
      <w:r>
        <w:rPr>
          <w:rFonts w:hint="eastAsia" w:ascii="Times New Roman" w:eastAsia="方正仿宋_GBK" w:cs="Times New Roman"/>
          <w:bCs/>
          <w:sz w:val="32"/>
          <w:szCs w:val="32"/>
          <w:lang w:val="en-US" w:eastAsia="zh-CN"/>
        </w:rPr>
        <w:t xml:space="preserve"> </w:t>
      </w:r>
      <w:r>
        <w:rPr>
          <w:rFonts w:hint="eastAsia" w:ascii="Times New Roman" w:hAnsi="Times New Roman" w:eastAsia="方正仿宋_GBK" w:cs="Times New Roman"/>
          <w:bCs/>
          <w:sz w:val="32"/>
          <w:szCs w:val="32"/>
          <w:lang w:val="en-US" w:eastAsia="zh-CN"/>
        </w:rPr>
        <w:t>人群健康</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对规划项目中工程量较大、施工人员较密集处以及移民集中安置点设置人群健康监测点。根据疫情监控情况，在传染病流行季节和高发区域，对易感人群进行抽检。</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1.4.2</w:t>
      </w:r>
      <w:r>
        <w:rPr>
          <w:rFonts w:hint="eastAsia" w:ascii="Times New Roman" w:eastAsia="方正仿宋_GBK" w:cs="Times New Roman"/>
          <w:bCs/>
          <w:sz w:val="32"/>
          <w:szCs w:val="32"/>
          <w:lang w:val="en-US" w:eastAsia="zh-CN"/>
        </w:rPr>
        <w:t xml:space="preserve"> </w:t>
      </w:r>
      <w:r>
        <w:rPr>
          <w:rFonts w:hint="eastAsia" w:ascii="Times New Roman" w:hAnsi="Times New Roman" w:eastAsia="方正仿宋_GBK" w:cs="Times New Roman"/>
          <w:bCs/>
          <w:sz w:val="32"/>
          <w:szCs w:val="32"/>
          <w:lang w:val="en-US" w:eastAsia="zh-CN"/>
        </w:rPr>
        <w:t>文物古迹</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对受规划影响的文物古迹的保护与重建等情况进行调查。</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zh-CN" w:eastAsia="zh-CN"/>
        </w:rPr>
      </w:pPr>
      <w:r>
        <w:rPr>
          <w:rFonts w:hint="eastAsia" w:ascii="Times New Roman" w:hAnsi="Times New Roman" w:eastAsia="方正仿宋_GBK" w:cs="Times New Roman"/>
          <w:bCs/>
          <w:sz w:val="32"/>
          <w:szCs w:val="32"/>
          <w:lang w:val="en-US" w:eastAsia="zh-CN"/>
        </w:rPr>
        <w:t>1.5</w:t>
      </w:r>
      <w:r>
        <w:rPr>
          <w:rFonts w:hint="eastAsia" w:ascii="Times New Roman" w:eastAsia="方正仿宋_GBK" w:cs="Times New Roman"/>
          <w:bCs/>
          <w:sz w:val="32"/>
          <w:szCs w:val="32"/>
          <w:lang w:val="en-US" w:eastAsia="zh-CN"/>
        </w:rPr>
        <w:t xml:space="preserve"> </w:t>
      </w:r>
      <w:r>
        <w:rPr>
          <w:rFonts w:hint="eastAsia" w:ascii="Times New Roman" w:hAnsi="Times New Roman" w:eastAsia="方正仿宋_GBK" w:cs="Times New Roman"/>
          <w:bCs/>
          <w:sz w:val="32"/>
          <w:szCs w:val="32"/>
          <w:lang w:val="zh-CN" w:eastAsia="zh-CN"/>
        </w:rPr>
        <w:t>移民安置调查</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1.5.1</w:t>
      </w:r>
      <w:r>
        <w:rPr>
          <w:rFonts w:hint="eastAsia" w:ascii="Times New Roman" w:eastAsia="方正仿宋_GBK" w:cs="Times New Roman"/>
          <w:bCs/>
          <w:sz w:val="32"/>
          <w:szCs w:val="32"/>
          <w:lang w:val="en-US" w:eastAsia="zh-CN"/>
        </w:rPr>
        <w:t xml:space="preserve"> </w:t>
      </w:r>
      <w:r>
        <w:rPr>
          <w:rFonts w:hint="eastAsia" w:ascii="Times New Roman" w:hAnsi="Times New Roman" w:eastAsia="方正仿宋_GBK" w:cs="Times New Roman"/>
          <w:bCs/>
          <w:sz w:val="32"/>
          <w:szCs w:val="32"/>
          <w:lang w:val="en-US" w:eastAsia="zh-CN"/>
        </w:rPr>
        <w:t>调查对象</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考虑选择移民人数多，安置难度较大的藻渡水库等水库工程，开展跟踪调查与回访，调查对象分两部分，移民部分根据移民总人数的5%</w:t>
      </w:r>
      <w:r>
        <w:rPr>
          <w:rFonts w:hint="eastAsia" w:ascii="Times New Roman" w:eastAsia="方正仿宋_GBK" w:cs="Times New Roman"/>
          <w:bCs/>
          <w:sz w:val="32"/>
          <w:szCs w:val="32"/>
          <w:lang w:val="en-US" w:eastAsia="zh-CN"/>
        </w:rPr>
        <w:t>—</w:t>
      </w:r>
      <w:r>
        <w:rPr>
          <w:rFonts w:hint="eastAsia" w:ascii="Times New Roman" w:hAnsi="Times New Roman" w:eastAsia="方正仿宋_GBK" w:cs="Times New Roman"/>
          <w:bCs/>
          <w:sz w:val="32"/>
          <w:szCs w:val="32"/>
          <w:lang w:val="en-US" w:eastAsia="zh-CN"/>
        </w:rPr>
        <w:t>10%进行调查。另外，对移民安置地原有居民进行抽样调查。</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1.5.2</w:t>
      </w:r>
      <w:r>
        <w:rPr>
          <w:rFonts w:hint="eastAsia" w:ascii="Times New Roman" w:eastAsia="方正仿宋_GBK" w:cs="Times New Roman"/>
          <w:bCs/>
          <w:sz w:val="32"/>
          <w:szCs w:val="32"/>
          <w:lang w:val="en-US" w:eastAsia="zh-CN"/>
        </w:rPr>
        <w:t xml:space="preserve"> </w:t>
      </w:r>
      <w:r>
        <w:rPr>
          <w:rFonts w:hint="eastAsia" w:ascii="Times New Roman" w:hAnsi="Times New Roman" w:eastAsia="方正仿宋_GBK" w:cs="Times New Roman"/>
          <w:bCs/>
          <w:sz w:val="32"/>
          <w:szCs w:val="32"/>
          <w:lang w:val="en-US" w:eastAsia="zh-CN"/>
        </w:rPr>
        <w:t>调查方法与内容</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pacing w:val="-6"/>
          <w:sz w:val="32"/>
          <w:szCs w:val="32"/>
          <w:lang w:val="en-US" w:eastAsia="zh-CN"/>
        </w:rPr>
      </w:pPr>
      <w:r>
        <w:rPr>
          <w:rFonts w:hint="eastAsia" w:ascii="Times New Roman" w:hAnsi="Times New Roman" w:eastAsia="方正仿宋_GBK" w:cs="Times New Roman"/>
          <w:bCs/>
          <w:sz w:val="32"/>
          <w:szCs w:val="32"/>
          <w:lang w:val="en-US" w:eastAsia="zh-CN"/>
        </w:rPr>
        <w:t>采取</w:t>
      </w:r>
      <w:r>
        <w:rPr>
          <w:rFonts w:hint="eastAsia" w:ascii="Times New Roman" w:hAnsi="Times New Roman" w:eastAsia="方正仿宋_GBK" w:cs="Times New Roman"/>
          <w:bCs/>
          <w:spacing w:val="-6"/>
          <w:sz w:val="32"/>
          <w:szCs w:val="32"/>
          <w:lang w:val="en-US" w:eastAsia="zh-CN"/>
        </w:rPr>
        <w:t>走访、询问和填写调查表的调查方法，调查内容主要包括：</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移民安置区原有居民生活水平、就业状况、经济收入、健康状况、思想意识、文化教育、社会关系等的变化情况，综合评价移民的可持续发展能力。</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1.5.3</w:t>
      </w:r>
      <w:r>
        <w:rPr>
          <w:rFonts w:hint="eastAsia" w:ascii="Times New Roman" w:eastAsia="方正仿宋_GBK" w:cs="Times New Roman"/>
          <w:bCs/>
          <w:sz w:val="32"/>
          <w:szCs w:val="32"/>
          <w:lang w:val="en-US" w:eastAsia="zh-CN"/>
        </w:rPr>
        <w:t xml:space="preserve"> </w:t>
      </w:r>
      <w:r>
        <w:rPr>
          <w:rFonts w:hint="eastAsia" w:ascii="Times New Roman" w:hAnsi="Times New Roman" w:eastAsia="方正仿宋_GBK" w:cs="Times New Roman"/>
          <w:bCs/>
          <w:sz w:val="32"/>
          <w:szCs w:val="32"/>
          <w:lang w:val="en-US" w:eastAsia="zh-CN"/>
        </w:rPr>
        <w:t>调查时段与频次</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根据水库移民搬迁安置特点，拟定在移民搬迁前1年至搬迁后1、3、5、10年进行跟踪调查与回访，各年调查1次。</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2</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bCs/>
          <w:sz w:val="32"/>
          <w:szCs w:val="32"/>
          <w:lang w:val="en-US" w:eastAsia="zh-CN"/>
        </w:rPr>
        <w:t>环境影响跟踪评价</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为了解防洪规划实施后对流域生态环境的实际影响程度，建议在规划实施后组织环境影响跟踪评价。</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zh-CN" w:eastAsia="zh-CN"/>
        </w:rPr>
      </w:pPr>
      <w:r>
        <w:rPr>
          <w:rFonts w:hint="eastAsia" w:ascii="Times New Roman" w:hAnsi="Times New Roman" w:eastAsia="方正仿宋_GBK" w:cs="Times New Roman"/>
          <w:bCs/>
          <w:sz w:val="32"/>
          <w:szCs w:val="32"/>
          <w:lang w:val="en-US" w:eastAsia="zh-CN"/>
        </w:rPr>
        <w:t>2.1</w:t>
      </w:r>
      <w:r>
        <w:rPr>
          <w:rFonts w:hint="eastAsia" w:ascii="Times New Roman" w:eastAsia="方正仿宋_GBK" w:cs="Times New Roman"/>
          <w:bCs/>
          <w:sz w:val="32"/>
          <w:szCs w:val="32"/>
          <w:lang w:val="en-US" w:eastAsia="zh-CN"/>
        </w:rPr>
        <w:t xml:space="preserve"> </w:t>
      </w:r>
      <w:r>
        <w:rPr>
          <w:rFonts w:hint="eastAsia" w:ascii="Times New Roman" w:hAnsi="Times New Roman" w:eastAsia="方正仿宋_GBK" w:cs="Times New Roman"/>
          <w:bCs/>
          <w:sz w:val="32"/>
          <w:szCs w:val="32"/>
          <w:lang w:val="zh-CN" w:eastAsia="zh-CN"/>
        </w:rPr>
        <w:t>评价因子</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跟踪评价因子主要考虑规划方案实施后影响面广、影响时间长的环境因子，同时结合监测计划确定，包括对水资源、水温、水质、水生生物、陆生生物、水土流失、人群健康、移民等。</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zh-CN" w:eastAsia="zh-CN"/>
        </w:rPr>
      </w:pPr>
      <w:r>
        <w:rPr>
          <w:rFonts w:hint="eastAsia" w:ascii="Times New Roman" w:hAnsi="Times New Roman" w:eastAsia="方正仿宋_GBK" w:cs="Times New Roman"/>
          <w:bCs/>
          <w:sz w:val="32"/>
          <w:szCs w:val="32"/>
          <w:lang w:val="en-US" w:eastAsia="zh-CN"/>
        </w:rPr>
        <w:t>2.2</w:t>
      </w:r>
      <w:r>
        <w:rPr>
          <w:rFonts w:hint="eastAsia" w:ascii="Times New Roman" w:eastAsia="方正仿宋_GBK" w:cs="Times New Roman"/>
          <w:bCs/>
          <w:sz w:val="32"/>
          <w:szCs w:val="32"/>
          <w:lang w:val="en-US" w:eastAsia="zh-CN"/>
        </w:rPr>
        <w:t xml:space="preserve"> </w:t>
      </w:r>
      <w:r>
        <w:rPr>
          <w:rFonts w:hint="eastAsia" w:ascii="Times New Roman" w:hAnsi="Times New Roman" w:eastAsia="方正仿宋_GBK" w:cs="Times New Roman"/>
          <w:bCs/>
          <w:sz w:val="32"/>
          <w:szCs w:val="32"/>
          <w:lang w:val="zh-CN" w:eastAsia="zh-CN"/>
        </w:rPr>
        <w:t>评价方法</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跟踪评价方法根据不同的评价因子采用相应的评价方法。</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对水文情势、水温、水质、水生生物、人群健康、移民等可采用对比法，对陆生生物、水土流失等可采用对比法和叠图法同时进行。</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zh-CN" w:eastAsia="zh-CN"/>
        </w:rPr>
      </w:pPr>
      <w:r>
        <w:rPr>
          <w:rFonts w:hint="eastAsia" w:ascii="Times New Roman" w:hAnsi="Times New Roman" w:eastAsia="方正仿宋_GBK" w:cs="Times New Roman"/>
          <w:bCs/>
          <w:sz w:val="32"/>
          <w:szCs w:val="32"/>
          <w:lang w:val="en-US" w:eastAsia="zh-CN"/>
        </w:rPr>
        <w:t>2.3</w:t>
      </w:r>
      <w:r>
        <w:rPr>
          <w:rFonts w:hint="eastAsia" w:ascii="Times New Roman" w:eastAsia="方正仿宋_GBK" w:cs="Times New Roman"/>
          <w:bCs/>
          <w:sz w:val="32"/>
          <w:szCs w:val="32"/>
          <w:lang w:val="en-US" w:eastAsia="zh-CN"/>
        </w:rPr>
        <w:t xml:space="preserve"> </w:t>
      </w:r>
      <w:r>
        <w:rPr>
          <w:rFonts w:hint="eastAsia" w:ascii="Times New Roman" w:hAnsi="Times New Roman" w:eastAsia="方正仿宋_GBK" w:cs="Times New Roman"/>
          <w:bCs/>
          <w:sz w:val="32"/>
          <w:szCs w:val="32"/>
          <w:lang w:val="zh-CN" w:eastAsia="zh-CN"/>
        </w:rPr>
        <w:t>评价内容</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评价内容包括评价规划的实施后的实际环境影响，规划环境影响评价及其建议的减缓措施是否得到了有效的贯彻实施，确定为进一步提高规划环境效益所需的改进措施，以及规划环境影响评价的经验和教训等。</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水文情势：通过规划方案实施前后的监测资料，采用对比法，从时间和空间两个方面，分析评价规划实施后区域水资源量、水资源利用率、流速、流量等的效应、累积影响等。</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水温：通过规划方案实施前后的监测资料，采用对比法，评价藻渡水库工程实施后对河段水温的累积影响及沿程恢复效应。</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水质：通过规划方案实施前后的监测资料对比分析，评价规划方案实施后水质的沿变化情况，以及水功能区达标情况。同时，通过水质的变化情况，评价水资源保护措施的有效性，以及还存在的问题，提出进一步改进的措施。</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水生生物：通过调查和观测，对鱼类的种群、种类、数量、优势种的变化，产卵场、索饵场分布位置及数量的变化，水生高等植物、浮游动植物、底栖动物种类、种群类型、数量、生物的变化进行评价。</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陆生生物：针对生物多样性、植被覆盖率、生物量、景观生态等方面进行跟踪评价。</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移民：主要针对移民及安置地居民的人均收入、住房面积、环境质量、能源利用、教育水平、医疗水平和风俗习惯等。</w:t>
      </w:r>
    </w:p>
    <w:p>
      <w:pPr>
        <w:keepNext w:val="0"/>
        <w:keepLines w:val="0"/>
        <w:pageBreakBefore w:val="0"/>
        <w:widowControl w:val="0"/>
        <w:kinsoku/>
        <w:wordWrap/>
        <w:overflowPunct/>
        <w:topLinePunct w:val="0"/>
        <w:autoSpaceDE/>
        <w:autoSpaceDN/>
        <w:bidi w:val="0"/>
        <w:adjustRightInd/>
        <w:snapToGrid/>
        <w:ind w:firstLine="640" w:firstLineChars="200"/>
        <w:textAlignment w:val="auto"/>
        <w:outlineLvl w:val="1"/>
        <w:rPr>
          <w:rFonts w:hint="eastAsia" w:ascii="方正楷体_GBK" w:hAnsi="方正楷体_GBK" w:eastAsia="方正楷体_GBK" w:cs="方正楷体_GBK"/>
          <w:bCs/>
          <w:sz w:val="32"/>
          <w:lang w:val="zh-CN"/>
        </w:rPr>
      </w:pPr>
      <w:bookmarkStart w:id="213" w:name="_Toc12516"/>
      <w:r>
        <w:rPr>
          <w:rFonts w:hint="eastAsia" w:ascii="方正楷体_GBK" w:hAnsi="方正楷体_GBK" w:eastAsia="方正楷体_GBK" w:cs="方正楷体_GBK"/>
          <w:bCs/>
          <w:sz w:val="32"/>
          <w:lang w:val="zh-CN"/>
        </w:rPr>
        <w:t>（</w:t>
      </w:r>
      <w:r>
        <w:rPr>
          <w:rFonts w:hint="eastAsia" w:ascii="方正楷体_GBK" w:hAnsi="方正楷体_GBK" w:eastAsia="方正楷体_GBK" w:cs="方正楷体_GBK"/>
          <w:bCs/>
          <w:sz w:val="32"/>
          <w:lang w:val="en-US" w:eastAsia="zh-CN"/>
        </w:rPr>
        <w:t>八</w:t>
      </w:r>
      <w:r>
        <w:rPr>
          <w:rFonts w:hint="eastAsia" w:ascii="方正楷体_GBK" w:hAnsi="方正楷体_GBK" w:eastAsia="方正楷体_GBK" w:cs="方正楷体_GBK"/>
          <w:bCs/>
          <w:sz w:val="32"/>
          <w:lang w:val="zh-CN"/>
        </w:rPr>
        <w:t>）评价结论及建议</w:t>
      </w:r>
      <w:bookmarkEnd w:id="213"/>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1</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bCs/>
          <w:sz w:val="32"/>
          <w:szCs w:val="32"/>
          <w:lang w:val="en-US" w:eastAsia="zh-CN"/>
        </w:rPr>
        <w:t>评价结论</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綦江城区防洪规划通过加固綦江城区河段堤防提高防洪能力，对现有河道进行清淤整治，并在上游建设藻渡水库等拦蓄洪水，结合流域防洪工程联合调度，建立可靠的城市防洪减灾体系，全面提升城市防洪安全保障能力，建立洪水风险管理的基本制度，并显著提升綦江区水利信息化水平。</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经识别，规划堤防工程、河道整治工程实施不存在重大环境制约性因素，规划防洪水库工程在可行性研究论证阶段应尽量避开各类环境敏感区，若无法避让应开展专题论证并取得相关主管部门的审批意见。</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防洪规划实施将产生一定的不利环境影响。其中规划堤防工程、河道整治工程等涉水施工将导致局部河段水体悬浮物浓度上升，河流水质变差。规划防洪水库工程建成后，将改变河流水文情势，易造成库区富营养化，大坝阻隔使鱼类生境片段化，对水生态系统尤其是鱼类生存繁殖也带来不利影响。通过综合采取各项水生态、水环境、陆生生态等保护措施，可预防或减轻上述不利影响。</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综上所述，从环境保护角度分析，在取得相关环境敏感区主管部门意见，并落实各项环保措施后，该规划环境可行。</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2</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bCs/>
          <w:sz w:val="32"/>
          <w:szCs w:val="32"/>
          <w:lang w:val="en-US" w:eastAsia="zh-CN"/>
        </w:rPr>
        <w:t>建议</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2.1</w:t>
      </w:r>
      <w:r>
        <w:rPr>
          <w:rFonts w:hint="eastAsia" w:ascii="Times New Roman" w:eastAsia="方正仿宋_GBK" w:cs="Times New Roman"/>
          <w:bCs/>
          <w:sz w:val="32"/>
          <w:szCs w:val="32"/>
          <w:lang w:val="en-US" w:eastAsia="zh-CN"/>
        </w:rPr>
        <w:t xml:space="preserve"> </w:t>
      </w:r>
      <w:r>
        <w:rPr>
          <w:rFonts w:hint="eastAsia" w:ascii="Times New Roman" w:hAnsi="Times New Roman" w:eastAsia="方正仿宋_GBK" w:cs="Times New Roman"/>
          <w:bCs/>
          <w:sz w:val="32"/>
          <w:szCs w:val="32"/>
          <w:lang w:val="en-US" w:eastAsia="zh-CN"/>
        </w:rPr>
        <w:t>规划工程中藻渡水库涉及赶水镇饮用水水源保护区，建议项目实施阶段应优化工程方案，尽量避让环境敏感区。若无法避让，需征求主管部门意见，并落实各项保护措施。</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2.2</w:t>
      </w:r>
      <w:r>
        <w:rPr>
          <w:rFonts w:hint="eastAsia" w:ascii="Times New Roman" w:eastAsia="方正仿宋_GBK" w:cs="Times New Roman"/>
          <w:bCs/>
          <w:sz w:val="32"/>
          <w:szCs w:val="32"/>
          <w:lang w:val="en-US" w:eastAsia="zh-CN"/>
        </w:rPr>
        <w:t xml:space="preserve"> </w:t>
      </w:r>
      <w:r>
        <w:rPr>
          <w:rFonts w:hint="eastAsia" w:ascii="Times New Roman" w:hAnsi="Times New Roman" w:eastAsia="方正仿宋_GBK" w:cs="Times New Roman"/>
          <w:bCs/>
          <w:sz w:val="32"/>
          <w:szCs w:val="32"/>
          <w:lang w:val="en-US" w:eastAsia="zh-CN"/>
        </w:rPr>
        <w:t>鉴于规划方案的不确定性，本次仅初步识别了规划堤防工程、河道整治工程以及部分防洪水库工程与环境敏感区的位置关系，建议下阶段在细化规划工程方案的基础上，进一步核实工程与环境敏感区的位置关系。</w:t>
      </w:r>
    </w:p>
    <w:p>
      <w:pPr>
        <w:keepNext w:val="0"/>
        <w:keepLines w:val="0"/>
        <w:pageBreakBefore w:val="0"/>
        <w:widowControl w:val="0"/>
        <w:kinsoku/>
        <w:wordWrap/>
        <w:overflowPunct/>
        <w:topLinePunct w:val="0"/>
        <w:autoSpaceDE/>
        <w:autoSpaceDN/>
        <w:bidi w:val="0"/>
        <w:adjustRightInd w:val="0"/>
        <w:snapToGrid/>
        <w:spacing w:line="560" w:lineRule="exact"/>
        <w:ind w:firstLine="640" w:firstLineChars="200"/>
        <w:jc w:val="left"/>
        <w:textAlignment w:val="auto"/>
        <w:outlineLvl w:val="2"/>
        <w:rPr>
          <w:rFonts w:hint="eastAsia"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2.3</w:t>
      </w:r>
      <w:r>
        <w:rPr>
          <w:rFonts w:hint="eastAsia" w:ascii="Times New Roman" w:eastAsia="方正仿宋_GBK" w:cs="Times New Roman"/>
          <w:bCs/>
          <w:sz w:val="32"/>
          <w:szCs w:val="32"/>
          <w:lang w:val="en-US" w:eastAsia="zh-CN"/>
        </w:rPr>
        <w:t xml:space="preserve"> </w:t>
      </w:r>
      <w:r>
        <w:rPr>
          <w:rFonts w:hint="eastAsia" w:ascii="Times New Roman" w:hAnsi="Times New Roman" w:eastAsia="方正仿宋_GBK" w:cs="Times New Roman"/>
          <w:bCs/>
          <w:sz w:val="32"/>
          <w:szCs w:val="32"/>
          <w:lang w:val="en-US" w:eastAsia="zh-CN"/>
        </w:rPr>
        <w:t>规划实施期间，应加强相应协调与监督管理，积极开展后续相关研究、监测与跟踪评价，为规划实施及适时调整提供管理与技术支撑，确保规划目标的顺利实现。</w:t>
      </w:r>
    </w:p>
    <w:p>
      <w:pPr>
        <w:pStyle w:val="153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方正黑体_GBK" w:hAnsi="方正黑体_GBK" w:eastAsia="方正黑体_GBK" w:cs="方正黑体_GBK"/>
          <w:sz w:val="32"/>
          <w:szCs w:val="32"/>
        </w:rPr>
      </w:pPr>
      <w:bookmarkStart w:id="214" w:name="_Toc22374"/>
      <w:bookmarkStart w:id="215" w:name="_Toc71782110"/>
      <w:bookmarkStart w:id="216" w:name="_Toc25129"/>
      <w:bookmarkStart w:id="217" w:name="_Toc71665895"/>
      <w:r>
        <w:rPr>
          <w:rFonts w:hint="eastAsia" w:ascii="方正黑体_GBK" w:hAnsi="方正黑体_GBK" w:eastAsia="方正黑体_GBK" w:cs="方正黑体_GBK"/>
          <w:sz w:val="32"/>
          <w:szCs w:val="32"/>
          <w:lang w:val="en-US" w:eastAsia="zh-CN"/>
        </w:rPr>
        <w:t>十、</w:t>
      </w:r>
      <w:r>
        <w:rPr>
          <w:rFonts w:hint="eastAsia" w:ascii="方正黑体_GBK" w:hAnsi="方正黑体_GBK" w:eastAsia="方正黑体_GBK" w:cs="方正黑体_GBK"/>
          <w:sz w:val="32"/>
          <w:szCs w:val="32"/>
        </w:rPr>
        <w:t>效益分析</w:t>
      </w:r>
      <w:bookmarkEnd w:id="214"/>
      <w:bookmarkEnd w:id="215"/>
      <w:bookmarkEnd w:id="216"/>
      <w:bookmarkEnd w:id="217"/>
    </w:p>
    <w:p>
      <w:pPr>
        <w:keepNext w:val="0"/>
        <w:keepLines w:val="0"/>
        <w:pageBreakBefore w:val="0"/>
        <w:widowControl w:val="0"/>
        <w:kinsoku/>
        <w:wordWrap/>
        <w:overflowPunct/>
        <w:topLinePunct w:val="0"/>
        <w:autoSpaceDE/>
        <w:autoSpaceDN/>
        <w:bidi w:val="0"/>
        <w:adjustRightInd w:val="0"/>
        <w:snapToGrid/>
        <w:ind w:firstLine="56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rPr>
        <w:t>从经济效益、社会效益、生态环境效益三个方面分析防洪规划工程效益。</w:t>
      </w:r>
    </w:p>
    <w:p>
      <w:pPr>
        <w:keepNext w:val="0"/>
        <w:keepLines w:val="0"/>
        <w:pageBreakBefore w:val="0"/>
        <w:widowControl w:val="0"/>
        <w:kinsoku/>
        <w:wordWrap/>
        <w:overflowPunct/>
        <w:topLinePunct w:val="0"/>
        <w:autoSpaceDE/>
        <w:autoSpaceDN/>
        <w:bidi w:val="0"/>
        <w:adjustRightInd/>
        <w:snapToGrid/>
        <w:ind w:firstLine="640" w:firstLineChars="200"/>
        <w:textAlignment w:val="auto"/>
        <w:outlineLvl w:val="1"/>
        <w:rPr>
          <w:rFonts w:hint="eastAsia" w:ascii="方正楷体_GBK" w:hAnsi="方正楷体_GBK" w:eastAsia="方正楷体_GBK" w:cs="方正楷体_GBK"/>
          <w:bCs/>
          <w:sz w:val="32"/>
          <w:lang w:val="zh-CN"/>
        </w:rPr>
      </w:pPr>
      <w:bookmarkStart w:id="218" w:name="_Toc71782111"/>
      <w:bookmarkStart w:id="219" w:name="_Toc9453"/>
      <w:bookmarkStart w:id="220" w:name="_Toc71665896"/>
      <w:bookmarkStart w:id="221" w:name="_Toc20438"/>
      <w:r>
        <w:rPr>
          <w:rFonts w:hint="eastAsia" w:ascii="方正楷体_GBK" w:hAnsi="方正楷体_GBK" w:eastAsia="方正楷体_GBK" w:cs="方正楷体_GBK"/>
          <w:bCs/>
          <w:sz w:val="32"/>
          <w:lang w:val="zh-CN"/>
        </w:rPr>
        <w:t>（</w:t>
      </w:r>
      <w:r>
        <w:rPr>
          <w:rFonts w:hint="eastAsia" w:ascii="方正楷体_GBK" w:hAnsi="方正楷体_GBK" w:eastAsia="方正楷体_GBK" w:cs="方正楷体_GBK"/>
          <w:bCs/>
          <w:sz w:val="32"/>
          <w:lang w:val="en-US" w:eastAsia="zh-CN"/>
        </w:rPr>
        <w:t>一</w:t>
      </w:r>
      <w:r>
        <w:rPr>
          <w:rFonts w:hint="eastAsia" w:ascii="方正楷体_GBK" w:hAnsi="方正楷体_GBK" w:eastAsia="方正楷体_GBK" w:cs="方正楷体_GBK"/>
          <w:bCs/>
          <w:sz w:val="32"/>
          <w:lang w:val="zh-CN"/>
        </w:rPr>
        <w:t>）防洪减灾经济效益</w:t>
      </w:r>
      <w:bookmarkEnd w:id="218"/>
      <w:bookmarkEnd w:id="219"/>
      <w:bookmarkEnd w:id="220"/>
      <w:bookmarkEnd w:id="221"/>
    </w:p>
    <w:p>
      <w:pPr>
        <w:keepNext w:val="0"/>
        <w:keepLines w:val="0"/>
        <w:pageBreakBefore w:val="0"/>
        <w:widowControl w:val="0"/>
        <w:kinsoku/>
        <w:wordWrap/>
        <w:overflowPunct/>
        <w:topLinePunct w:val="0"/>
        <w:autoSpaceDE/>
        <w:autoSpaceDN/>
        <w:bidi w:val="0"/>
        <w:adjustRightInd w:val="0"/>
        <w:snapToGrid/>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至2035年，较大幅度减少或避免綦江城区遭受洪水灾害损失，遇50年一遇洪水，綦江城区将不再受淹。</w:t>
      </w:r>
    </w:p>
    <w:p>
      <w:pPr>
        <w:keepNext w:val="0"/>
        <w:keepLines w:val="0"/>
        <w:pageBreakBefore w:val="0"/>
        <w:widowControl w:val="0"/>
        <w:kinsoku/>
        <w:wordWrap/>
        <w:overflowPunct/>
        <w:topLinePunct w:val="0"/>
        <w:autoSpaceDE/>
        <w:autoSpaceDN/>
        <w:bidi w:val="0"/>
        <w:adjustRightInd w:val="0"/>
        <w:snapToGrid/>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工程经济效益分直接效益和间接效益。綦江城区防洪工程的直接效益主要为保护綦江城区社会主要财产、居民固定财产及坝区农田。社会主要财产包括工业、林业、邮电通信、商业、交通运输、公共设施等；居民固定财产主要包括居民的房屋、农业生产机械和家庭耐用消费品。</w:t>
      </w:r>
    </w:p>
    <w:p>
      <w:pPr>
        <w:keepNext w:val="0"/>
        <w:keepLines w:val="0"/>
        <w:pageBreakBefore w:val="0"/>
        <w:widowControl w:val="0"/>
        <w:kinsoku/>
        <w:wordWrap/>
        <w:overflowPunct/>
        <w:topLinePunct w:val="0"/>
        <w:autoSpaceDE/>
        <w:autoSpaceDN/>
        <w:bidi w:val="0"/>
        <w:adjustRightInd w:val="0"/>
        <w:snapToGrid/>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据有关资料估算，项目保护财产总值约11亿元，财产保护率按80%计算，工程可减少直接经济损失8.8亿元，即为工程的直接效益。工程实施后，不仅可有效地保护本地区的人民生命财产安全，还能起到维护社会稳定、促进经济发展的良性循环，即为工程的间接效益。由上述分析可知，防洪工程实施后，可减免一次洪涝灾害损失8.8亿元（直接效益）；间接效益按直接效益的20%计算，计1.76亿元；共10.56亿元。</w:t>
      </w:r>
    </w:p>
    <w:p>
      <w:pPr>
        <w:keepNext w:val="0"/>
        <w:keepLines w:val="0"/>
        <w:pageBreakBefore w:val="0"/>
        <w:widowControl w:val="0"/>
        <w:kinsoku/>
        <w:wordWrap/>
        <w:overflowPunct/>
        <w:topLinePunct w:val="0"/>
        <w:autoSpaceDE/>
        <w:autoSpaceDN/>
        <w:bidi w:val="0"/>
        <w:adjustRightInd/>
        <w:snapToGrid/>
        <w:ind w:firstLine="640" w:firstLineChars="200"/>
        <w:textAlignment w:val="auto"/>
        <w:outlineLvl w:val="1"/>
        <w:rPr>
          <w:rFonts w:hint="eastAsia" w:ascii="方正楷体_GBK" w:hAnsi="方正楷体_GBK" w:eastAsia="方正楷体_GBK" w:cs="方正楷体_GBK"/>
          <w:bCs/>
          <w:sz w:val="32"/>
          <w:lang w:val="zh-CN"/>
        </w:rPr>
      </w:pPr>
      <w:bookmarkStart w:id="222" w:name="_Toc23888"/>
      <w:bookmarkStart w:id="223" w:name="_Toc71665897"/>
      <w:bookmarkStart w:id="224" w:name="_Toc31269"/>
      <w:bookmarkStart w:id="225" w:name="_Toc71782112"/>
      <w:r>
        <w:rPr>
          <w:rFonts w:hint="eastAsia" w:ascii="方正楷体_GBK" w:hAnsi="方正楷体_GBK" w:eastAsia="方正楷体_GBK" w:cs="方正楷体_GBK"/>
          <w:bCs/>
          <w:sz w:val="32"/>
          <w:lang w:val="zh-CN"/>
        </w:rPr>
        <w:t>（</w:t>
      </w:r>
      <w:r>
        <w:rPr>
          <w:rFonts w:hint="eastAsia" w:ascii="方正楷体_GBK" w:hAnsi="方正楷体_GBK" w:eastAsia="方正楷体_GBK" w:cs="方正楷体_GBK"/>
          <w:bCs/>
          <w:sz w:val="32"/>
          <w:lang w:val="en-US" w:eastAsia="zh-CN"/>
        </w:rPr>
        <w:t>二</w:t>
      </w:r>
      <w:r>
        <w:rPr>
          <w:rFonts w:hint="eastAsia" w:ascii="方正楷体_GBK" w:hAnsi="方正楷体_GBK" w:eastAsia="方正楷体_GBK" w:cs="方正楷体_GBK"/>
          <w:bCs/>
          <w:sz w:val="32"/>
          <w:lang w:val="zh-CN"/>
        </w:rPr>
        <w:t>）防洪减灾社会效益</w:t>
      </w:r>
      <w:bookmarkEnd w:id="222"/>
      <w:bookmarkEnd w:id="223"/>
      <w:bookmarkEnd w:id="224"/>
      <w:bookmarkEnd w:id="225"/>
    </w:p>
    <w:p>
      <w:pPr>
        <w:keepNext w:val="0"/>
        <w:keepLines w:val="0"/>
        <w:pageBreakBefore w:val="0"/>
        <w:widowControl w:val="0"/>
        <w:kinsoku/>
        <w:wordWrap/>
        <w:overflowPunct/>
        <w:topLinePunct w:val="0"/>
        <w:autoSpaceDE/>
        <w:autoSpaceDN/>
        <w:bidi w:val="0"/>
        <w:adjustRightInd w:val="0"/>
        <w:snapToGrid/>
        <w:ind w:firstLine="560"/>
        <w:textAlignment w:val="auto"/>
        <w:rPr>
          <w:rFonts w:hint="default" w:ascii="Times New Roman" w:hAnsi="Times New Roman" w:eastAsia="方正仿宋_GBK" w:cs="Times New Roman"/>
          <w:sz w:val="32"/>
          <w:szCs w:val="32"/>
        </w:rPr>
      </w:pPr>
      <w:r>
        <w:rPr>
          <w:rFonts w:hint="eastAsia" w:ascii="Times New Roman" w:hAnsi="Times New Roman" w:eastAsia="方正仿宋_GBK" w:cs="Times New Roman"/>
          <w:sz w:val="32"/>
          <w:szCs w:val="32"/>
        </w:rPr>
        <w:t>防洪规划实施后，规划区内各防洪保护区可达到相应等级的防洪标准，总体防洪能力得到进一步提高，一般洪水年防洪更安全，大洪水年可大幅减少洪灾损失，标准内洪水可避免人员伤亡、减轻洪水对人民群众人民财产威胁以及基础设施暂时关闭或被毁对正常生产生活造成的压力影响，为保护区内工农业生产和人民生命财产提供可靠保障，增加社会安全感，改善生存环境和投资环境，为地区经济、社会、环境的可持续发展创造有利条件。</w:t>
      </w:r>
    </w:p>
    <w:p>
      <w:pPr>
        <w:keepNext w:val="0"/>
        <w:keepLines w:val="0"/>
        <w:pageBreakBefore w:val="0"/>
        <w:widowControl w:val="0"/>
        <w:kinsoku/>
        <w:wordWrap/>
        <w:overflowPunct/>
        <w:topLinePunct w:val="0"/>
        <w:autoSpaceDE/>
        <w:autoSpaceDN/>
        <w:bidi w:val="0"/>
        <w:adjustRightInd/>
        <w:snapToGrid/>
        <w:ind w:firstLine="640" w:firstLineChars="200"/>
        <w:textAlignment w:val="auto"/>
        <w:outlineLvl w:val="1"/>
        <w:rPr>
          <w:rFonts w:hint="eastAsia" w:ascii="方正楷体_GBK" w:hAnsi="方正楷体_GBK" w:eastAsia="方正楷体_GBK" w:cs="方正楷体_GBK"/>
          <w:bCs/>
          <w:sz w:val="32"/>
          <w:lang w:val="zh-CN"/>
        </w:rPr>
      </w:pPr>
      <w:bookmarkStart w:id="226" w:name="_Toc32324"/>
      <w:bookmarkStart w:id="227" w:name="_Toc71665898"/>
      <w:bookmarkStart w:id="228" w:name="_Toc22674"/>
      <w:bookmarkStart w:id="229" w:name="_Toc71782113"/>
      <w:r>
        <w:rPr>
          <w:rFonts w:hint="eastAsia" w:ascii="方正楷体_GBK" w:hAnsi="方正楷体_GBK" w:eastAsia="方正楷体_GBK" w:cs="方正楷体_GBK"/>
          <w:bCs/>
          <w:sz w:val="32"/>
          <w:lang w:val="zh-CN"/>
        </w:rPr>
        <w:t>（</w:t>
      </w:r>
      <w:r>
        <w:rPr>
          <w:rFonts w:hint="eastAsia" w:ascii="方正楷体_GBK" w:hAnsi="方正楷体_GBK" w:eastAsia="方正楷体_GBK" w:cs="方正楷体_GBK"/>
          <w:bCs/>
          <w:sz w:val="32"/>
          <w:lang w:val="en-US" w:eastAsia="zh-CN"/>
        </w:rPr>
        <w:t>三</w:t>
      </w:r>
      <w:r>
        <w:rPr>
          <w:rFonts w:hint="eastAsia" w:ascii="方正楷体_GBK" w:hAnsi="方正楷体_GBK" w:eastAsia="方正楷体_GBK" w:cs="方正楷体_GBK"/>
          <w:bCs/>
          <w:sz w:val="32"/>
          <w:lang w:val="zh-CN"/>
        </w:rPr>
        <w:t>）防洪减灾生态环境效益</w:t>
      </w:r>
      <w:bookmarkEnd w:id="226"/>
      <w:bookmarkEnd w:id="227"/>
      <w:bookmarkEnd w:id="228"/>
      <w:bookmarkEnd w:id="229"/>
    </w:p>
    <w:p>
      <w:pPr>
        <w:keepNext w:val="0"/>
        <w:keepLines w:val="0"/>
        <w:pageBreakBefore w:val="0"/>
        <w:widowControl w:val="0"/>
        <w:kinsoku/>
        <w:wordWrap/>
        <w:overflowPunct/>
        <w:topLinePunct w:val="0"/>
        <w:autoSpaceDE/>
        <w:autoSpaceDN/>
        <w:bidi w:val="0"/>
        <w:adjustRightInd w:val="0"/>
        <w:snapToGrid/>
        <w:ind w:firstLine="56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rPr>
        <w:t>防洪规划实施后，可减少綦江城区防洪压力，有效地防止洪灾引起的疾病流行和环境污染等问题，綦江城区主要水体亲水景观得以维护并改善，沿江滨江景观得以重塑，生态环境向好的态势发展，增强了綦江人民的幸福感，服务和支撑了綦江城区经济社会绿色发展。</w:t>
      </w:r>
    </w:p>
    <w:p>
      <w:pPr>
        <w:pStyle w:val="153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方正黑体_GBK" w:hAnsi="方正黑体_GBK" w:eastAsia="方正黑体_GBK" w:cs="方正黑体_GBK"/>
          <w:sz w:val="32"/>
          <w:szCs w:val="32"/>
        </w:rPr>
      </w:pPr>
      <w:bookmarkStart w:id="230" w:name="_Toc28418"/>
      <w:bookmarkStart w:id="231" w:name="_Toc71665899"/>
      <w:bookmarkStart w:id="232" w:name="_Toc17965"/>
      <w:bookmarkStart w:id="233" w:name="_Toc71782114"/>
      <w:r>
        <w:rPr>
          <w:rFonts w:hint="eastAsia" w:ascii="方正黑体_GBK" w:hAnsi="方正黑体_GBK" w:eastAsia="方正黑体_GBK" w:cs="方正黑体_GBK"/>
          <w:sz w:val="32"/>
          <w:szCs w:val="32"/>
          <w:lang w:val="en-US" w:eastAsia="zh-CN"/>
        </w:rPr>
        <w:t>十一、工程</w:t>
      </w:r>
      <w:r>
        <w:rPr>
          <w:rFonts w:hint="eastAsia" w:ascii="方正黑体_GBK" w:hAnsi="方正黑体_GBK" w:eastAsia="方正黑体_GBK" w:cs="方正黑体_GBK"/>
          <w:sz w:val="32"/>
          <w:szCs w:val="32"/>
        </w:rPr>
        <w:t>实施安排</w:t>
      </w:r>
      <w:bookmarkEnd w:id="230"/>
      <w:bookmarkEnd w:id="231"/>
      <w:bookmarkEnd w:id="232"/>
      <w:bookmarkEnd w:id="233"/>
    </w:p>
    <w:p>
      <w:pPr>
        <w:pStyle w:val="153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方正楷体_GBK" w:hAnsi="方正楷体_GBK" w:eastAsia="方正楷体_GBK" w:cs="方正楷体_GBK"/>
          <w:sz w:val="32"/>
          <w:szCs w:val="32"/>
          <w:lang w:val="en-US" w:eastAsia="zh-CN"/>
        </w:rPr>
      </w:pPr>
      <w:bookmarkStart w:id="234" w:name="_Toc19499"/>
      <w:r>
        <w:rPr>
          <w:rFonts w:hint="eastAsia" w:ascii="方正楷体_GBK" w:hAnsi="方正楷体_GBK" w:eastAsia="方正楷体_GBK" w:cs="方正楷体_GBK"/>
          <w:sz w:val="32"/>
          <w:szCs w:val="32"/>
          <w:lang w:val="en-US" w:eastAsia="zh-CN"/>
        </w:rPr>
        <w:t>（一）工程项目安排</w:t>
      </w:r>
      <w:bookmarkEnd w:id="234"/>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rPr>
        <w:t>本次綦江城区防洪规划工程实施后，将有效增强城市防御洪水的能力，改善两岸水生态环境，为沿岸居民提供稳定的生产和生活环境，减免因洪水泛滥引发的疾病流行威胁人群健康，可保</w:t>
      </w:r>
      <w:r>
        <w:rPr>
          <w:rFonts w:hint="eastAsia" w:ascii="Times New Roman" w:hAnsi="Times New Roman" w:eastAsia="方正仿宋_GBK" w:cs="Times New Roman"/>
          <w:spacing w:val="-6"/>
          <w:sz w:val="32"/>
          <w:szCs w:val="32"/>
        </w:rPr>
        <w:t>障经济和社会的可持续发展，防洪效益、社会效益和环境效益显</w:t>
      </w:r>
      <w:r>
        <w:rPr>
          <w:rFonts w:hint="eastAsia" w:ascii="Times New Roman" w:hAnsi="Times New Roman" w:eastAsia="方正仿宋_GBK" w:cs="Times New Roman"/>
          <w:sz w:val="32"/>
          <w:szCs w:val="32"/>
        </w:rPr>
        <w:t>著</w:t>
      </w:r>
      <w:r>
        <w:rPr>
          <w:rFonts w:hint="eastAsia" w:ascii="Times New Roman" w:hAnsi="Times New Roman" w:eastAsia="方正仿宋_GBK" w:cs="Times New Roman"/>
          <w:sz w:val="32"/>
          <w:szCs w:val="32"/>
          <w:lang w:eastAsia="zh-CN"/>
        </w:rPr>
        <w:t>。</w:t>
      </w:r>
    </w:p>
    <w:p>
      <w:pPr>
        <w:pStyle w:val="2312"/>
        <w:ind w:firstLine="240"/>
        <w:rPr>
          <w:rFonts w:hint="eastAsia"/>
        </w:rPr>
      </w:pPr>
    </w:p>
    <w:p>
      <w:pPr>
        <w:pStyle w:val="2312"/>
        <w:ind w:firstLine="240"/>
        <w:rPr>
          <w:rFonts w:hint="default" w:ascii="Times New Roman" w:hAnsi="Times New Roman" w:eastAsia="黑体" w:cs="Times New Roman"/>
          <w:lang w:val="en-US" w:eastAsia="zh-CN"/>
        </w:rPr>
      </w:pPr>
      <w:r>
        <w:rPr>
          <w:rFonts w:hint="default" w:ascii="Times New Roman" w:hAnsi="Times New Roman" w:cs="Times New Roman"/>
        </w:rPr>
        <w:t>表11.1</w:t>
      </w:r>
      <w:r>
        <w:rPr>
          <w:rFonts w:hint="default" w:ascii="Times New Roman" w:hAnsi="Times New Roman" w:cs="Times New Roman"/>
          <w:lang w:eastAsia="zh-CN"/>
        </w:rPr>
        <w:t>—</w:t>
      </w:r>
      <w:r>
        <w:rPr>
          <w:rFonts w:hint="default" w:ascii="Times New Roman" w:hAnsi="Times New Roman" w:cs="Times New Roman"/>
        </w:rPr>
        <w:t xml:space="preserve">1                 </w:t>
      </w:r>
      <w:r>
        <w:rPr>
          <w:rFonts w:hint="default" w:ascii="Times New Roman" w:hAnsi="Times New Roman" w:cs="Times New Roman"/>
          <w:lang w:val="en-US" w:eastAsia="zh-CN"/>
        </w:rPr>
        <w:t>綦江城区</w:t>
      </w:r>
      <w:r>
        <w:rPr>
          <w:rFonts w:hint="default" w:ascii="Times New Roman" w:hAnsi="Times New Roman" w:cs="Times New Roman"/>
        </w:rPr>
        <w:t>防洪工程</w:t>
      </w:r>
      <w:r>
        <w:rPr>
          <w:rFonts w:hint="default" w:ascii="Times New Roman" w:hAnsi="Times New Roman" w:cs="Times New Roman"/>
          <w:lang w:val="en-US" w:eastAsia="zh-CN"/>
        </w:rPr>
        <w:t>项目安排表</w:t>
      </w:r>
    </w:p>
    <w:tbl>
      <w:tblPr>
        <w:tblStyle w:val="88"/>
        <w:tblW w:w="5372" w:type="pct"/>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fixed"/>
        <w:tblCellMar>
          <w:top w:w="0" w:type="dxa"/>
          <w:left w:w="0" w:type="dxa"/>
          <w:bottom w:w="0" w:type="dxa"/>
          <w:right w:w="0" w:type="dxa"/>
        </w:tblCellMar>
      </w:tblPr>
      <w:tblGrid>
        <w:gridCol w:w="458"/>
        <w:gridCol w:w="449"/>
        <w:gridCol w:w="1292"/>
        <w:gridCol w:w="849"/>
        <w:gridCol w:w="6715"/>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227" w:hRule="atLeast"/>
          <w:jc w:val="center"/>
        </w:trPr>
        <w:tc>
          <w:tcPr>
            <w:tcW w:w="234" w:type="pct"/>
            <w:noWrap w:val="0"/>
            <w:vAlign w:val="center"/>
          </w:tcPr>
          <w:p>
            <w:pPr>
              <w:snapToGrid w:val="0"/>
              <w:spacing w:line="240" w:lineRule="exact"/>
              <w:ind w:firstLine="0" w:firstLineChars="0"/>
              <w:jc w:val="center"/>
              <w:rPr>
                <w:rFonts w:hint="eastAsia" w:ascii="方正黑体_GBK" w:hAnsi="方正黑体_GBK" w:eastAsia="方正黑体_GBK" w:cs="方正黑体_GBK"/>
                <w:bCs/>
                <w:kern w:val="0"/>
                <w:sz w:val="18"/>
                <w:szCs w:val="18"/>
              </w:rPr>
            </w:pPr>
            <w:r>
              <w:rPr>
                <w:rFonts w:hint="eastAsia" w:ascii="方正黑体_GBK" w:hAnsi="方正黑体_GBK" w:eastAsia="方正黑体_GBK" w:cs="方正黑体_GBK"/>
                <w:bCs/>
                <w:kern w:val="0"/>
                <w:sz w:val="18"/>
                <w:szCs w:val="18"/>
              </w:rPr>
              <w:t>序号</w:t>
            </w:r>
          </w:p>
        </w:tc>
        <w:tc>
          <w:tcPr>
            <w:tcW w:w="229" w:type="pct"/>
            <w:noWrap w:val="0"/>
            <w:vAlign w:val="center"/>
          </w:tcPr>
          <w:p>
            <w:pPr>
              <w:snapToGrid w:val="0"/>
              <w:spacing w:line="240" w:lineRule="exact"/>
              <w:ind w:firstLine="0" w:firstLineChars="0"/>
              <w:jc w:val="center"/>
              <w:rPr>
                <w:rFonts w:hint="eastAsia" w:ascii="方正黑体_GBK" w:hAnsi="方正黑体_GBK" w:eastAsia="方正黑体_GBK" w:cs="方正黑体_GBK"/>
                <w:bCs/>
                <w:kern w:val="0"/>
                <w:sz w:val="18"/>
                <w:szCs w:val="18"/>
              </w:rPr>
            </w:pPr>
            <w:r>
              <w:rPr>
                <w:rFonts w:hint="eastAsia" w:ascii="方正黑体_GBK" w:hAnsi="方正黑体_GBK" w:eastAsia="方正黑体_GBK" w:cs="方正黑体_GBK"/>
                <w:bCs/>
                <w:kern w:val="0"/>
                <w:sz w:val="18"/>
                <w:szCs w:val="18"/>
              </w:rPr>
              <w:t>项目类型</w:t>
            </w:r>
          </w:p>
        </w:tc>
        <w:tc>
          <w:tcPr>
            <w:tcW w:w="661" w:type="pct"/>
            <w:noWrap w:val="0"/>
            <w:vAlign w:val="center"/>
          </w:tcPr>
          <w:p>
            <w:pPr>
              <w:snapToGrid w:val="0"/>
              <w:spacing w:line="240" w:lineRule="exact"/>
              <w:ind w:firstLine="0" w:firstLineChars="0"/>
              <w:jc w:val="center"/>
              <w:rPr>
                <w:rFonts w:hint="eastAsia" w:ascii="方正黑体_GBK" w:hAnsi="方正黑体_GBK" w:eastAsia="方正黑体_GBK" w:cs="方正黑体_GBK"/>
                <w:bCs/>
                <w:kern w:val="0"/>
                <w:sz w:val="18"/>
                <w:szCs w:val="18"/>
              </w:rPr>
            </w:pPr>
            <w:r>
              <w:rPr>
                <w:rFonts w:hint="eastAsia" w:ascii="方正黑体_GBK" w:hAnsi="方正黑体_GBK" w:eastAsia="方正黑体_GBK" w:cs="方正黑体_GBK"/>
                <w:bCs/>
                <w:kern w:val="0"/>
                <w:sz w:val="18"/>
                <w:szCs w:val="18"/>
              </w:rPr>
              <w:t>项目名称</w:t>
            </w:r>
          </w:p>
        </w:tc>
        <w:tc>
          <w:tcPr>
            <w:tcW w:w="435" w:type="pct"/>
            <w:noWrap w:val="0"/>
            <w:vAlign w:val="center"/>
          </w:tcPr>
          <w:p>
            <w:pPr>
              <w:snapToGrid w:val="0"/>
              <w:spacing w:line="240" w:lineRule="exact"/>
              <w:ind w:firstLine="0" w:firstLineChars="0"/>
              <w:jc w:val="center"/>
              <w:rPr>
                <w:rFonts w:hint="eastAsia" w:ascii="方正黑体_GBK" w:hAnsi="方正黑体_GBK" w:eastAsia="方正黑体_GBK" w:cs="方正黑体_GBK"/>
                <w:bCs/>
                <w:kern w:val="0"/>
                <w:sz w:val="18"/>
                <w:szCs w:val="18"/>
              </w:rPr>
            </w:pPr>
            <w:r>
              <w:rPr>
                <w:rFonts w:hint="eastAsia" w:ascii="方正黑体_GBK" w:hAnsi="方正黑体_GBK" w:eastAsia="方正黑体_GBK" w:cs="方正黑体_GBK"/>
                <w:bCs/>
                <w:kern w:val="0"/>
                <w:sz w:val="18"/>
                <w:szCs w:val="18"/>
              </w:rPr>
              <w:t>所在地</w:t>
            </w:r>
          </w:p>
        </w:tc>
        <w:tc>
          <w:tcPr>
            <w:tcW w:w="3439" w:type="pct"/>
            <w:noWrap w:val="0"/>
            <w:vAlign w:val="center"/>
          </w:tcPr>
          <w:p>
            <w:pPr>
              <w:snapToGrid w:val="0"/>
              <w:spacing w:line="240" w:lineRule="exact"/>
              <w:ind w:firstLine="0" w:firstLineChars="0"/>
              <w:jc w:val="center"/>
              <w:rPr>
                <w:rFonts w:hint="eastAsia" w:ascii="方正黑体_GBK" w:hAnsi="方正黑体_GBK" w:eastAsia="方正黑体_GBK" w:cs="方正黑体_GBK"/>
                <w:bCs/>
                <w:kern w:val="0"/>
                <w:sz w:val="18"/>
                <w:szCs w:val="18"/>
              </w:rPr>
            </w:pPr>
            <w:r>
              <w:rPr>
                <w:rFonts w:hint="eastAsia" w:ascii="方正黑体_GBK" w:hAnsi="方正黑体_GBK" w:eastAsia="方正黑体_GBK" w:cs="方正黑体_GBK"/>
                <w:bCs/>
                <w:kern w:val="0"/>
                <w:sz w:val="18"/>
                <w:szCs w:val="18"/>
              </w:rPr>
              <w:t>主要建设内容</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227" w:hRule="atLeast"/>
          <w:jc w:val="center"/>
        </w:trPr>
        <w:tc>
          <w:tcPr>
            <w:tcW w:w="234"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18"/>
                <w:szCs w:val="18"/>
              </w:rPr>
            </w:pPr>
            <w:r>
              <w:rPr>
                <w:rFonts w:hint="default" w:ascii="Times New Roman" w:hAnsi="Times New Roman" w:eastAsia="方正仿宋_GBK" w:cs="Times New Roman"/>
                <w:bCs/>
                <w:kern w:val="0"/>
                <w:sz w:val="18"/>
                <w:szCs w:val="18"/>
              </w:rPr>
              <w:t>1</w:t>
            </w:r>
          </w:p>
        </w:tc>
        <w:tc>
          <w:tcPr>
            <w:tcW w:w="229" w:type="pct"/>
            <w:vMerge w:val="restar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18"/>
                <w:szCs w:val="18"/>
              </w:rPr>
            </w:pPr>
            <w:r>
              <w:rPr>
                <w:rFonts w:hint="default" w:ascii="Times New Roman" w:hAnsi="Times New Roman" w:eastAsia="方正仿宋_GBK" w:cs="Times New Roman"/>
                <w:bCs/>
                <w:kern w:val="0"/>
                <w:sz w:val="18"/>
                <w:szCs w:val="18"/>
              </w:rPr>
              <w:t>堤防工程</w:t>
            </w:r>
          </w:p>
        </w:tc>
        <w:tc>
          <w:tcPr>
            <w:tcW w:w="661"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18"/>
                <w:szCs w:val="18"/>
              </w:rPr>
            </w:pPr>
            <w:r>
              <w:rPr>
                <w:rFonts w:hint="default" w:ascii="Times New Roman" w:hAnsi="Times New Roman" w:eastAsia="方正仿宋_GBK" w:cs="Times New Roman"/>
                <w:bCs/>
                <w:kern w:val="0"/>
                <w:sz w:val="18"/>
                <w:szCs w:val="18"/>
              </w:rPr>
              <w:t>河道综合整治工程</w:t>
            </w:r>
          </w:p>
        </w:tc>
        <w:tc>
          <w:tcPr>
            <w:tcW w:w="435"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18"/>
                <w:szCs w:val="18"/>
              </w:rPr>
            </w:pPr>
            <w:r>
              <w:rPr>
                <w:rFonts w:hint="default" w:ascii="Times New Roman" w:hAnsi="Times New Roman" w:eastAsia="方正仿宋_GBK" w:cs="Times New Roman"/>
                <w:bCs/>
                <w:kern w:val="0"/>
                <w:sz w:val="18"/>
                <w:szCs w:val="18"/>
              </w:rPr>
              <w:t>綦江城区</w:t>
            </w:r>
          </w:p>
        </w:tc>
        <w:tc>
          <w:tcPr>
            <w:tcW w:w="3439" w:type="pct"/>
            <w:noWrap w:val="0"/>
            <w:vAlign w:val="center"/>
          </w:tcPr>
          <w:p>
            <w:pPr>
              <w:snapToGrid w:val="0"/>
              <w:spacing w:line="240" w:lineRule="exact"/>
              <w:ind w:firstLine="0" w:firstLineChars="0"/>
              <w:jc w:val="left"/>
              <w:rPr>
                <w:rFonts w:hint="default" w:ascii="Times New Roman" w:hAnsi="Times New Roman" w:eastAsia="方正仿宋_GBK" w:cs="Times New Roman"/>
                <w:bCs/>
                <w:kern w:val="0"/>
                <w:sz w:val="18"/>
                <w:szCs w:val="18"/>
              </w:rPr>
            </w:pPr>
            <w:r>
              <w:rPr>
                <w:rFonts w:hint="default" w:ascii="Times New Roman" w:hAnsi="Times New Roman" w:eastAsia="方正仿宋_GBK" w:cs="Times New Roman"/>
                <w:b/>
                <w:kern w:val="0"/>
                <w:sz w:val="18"/>
                <w:szCs w:val="18"/>
              </w:rPr>
              <w:t>新建堤防：</w:t>
            </w:r>
            <w:r>
              <w:rPr>
                <w:rFonts w:hint="default" w:ascii="Times New Roman" w:hAnsi="Times New Roman" w:eastAsia="方正仿宋_GBK" w:cs="Times New Roman"/>
                <w:bCs/>
                <w:kern w:val="0"/>
                <w:sz w:val="18"/>
                <w:szCs w:val="18"/>
              </w:rPr>
              <w:t>总长16.44km。其中，綦江干流12.02km，包括主城区河段（火车站至城北大桥）4.77km、綦江火车站至桥河闸坝段5.6km、三江街道1.65km；綦江支流4.42km，包括通惠河3.20km、登瀛河0.84km、蒲河0.38km。</w:t>
            </w:r>
          </w:p>
          <w:p>
            <w:pPr>
              <w:snapToGrid w:val="0"/>
              <w:spacing w:line="240" w:lineRule="exact"/>
              <w:ind w:firstLine="0" w:firstLineChars="0"/>
              <w:jc w:val="left"/>
              <w:rPr>
                <w:rFonts w:hint="default" w:ascii="Times New Roman" w:hAnsi="Times New Roman" w:eastAsia="方正仿宋_GBK" w:cs="Times New Roman"/>
                <w:bCs/>
                <w:kern w:val="0"/>
                <w:sz w:val="18"/>
                <w:szCs w:val="18"/>
              </w:rPr>
            </w:pPr>
            <w:r>
              <w:rPr>
                <w:rFonts w:hint="default" w:ascii="Times New Roman" w:hAnsi="Times New Roman" w:eastAsia="方正仿宋_GBK" w:cs="Times New Roman"/>
                <w:b/>
                <w:kern w:val="0"/>
                <w:sz w:val="18"/>
                <w:szCs w:val="18"/>
              </w:rPr>
              <w:t>生态堤防：</w:t>
            </w:r>
            <w:r>
              <w:rPr>
                <w:rFonts w:hint="default" w:ascii="Times New Roman" w:hAnsi="Times New Roman" w:eastAsia="方正仿宋_GBK" w:cs="Times New Roman"/>
                <w:bCs/>
                <w:kern w:val="0"/>
                <w:sz w:val="18"/>
                <w:szCs w:val="18"/>
              </w:rPr>
              <w:t>总长12.4km。在綦江干流綦江火车站至城北大桥段两岸高标准修建以步道为主的观光带、人文景观带，长约9.4km；在綦江右岸綦江火车站至桥河闸坝地势宽阔段建设亲水公园，长约3km。</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227" w:hRule="atLeast"/>
          <w:jc w:val="center"/>
        </w:trPr>
        <w:tc>
          <w:tcPr>
            <w:tcW w:w="234"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18"/>
                <w:szCs w:val="18"/>
              </w:rPr>
            </w:pPr>
            <w:r>
              <w:rPr>
                <w:rFonts w:hint="default" w:ascii="Times New Roman" w:hAnsi="Times New Roman" w:eastAsia="方正仿宋_GBK" w:cs="Times New Roman"/>
                <w:bCs/>
                <w:kern w:val="0"/>
                <w:sz w:val="18"/>
                <w:szCs w:val="18"/>
              </w:rPr>
              <w:t>2</w:t>
            </w:r>
          </w:p>
        </w:tc>
        <w:tc>
          <w:tcPr>
            <w:tcW w:w="229"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18"/>
                <w:szCs w:val="18"/>
              </w:rPr>
            </w:pPr>
          </w:p>
        </w:tc>
        <w:tc>
          <w:tcPr>
            <w:tcW w:w="661"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18"/>
                <w:szCs w:val="18"/>
              </w:rPr>
            </w:pPr>
            <w:r>
              <w:rPr>
                <w:rFonts w:hint="default" w:ascii="Times New Roman" w:hAnsi="Times New Roman" w:eastAsia="方正仿宋_GBK" w:cs="Times New Roman"/>
                <w:bCs/>
                <w:kern w:val="0"/>
                <w:sz w:val="18"/>
                <w:szCs w:val="18"/>
              </w:rPr>
              <w:t>房屋拆迁工程</w:t>
            </w:r>
          </w:p>
        </w:tc>
        <w:tc>
          <w:tcPr>
            <w:tcW w:w="435"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18"/>
                <w:szCs w:val="18"/>
              </w:rPr>
            </w:pPr>
            <w:r>
              <w:rPr>
                <w:rFonts w:hint="default" w:ascii="Times New Roman" w:hAnsi="Times New Roman" w:eastAsia="方正仿宋_GBK" w:cs="Times New Roman"/>
                <w:bCs/>
                <w:kern w:val="0"/>
                <w:sz w:val="18"/>
                <w:szCs w:val="18"/>
              </w:rPr>
              <w:t>綦江主城区</w:t>
            </w:r>
          </w:p>
        </w:tc>
        <w:tc>
          <w:tcPr>
            <w:tcW w:w="3439" w:type="pct"/>
            <w:noWrap w:val="0"/>
            <w:vAlign w:val="center"/>
          </w:tcPr>
          <w:p>
            <w:pPr>
              <w:snapToGrid w:val="0"/>
              <w:spacing w:line="240" w:lineRule="exact"/>
              <w:ind w:firstLine="0" w:firstLineChars="0"/>
              <w:jc w:val="left"/>
              <w:rPr>
                <w:rFonts w:hint="default" w:ascii="Times New Roman" w:hAnsi="Times New Roman" w:eastAsia="方正仿宋_GBK" w:cs="Times New Roman"/>
                <w:bCs/>
                <w:kern w:val="0"/>
                <w:sz w:val="18"/>
                <w:szCs w:val="18"/>
              </w:rPr>
            </w:pPr>
            <w:r>
              <w:rPr>
                <w:rFonts w:hint="default" w:ascii="Times New Roman" w:hAnsi="Times New Roman" w:eastAsia="方正仿宋_GBK" w:cs="Times New Roman"/>
                <w:bCs/>
                <w:kern w:val="0"/>
                <w:sz w:val="18"/>
                <w:szCs w:val="18"/>
              </w:rPr>
              <w:t>对严重碍洪的房屋实施拆迁，拆迁房屋面积30.09万m</w:t>
            </w:r>
            <w:r>
              <w:rPr>
                <w:rFonts w:hint="default" w:ascii="Times New Roman" w:hAnsi="Times New Roman" w:eastAsia="方正仿宋_GBK" w:cs="Times New Roman"/>
                <w:bCs/>
                <w:kern w:val="0"/>
                <w:sz w:val="18"/>
                <w:szCs w:val="18"/>
                <w:vertAlign w:val="superscript"/>
              </w:rPr>
              <w:t>2</w:t>
            </w:r>
            <w:r>
              <w:rPr>
                <w:rFonts w:hint="default" w:ascii="Times New Roman" w:hAnsi="Times New Roman" w:eastAsia="方正仿宋_GBK" w:cs="Times New Roman"/>
                <w:bCs/>
                <w:kern w:val="0"/>
                <w:sz w:val="18"/>
                <w:szCs w:val="18"/>
              </w:rPr>
              <w:t>（含各楼层面积），其中綦江干流主城区河段沿岸拆迁房屋面积29.05万m</w:t>
            </w:r>
            <w:r>
              <w:rPr>
                <w:rFonts w:hint="default" w:ascii="Times New Roman" w:hAnsi="Times New Roman" w:eastAsia="方正仿宋_GBK" w:cs="Times New Roman"/>
                <w:bCs/>
                <w:kern w:val="0"/>
                <w:sz w:val="18"/>
                <w:szCs w:val="18"/>
                <w:vertAlign w:val="superscript"/>
              </w:rPr>
              <w:t>2</w:t>
            </w:r>
            <w:r>
              <w:rPr>
                <w:rFonts w:hint="default" w:ascii="Times New Roman" w:hAnsi="Times New Roman" w:eastAsia="方正仿宋_GBK" w:cs="Times New Roman"/>
                <w:bCs/>
                <w:kern w:val="0"/>
                <w:sz w:val="18"/>
                <w:szCs w:val="18"/>
              </w:rPr>
              <w:t>，綦江支流通惠河沿岸拆迁房屋面积1.04万m</w:t>
            </w:r>
            <w:r>
              <w:rPr>
                <w:rFonts w:hint="default" w:ascii="Times New Roman" w:hAnsi="Times New Roman" w:eastAsia="方正仿宋_GBK" w:cs="Times New Roman"/>
                <w:bCs/>
                <w:kern w:val="0"/>
                <w:sz w:val="18"/>
                <w:szCs w:val="18"/>
                <w:vertAlign w:val="superscript"/>
              </w:rPr>
              <w:t>2</w:t>
            </w:r>
            <w:r>
              <w:rPr>
                <w:rFonts w:hint="default" w:ascii="Times New Roman" w:hAnsi="Times New Roman" w:eastAsia="方正仿宋_GBK" w:cs="Times New Roman"/>
                <w:bCs/>
                <w:kern w:val="0"/>
                <w:sz w:val="18"/>
                <w:szCs w:val="18"/>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227" w:hRule="atLeast"/>
          <w:jc w:val="center"/>
        </w:trPr>
        <w:tc>
          <w:tcPr>
            <w:tcW w:w="234"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18"/>
                <w:szCs w:val="18"/>
              </w:rPr>
            </w:pPr>
            <w:r>
              <w:rPr>
                <w:rFonts w:hint="default" w:ascii="Times New Roman" w:hAnsi="Times New Roman" w:eastAsia="方正仿宋_GBK" w:cs="Times New Roman"/>
                <w:bCs/>
                <w:kern w:val="0"/>
                <w:sz w:val="18"/>
                <w:szCs w:val="18"/>
              </w:rPr>
              <w:t>3</w:t>
            </w:r>
          </w:p>
        </w:tc>
        <w:tc>
          <w:tcPr>
            <w:tcW w:w="229" w:type="pct"/>
            <w:vMerge w:val="restar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18"/>
                <w:szCs w:val="18"/>
              </w:rPr>
            </w:pPr>
            <w:r>
              <w:rPr>
                <w:rFonts w:hint="default" w:ascii="Times New Roman" w:hAnsi="Times New Roman" w:eastAsia="方正仿宋_GBK" w:cs="Times New Roman"/>
                <w:bCs/>
                <w:kern w:val="0"/>
                <w:sz w:val="18"/>
                <w:szCs w:val="18"/>
              </w:rPr>
              <w:t>河道整治</w:t>
            </w:r>
          </w:p>
        </w:tc>
        <w:tc>
          <w:tcPr>
            <w:tcW w:w="661"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18"/>
                <w:szCs w:val="18"/>
              </w:rPr>
            </w:pPr>
            <w:r>
              <w:rPr>
                <w:rFonts w:hint="default" w:ascii="Times New Roman" w:hAnsi="Times New Roman" w:eastAsia="方正仿宋_GBK" w:cs="Times New Roman"/>
                <w:bCs/>
                <w:kern w:val="0"/>
                <w:sz w:val="18"/>
                <w:szCs w:val="18"/>
              </w:rPr>
              <w:t>河道疏浚工程</w:t>
            </w:r>
          </w:p>
        </w:tc>
        <w:tc>
          <w:tcPr>
            <w:tcW w:w="435"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18"/>
                <w:szCs w:val="18"/>
              </w:rPr>
            </w:pPr>
            <w:r>
              <w:rPr>
                <w:rFonts w:hint="default" w:ascii="Times New Roman" w:hAnsi="Times New Roman" w:eastAsia="方正仿宋_GBK" w:cs="Times New Roman"/>
                <w:bCs/>
                <w:kern w:val="0"/>
                <w:sz w:val="18"/>
                <w:szCs w:val="18"/>
              </w:rPr>
              <w:t>綦江城区</w:t>
            </w:r>
          </w:p>
        </w:tc>
        <w:tc>
          <w:tcPr>
            <w:tcW w:w="3439" w:type="pct"/>
            <w:noWrap w:val="0"/>
            <w:vAlign w:val="center"/>
          </w:tcPr>
          <w:p>
            <w:pPr>
              <w:snapToGrid w:val="0"/>
              <w:spacing w:line="240" w:lineRule="exact"/>
              <w:ind w:firstLine="0" w:firstLineChars="0"/>
              <w:jc w:val="left"/>
              <w:rPr>
                <w:rFonts w:hint="default" w:ascii="Times New Roman" w:hAnsi="Times New Roman" w:eastAsia="方正仿宋_GBK" w:cs="Times New Roman"/>
                <w:bCs/>
                <w:kern w:val="0"/>
                <w:sz w:val="18"/>
                <w:szCs w:val="18"/>
              </w:rPr>
            </w:pPr>
            <w:r>
              <w:rPr>
                <w:rFonts w:hint="default" w:ascii="Times New Roman" w:hAnsi="Times New Roman" w:eastAsia="方正仿宋_GBK" w:cs="Times New Roman"/>
                <w:bCs/>
                <w:kern w:val="0"/>
                <w:sz w:val="18"/>
                <w:szCs w:val="18"/>
              </w:rPr>
              <w:t>对綦江干流桥河闸坝至桥溪口闸坝河段疏浚，疏浚长度11.55 km，疏挖深度为0.20</w:t>
            </w:r>
            <w:r>
              <w:rPr>
                <w:rFonts w:hint="default" w:ascii="Times New Roman" w:hAnsi="Times New Roman" w:eastAsia="方正仿宋_GBK" w:cs="Times New Roman"/>
                <w:bCs/>
                <w:kern w:val="0"/>
                <w:sz w:val="18"/>
                <w:szCs w:val="18"/>
                <w:lang w:eastAsia="zh-CN"/>
              </w:rPr>
              <w:t>—</w:t>
            </w:r>
            <w:r>
              <w:rPr>
                <w:rFonts w:hint="default" w:ascii="Times New Roman" w:hAnsi="Times New Roman" w:eastAsia="方正仿宋_GBK" w:cs="Times New Roman"/>
                <w:bCs/>
                <w:kern w:val="0"/>
                <w:sz w:val="18"/>
                <w:szCs w:val="18"/>
              </w:rPr>
              <w:t>4.33m，疏浚土方量约102万m</w:t>
            </w:r>
            <w:r>
              <w:rPr>
                <w:rFonts w:hint="default" w:ascii="Times New Roman" w:hAnsi="Times New Roman" w:eastAsia="方正仿宋_GBK" w:cs="Times New Roman"/>
                <w:bCs/>
                <w:kern w:val="0"/>
                <w:sz w:val="18"/>
                <w:szCs w:val="18"/>
                <w:vertAlign w:val="superscript"/>
              </w:rPr>
              <w:t>3</w:t>
            </w:r>
            <w:r>
              <w:rPr>
                <w:rFonts w:hint="default" w:ascii="Times New Roman" w:hAnsi="Times New Roman" w:eastAsia="方正仿宋_GBK" w:cs="Times New Roman"/>
                <w:bCs/>
                <w:kern w:val="0"/>
                <w:sz w:val="18"/>
                <w:szCs w:val="18"/>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227" w:hRule="atLeast"/>
          <w:jc w:val="center"/>
        </w:trPr>
        <w:tc>
          <w:tcPr>
            <w:tcW w:w="234"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18"/>
                <w:szCs w:val="18"/>
              </w:rPr>
            </w:pPr>
            <w:r>
              <w:rPr>
                <w:rFonts w:hint="default" w:ascii="Times New Roman" w:hAnsi="Times New Roman" w:eastAsia="方正仿宋_GBK" w:cs="Times New Roman"/>
                <w:bCs/>
                <w:kern w:val="0"/>
                <w:sz w:val="18"/>
                <w:szCs w:val="18"/>
              </w:rPr>
              <w:t>4</w:t>
            </w:r>
          </w:p>
        </w:tc>
        <w:tc>
          <w:tcPr>
            <w:tcW w:w="229" w:type="pct"/>
            <w:vMerge w:val="continue"/>
            <w:tcBorders>
              <w:bottom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18"/>
                <w:szCs w:val="18"/>
              </w:rPr>
            </w:pPr>
          </w:p>
        </w:tc>
        <w:tc>
          <w:tcPr>
            <w:tcW w:w="661"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18"/>
                <w:szCs w:val="18"/>
              </w:rPr>
            </w:pPr>
            <w:r>
              <w:rPr>
                <w:rFonts w:hint="default" w:ascii="Times New Roman" w:hAnsi="Times New Roman" w:eastAsia="方正仿宋_GBK" w:cs="Times New Roman"/>
                <w:bCs/>
                <w:kern w:val="0"/>
                <w:sz w:val="18"/>
                <w:szCs w:val="18"/>
              </w:rPr>
              <w:t>航运梯级优化改建工程</w:t>
            </w:r>
          </w:p>
        </w:tc>
        <w:tc>
          <w:tcPr>
            <w:tcW w:w="435"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18"/>
                <w:szCs w:val="18"/>
              </w:rPr>
            </w:pPr>
            <w:r>
              <w:rPr>
                <w:rFonts w:hint="default" w:ascii="Times New Roman" w:hAnsi="Times New Roman" w:eastAsia="方正仿宋_GBK" w:cs="Times New Roman"/>
                <w:bCs/>
                <w:kern w:val="0"/>
                <w:sz w:val="18"/>
                <w:szCs w:val="18"/>
              </w:rPr>
              <w:t>綦江城区</w:t>
            </w:r>
          </w:p>
        </w:tc>
        <w:tc>
          <w:tcPr>
            <w:tcW w:w="3439" w:type="pct"/>
            <w:noWrap w:val="0"/>
            <w:vAlign w:val="center"/>
          </w:tcPr>
          <w:p>
            <w:pPr>
              <w:snapToGrid w:val="0"/>
              <w:spacing w:line="240" w:lineRule="exact"/>
              <w:ind w:firstLine="0" w:firstLineChars="0"/>
              <w:jc w:val="left"/>
              <w:rPr>
                <w:rFonts w:hint="default" w:ascii="Times New Roman" w:hAnsi="Times New Roman" w:eastAsia="方正仿宋_GBK" w:cs="Times New Roman"/>
                <w:bCs/>
                <w:kern w:val="0"/>
                <w:sz w:val="18"/>
                <w:szCs w:val="18"/>
              </w:rPr>
            </w:pPr>
            <w:r>
              <w:rPr>
                <w:rFonts w:hint="default" w:ascii="Times New Roman" w:hAnsi="Times New Roman" w:eastAsia="方正仿宋_GBK" w:cs="Times New Roman"/>
                <w:bCs/>
                <w:kern w:val="0"/>
                <w:sz w:val="18"/>
                <w:szCs w:val="18"/>
              </w:rPr>
              <w:t>对石溪口、桥河</w:t>
            </w:r>
            <w:r>
              <w:rPr>
                <w:rFonts w:hint="default" w:ascii="Times New Roman" w:hAnsi="Times New Roman" w:eastAsia="方正仿宋_GBK" w:cs="Times New Roman"/>
                <w:bCs/>
                <w:kern w:val="0"/>
                <w:sz w:val="18"/>
                <w:szCs w:val="18"/>
                <w:lang w:eastAsia="zh-CN"/>
              </w:rPr>
              <w:t>、</w:t>
            </w:r>
            <w:r>
              <w:rPr>
                <w:rFonts w:hint="default" w:ascii="Times New Roman" w:hAnsi="Times New Roman" w:eastAsia="方正仿宋_GBK" w:cs="Times New Roman"/>
                <w:bCs/>
                <w:kern w:val="0"/>
                <w:sz w:val="18"/>
                <w:szCs w:val="18"/>
              </w:rPr>
              <w:t>大常、</w:t>
            </w:r>
            <w:r>
              <w:rPr>
                <w:rFonts w:hint="default" w:ascii="Times New Roman" w:hAnsi="Times New Roman" w:eastAsia="方正仿宋_GBK" w:cs="Times New Roman"/>
                <w:bCs/>
                <w:kern w:val="0"/>
                <w:sz w:val="18"/>
                <w:szCs w:val="18"/>
                <w:lang w:val="en-US" w:eastAsia="zh-CN"/>
              </w:rPr>
              <w:t>桥</w:t>
            </w:r>
            <w:r>
              <w:rPr>
                <w:rFonts w:hint="default" w:ascii="Times New Roman" w:hAnsi="Times New Roman" w:eastAsia="方正仿宋_GBK" w:cs="Times New Roman"/>
                <w:bCs/>
                <w:kern w:val="0"/>
                <w:sz w:val="18"/>
                <w:szCs w:val="18"/>
              </w:rPr>
              <w:t>溪口4座航电枢纽溢流坝改造为泄洪闸。</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227" w:hRule="atLeast"/>
          <w:jc w:val="center"/>
        </w:trPr>
        <w:tc>
          <w:tcPr>
            <w:tcW w:w="234" w:type="pct"/>
            <w:tcBorders>
              <w:bottom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18"/>
                <w:szCs w:val="18"/>
              </w:rPr>
            </w:pPr>
            <w:r>
              <w:rPr>
                <w:rFonts w:hint="default" w:ascii="Times New Roman" w:hAnsi="Times New Roman" w:eastAsia="方正仿宋_GBK" w:cs="Times New Roman"/>
                <w:bCs/>
                <w:kern w:val="0"/>
                <w:sz w:val="18"/>
                <w:szCs w:val="18"/>
              </w:rPr>
              <w:t>5</w:t>
            </w:r>
          </w:p>
        </w:tc>
        <w:tc>
          <w:tcPr>
            <w:tcW w:w="229" w:type="pct"/>
            <w:tcBorders>
              <w:top w:val="single" w:color="auto" w:sz="4" w:space="0"/>
              <w:bottom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18"/>
                <w:szCs w:val="18"/>
              </w:rPr>
            </w:pPr>
            <w:r>
              <w:rPr>
                <w:rFonts w:hint="default" w:ascii="Times New Roman" w:hAnsi="Times New Roman" w:eastAsia="方正仿宋_GBK" w:cs="Times New Roman"/>
                <w:bCs/>
                <w:kern w:val="0"/>
                <w:sz w:val="18"/>
                <w:szCs w:val="18"/>
              </w:rPr>
              <w:t>防洪水库</w:t>
            </w:r>
          </w:p>
        </w:tc>
        <w:tc>
          <w:tcPr>
            <w:tcW w:w="661"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18"/>
                <w:szCs w:val="18"/>
              </w:rPr>
            </w:pPr>
            <w:r>
              <w:rPr>
                <w:rFonts w:hint="default" w:ascii="Times New Roman" w:hAnsi="Times New Roman" w:eastAsia="方正仿宋_GBK" w:cs="Times New Roman"/>
                <w:bCs/>
                <w:kern w:val="0"/>
                <w:sz w:val="18"/>
                <w:szCs w:val="18"/>
              </w:rPr>
              <w:t>藻渡水库工程</w:t>
            </w:r>
          </w:p>
        </w:tc>
        <w:tc>
          <w:tcPr>
            <w:tcW w:w="435"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18"/>
                <w:szCs w:val="18"/>
              </w:rPr>
            </w:pPr>
            <w:r>
              <w:rPr>
                <w:rFonts w:hint="default" w:ascii="Times New Roman" w:hAnsi="Times New Roman" w:eastAsia="方正仿宋_GBK" w:cs="Times New Roman"/>
                <w:bCs/>
                <w:kern w:val="0"/>
                <w:sz w:val="18"/>
                <w:szCs w:val="18"/>
              </w:rPr>
              <w:t>赶水镇</w:t>
            </w:r>
          </w:p>
        </w:tc>
        <w:tc>
          <w:tcPr>
            <w:tcW w:w="3439" w:type="pct"/>
            <w:noWrap w:val="0"/>
            <w:vAlign w:val="center"/>
          </w:tcPr>
          <w:p>
            <w:pPr>
              <w:snapToGrid w:val="0"/>
              <w:spacing w:line="240" w:lineRule="exact"/>
              <w:ind w:firstLine="0" w:firstLineChars="0"/>
              <w:jc w:val="left"/>
              <w:rPr>
                <w:rFonts w:hint="default" w:ascii="Times New Roman" w:hAnsi="Times New Roman" w:eastAsia="方正仿宋_GBK" w:cs="Times New Roman"/>
                <w:bCs/>
                <w:kern w:val="0"/>
                <w:sz w:val="18"/>
                <w:szCs w:val="18"/>
              </w:rPr>
            </w:pPr>
            <w:r>
              <w:rPr>
                <w:rFonts w:hint="default" w:ascii="Times New Roman" w:hAnsi="Times New Roman" w:eastAsia="方正仿宋_GBK" w:cs="Times New Roman"/>
                <w:bCs/>
                <w:kern w:val="0"/>
                <w:sz w:val="18"/>
                <w:szCs w:val="18"/>
              </w:rPr>
              <w:t>在藻渡河口上游1.2km处新建藻渡大型水库1座，坝址以上集雨面积1179km</w:t>
            </w:r>
            <w:r>
              <w:rPr>
                <w:rFonts w:hint="default" w:ascii="Times New Roman" w:hAnsi="Times New Roman" w:eastAsia="方正仿宋_GBK" w:cs="Times New Roman"/>
                <w:bCs/>
                <w:kern w:val="0"/>
                <w:sz w:val="18"/>
                <w:szCs w:val="18"/>
                <w:vertAlign w:val="superscript"/>
              </w:rPr>
              <w:t>2</w:t>
            </w:r>
            <w:r>
              <w:rPr>
                <w:rFonts w:hint="default" w:ascii="Times New Roman" w:hAnsi="Times New Roman" w:eastAsia="方正仿宋_GBK" w:cs="Times New Roman"/>
                <w:bCs/>
                <w:kern w:val="0"/>
                <w:sz w:val="18"/>
                <w:szCs w:val="18"/>
              </w:rPr>
              <w:t>，总库容2.0亿m</w:t>
            </w:r>
            <w:r>
              <w:rPr>
                <w:rFonts w:hint="default" w:ascii="Times New Roman" w:hAnsi="Times New Roman" w:eastAsia="方正仿宋_GBK" w:cs="Times New Roman"/>
                <w:bCs/>
                <w:kern w:val="0"/>
                <w:sz w:val="18"/>
                <w:szCs w:val="18"/>
                <w:vertAlign w:val="superscript"/>
              </w:rPr>
              <w:t>3</w:t>
            </w:r>
            <w:r>
              <w:rPr>
                <w:rFonts w:hint="default" w:ascii="Times New Roman" w:hAnsi="Times New Roman" w:eastAsia="方正仿宋_GBK" w:cs="Times New Roman"/>
                <w:bCs/>
                <w:kern w:val="0"/>
                <w:sz w:val="18"/>
                <w:szCs w:val="18"/>
              </w:rPr>
              <w:t>，防洪库容4975万m</w:t>
            </w:r>
            <w:r>
              <w:rPr>
                <w:rFonts w:hint="default" w:ascii="Times New Roman" w:hAnsi="Times New Roman" w:eastAsia="方正仿宋_GBK" w:cs="Times New Roman"/>
                <w:bCs/>
                <w:kern w:val="0"/>
                <w:sz w:val="18"/>
                <w:szCs w:val="18"/>
                <w:vertAlign w:val="superscript"/>
              </w:rPr>
              <w:t>3</w:t>
            </w:r>
            <w:r>
              <w:rPr>
                <w:rFonts w:hint="default" w:ascii="Times New Roman" w:hAnsi="Times New Roman" w:eastAsia="方正仿宋_GBK" w:cs="Times New Roman"/>
                <w:bCs/>
                <w:kern w:val="0"/>
                <w:sz w:val="18"/>
                <w:szCs w:val="18"/>
              </w:rPr>
              <w:t>。</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227" w:hRule="atLeast"/>
          <w:jc w:val="center"/>
        </w:trPr>
        <w:tc>
          <w:tcPr>
            <w:tcW w:w="234" w:type="pct"/>
            <w:tcBorders>
              <w:bottom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18"/>
                <w:szCs w:val="18"/>
              </w:rPr>
            </w:pPr>
            <w:r>
              <w:rPr>
                <w:rFonts w:hint="default" w:ascii="Times New Roman" w:hAnsi="Times New Roman" w:eastAsia="方正仿宋_GBK" w:cs="Times New Roman"/>
                <w:bCs/>
                <w:kern w:val="0"/>
                <w:sz w:val="18"/>
                <w:szCs w:val="18"/>
              </w:rPr>
              <w:t>6</w:t>
            </w:r>
          </w:p>
        </w:tc>
        <w:tc>
          <w:tcPr>
            <w:tcW w:w="229" w:type="pct"/>
            <w:tcBorders>
              <w:top w:val="single" w:color="auto" w:sz="4" w:space="0"/>
              <w:bottom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18"/>
                <w:szCs w:val="18"/>
              </w:rPr>
            </w:pPr>
            <w:r>
              <w:rPr>
                <w:rFonts w:hint="default" w:ascii="Times New Roman" w:hAnsi="Times New Roman" w:eastAsia="方正仿宋_GBK" w:cs="Times New Roman"/>
                <w:bCs/>
                <w:kern w:val="0"/>
                <w:sz w:val="18"/>
                <w:szCs w:val="18"/>
              </w:rPr>
              <w:t>排涝工程</w:t>
            </w:r>
          </w:p>
        </w:tc>
        <w:tc>
          <w:tcPr>
            <w:tcW w:w="661"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18"/>
                <w:szCs w:val="18"/>
              </w:rPr>
            </w:pPr>
            <w:r>
              <w:rPr>
                <w:rFonts w:hint="default" w:ascii="Times New Roman" w:hAnsi="Times New Roman" w:eastAsia="方正仿宋_GBK" w:cs="Times New Roman"/>
                <w:bCs/>
                <w:kern w:val="0"/>
                <w:sz w:val="18"/>
                <w:szCs w:val="18"/>
              </w:rPr>
              <w:t>綦江城区治涝工程</w:t>
            </w:r>
          </w:p>
        </w:tc>
        <w:tc>
          <w:tcPr>
            <w:tcW w:w="435"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18"/>
                <w:szCs w:val="18"/>
              </w:rPr>
            </w:pPr>
            <w:r>
              <w:rPr>
                <w:rFonts w:hint="default" w:ascii="Times New Roman" w:hAnsi="Times New Roman" w:eastAsia="方正仿宋_GBK" w:cs="Times New Roman"/>
                <w:bCs/>
                <w:kern w:val="0"/>
                <w:sz w:val="18"/>
                <w:szCs w:val="18"/>
              </w:rPr>
              <w:t>綦江城区</w:t>
            </w:r>
          </w:p>
        </w:tc>
        <w:tc>
          <w:tcPr>
            <w:tcW w:w="3439" w:type="pct"/>
            <w:noWrap w:val="0"/>
            <w:vAlign w:val="center"/>
          </w:tcPr>
          <w:p>
            <w:pPr>
              <w:snapToGrid w:val="0"/>
              <w:spacing w:line="240" w:lineRule="exact"/>
              <w:ind w:firstLine="0" w:firstLineChars="0"/>
              <w:jc w:val="left"/>
              <w:rPr>
                <w:rFonts w:hint="default" w:ascii="Times New Roman" w:hAnsi="Times New Roman" w:eastAsia="方正仿宋_GBK" w:cs="Times New Roman"/>
                <w:bCs/>
                <w:kern w:val="0"/>
                <w:sz w:val="18"/>
                <w:szCs w:val="18"/>
              </w:rPr>
            </w:pPr>
            <w:r>
              <w:rPr>
                <w:rFonts w:hint="default" w:ascii="Times New Roman" w:hAnsi="Times New Roman" w:eastAsia="方正仿宋_GBK" w:cs="Times New Roman"/>
                <w:bCs/>
                <w:kern w:val="0"/>
                <w:sz w:val="18"/>
                <w:szCs w:val="18"/>
              </w:rPr>
              <w:t>新建泵站2座，总设计抽排流量1.74m</w:t>
            </w:r>
            <w:r>
              <w:rPr>
                <w:rFonts w:hint="default" w:ascii="Times New Roman" w:hAnsi="Times New Roman" w:eastAsia="方正仿宋_GBK" w:cs="Times New Roman"/>
                <w:bCs/>
                <w:kern w:val="0"/>
                <w:sz w:val="18"/>
                <w:szCs w:val="18"/>
                <w:vertAlign w:val="superscript"/>
              </w:rPr>
              <w:t>3</w:t>
            </w:r>
            <w:r>
              <w:rPr>
                <w:rFonts w:hint="default" w:ascii="Times New Roman" w:hAnsi="Times New Roman" w:eastAsia="方正仿宋_GBK" w:cs="Times New Roman"/>
                <w:bCs/>
                <w:kern w:val="0"/>
                <w:sz w:val="18"/>
                <w:szCs w:val="18"/>
              </w:rPr>
              <w:t>/s。</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227" w:hRule="atLeast"/>
          <w:jc w:val="center"/>
        </w:trPr>
        <w:tc>
          <w:tcPr>
            <w:tcW w:w="234" w:type="pct"/>
            <w:tcBorders>
              <w:bottom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18"/>
                <w:szCs w:val="18"/>
              </w:rPr>
            </w:pPr>
            <w:r>
              <w:rPr>
                <w:rFonts w:hint="default" w:ascii="Times New Roman" w:hAnsi="Times New Roman" w:eastAsia="方正仿宋_GBK" w:cs="Times New Roman"/>
                <w:bCs/>
                <w:kern w:val="0"/>
                <w:sz w:val="18"/>
                <w:szCs w:val="18"/>
              </w:rPr>
              <w:t>7</w:t>
            </w:r>
          </w:p>
        </w:tc>
        <w:tc>
          <w:tcPr>
            <w:tcW w:w="229" w:type="pct"/>
            <w:vMerge w:val="restart"/>
            <w:tcBorders>
              <w:top w:val="single" w:color="auto" w:sz="4" w:space="0"/>
              <w:bottom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18"/>
                <w:szCs w:val="18"/>
              </w:rPr>
            </w:pPr>
            <w:r>
              <w:rPr>
                <w:rFonts w:hint="default" w:ascii="Times New Roman" w:hAnsi="Times New Roman" w:eastAsia="方正仿宋_GBK" w:cs="Times New Roman"/>
                <w:bCs/>
                <w:kern w:val="0"/>
                <w:sz w:val="18"/>
                <w:szCs w:val="18"/>
              </w:rPr>
              <w:t>智慧水利工程</w:t>
            </w:r>
          </w:p>
        </w:tc>
        <w:tc>
          <w:tcPr>
            <w:tcW w:w="661"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18"/>
                <w:szCs w:val="18"/>
              </w:rPr>
            </w:pPr>
            <w:r>
              <w:rPr>
                <w:rFonts w:hint="default" w:ascii="Times New Roman" w:hAnsi="Times New Roman" w:eastAsia="方正仿宋_GBK" w:cs="Times New Roman"/>
                <w:bCs/>
                <w:kern w:val="0"/>
                <w:sz w:val="18"/>
                <w:szCs w:val="18"/>
              </w:rPr>
              <w:t>水文站网建设</w:t>
            </w:r>
          </w:p>
        </w:tc>
        <w:tc>
          <w:tcPr>
            <w:tcW w:w="435"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18"/>
                <w:szCs w:val="18"/>
              </w:rPr>
            </w:pPr>
            <w:r>
              <w:rPr>
                <w:rFonts w:hint="default" w:ascii="Times New Roman" w:hAnsi="Times New Roman" w:eastAsia="方正仿宋_GBK" w:cs="Times New Roman"/>
                <w:bCs/>
                <w:kern w:val="0"/>
                <w:sz w:val="18"/>
                <w:szCs w:val="18"/>
              </w:rPr>
              <w:t>綦江全境</w:t>
            </w:r>
          </w:p>
        </w:tc>
        <w:tc>
          <w:tcPr>
            <w:tcW w:w="3439" w:type="pct"/>
            <w:noWrap w:val="0"/>
            <w:vAlign w:val="center"/>
          </w:tcPr>
          <w:p>
            <w:pPr>
              <w:snapToGrid w:val="0"/>
              <w:spacing w:line="240" w:lineRule="exact"/>
              <w:ind w:firstLine="0" w:firstLineChars="0"/>
              <w:jc w:val="left"/>
              <w:rPr>
                <w:rFonts w:hint="default" w:ascii="Times New Roman" w:hAnsi="Times New Roman" w:eastAsia="方正仿宋_GBK" w:cs="Times New Roman"/>
                <w:bCs/>
                <w:kern w:val="0"/>
                <w:sz w:val="18"/>
                <w:szCs w:val="18"/>
              </w:rPr>
            </w:pPr>
            <w:r>
              <w:rPr>
                <w:rFonts w:hint="default" w:ascii="Times New Roman" w:hAnsi="Times New Roman" w:eastAsia="方正仿宋_GBK" w:cs="Times New Roman"/>
                <w:bCs/>
                <w:kern w:val="0"/>
                <w:sz w:val="18"/>
                <w:szCs w:val="18"/>
              </w:rPr>
              <w:t>兴建15个雨量站；在五福、桥溪口、桥河、珠滩、盖石洞、羊蹄洞等6处枢纽及藻渡水库处分别布设2处自动水位仪；在扶欢河、郭扶河等超过100km</w:t>
            </w:r>
            <w:r>
              <w:rPr>
                <w:rFonts w:hint="default" w:ascii="Times New Roman" w:hAnsi="Times New Roman" w:eastAsia="方正仿宋_GBK" w:cs="Times New Roman"/>
                <w:bCs/>
                <w:kern w:val="0"/>
                <w:sz w:val="18"/>
                <w:szCs w:val="18"/>
                <w:vertAlign w:val="superscript"/>
              </w:rPr>
              <w:t>2</w:t>
            </w:r>
            <w:r>
              <w:rPr>
                <w:rFonts w:hint="default" w:ascii="Times New Roman" w:hAnsi="Times New Roman" w:eastAsia="方正仿宋_GBK" w:cs="Times New Roman"/>
                <w:bCs/>
                <w:kern w:val="0"/>
                <w:sz w:val="18"/>
                <w:szCs w:val="18"/>
              </w:rPr>
              <w:t>的支流建设水文站，新建羊蹬站作为藻渡水库入库站，对古南水文站实施水毁修复和改造；研制基于“互联网+”的水文应急监测信息管理平台。</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227" w:hRule="atLeast"/>
          <w:jc w:val="center"/>
        </w:trPr>
        <w:tc>
          <w:tcPr>
            <w:tcW w:w="234" w:type="pct"/>
            <w:tcBorders>
              <w:bottom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18"/>
                <w:szCs w:val="18"/>
              </w:rPr>
            </w:pPr>
            <w:r>
              <w:rPr>
                <w:rFonts w:hint="default" w:ascii="Times New Roman" w:hAnsi="Times New Roman" w:eastAsia="方正仿宋_GBK" w:cs="Times New Roman"/>
                <w:bCs/>
                <w:kern w:val="0"/>
                <w:sz w:val="18"/>
                <w:szCs w:val="18"/>
              </w:rPr>
              <w:t>8</w:t>
            </w:r>
          </w:p>
        </w:tc>
        <w:tc>
          <w:tcPr>
            <w:tcW w:w="229" w:type="pct"/>
            <w:vMerge w:val="continue"/>
            <w:tcBorders>
              <w:top w:val="single" w:color="auto" w:sz="4" w:space="0"/>
              <w:bottom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18"/>
                <w:szCs w:val="18"/>
              </w:rPr>
            </w:pPr>
          </w:p>
        </w:tc>
        <w:tc>
          <w:tcPr>
            <w:tcW w:w="661"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18"/>
                <w:szCs w:val="18"/>
              </w:rPr>
            </w:pPr>
            <w:r>
              <w:rPr>
                <w:rFonts w:hint="default" w:ascii="Times New Roman" w:hAnsi="Times New Roman" w:eastAsia="方正仿宋_GBK" w:cs="Times New Roman"/>
                <w:bCs/>
                <w:kern w:val="0"/>
                <w:sz w:val="18"/>
                <w:szCs w:val="18"/>
              </w:rPr>
              <w:t>防洪预报调度系统</w:t>
            </w:r>
          </w:p>
        </w:tc>
        <w:tc>
          <w:tcPr>
            <w:tcW w:w="435"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18"/>
                <w:szCs w:val="18"/>
              </w:rPr>
            </w:pPr>
            <w:r>
              <w:rPr>
                <w:rFonts w:hint="default" w:ascii="Times New Roman" w:hAnsi="Times New Roman" w:eastAsia="方正仿宋_GBK" w:cs="Times New Roman"/>
                <w:bCs/>
                <w:kern w:val="0"/>
                <w:sz w:val="18"/>
                <w:szCs w:val="18"/>
              </w:rPr>
              <w:t>綦江全境</w:t>
            </w:r>
          </w:p>
        </w:tc>
        <w:tc>
          <w:tcPr>
            <w:tcW w:w="3439" w:type="pct"/>
            <w:noWrap w:val="0"/>
            <w:vAlign w:val="center"/>
          </w:tcPr>
          <w:p>
            <w:pPr>
              <w:snapToGrid w:val="0"/>
              <w:spacing w:line="240" w:lineRule="exact"/>
              <w:ind w:firstLine="0" w:firstLineChars="0"/>
              <w:jc w:val="left"/>
              <w:rPr>
                <w:rFonts w:hint="default" w:ascii="Times New Roman" w:hAnsi="Times New Roman" w:eastAsia="方正仿宋_GBK" w:cs="Times New Roman"/>
                <w:bCs/>
                <w:kern w:val="0"/>
                <w:sz w:val="18"/>
                <w:szCs w:val="18"/>
              </w:rPr>
            </w:pPr>
            <w:r>
              <w:rPr>
                <w:rFonts w:hint="default" w:ascii="Times New Roman" w:hAnsi="Times New Roman" w:eastAsia="方正仿宋_GBK" w:cs="Times New Roman"/>
                <w:bCs/>
                <w:kern w:val="0"/>
                <w:sz w:val="18"/>
                <w:szCs w:val="18"/>
              </w:rPr>
              <w:t>开发綦江流域大洪水智能化预报系统，建设水工程智能防灾调度系统、防汛移动会商系统，实现洪水预报、防洪调度、灾情评估与防汛会商。</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227" w:hRule="atLeast"/>
          <w:jc w:val="center"/>
        </w:trPr>
        <w:tc>
          <w:tcPr>
            <w:tcW w:w="234" w:type="pct"/>
            <w:tcBorders>
              <w:bottom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18"/>
                <w:szCs w:val="18"/>
              </w:rPr>
            </w:pPr>
            <w:r>
              <w:rPr>
                <w:rFonts w:hint="default" w:ascii="Times New Roman" w:hAnsi="Times New Roman" w:eastAsia="方正仿宋_GBK" w:cs="Times New Roman"/>
                <w:bCs/>
                <w:kern w:val="0"/>
                <w:sz w:val="18"/>
                <w:szCs w:val="18"/>
              </w:rPr>
              <w:t>9</w:t>
            </w:r>
          </w:p>
        </w:tc>
        <w:tc>
          <w:tcPr>
            <w:tcW w:w="229" w:type="pct"/>
            <w:vMerge w:val="continue"/>
            <w:tcBorders>
              <w:top w:val="single" w:color="auto" w:sz="4" w:space="0"/>
              <w:bottom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18"/>
                <w:szCs w:val="18"/>
              </w:rPr>
            </w:pPr>
          </w:p>
        </w:tc>
        <w:tc>
          <w:tcPr>
            <w:tcW w:w="661"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18"/>
                <w:szCs w:val="18"/>
              </w:rPr>
            </w:pPr>
            <w:r>
              <w:rPr>
                <w:rFonts w:hint="default" w:ascii="Times New Roman" w:hAnsi="Times New Roman" w:eastAsia="方正仿宋_GBK" w:cs="Times New Roman"/>
                <w:bCs/>
                <w:kern w:val="0"/>
                <w:sz w:val="18"/>
                <w:szCs w:val="18"/>
              </w:rPr>
              <w:t>洪水风险管理与防洪空间管控</w:t>
            </w:r>
          </w:p>
        </w:tc>
        <w:tc>
          <w:tcPr>
            <w:tcW w:w="435"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18"/>
                <w:szCs w:val="18"/>
              </w:rPr>
            </w:pPr>
            <w:r>
              <w:rPr>
                <w:rFonts w:hint="default" w:ascii="Times New Roman" w:hAnsi="Times New Roman" w:eastAsia="方正仿宋_GBK" w:cs="Times New Roman"/>
                <w:bCs/>
                <w:kern w:val="0"/>
                <w:sz w:val="18"/>
                <w:szCs w:val="18"/>
              </w:rPr>
              <w:t>綦江城区</w:t>
            </w:r>
          </w:p>
        </w:tc>
        <w:tc>
          <w:tcPr>
            <w:tcW w:w="3439" w:type="pct"/>
            <w:noWrap w:val="0"/>
            <w:vAlign w:val="center"/>
          </w:tcPr>
          <w:p>
            <w:pPr>
              <w:snapToGrid w:val="0"/>
              <w:spacing w:line="240" w:lineRule="exact"/>
              <w:ind w:firstLine="0" w:firstLineChars="0"/>
              <w:jc w:val="left"/>
              <w:rPr>
                <w:rFonts w:hint="default" w:ascii="Times New Roman" w:hAnsi="Times New Roman" w:eastAsia="方正仿宋_GBK" w:cs="Times New Roman"/>
                <w:bCs/>
                <w:kern w:val="0"/>
                <w:sz w:val="18"/>
                <w:szCs w:val="18"/>
              </w:rPr>
            </w:pPr>
            <w:r>
              <w:rPr>
                <w:rFonts w:hint="default" w:ascii="Times New Roman" w:hAnsi="Times New Roman" w:eastAsia="方正仿宋_GBK" w:cs="Times New Roman"/>
                <w:bCs/>
                <w:kern w:val="0"/>
                <w:sz w:val="18"/>
                <w:szCs w:val="18"/>
              </w:rPr>
              <w:t>建立流域洪涝灾害风险区划图，研究洪水风险管理与洪涝灾害保险制度，河流行蓄洪空间划定与綦江城区防洪空间管控研究。</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227" w:hRule="atLeast"/>
          <w:jc w:val="center"/>
        </w:trPr>
        <w:tc>
          <w:tcPr>
            <w:tcW w:w="234" w:type="pct"/>
            <w:tcBorders>
              <w:bottom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18"/>
                <w:szCs w:val="18"/>
              </w:rPr>
            </w:pPr>
            <w:r>
              <w:rPr>
                <w:rFonts w:hint="default" w:ascii="Times New Roman" w:hAnsi="Times New Roman" w:eastAsia="方正仿宋_GBK" w:cs="Times New Roman"/>
                <w:bCs/>
                <w:kern w:val="0"/>
                <w:sz w:val="18"/>
                <w:szCs w:val="18"/>
              </w:rPr>
              <w:t>10</w:t>
            </w:r>
          </w:p>
        </w:tc>
        <w:tc>
          <w:tcPr>
            <w:tcW w:w="229" w:type="pct"/>
            <w:vMerge w:val="continue"/>
            <w:tcBorders>
              <w:top w:val="single" w:color="auto" w:sz="4" w:space="0"/>
              <w:bottom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18"/>
                <w:szCs w:val="18"/>
              </w:rPr>
            </w:pPr>
          </w:p>
        </w:tc>
        <w:tc>
          <w:tcPr>
            <w:tcW w:w="661"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18"/>
                <w:szCs w:val="18"/>
              </w:rPr>
            </w:pPr>
            <w:r>
              <w:rPr>
                <w:rFonts w:hint="default" w:ascii="Times New Roman" w:hAnsi="Times New Roman" w:eastAsia="方正仿宋_GBK" w:cs="Times New Roman"/>
                <w:bCs/>
                <w:kern w:val="0"/>
                <w:sz w:val="18"/>
                <w:szCs w:val="18"/>
              </w:rPr>
              <w:t>綦江城区应急避险管理系统</w:t>
            </w:r>
          </w:p>
        </w:tc>
        <w:tc>
          <w:tcPr>
            <w:tcW w:w="435"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18"/>
                <w:szCs w:val="18"/>
              </w:rPr>
            </w:pPr>
            <w:r>
              <w:rPr>
                <w:rFonts w:hint="default" w:ascii="Times New Roman" w:hAnsi="Times New Roman" w:eastAsia="方正仿宋_GBK" w:cs="Times New Roman"/>
                <w:bCs/>
                <w:kern w:val="0"/>
                <w:sz w:val="18"/>
                <w:szCs w:val="18"/>
              </w:rPr>
              <w:t>綦江城区</w:t>
            </w:r>
          </w:p>
        </w:tc>
        <w:tc>
          <w:tcPr>
            <w:tcW w:w="3439" w:type="pct"/>
            <w:noWrap w:val="0"/>
            <w:vAlign w:val="center"/>
          </w:tcPr>
          <w:p>
            <w:pPr>
              <w:snapToGrid w:val="0"/>
              <w:spacing w:line="240" w:lineRule="exact"/>
              <w:ind w:firstLine="0" w:firstLineChars="0"/>
              <w:jc w:val="left"/>
              <w:rPr>
                <w:rFonts w:hint="default" w:ascii="Times New Roman" w:hAnsi="Times New Roman" w:eastAsia="方正仿宋_GBK" w:cs="Times New Roman"/>
                <w:bCs/>
                <w:kern w:val="0"/>
                <w:sz w:val="18"/>
                <w:szCs w:val="18"/>
              </w:rPr>
            </w:pPr>
            <w:r>
              <w:rPr>
                <w:rFonts w:hint="default" w:ascii="Times New Roman" w:hAnsi="Times New Roman" w:eastAsia="方正仿宋_GBK" w:cs="Times New Roman"/>
                <w:bCs/>
                <w:kern w:val="0"/>
                <w:sz w:val="18"/>
                <w:szCs w:val="18"/>
              </w:rPr>
              <w:t>建设綦江城区智慧应急避险管理系统，提高应急避险转移效率。</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0" w:type="dxa"/>
            <w:bottom w:w="0" w:type="dxa"/>
            <w:right w:w="0" w:type="dxa"/>
          </w:tblCellMar>
        </w:tblPrEx>
        <w:trPr>
          <w:trHeight w:val="227" w:hRule="atLeast"/>
          <w:jc w:val="center"/>
        </w:trPr>
        <w:tc>
          <w:tcPr>
            <w:tcW w:w="234" w:type="pct"/>
            <w:tcBorders>
              <w:bottom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18"/>
                <w:szCs w:val="18"/>
              </w:rPr>
            </w:pPr>
            <w:r>
              <w:rPr>
                <w:rFonts w:hint="default" w:ascii="Times New Roman" w:hAnsi="Times New Roman" w:eastAsia="方正仿宋_GBK" w:cs="Times New Roman"/>
                <w:bCs/>
                <w:kern w:val="0"/>
                <w:sz w:val="18"/>
                <w:szCs w:val="18"/>
              </w:rPr>
              <w:t>11</w:t>
            </w:r>
          </w:p>
        </w:tc>
        <w:tc>
          <w:tcPr>
            <w:tcW w:w="229" w:type="pct"/>
            <w:vMerge w:val="continue"/>
            <w:tcBorders>
              <w:top w:val="single" w:color="auto" w:sz="4" w:space="0"/>
              <w:bottom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18"/>
                <w:szCs w:val="18"/>
              </w:rPr>
            </w:pPr>
          </w:p>
        </w:tc>
        <w:tc>
          <w:tcPr>
            <w:tcW w:w="661"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18"/>
                <w:szCs w:val="18"/>
              </w:rPr>
            </w:pPr>
            <w:r>
              <w:rPr>
                <w:rFonts w:hint="default" w:ascii="Times New Roman" w:hAnsi="Times New Roman" w:eastAsia="方正仿宋_GBK" w:cs="Times New Roman"/>
                <w:bCs/>
                <w:kern w:val="0"/>
                <w:sz w:val="18"/>
                <w:szCs w:val="18"/>
              </w:rPr>
              <w:t>綦江城区水利大数据中心</w:t>
            </w:r>
          </w:p>
        </w:tc>
        <w:tc>
          <w:tcPr>
            <w:tcW w:w="435"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18"/>
                <w:szCs w:val="18"/>
              </w:rPr>
            </w:pPr>
            <w:r>
              <w:rPr>
                <w:rFonts w:hint="default" w:ascii="Times New Roman" w:hAnsi="Times New Roman" w:eastAsia="方正仿宋_GBK" w:cs="Times New Roman"/>
                <w:bCs/>
                <w:kern w:val="0"/>
                <w:sz w:val="18"/>
                <w:szCs w:val="18"/>
              </w:rPr>
              <w:t>綦江全境</w:t>
            </w:r>
          </w:p>
        </w:tc>
        <w:tc>
          <w:tcPr>
            <w:tcW w:w="3439" w:type="pct"/>
            <w:noWrap w:val="0"/>
            <w:vAlign w:val="center"/>
          </w:tcPr>
          <w:p>
            <w:pPr>
              <w:snapToGrid w:val="0"/>
              <w:spacing w:line="240" w:lineRule="exact"/>
              <w:ind w:firstLine="0" w:firstLineChars="0"/>
              <w:jc w:val="left"/>
              <w:rPr>
                <w:rFonts w:hint="default" w:ascii="Times New Roman" w:hAnsi="Times New Roman" w:eastAsia="方正仿宋_GBK" w:cs="Times New Roman"/>
                <w:bCs/>
                <w:kern w:val="0"/>
                <w:sz w:val="18"/>
                <w:szCs w:val="18"/>
              </w:rPr>
            </w:pPr>
            <w:r>
              <w:rPr>
                <w:rFonts w:hint="default" w:ascii="Times New Roman" w:hAnsi="Times New Roman" w:eastAsia="方正仿宋_GBK" w:cs="Times New Roman"/>
                <w:bCs/>
                <w:kern w:val="0"/>
                <w:sz w:val="18"/>
                <w:szCs w:val="18"/>
              </w:rPr>
              <w:t>智慧水利一张图、水利大数据中心、导航定位、卫星遥感、无人机。</w:t>
            </w:r>
          </w:p>
        </w:tc>
      </w:tr>
    </w:tbl>
    <w:p>
      <w:pPr>
        <w:pStyle w:val="1530"/>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方正楷体_GBK" w:hAnsi="方正楷体_GBK" w:eastAsia="方正楷体_GBK" w:cs="方正楷体_GBK"/>
          <w:sz w:val="32"/>
          <w:szCs w:val="32"/>
          <w:lang w:val="en-US" w:eastAsia="zh-CN"/>
        </w:rPr>
      </w:pPr>
      <w:bookmarkStart w:id="235" w:name="_Toc29304"/>
      <w:bookmarkStart w:id="236" w:name="_Toc10488"/>
      <w:bookmarkStart w:id="237" w:name="_Toc71665901"/>
      <w:bookmarkStart w:id="238" w:name="_Toc71782116"/>
      <w:r>
        <w:rPr>
          <w:rFonts w:hint="eastAsia" w:ascii="方正楷体_GBK" w:hAnsi="方正楷体_GBK" w:eastAsia="方正楷体_GBK" w:cs="方正楷体_GBK"/>
          <w:sz w:val="32"/>
          <w:szCs w:val="32"/>
          <w:lang w:val="en-US" w:eastAsia="zh-CN"/>
        </w:rPr>
        <w:t>（二）工程实施意见</w:t>
      </w:r>
      <w:bookmarkEnd w:id="235"/>
      <w:bookmarkEnd w:id="236"/>
      <w:bookmarkEnd w:id="237"/>
      <w:bookmarkEnd w:id="238"/>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由于綦江城市防洪需依靠流域综合防洪体系保障其防洪安全，其中藻渡水库建设对降低綦江城区綦江干流河段行洪水位作用显著。建议抓紧开展藻渡水库建设，早日建成，保障下游城市安澜。</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default" w:ascii="Times New Roman" w:hAnsi="Times New Roman" w:eastAsia="方正仿宋_GBK" w:cs="Times New Roman"/>
          <w:kern w:val="0"/>
          <w:sz w:val="32"/>
          <w:szCs w:val="32"/>
          <w:lang w:val="zh-CN"/>
        </w:rPr>
      </w:pPr>
      <w:r>
        <w:rPr>
          <w:rFonts w:hint="default" w:ascii="Times New Roman" w:hAnsi="Times New Roman" w:eastAsia="方正仿宋_GBK" w:cs="Times New Roman"/>
          <w:kern w:val="0"/>
          <w:sz w:val="32"/>
          <w:szCs w:val="32"/>
          <w:lang w:val="zh-CN"/>
        </w:rPr>
        <w:t>规划按照轻重缓急原则，根据地方财力和资金筹措情况，按“全面规划、分步实施”的原则，实施本规划工程，应根据保护对象的重要性、工程的轻重缓急和资金筹措情况分步安排，工程的实施应与流域社会经济的发展同步并适当超前，以取得基础设施建设的主动权。根据綦江城区防洪现状，规划先期完成綦江干流</w:t>
      </w:r>
      <w:r>
        <w:rPr>
          <w:rFonts w:hint="default" w:ascii="Times New Roman" w:hAnsi="Times New Roman" w:eastAsia="方正仿宋_GBK" w:cs="Times New Roman"/>
          <w:kern w:val="0"/>
          <w:sz w:val="32"/>
          <w:szCs w:val="32"/>
        </w:rPr>
        <w:t>主城区段</w:t>
      </w:r>
      <w:r>
        <w:rPr>
          <w:rFonts w:hint="default" w:ascii="Times New Roman" w:hAnsi="Times New Roman" w:eastAsia="方正仿宋_GBK" w:cs="Times New Roman"/>
          <w:kern w:val="0"/>
          <w:sz w:val="32"/>
          <w:szCs w:val="32"/>
          <w:lang w:val="zh-CN"/>
        </w:rPr>
        <w:t>防洪圈达标</w:t>
      </w:r>
      <w:r>
        <w:rPr>
          <w:rFonts w:hint="default" w:ascii="Times New Roman" w:hAnsi="Times New Roman" w:eastAsia="方正仿宋_GBK" w:cs="Times New Roman"/>
          <w:kern w:val="0"/>
          <w:sz w:val="32"/>
          <w:szCs w:val="32"/>
        </w:rPr>
        <w:t>建设，包括</w:t>
      </w:r>
      <w:r>
        <w:rPr>
          <w:rFonts w:hint="default" w:ascii="Times New Roman" w:hAnsi="Times New Roman" w:eastAsia="方正仿宋_GBK" w:cs="Times New Roman"/>
          <w:kern w:val="0"/>
          <w:sz w:val="32"/>
          <w:szCs w:val="32"/>
          <w:lang w:val="zh-CN"/>
        </w:rPr>
        <w:t>：加高加固</w:t>
      </w:r>
      <w:r>
        <w:rPr>
          <w:rFonts w:hint="default" w:ascii="Times New Roman" w:hAnsi="Times New Roman" w:eastAsia="方正仿宋_GBK" w:cs="Times New Roman"/>
          <w:kern w:val="0"/>
          <w:sz w:val="32"/>
          <w:szCs w:val="32"/>
        </w:rPr>
        <w:t>堤防</w:t>
      </w:r>
      <w:r>
        <w:rPr>
          <w:rFonts w:hint="default" w:ascii="Times New Roman" w:hAnsi="Times New Roman" w:eastAsia="方正仿宋_GBK" w:cs="Times New Roman"/>
          <w:sz w:val="32"/>
          <w:szCs w:val="32"/>
        </w:rPr>
        <w:t>4.77km；綦江城区及下游河道共计11.55km河段疏浚工程，綦江主城洪水高风险区移民征地工程，大常枢纽优化改建工程，藻渡水库工程，新建排涝泵站3座，实施洪水风险管理与防洪空间管控，研发应急避险管理系统</w:t>
      </w:r>
      <w:r>
        <w:rPr>
          <w:rFonts w:hint="default" w:ascii="Times New Roman" w:hAnsi="Times New Roman" w:eastAsia="方正仿宋_GBK" w:cs="Times New Roman"/>
          <w:kern w:val="0"/>
          <w:sz w:val="32"/>
          <w:szCs w:val="32"/>
          <w:lang w:val="zh-CN"/>
        </w:rPr>
        <w:t>。</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綦江城区防洪工程实施计划见表11.1</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2。</w:t>
      </w:r>
    </w:p>
    <w:p>
      <w:pPr>
        <w:spacing w:line="580" w:lineRule="exact"/>
        <w:ind w:firstLine="560"/>
        <w:rPr>
          <w:rFonts w:hint="eastAsia"/>
        </w:rPr>
        <w:sectPr>
          <w:headerReference r:id="rId55" w:type="default"/>
          <w:headerReference r:id="rId56" w:type="even"/>
          <w:pgSz w:w="11907" w:h="16840"/>
          <w:pgMar w:top="1616" w:right="1418" w:bottom="1616" w:left="1418" w:header="851" w:footer="1304" w:gutter="0"/>
          <w:pgBorders>
            <w:top w:val="none" w:sz="0" w:space="0"/>
            <w:left w:val="none" w:sz="0" w:space="0"/>
            <w:bottom w:val="none" w:sz="0" w:space="0"/>
            <w:right w:val="none" w:sz="0" w:space="0"/>
          </w:pgBorders>
          <w:pgNumType w:fmt="decimal"/>
          <w:cols w:space="720" w:num="1"/>
          <w:docGrid w:type="lines" w:linePitch="381" w:charSpace="0"/>
        </w:sectPr>
      </w:pPr>
    </w:p>
    <w:p>
      <w:pPr>
        <w:pStyle w:val="2312"/>
        <w:ind w:firstLine="240"/>
        <w:rPr>
          <w:rFonts w:hint="default" w:ascii="Times New Roman" w:hAnsi="Times New Roman" w:cs="Times New Roman"/>
        </w:rPr>
      </w:pPr>
      <w:r>
        <w:rPr>
          <w:rFonts w:hint="default" w:ascii="Times New Roman" w:hAnsi="Times New Roman" w:cs="Times New Roman"/>
        </w:rPr>
        <w:t>表11.1</w:t>
      </w:r>
      <w:r>
        <w:rPr>
          <w:rFonts w:hint="default" w:ascii="Times New Roman" w:hAnsi="Times New Roman" w:cs="Times New Roman"/>
          <w:lang w:eastAsia="zh-CN"/>
        </w:rPr>
        <w:t>—</w:t>
      </w:r>
      <w:r>
        <w:rPr>
          <w:rFonts w:hint="default" w:ascii="Times New Roman" w:hAnsi="Times New Roman" w:cs="Times New Roman"/>
        </w:rPr>
        <w:t>2                               綦江城区防洪工程实施计划表</w:t>
      </w:r>
      <w:r>
        <w:rPr>
          <w:rFonts w:hint="default" w:ascii="Times New Roman" w:hAnsi="Times New Roman" w:cs="Times New Roman"/>
        </w:rPr>
        <w:tab/>
      </w:r>
    </w:p>
    <w:tbl>
      <w:tblPr>
        <w:tblStyle w:val="88"/>
        <w:tblW w:w="4679" w:type="pct"/>
        <w:tblInd w:w="0" w:type="dxa"/>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fixed"/>
        <w:tblCellMar>
          <w:top w:w="0" w:type="dxa"/>
          <w:left w:w="108" w:type="dxa"/>
          <w:bottom w:w="0" w:type="dxa"/>
          <w:right w:w="108" w:type="dxa"/>
        </w:tblCellMar>
      </w:tblPr>
      <w:tblGrid>
        <w:gridCol w:w="535"/>
        <w:gridCol w:w="1133"/>
        <w:gridCol w:w="1984"/>
        <w:gridCol w:w="2553"/>
        <w:gridCol w:w="5952"/>
        <w:gridCol w:w="1149"/>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trPr>
        <w:tc>
          <w:tcPr>
            <w:tcW w:w="201" w:type="pct"/>
            <w:noWrap w:val="0"/>
            <w:vAlign w:val="center"/>
          </w:tcPr>
          <w:p>
            <w:pPr>
              <w:snapToGrid w:val="0"/>
              <w:spacing w:line="240" w:lineRule="exact"/>
              <w:ind w:firstLine="0" w:firstLineChars="0"/>
              <w:jc w:val="center"/>
              <w:rPr>
                <w:rFonts w:hint="eastAsia" w:ascii="方正黑体_GBK" w:hAnsi="方正黑体_GBK" w:eastAsia="方正黑体_GBK" w:cs="方正黑体_GBK"/>
                <w:bCs/>
                <w:kern w:val="0"/>
                <w:sz w:val="21"/>
                <w:szCs w:val="21"/>
              </w:rPr>
            </w:pPr>
            <w:r>
              <w:rPr>
                <w:rFonts w:hint="eastAsia" w:ascii="方正黑体_GBK" w:hAnsi="方正黑体_GBK" w:eastAsia="方正黑体_GBK" w:cs="方正黑体_GBK"/>
                <w:bCs/>
                <w:kern w:val="0"/>
                <w:sz w:val="21"/>
                <w:szCs w:val="21"/>
              </w:rPr>
              <w:t>序号</w:t>
            </w:r>
          </w:p>
        </w:tc>
        <w:tc>
          <w:tcPr>
            <w:tcW w:w="425" w:type="pct"/>
            <w:noWrap w:val="0"/>
            <w:vAlign w:val="center"/>
          </w:tcPr>
          <w:p>
            <w:pPr>
              <w:snapToGrid w:val="0"/>
              <w:spacing w:line="240" w:lineRule="exact"/>
              <w:ind w:firstLine="0" w:firstLineChars="0"/>
              <w:jc w:val="center"/>
              <w:rPr>
                <w:rFonts w:hint="eastAsia" w:ascii="方正黑体_GBK" w:hAnsi="方正黑体_GBK" w:eastAsia="方正黑体_GBK" w:cs="方正黑体_GBK"/>
                <w:bCs/>
                <w:kern w:val="0"/>
                <w:sz w:val="21"/>
                <w:szCs w:val="21"/>
              </w:rPr>
            </w:pPr>
            <w:r>
              <w:rPr>
                <w:rFonts w:hint="eastAsia" w:ascii="方正黑体_GBK" w:hAnsi="方正黑体_GBK" w:eastAsia="方正黑体_GBK" w:cs="方正黑体_GBK"/>
                <w:bCs/>
                <w:kern w:val="0"/>
                <w:sz w:val="21"/>
                <w:szCs w:val="21"/>
              </w:rPr>
              <w:t>项目名称</w:t>
            </w:r>
          </w:p>
        </w:tc>
        <w:tc>
          <w:tcPr>
            <w:tcW w:w="1704" w:type="pct"/>
            <w:gridSpan w:val="2"/>
            <w:noWrap w:val="0"/>
            <w:vAlign w:val="center"/>
          </w:tcPr>
          <w:p>
            <w:pPr>
              <w:snapToGrid w:val="0"/>
              <w:spacing w:line="240" w:lineRule="exact"/>
              <w:ind w:firstLine="0" w:firstLineChars="0"/>
              <w:jc w:val="center"/>
              <w:rPr>
                <w:rFonts w:hint="eastAsia" w:ascii="方正黑体_GBK" w:hAnsi="方正黑体_GBK" w:eastAsia="方正黑体_GBK" w:cs="方正黑体_GBK"/>
                <w:bCs/>
                <w:kern w:val="0"/>
                <w:sz w:val="21"/>
                <w:szCs w:val="21"/>
              </w:rPr>
            </w:pPr>
            <w:r>
              <w:rPr>
                <w:rFonts w:hint="eastAsia" w:ascii="方正黑体_GBK" w:hAnsi="方正黑体_GBK" w:eastAsia="方正黑体_GBK" w:cs="方正黑体_GBK"/>
                <w:bCs/>
                <w:kern w:val="0"/>
                <w:sz w:val="21"/>
                <w:szCs w:val="21"/>
              </w:rPr>
              <w:t>分项名称</w:t>
            </w:r>
          </w:p>
        </w:tc>
        <w:tc>
          <w:tcPr>
            <w:tcW w:w="2236" w:type="pct"/>
            <w:noWrap w:val="0"/>
            <w:vAlign w:val="center"/>
          </w:tcPr>
          <w:p>
            <w:pPr>
              <w:snapToGrid w:val="0"/>
              <w:spacing w:line="240" w:lineRule="exact"/>
              <w:ind w:firstLine="0" w:firstLineChars="0"/>
              <w:jc w:val="center"/>
              <w:rPr>
                <w:rFonts w:hint="eastAsia" w:ascii="方正黑体_GBK" w:hAnsi="方正黑体_GBK" w:eastAsia="方正黑体_GBK" w:cs="方正黑体_GBK"/>
                <w:bCs/>
                <w:kern w:val="0"/>
                <w:sz w:val="21"/>
                <w:szCs w:val="21"/>
              </w:rPr>
            </w:pPr>
            <w:r>
              <w:rPr>
                <w:rFonts w:hint="eastAsia" w:ascii="方正黑体_GBK" w:hAnsi="方正黑体_GBK" w:eastAsia="方正黑体_GBK" w:cs="方正黑体_GBK"/>
                <w:bCs/>
                <w:kern w:val="0"/>
                <w:sz w:val="21"/>
                <w:szCs w:val="21"/>
              </w:rPr>
              <w:t>工程量</w:t>
            </w:r>
          </w:p>
        </w:tc>
        <w:tc>
          <w:tcPr>
            <w:tcW w:w="431" w:type="pct"/>
            <w:noWrap w:val="0"/>
            <w:vAlign w:val="center"/>
          </w:tcPr>
          <w:p>
            <w:pPr>
              <w:snapToGrid w:val="0"/>
              <w:spacing w:line="240" w:lineRule="exact"/>
              <w:ind w:firstLine="0" w:firstLineChars="0"/>
              <w:jc w:val="center"/>
              <w:rPr>
                <w:rFonts w:hint="eastAsia" w:ascii="方正黑体_GBK" w:hAnsi="方正黑体_GBK" w:eastAsia="方正黑体_GBK" w:cs="方正黑体_GBK"/>
                <w:bCs/>
                <w:kern w:val="0"/>
                <w:sz w:val="21"/>
                <w:szCs w:val="21"/>
              </w:rPr>
            </w:pPr>
            <w:r>
              <w:rPr>
                <w:rFonts w:hint="eastAsia" w:ascii="方正黑体_GBK" w:hAnsi="方正黑体_GBK" w:eastAsia="方正黑体_GBK" w:cs="方正黑体_GBK"/>
                <w:bCs/>
                <w:kern w:val="0"/>
                <w:sz w:val="21"/>
                <w:szCs w:val="21"/>
              </w:rPr>
              <w:t>计划开工时间</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trPr>
        <w:tc>
          <w:tcPr>
            <w:tcW w:w="201" w:type="pct"/>
            <w:vMerge w:val="restar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1</w:t>
            </w:r>
          </w:p>
        </w:tc>
        <w:tc>
          <w:tcPr>
            <w:tcW w:w="425" w:type="pct"/>
            <w:vMerge w:val="restar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綦江干流综合治理工程</w:t>
            </w:r>
          </w:p>
        </w:tc>
        <w:tc>
          <w:tcPr>
            <w:tcW w:w="745" w:type="pct"/>
            <w:vMerge w:val="restart"/>
            <w:tcBorders>
              <w:righ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火车站片区（綦江右岸古南水文站</w:t>
            </w:r>
            <w:r>
              <w:rPr>
                <w:rFonts w:hint="default" w:ascii="Times New Roman" w:hAnsi="Times New Roman" w:eastAsia="方正仿宋_GBK" w:cs="Times New Roman"/>
                <w:bCs/>
                <w:kern w:val="0"/>
                <w:sz w:val="21"/>
                <w:szCs w:val="21"/>
                <w:lang w:eastAsia="zh-CN"/>
              </w:rPr>
              <w:t>—</w:t>
            </w:r>
            <w:r>
              <w:rPr>
                <w:rFonts w:hint="default" w:ascii="Times New Roman" w:hAnsi="Times New Roman" w:eastAsia="方正仿宋_GBK" w:cs="Times New Roman"/>
                <w:bCs/>
                <w:kern w:val="0"/>
                <w:sz w:val="21"/>
                <w:szCs w:val="21"/>
              </w:rPr>
              <w:t>经信委）</w:t>
            </w:r>
          </w:p>
        </w:tc>
        <w:tc>
          <w:tcPr>
            <w:tcW w:w="959" w:type="pct"/>
            <w:tcBorders>
              <w:lef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房屋征用工程</w:t>
            </w:r>
          </w:p>
        </w:tc>
        <w:tc>
          <w:tcPr>
            <w:tcW w:w="2236"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对经信委至沱湾大桥段20年一遇洪水位（一层）以下房屋进行征用并封堵，拆迁面积0.8万m</w:t>
            </w:r>
            <w:r>
              <w:rPr>
                <w:rFonts w:hint="default" w:ascii="Times New Roman" w:hAnsi="Times New Roman" w:eastAsia="方正仿宋_GBK" w:cs="Times New Roman"/>
                <w:bCs/>
                <w:kern w:val="0"/>
                <w:sz w:val="21"/>
                <w:szCs w:val="21"/>
                <w:vertAlign w:val="superscript"/>
              </w:rPr>
              <w:t>2</w:t>
            </w:r>
          </w:p>
        </w:tc>
        <w:tc>
          <w:tcPr>
            <w:tcW w:w="431"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近期</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trPr>
        <w:tc>
          <w:tcPr>
            <w:tcW w:w="201"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425"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745" w:type="pct"/>
            <w:vMerge w:val="continue"/>
            <w:tcBorders>
              <w:righ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959" w:type="pct"/>
            <w:tcBorders>
              <w:lef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堤防建设工程</w:t>
            </w:r>
          </w:p>
        </w:tc>
        <w:tc>
          <w:tcPr>
            <w:tcW w:w="2236"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采用堤路结合方案对碧水蓝湾至经信委段虹桥路实施加高，建堤长度0.67km</w:t>
            </w:r>
          </w:p>
        </w:tc>
        <w:tc>
          <w:tcPr>
            <w:tcW w:w="431"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近期</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trPr>
        <w:tc>
          <w:tcPr>
            <w:tcW w:w="201"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425"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745" w:type="pct"/>
            <w:vMerge w:val="continue"/>
            <w:tcBorders>
              <w:righ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959" w:type="pct"/>
            <w:tcBorders>
              <w:lef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城市品质提升工程</w:t>
            </w:r>
          </w:p>
        </w:tc>
        <w:tc>
          <w:tcPr>
            <w:tcW w:w="2236"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对古南水文站至碧水蓝湾段打造老城记忆，建设以步道为主的观光带、人文景观带和湿地公园。主要建设生态廊道、生态体验区，形成城市绿色生态网络，打造多层台阶、戏水广场、水中剧场等。</w:t>
            </w:r>
          </w:p>
        </w:tc>
        <w:tc>
          <w:tcPr>
            <w:tcW w:w="431"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近期</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trPr>
        <w:tc>
          <w:tcPr>
            <w:tcW w:w="201"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425"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745" w:type="pct"/>
            <w:vMerge w:val="restart"/>
            <w:tcBorders>
              <w:righ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菜坝片区（綦江右岸龙角桥</w:t>
            </w:r>
            <w:r>
              <w:rPr>
                <w:rFonts w:hint="default" w:ascii="Times New Roman" w:hAnsi="Times New Roman" w:eastAsia="方正仿宋_GBK" w:cs="Times New Roman"/>
                <w:bCs/>
                <w:kern w:val="0"/>
                <w:sz w:val="21"/>
                <w:szCs w:val="21"/>
                <w:lang w:eastAsia="zh-CN"/>
              </w:rPr>
              <w:t>—</w:t>
            </w:r>
            <w:r>
              <w:rPr>
                <w:rFonts w:hint="default" w:ascii="Times New Roman" w:hAnsi="Times New Roman" w:eastAsia="方正仿宋_GBK" w:cs="Times New Roman"/>
                <w:bCs/>
                <w:kern w:val="0"/>
                <w:sz w:val="21"/>
                <w:szCs w:val="21"/>
              </w:rPr>
              <w:t>经信委）</w:t>
            </w:r>
          </w:p>
        </w:tc>
        <w:tc>
          <w:tcPr>
            <w:tcW w:w="959" w:type="pct"/>
            <w:tcBorders>
              <w:lef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房屋拆迁工程</w:t>
            </w:r>
          </w:p>
        </w:tc>
        <w:tc>
          <w:tcPr>
            <w:tcW w:w="2236"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对龙角桥段至经信委菜坝社区20年一遇洪水位以下涉及的所有房屋进行整体拆迁，拆迁面积11.29万m</w:t>
            </w:r>
            <w:r>
              <w:rPr>
                <w:rFonts w:hint="default" w:ascii="Times New Roman" w:hAnsi="Times New Roman" w:eastAsia="方正仿宋_GBK" w:cs="Times New Roman"/>
                <w:bCs/>
                <w:kern w:val="0"/>
                <w:sz w:val="21"/>
                <w:szCs w:val="21"/>
                <w:vertAlign w:val="superscript"/>
              </w:rPr>
              <w:t>2</w:t>
            </w:r>
          </w:p>
        </w:tc>
        <w:tc>
          <w:tcPr>
            <w:tcW w:w="431"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近期</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trPr>
        <w:tc>
          <w:tcPr>
            <w:tcW w:w="201"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425"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745" w:type="pct"/>
            <w:vMerge w:val="continue"/>
            <w:tcBorders>
              <w:righ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959" w:type="pct"/>
            <w:tcBorders>
              <w:lef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堤防建设工程</w:t>
            </w:r>
          </w:p>
        </w:tc>
        <w:tc>
          <w:tcPr>
            <w:tcW w:w="2236"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采取堤路结合的型式，对滨河路加高拓宽，建堤长度0.64km</w:t>
            </w:r>
          </w:p>
        </w:tc>
        <w:tc>
          <w:tcPr>
            <w:tcW w:w="431"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近期</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trPr>
        <w:tc>
          <w:tcPr>
            <w:tcW w:w="201"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425"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745" w:type="pct"/>
            <w:vMerge w:val="continue"/>
            <w:tcBorders>
              <w:righ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959" w:type="pct"/>
            <w:tcBorders>
              <w:lef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城市品质提升工程</w:t>
            </w:r>
          </w:p>
        </w:tc>
        <w:tc>
          <w:tcPr>
            <w:tcW w:w="2236"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开展商业体育文化公园建设，以商业、体育、文化、休闲为核心，建设停车场、儿童活动区、青年健身区、老年活动区、景观观赏区、健身环道。</w:t>
            </w:r>
          </w:p>
        </w:tc>
        <w:tc>
          <w:tcPr>
            <w:tcW w:w="431"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近期</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trPr>
        <w:tc>
          <w:tcPr>
            <w:tcW w:w="201"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425"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745" w:type="pct"/>
            <w:vMerge w:val="restart"/>
            <w:tcBorders>
              <w:righ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綦江右岸通惠河口</w:t>
            </w:r>
            <w:r>
              <w:rPr>
                <w:rFonts w:hint="default" w:ascii="Times New Roman" w:hAnsi="Times New Roman" w:eastAsia="方正仿宋_GBK" w:cs="Times New Roman"/>
                <w:bCs/>
                <w:kern w:val="0"/>
                <w:sz w:val="21"/>
                <w:szCs w:val="21"/>
                <w:lang w:eastAsia="zh-CN"/>
              </w:rPr>
              <w:t>—</w:t>
            </w:r>
            <w:r>
              <w:rPr>
                <w:rFonts w:hint="default" w:ascii="Times New Roman" w:hAnsi="Times New Roman" w:eastAsia="方正仿宋_GBK" w:cs="Times New Roman"/>
                <w:bCs/>
                <w:kern w:val="0"/>
                <w:sz w:val="21"/>
                <w:szCs w:val="21"/>
              </w:rPr>
              <w:t>綦江大桥片区</w:t>
            </w:r>
          </w:p>
        </w:tc>
        <w:tc>
          <w:tcPr>
            <w:tcW w:w="959" w:type="pct"/>
            <w:tcBorders>
              <w:lef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房屋拆迁工程</w:t>
            </w:r>
          </w:p>
        </w:tc>
        <w:tc>
          <w:tcPr>
            <w:tcW w:w="2236"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对綦河右岸建设银行至通惠河口（农行除外）临河所有建筑进行整体拆迁，拆迁面积3.73万m</w:t>
            </w:r>
            <w:r>
              <w:rPr>
                <w:rFonts w:hint="default" w:ascii="Times New Roman" w:hAnsi="Times New Roman" w:eastAsia="方正仿宋_GBK" w:cs="Times New Roman"/>
                <w:bCs/>
                <w:kern w:val="0"/>
                <w:sz w:val="21"/>
                <w:szCs w:val="21"/>
                <w:vertAlign w:val="superscript"/>
              </w:rPr>
              <w:t>2</w:t>
            </w:r>
          </w:p>
        </w:tc>
        <w:tc>
          <w:tcPr>
            <w:tcW w:w="431"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近期</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trPr>
        <w:tc>
          <w:tcPr>
            <w:tcW w:w="201"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425"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745" w:type="pct"/>
            <w:vMerge w:val="continue"/>
            <w:tcBorders>
              <w:righ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959" w:type="pct"/>
            <w:tcBorders>
              <w:lef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城市品质提升工程</w:t>
            </w:r>
          </w:p>
        </w:tc>
        <w:tc>
          <w:tcPr>
            <w:tcW w:w="2236"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生态堤防0.25km</w:t>
            </w:r>
          </w:p>
        </w:tc>
        <w:tc>
          <w:tcPr>
            <w:tcW w:w="431"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近期</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trPr>
        <w:tc>
          <w:tcPr>
            <w:tcW w:w="201"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425"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745" w:type="pct"/>
            <w:tcBorders>
              <w:righ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綦江右岸綦江大桥</w:t>
            </w:r>
            <w:r>
              <w:rPr>
                <w:rFonts w:hint="default" w:ascii="Times New Roman" w:hAnsi="Times New Roman" w:eastAsia="方正仿宋_GBK" w:cs="Times New Roman"/>
                <w:bCs/>
                <w:kern w:val="0"/>
                <w:sz w:val="21"/>
                <w:szCs w:val="21"/>
                <w:lang w:eastAsia="zh-CN"/>
              </w:rPr>
              <w:t>—</w:t>
            </w:r>
            <w:r>
              <w:rPr>
                <w:rFonts w:hint="default" w:ascii="Times New Roman" w:hAnsi="Times New Roman" w:eastAsia="方正仿宋_GBK" w:cs="Times New Roman"/>
                <w:bCs/>
                <w:kern w:val="0"/>
                <w:sz w:val="21"/>
                <w:szCs w:val="21"/>
              </w:rPr>
              <w:t>城北大桥片区</w:t>
            </w:r>
          </w:p>
        </w:tc>
        <w:tc>
          <w:tcPr>
            <w:tcW w:w="959" w:type="pct"/>
            <w:tcBorders>
              <w:lef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城市品质提升工程</w:t>
            </w:r>
          </w:p>
        </w:tc>
        <w:tc>
          <w:tcPr>
            <w:tcW w:w="2236"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堤防生态复绿试点建设2.57km，采取复绿和生态修复措施，将堤防改造成为水体和土体、水体和植被互相涵养的仿自然状态生态型堤防，开辟滨水绿化带。</w:t>
            </w:r>
          </w:p>
        </w:tc>
        <w:tc>
          <w:tcPr>
            <w:tcW w:w="431"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近期</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trPr>
        <w:tc>
          <w:tcPr>
            <w:tcW w:w="201"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425"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745" w:type="pct"/>
            <w:vMerge w:val="restart"/>
            <w:tcBorders>
              <w:righ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沱湾片区（綦江左岸中国石化</w:t>
            </w:r>
            <w:r>
              <w:rPr>
                <w:rFonts w:hint="default" w:ascii="Times New Roman" w:hAnsi="Times New Roman" w:eastAsia="方正仿宋_GBK" w:cs="Times New Roman"/>
                <w:bCs/>
                <w:kern w:val="0"/>
                <w:sz w:val="21"/>
                <w:szCs w:val="21"/>
                <w:lang w:eastAsia="zh-CN"/>
              </w:rPr>
              <w:t>—</w:t>
            </w:r>
            <w:r>
              <w:rPr>
                <w:rFonts w:hint="default" w:ascii="Times New Roman" w:hAnsi="Times New Roman" w:eastAsia="方正仿宋_GBK" w:cs="Times New Roman"/>
                <w:bCs/>
                <w:kern w:val="0"/>
                <w:sz w:val="21"/>
                <w:szCs w:val="21"/>
              </w:rPr>
              <w:t>沱湾大桥大桥）</w:t>
            </w:r>
          </w:p>
        </w:tc>
        <w:tc>
          <w:tcPr>
            <w:tcW w:w="959" w:type="pct"/>
            <w:tcBorders>
              <w:lef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防洪文化墙</w:t>
            </w:r>
          </w:p>
        </w:tc>
        <w:tc>
          <w:tcPr>
            <w:tcW w:w="2236"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中国石化</w:t>
            </w:r>
            <w:r>
              <w:rPr>
                <w:rFonts w:hint="default" w:ascii="Times New Roman" w:hAnsi="Times New Roman" w:eastAsia="方正仿宋_GBK" w:cs="Times New Roman"/>
                <w:bCs/>
                <w:kern w:val="0"/>
                <w:sz w:val="21"/>
                <w:szCs w:val="21"/>
                <w:lang w:eastAsia="zh-CN"/>
              </w:rPr>
              <w:t>—</w:t>
            </w:r>
            <w:r>
              <w:rPr>
                <w:rFonts w:hint="default" w:ascii="Times New Roman" w:hAnsi="Times New Roman" w:eastAsia="方正仿宋_GBK" w:cs="Times New Roman"/>
                <w:bCs/>
                <w:kern w:val="0"/>
                <w:sz w:val="21"/>
                <w:szCs w:val="21"/>
              </w:rPr>
              <w:t>沱湾大桥段建堤长度0.62km，沱湾大桥片区采取应急避险转移和风险管控措施</w:t>
            </w:r>
          </w:p>
        </w:tc>
        <w:tc>
          <w:tcPr>
            <w:tcW w:w="431"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近期</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trPr>
        <w:tc>
          <w:tcPr>
            <w:tcW w:w="201"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425"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745" w:type="pct"/>
            <w:vMerge w:val="continue"/>
            <w:tcBorders>
              <w:righ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959" w:type="pct"/>
            <w:tcBorders>
              <w:lef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排涝工程</w:t>
            </w:r>
          </w:p>
        </w:tc>
        <w:tc>
          <w:tcPr>
            <w:tcW w:w="2236"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新建排涝泵站1座，抽排流量1.03m</w:t>
            </w:r>
            <w:r>
              <w:rPr>
                <w:rFonts w:hint="default" w:ascii="Times New Roman" w:hAnsi="Times New Roman" w:eastAsia="方正仿宋_GBK" w:cs="Times New Roman"/>
                <w:bCs/>
                <w:kern w:val="0"/>
                <w:sz w:val="21"/>
                <w:szCs w:val="21"/>
                <w:vertAlign w:val="superscript"/>
              </w:rPr>
              <w:t>3</w:t>
            </w:r>
            <w:r>
              <w:rPr>
                <w:rFonts w:hint="default" w:ascii="Times New Roman" w:hAnsi="Times New Roman" w:eastAsia="方正仿宋_GBK" w:cs="Times New Roman"/>
                <w:bCs/>
                <w:kern w:val="0"/>
                <w:sz w:val="21"/>
                <w:szCs w:val="21"/>
              </w:rPr>
              <w:t>/s</w:t>
            </w:r>
          </w:p>
        </w:tc>
        <w:tc>
          <w:tcPr>
            <w:tcW w:w="431"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近期</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trPr>
        <w:tc>
          <w:tcPr>
            <w:tcW w:w="201"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425"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745" w:type="pct"/>
            <w:vMerge w:val="restart"/>
            <w:tcBorders>
              <w:righ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下北街片区（綦江左岸彩虹桥</w:t>
            </w:r>
            <w:r>
              <w:rPr>
                <w:rFonts w:hint="default" w:ascii="Times New Roman" w:hAnsi="Times New Roman" w:eastAsia="方正仿宋_GBK" w:cs="Times New Roman"/>
                <w:bCs/>
                <w:kern w:val="0"/>
                <w:sz w:val="21"/>
                <w:szCs w:val="21"/>
                <w:lang w:eastAsia="zh-CN"/>
              </w:rPr>
              <w:t>—</w:t>
            </w:r>
            <w:r>
              <w:rPr>
                <w:rFonts w:hint="default" w:ascii="Times New Roman" w:hAnsi="Times New Roman" w:eastAsia="方正仿宋_GBK" w:cs="Times New Roman"/>
                <w:bCs/>
                <w:kern w:val="0"/>
                <w:sz w:val="21"/>
                <w:szCs w:val="21"/>
              </w:rPr>
              <w:t>沙溪河口）</w:t>
            </w:r>
          </w:p>
        </w:tc>
        <w:tc>
          <w:tcPr>
            <w:tcW w:w="959" w:type="pct"/>
            <w:tcBorders>
              <w:lef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房屋征用工程</w:t>
            </w:r>
          </w:p>
        </w:tc>
        <w:tc>
          <w:tcPr>
            <w:tcW w:w="2236"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对綦江左岸彩虹桥</w:t>
            </w:r>
            <w:r>
              <w:rPr>
                <w:rFonts w:hint="default" w:ascii="Times New Roman" w:hAnsi="Times New Roman" w:eastAsia="方正仿宋_GBK" w:cs="Times New Roman"/>
                <w:bCs/>
                <w:kern w:val="0"/>
                <w:sz w:val="21"/>
                <w:szCs w:val="21"/>
                <w:lang w:eastAsia="zh-CN"/>
              </w:rPr>
              <w:t>—</w:t>
            </w:r>
            <w:r>
              <w:rPr>
                <w:rFonts w:hint="default" w:ascii="Times New Roman" w:hAnsi="Times New Roman" w:eastAsia="方正仿宋_GBK" w:cs="Times New Roman"/>
                <w:bCs/>
                <w:kern w:val="0"/>
                <w:sz w:val="21"/>
                <w:szCs w:val="21"/>
              </w:rPr>
              <w:t>綦江大桥段20年一遇洪水位以下1.81万m</w:t>
            </w:r>
            <w:r>
              <w:rPr>
                <w:rFonts w:hint="default" w:ascii="Times New Roman" w:hAnsi="Times New Roman" w:eastAsia="方正仿宋_GBK" w:cs="Times New Roman"/>
                <w:bCs/>
                <w:kern w:val="0"/>
                <w:sz w:val="21"/>
                <w:szCs w:val="21"/>
                <w:vertAlign w:val="superscript"/>
              </w:rPr>
              <w:t>2</w:t>
            </w:r>
            <w:r>
              <w:rPr>
                <w:rFonts w:hint="default" w:ascii="Times New Roman" w:hAnsi="Times New Roman" w:eastAsia="方正仿宋_GBK" w:cs="Times New Roman"/>
                <w:bCs/>
                <w:kern w:val="0"/>
                <w:sz w:val="21"/>
                <w:szCs w:val="21"/>
              </w:rPr>
              <w:t>房屋进行搬迁征用，并进行封堵。</w:t>
            </w:r>
          </w:p>
        </w:tc>
        <w:tc>
          <w:tcPr>
            <w:tcW w:w="431"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近期</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trPr>
        <w:tc>
          <w:tcPr>
            <w:tcW w:w="201"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425"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745" w:type="pct"/>
            <w:vMerge w:val="continue"/>
            <w:tcBorders>
              <w:righ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959" w:type="pct"/>
            <w:tcBorders>
              <w:lef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房屋拆迁工程</w:t>
            </w:r>
          </w:p>
        </w:tc>
        <w:tc>
          <w:tcPr>
            <w:tcW w:w="2236"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对綦江左岸綦江大桥</w:t>
            </w:r>
            <w:r>
              <w:rPr>
                <w:rFonts w:hint="default" w:ascii="Times New Roman" w:hAnsi="Times New Roman" w:eastAsia="方正仿宋_GBK" w:cs="Times New Roman"/>
                <w:bCs/>
                <w:kern w:val="0"/>
                <w:sz w:val="21"/>
                <w:szCs w:val="21"/>
                <w:lang w:eastAsia="zh-CN"/>
              </w:rPr>
              <w:t>—</w:t>
            </w:r>
            <w:r>
              <w:rPr>
                <w:rFonts w:hint="default" w:ascii="Times New Roman" w:hAnsi="Times New Roman" w:eastAsia="方正仿宋_GBK" w:cs="Times New Roman"/>
                <w:bCs/>
                <w:kern w:val="0"/>
                <w:sz w:val="21"/>
                <w:szCs w:val="21"/>
              </w:rPr>
              <w:t>大常枢纽段5年一遇洪水位以下7.10万m</w:t>
            </w:r>
            <w:r>
              <w:rPr>
                <w:rFonts w:hint="default" w:ascii="Times New Roman" w:hAnsi="Times New Roman" w:eastAsia="方正仿宋_GBK" w:cs="Times New Roman"/>
                <w:bCs/>
                <w:kern w:val="0"/>
                <w:sz w:val="21"/>
                <w:szCs w:val="21"/>
                <w:vertAlign w:val="superscript"/>
              </w:rPr>
              <w:t>2</w:t>
            </w:r>
            <w:r>
              <w:rPr>
                <w:rFonts w:hint="default" w:ascii="Times New Roman" w:hAnsi="Times New Roman" w:eastAsia="方正仿宋_GBK" w:cs="Times New Roman"/>
                <w:bCs/>
                <w:kern w:val="0"/>
                <w:sz w:val="21"/>
                <w:szCs w:val="21"/>
              </w:rPr>
              <w:t>房屋（滨江路临河侧）、大常枢纽</w:t>
            </w:r>
            <w:r>
              <w:rPr>
                <w:rFonts w:hint="default" w:ascii="Times New Roman" w:hAnsi="Times New Roman" w:eastAsia="方正仿宋_GBK" w:cs="Times New Roman"/>
                <w:bCs/>
                <w:kern w:val="0"/>
                <w:sz w:val="21"/>
                <w:szCs w:val="21"/>
                <w:lang w:eastAsia="zh-CN"/>
              </w:rPr>
              <w:t>—</w:t>
            </w:r>
            <w:r>
              <w:rPr>
                <w:rFonts w:hint="default" w:ascii="Times New Roman" w:hAnsi="Times New Roman" w:eastAsia="方正仿宋_GBK" w:cs="Times New Roman"/>
                <w:bCs/>
                <w:kern w:val="0"/>
                <w:sz w:val="21"/>
                <w:szCs w:val="21"/>
              </w:rPr>
              <w:t>沙溪河口段20年一遇洪水位以下3.69万m</w:t>
            </w:r>
            <w:r>
              <w:rPr>
                <w:rFonts w:hint="default" w:ascii="Times New Roman" w:hAnsi="Times New Roman" w:eastAsia="方正仿宋_GBK" w:cs="Times New Roman"/>
                <w:bCs/>
                <w:kern w:val="0"/>
                <w:sz w:val="21"/>
                <w:szCs w:val="21"/>
                <w:vertAlign w:val="superscript"/>
              </w:rPr>
              <w:t>2</w:t>
            </w:r>
            <w:r>
              <w:rPr>
                <w:rFonts w:hint="default" w:ascii="Times New Roman" w:hAnsi="Times New Roman" w:eastAsia="方正仿宋_GBK" w:cs="Times New Roman"/>
                <w:bCs/>
                <w:kern w:val="0"/>
                <w:sz w:val="21"/>
                <w:szCs w:val="21"/>
              </w:rPr>
              <w:t>老旧房屋实施整栋拆迁</w:t>
            </w:r>
          </w:p>
        </w:tc>
        <w:tc>
          <w:tcPr>
            <w:tcW w:w="431"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近期</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trPr>
        <w:tc>
          <w:tcPr>
            <w:tcW w:w="201"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425"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745" w:type="pct"/>
            <w:vMerge w:val="continue"/>
            <w:tcBorders>
              <w:righ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959" w:type="pct"/>
            <w:tcBorders>
              <w:lef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堤防建设工程</w:t>
            </w:r>
          </w:p>
        </w:tc>
        <w:tc>
          <w:tcPr>
            <w:tcW w:w="2236"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采用堤路结合型式对彩虹桥至大常枢纽段滨江路实施加高拓宽，建堤长度2.15km</w:t>
            </w:r>
          </w:p>
        </w:tc>
        <w:tc>
          <w:tcPr>
            <w:tcW w:w="431"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近期</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trPr>
        <w:tc>
          <w:tcPr>
            <w:tcW w:w="201"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425"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745" w:type="pct"/>
            <w:vMerge w:val="continue"/>
            <w:tcBorders>
              <w:righ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959" w:type="pct"/>
            <w:tcBorders>
              <w:lef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排涝工程</w:t>
            </w:r>
          </w:p>
        </w:tc>
        <w:tc>
          <w:tcPr>
            <w:tcW w:w="2236"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新建排涝泵站1座，总抽排流量0.71m</w:t>
            </w:r>
            <w:r>
              <w:rPr>
                <w:rFonts w:hint="default" w:ascii="Times New Roman" w:hAnsi="Times New Roman" w:eastAsia="方正仿宋_GBK" w:cs="Times New Roman"/>
                <w:bCs/>
                <w:kern w:val="0"/>
                <w:sz w:val="21"/>
                <w:szCs w:val="21"/>
                <w:vertAlign w:val="superscript"/>
              </w:rPr>
              <w:t>3</w:t>
            </w:r>
            <w:r>
              <w:rPr>
                <w:rFonts w:hint="default" w:ascii="Times New Roman" w:hAnsi="Times New Roman" w:eastAsia="方正仿宋_GBK" w:cs="Times New Roman"/>
                <w:bCs/>
                <w:kern w:val="0"/>
                <w:sz w:val="21"/>
                <w:szCs w:val="21"/>
              </w:rPr>
              <w:t>/s</w:t>
            </w:r>
          </w:p>
        </w:tc>
        <w:tc>
          <w:tcPr>
            <w:tcW w:w="431"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近期</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trPr>
        <w:tc>
          <w:tcPr>
            <w:tcW w:w="201"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425"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745" w:type="pct"/>
            <w:vMerge w:val="continue"/>
            <w:tcBorders>
              <w:righ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959" w:type="pct"/>
            <w:tcBorders>
              <w:lef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城市品质提升工程</w:t>
            </w:r>
          </w:p>
        </w:tc>
        <w:tc>
          <w:tcPr>
            <w:tcW w:w="2236"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彩虹桥</w:t>
            </w:r>
            <w:r>
              <w:rPr>
                <w:rFonts w:hint="default" w:ascii="Times New Roman" w:hAnsi="Times New Roman" w:eastAsia="方正仿宋_GBK" w:cs="Times New Roman"/>
                <w:bCs/>
                <w:kern w:val="0"/>
                <w:sz w:val="21"/>
                <w:szCs w:val="21"/>
                <w:lang w:eastAsia="zh-CN"/>
              </w:rPr>
              <w:t>—</w:t>
            </w:r>
            <w:r>
              <w:rPr>
                <w:rFonts w:hint="default" w:ascii="Times New Roman" w:hAnsi="Times New Roman" w:eastAsia="方正仿宋_GBK" w:cs="Times New Roman"/>
                <w:bCs/>
                <w:kern w:val="0"/>
                <w:sz w:val="21"/>
                <w:szCs w:val="21"/>
              </w:rPr>
              <w:t>綦江大桥段建设商业、休闲步行街，綦江大桥</w:t>
            </w:r>
            <w:r>
              <w:rPr>
                <w:rFonts w:hint="default" w:ascii="Times New Roman" w:hAnsi="Times New Roman" w:eastAsia="方正仿宋_GBK" w:cs="Times New Roman"/>
                <w:bCs/>
                <w:kern w:val="0"/>
                <w:sz w:val="21"/>
                <w:szCs w:val="21"/>
                <w:lang w:eastAsia="zh-CN"/>
              </w:rPr>
              <w:t>—</w:t>
            </w:r>
            <w:r>
              <w:rPr>
                <w:rFonts w:hint="default" w:ascii="Times New Roman" w:hAnsi="Times New Roman" w:eastAsia="方正仿宋_GBK" w:cs="Times New Roman"/>
                <w:bCs/>
                <w:kern w:val="0"/>
                <w:sz w:val="21"/>
                <w:szCs w:val="21"/>
              </w:rPr>
              <w:t>大常枢纽段建设沿江大道及虹桥体育文化公园，主要建设停车场、骑行道、步行道、跑步道“三线独立”贯通，沿线增设滨水休闲台阶、观景塔、滨水平台、亲水栈道等，对大常枢纽</w:t>
            </w:r>
            <w:r>
              <w:rPr>
                <w:rFonts w:hint="default" w:ascii="Times New Roman" w:hAnsi="Times New Roman" w:eastAsia="方正仿宋_GBK" w:cs="Times New Roman"/>
                <w:bCs/>
                <w:kern w:val="0"/>
                <w:sz w:val="21"/>
                <w:szCs w:val="21"/>
                <w:lang w:eastAsia="zh-CN"/>
              </w:rPr>
              <w:t>—</w:t>
            </w:r>
            <w:r>
              <w:rPr>
                <w:rFonts w:hint="default" w:ascii="Times New Roman" w:hAnsi="Times New Roman" w:eastAsia="方正仿宋_GBK" w:cs="Times New Roman"/>
                <w:bCs/>
                <w:kern w:val="0"/>
                <w:sz w:val="21"/>
                <w:szCs w:val="21"/>
              </w:rPr>
              <w:t>沙溪河口段建设以慢性步道为主的观光带、人文景观带。</w:t>
            </w:r>
          </w:p>
        </w:tc>
        <w:tc>
          <w:tcPr>
            <w:tcW w:w="431"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近期</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trPr>
        <w:tc>
          <w:tcPr>
            <w:tcW w:w="201"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425"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745" w:type="pct"/>
            <w:tcBorders>
              <w:righ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古南中学片区（綦江左岸大常枢纽</w:t>
            </w:r>
            <w:r>
              <w:rPr>
                <w:rFonts w:hint="default" w:ascii="Times New Roman" w:hAnsi="Times New Roman" w:eastAsia="方正仿宋_GBK" w:cs="Times New Roman"/>
                <w:bCs/>
                <w:kern w:val="0"/>
                <w:sz w:val="21"/>
                <w:szCs w:val="21"/>
                <w:lang w:eastAsia="zh-CN"/>
              </w:rPr>
              <w:t>—</w:t>
            </w:r>
            <w:r>
              <w:rPr>
                <w:rFonts w:hint="default" w:ascii="Times New Roman" w:hAnsi="Times New Roman" w:eastAsia="方正仿宋_GBK" w:cs="Times New Roman"/>
                <w:bCs/>
                <w:kern w:val="0"/>
                <w:sz w:val="21"/>
                <w:szCs w:val="21"/>
              </w:rPr>
              <w:t>城北大桥）</w:t>
            </w:r>
          </w:p>
        </w:tc>
        <w:tc>
          <w:tcPr>
            <w:tcW w:w="959" w:type="pct"/>
            <w:tcBorders>
              <w:lef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堤防建设工程</w:t>
            </w:r>
          </w:p>
        </w:tc>
        <w:tc>
          <w:tcPr>
            <w:tcW w:w="2236"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对古南中学</w:t>
            </w:r>
            <w:r>
              <w:rPr>
                <w:rFonts w:hint="default" w:ascii="Times New Roman" w:hAnsi="Times New Roman" w:eastAsia="方正仿宋_GBK" w:cs="Times New Roman"/>
                <w:bCs/>
                <w:kern w:val="0"/>
                <w:sz w:val="21"/>
                <w:szCs w:val="21"/>
                <w:lang w:eastAsia="zh-CN"/>
              </w:rPr>
              <w:t>—</w:t>
            </w:r>
            <w:r>
              <w:rPr>
                <w:rFonts w:hint="default" w:ascii="Times New Roman" w:hAnsi="Times New Roman" w:eastAsia="方正仿宋_GBK" w:cs="Times New Roman"/>
                <w:bCs/>
                <w:kern w:val="0"/>
                <w:sz w:val="21"/>
                <w:szCs w:val="21"/>
              </w:rPr>
              <w:t>城北大桥段，新建U型混凝土种植槽兼防浪文化墙0.25km</w:t>
            </w:r>
          </w:p>
        </w:tc>
        <w:tc>
          <w:tcPr>
            <w:tcW w:w="431"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近期</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trPr>
        <w:tc>
          <w:tcPr>
            <w:tcW w:w="201"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425"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745" w:type="pct"/>
            <w:vMerge w:val="restart"/>
            <w:tcBorders>
              <w:righ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北渡老街片区（綦江左岸北渡场镇老街）</w:t>
            </w:r>
          </w:p>
        </w:tc>
        <w:tc>
          <w:tcPr>
            <w:tcW w:w="959" w:type="pct"/>
            <w:tcBorders>
              <w:lef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房屋拆迁工程</w:t>
            </w:r>
          </w:p>
        </w:tc>
        <w:tc>
          <w:tcPr>
            <w:tcW w:w="2236"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对20年一遇洪水位以下房屋进行整体拆迁，拆迁面积0.64万m</w:t>
            </w:r>
            <w:r>
              <w:rPr>
                <w:rFonts w:hint="default" w:ascii="Times New Roman" w:hAnsi="Times New Roman" w:eastAsia="方正仿宋_GBK" w:cs="Times New Roman"/>
                <w:bCs/>
                <w:kern w:val="0"/>
                <w:sz w:val="21"/>
                <w:szCs w:val="21"/>
                <w:vertAlign w:val="superscript"/>
              </w:rPr>
              <w:t>2</w:t>
            </w:r>
          </w:p>
        </w:tc>
        <w:tc>
          <w:tcPr>
            <w:tcW w:w="431"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近期</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trPr>
        <w:tc>
          <w:tcPr>
            <w:tcW w:w="201"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425"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745" w:type="pct"/>
            <w:vMerge w:val="continue"/>
            <w:tcBorders>
              <w:righ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959" w:type="pct"/>
            <w:tcBorders>
              <w:lef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城市品质提升工程</w:t>
            </w:r>
          </w:p>
        </w:tc>
        <w:tc>
          <w:tcPr>
            <w:tcW w:w="2236"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建设滨河公园</w:t>
            </w:r>
          </w:p>
        </w:tc>
        <w:tc>
          <w:tcPr>
            <w:tcW w:w="431"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近期</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trPr>
        <w:tc>
          <w:tcPr>
            <w:tcW w:w="201"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425"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745" w:type="pct"/>
            <w:vMerge w:val="restart"/>
            <w:tcBorders>
              <w:righ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桥河片区（綦河左右岸火车站</w:t>
            </w:r>
            <w:r>
              <w:rPr>
                <w:rFonts w:hint="default" w:ascii="Times New Roman" w:hAnsi="Times New Roman" w:eastAsia="方正仿宋_GBK" w:cs="Times New Roman"/>
                <w:bCs/>
                <w:kern w:val="0"/>
                <w:sz w:val="21"/>
                <w:szCs w:val="21"/>
                <w:lang w:eastAsia="zh-CN"/>
              </w:rPr>
              <w:t>—</w:t>
            </w:r>
            <w:r>
              <w:rPr>
                <w:rFonts w:hint="default" w:ascii="Times New Roman" w:hAnsi="Times New Roman" w:eastAsia="方正仿宋_GBK" w:cs="Times New Roman"/>
                <w:bCs/>
                <w:kern w:val="0"/>
                <w:sz w:val="21"/>
                <w:szCs w:val="21"/>
              </w:rPr>
              <w:t>桥河闸坝）</w:t>
            </w:r>
          </w:p>
        </w:tc>
        <w:tc>
          <w:tcPr>
            <w:tcW w:w="959" w:type="pct"/>
            <w:tcBorders>
              <w:lef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堤防建设工程</w:t>
            </w:r>
          </w:p>
        </w:tc>
        <w:tc>
          <w:tcPr>
            <w:tcW w:w="2236"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綦江火车站至桥河闸坝段新建堤防5.6km</w:t>
            </w:r>
          </w:p>
        </w:tc>
        <w:tc>
          <w:tcPr>
            <w:tcW w:w="431"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远期</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trPr>
        <w:tc>
          <w:tcPr>
            <w:tcW w:w="201"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425"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745" w:type="pct"/>
            <w:vMerge w:val="continue"/>
            <w:tcBorders>
              <w:righ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959" w:type="pct"/>
            <w:tcBorders>
              <w:lef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城市品质提升工程</w:t>
            </w:r>
          </w:p>
        </w:tc>
        <w:tc>
          <w:tcPr>
            <w:tcW w:w="2236"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在綦江右岸綦江火车站至桥河闸坝地势宽阔段建设亲水公园，长约3km。</w:t>
            </w:r>
          </w:p>
        </w:tc>
        <w:tc>
          <w:tcPr>
            <w:tcW w:w="431"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远期</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trPr>
        <w:tc>
          <w:tcPr>
            <w:tcW w:w="201"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425"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745" w:type="pct"/>
            <w:tcBorders>
              <w:righ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三江片区（綦江左岸三江大桥</w:t>
            </w:r>
            <w:r>
              <w:rPr>
                <w:rFonts w:hint="default" w:ascii="Times New Roman" w:hAnsi="Times New Roman" w:eastAsia="方正仿宋_GBK" w:cs="Times New Roman"/>
                <w:bCs/>
                <w:kern w:val="0"/>
                <w:sz w:val="21"/>
                <w:szCs w:val="21"/>
                <w:lang w:eastAsia="zh-CN"/>
              </w:rPr>
              <w:t>—</w:t>
            </w:r>
            <w:r>
              <w:rPr>
                <w:rFonts w:hint="default" w:ascii="Times New Roman" w:hAnsi="Times New Roman" w:eastAsia="方正仿宋_GBK" w:cs="Times New Roman"/>
                <w:bCs/>
                <w:kern w:val="0"/>
                <w:sz w:val="21"/>
                <w:szCs w:val="21"/>
              </w:rPr>
              <w:t>三江人渡下游）</w:t>
            </w:r>
          </w:p>
        </w:tc>
        <w:tc>
          <w:tcPr>
            <w:tcW w:w="959" w:type="pct"/>
            <w:tcBorders>
              <w:lef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堤防建设工程</w:t>
            </w:r>
          </w:p>
        </w:tc>
        <w:tc>
          <w:tcPr>
            <w:tcW w:w="2236"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建堤长度1.65km</w:t>
            </w:r>
          </w:p>
        </w:tc>
        <w:tc>
          <w:tcPr>
            <w:tcW w:w="431"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远期</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trPr>
        <w:tc>
          <w:tcPr>
            <w:tcW w:w="201" w:type="pct"/>
            <w:vMerge w:val="restar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2</w:t>
            </w:r>
          </w:p>
        </w:tc>
        <w:tc>
          <w:tcPr>
            <w:tcW w:w="425" w:type="pct"/>
            <w:vMerge w:val="restar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綦江干流桥河道整治工程</w:t>
            </w:r>
          </w:p>
        </w:tc>
        <w:tc>
          <w:tcPr>
            <w:tcW w:w="745" w:type="pct"/>
            <w:vMerge w:val="restart"/>
            <w:tcBorders>
              <w:righ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綦江干流桥河闸坝至桥溪口闸坝河段</w:t>
            </w:r>
          </w:p>
        </w:tc>
        <w:tc>
          <w:tcPr>
            <w:tcW w:w="959" w:type="pct"/>
            <w:tcBorders>
              <w:lef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綦江干流河道疏浚工程</w:t>
            </w:r>
          </w:p>
        </w:tc>
        <w:tc>
          <w:tcPr>
            <w:tcW w:w="2236"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疏浚长度11.55km</w:t>
            </w:r>
          </w:p>
        </w:tc>
        <w:tc>
          <w:tcPr>
            <w:tcW w:w="431"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近期</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trPr>
        <w:tc>
          <w:tcPr>
            <w:tcW w:w="201"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425"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745" w:type="pct"/>
            <w:vMerge w:val="continue"/>
            <w:tcBorders>
              <w:righ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959" w:type="pct"/>
            <w:tcBorders>
              <w:lef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大常枢纽优化改建工程</w:t>
            </w:r>
          </w:p>
        </w:tc>
        <w:tc>
          <w:tcPr>
            <w:tcW w:w="2236"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溢流坝改造为闸门</w:t>
            </w:r>
          </w:p>
        </w:tc>
        <w:tc>
          <w:tcPr>
            <w:tcW w:w="431"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近期</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trPr>
        <w:tc>
          <w:tcPr>
            <w:tcW w:w="201"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425"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745" w:type="pct"/>
            <w:vMerge w:val="continue"/>
            <w:tcBorders>
              <w:righ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959" w:type="pct"/>
            <w:tcBorders>
              <w:lef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桥溪口枢纽优化改建工程</w:t>
            </w:r>
          </w:p>
        </w:tc>
        <w:tc>
          <w:tcPr>
            <w:tcW w:w="2236"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溢流坝改造为闸门</w:t>
            </w:r>
          </w:p>
        </w:tc>
        <w:tc>
          <w:tcPr>
            <w:tcW w:w="431"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远期</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trPr>
        <w:tc>
          <w:tcPr>
            <w:tcW w:w="201"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425"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745" w:type="pct"/>
            <w:vMerge w:val="continue"/>
            <w:tcBorders>
              <w:righ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959" w:type="pct"/>
            <w:tcBorders>
              <w:lef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桥河枢纽优化改建工程</w:t>
            </w:r>
          </w:p>
        </w:tc>
        <w:tc>
          <w:tcPr>
            <w:tcW w:w="2236"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溢流坝改造为闸门</w:t>
            </w:r>
          </w:p>
        </w:tc>
        <w:tc>
          <w:tcPr>
            <w:tcW w:w="431"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远期</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trPr>
        <w:tc>
          <w:tcPr>
            <w:tcW w:w="201"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425"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745" w:type="pct"/>
            <w:vMerge w:val="continue"/>
            <w:tcBorders>
              <w:righ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959" w:type="pct"/>
            <w:tcBorders>
              <w:left w:val="single" w:color="auto" w:sz="4" w:space="0"/>
            </w:tcBorders>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石溪口枢纽优化改建工程</w:t>
            </w:r>
          </w:p>
        </w:tc>
        <w:tc>
          <w:tcPr>
            <w:tcW w:w="2236"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溢流坝改造为闸门</w:t>
            </w:r>
          </w:p>
        </w:tc>
        <w:tc>
          <w:tcPr>
            <w:tcW w:w="431"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远期</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trPr>
        <w:tc>
          <w:tcPr>
            <w:tcW w:w="201" w:type="pct"/>
            <w:vMerge w:val="restar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3</w:t>
            </w:r>
          </w:p>
        </w:tc>
        <w:tc>
          <w:tcPr>
            <w:tcW w:w="425" w:type="pct"/>
            <w:vMerge w:val="restar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綦江支流综合治理工程</w:t>
            </w:r>
          </w:p>
        </w:tc>
        <w:tc>
          <w:tcPr>
            <w:tcW w:w="1704" w:type="pct"/>
            <w:gridSpan w:val="2"/>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通惠河高风险区房屋拆迁工程</w:t>
            </w:r>
          </w:p>
        </w:tc>
        <w:tc>
          <w:tcPr>
            <w:tcW w:w="2236"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拆迁面积1.04万m</w:t>
            </w:r>
            <w:r>
              <w:rPr>
                <w:rFonts w:hint="default" w:ascii="Times New Roman" w:hAnsi="Times New Roman" w:eastAsia="方正仿宋_GBK" w:cs="Times New Roman"/>
                <w:bCs/>
                <w:kern w:val="0"/>
                <w:sz w:val="21"/>
                <w:szCs w:val="21"/>
                <w:vertAlign w:val="superscript"/>
              </w:rPr>
              <w:t>2</w:t>
            </w:r>
          </w:p>
        </w:tc>
        <w:tc>
          <w:tcPr>
            <w:tcW w:w="431" w:type="pct"/>
            <w:vMerge w:val="restar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远期</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trPr>
        <w:tc>
          <w:tcPr>
            <w:tcW w:w="201"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425"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1704" w:type="pct"/>
            <w:gridSpan w:val="2"/>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通惠河堤防护岸工程</w:t>
            </w:r>
          </w:p>
        </w:tc>
        <w:tc>
          <w:tcPr>
            <w:tcW w:w="2236"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建堤长度3.20km</w:t>
            </w:r>
          </w:p>
        </w:tc>
        <w:tc>
          <w:tcPr>
            <w:tcW w:w="431"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trPr>
        <w:tc>
          <w:tcPr>
            <w:tcW w:w="201"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425"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1704" w:type="pct"/>
            <w:gridSpan w:val="2"/>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登瀛河堤防护岸工程</w:t>
            </w:r>
          </w:p>
        </w:tc>
        <w:tc>
          <w:tcPr>
            <w:tcW w:w="2236"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建堤长度0.84km</w:t>
            </w:r>
          </w:p>
        </w:tc>
        <w:tc>
          <w:tcPr>
            <w:tcW w:w="431"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trPr>
        <w:tc>
          <w:tcPr>
            <w:tcW w:w="201"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425"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1704" w:type="pct"/>
            <w:gridSpan w:val="2"/>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蒲河堤防护岸工程</w:t>
            </w:r>
          </w:p>
        </w:tc>
        <w:tc>
          <w:tcPr>
            <w:tcW w:w="2236"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建堤长度0.38km</w:t>
            </w:r>
          </w:p>
        </w:tc>
        <w:tc>
          <w:tcPr>
            <w:tcW w:w="431"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trPr>
        <w:tc>
          <w:tcPr>
            <w:tcW w:w="201"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4</w:t>
            </w:r>
          </w:p>
        </w:tc>
        <w:tc>
          <w:tcPr>
            <w:tcW w:w="425"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防洪水库</w:t>
            </w:r>
          </w:p>
        </w:tc>
        <w:tc>
          <w:tcPr>
            <w:tcW w:w="1704" w:type="pct"/>
            <w:gridSpan w:val="2"/>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藻渡水库工程</w:t>
            </w:r>
          </w:p>
        </w:tc>
        <w:tc>
          <w:tcPr>
            <w:tcW w:w="2236"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防洪库容4975万m</w:t>
            </w:r>
            <w:r>
              <w:rPr>
                <w:rFonts w:hint="default" w:ascii="Times New Roman" w:hAnsi="Times New Roman" w:eastAsia="方正仿宋_GBK" w:cs="Times New Roman"/>
                <w:bCs/>
                <w:kern w:val="0"/>
                <w:sz w:val="21"/>
                <w:szCs w:val="21"/>
                <w:vertAlign w:val="superscript"/>
              </w:rPr>
              <w:t>3</w:t>
            </w:r>
          </w:p>
        </w:tc>
        <w:tc>
          <w:tcPr>
            <w:tcW w:w="431"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近期</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trPr>
        <w:tc>
          <w:tcPr>
            <w:tcW w:w="201" w:type="pct"/>
            <w:vMerge w:val="restar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5</w:t>
            </w:r>
          </w:p>
        </w:tc>
        <w:tc>
          <w:tcPr>
            <w:tcW w:w="425" w:type="pct"/>
            <w:vMerge w:val="restar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智慧水利工程</w:t>
            </w:r>
          </w:p>
        </w:tc>
        <w:tc>
          <w:tcPr>
            <w:tcW w:w="1704" w:type="pct"/>
            <w:gridSpan w:val="2"/>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水文站网建设</w:t>
            </w:r>
          </w:p>
        </w:tc>
        <w:tc>
          <w:tcPr>
            <w:tcW w:w="2236"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431"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远期</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trPr>
        <w:tc>
          <w:tcPr>
            <w:tcW w:w="201"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425"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1704" w:type="pct"/>
            <w:gridSpan w:val="2"/>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防洪预报调度系统</w:t>
            </w:r>
          </w:p>
        </w:tc>
        <w:tc>
          <w:tcPr>
            <w:tcW w:w="2236"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431"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远期</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trPr>
        <w:tc>
          <w:tcPr>
            <w:tcW w:w="201"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425"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1704" w:type="pct"/>
            <w:gridSpan w:val="2"/>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綦江城区洪水风险管理与防洪空间管控</w:t>
            </w:r>
          </w:p>
        </w:tc>
        <w:tc>
          <w:tcPr>
            <w:tcW w:w="2236"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431"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近期</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trPr>
        <w:tc>
          <w:tcPr>
            <w:tcW w:w="201"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425"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1704" w:type="pct"/>
            <w:gridSpan w:val="2"/>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綦江城区应急避险管理系统</w:t>
            </w:r>
          </w:p>
        </w:tc>
        <w:tc>
          <w:tcPr>
            <w:tcW w:w="2236"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431"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近期</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trPr>
        <w:tc>
          <w:tcPr>
            <w:tcW w:w="201"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425" w:type="pct"/>
            <w:vMerge w:val="continue"/>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1704" w:type="pct"/>
            <w:gridSpan w:val="2"/>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綦江城区水利大数据中心</w:t>
            </w:r>
          </w:p>
        </w:tc>
        <w:tc>
          <w:tcPr>
            <w:tcW w:w="2236"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p>
        </w:tc>
        <w:tc>
          <w:tcPr>
            <w:tcW w:w="431" w:type="pct"/>
            <w:noWrap w:val="0"/>
            <w:vAlign w:val="center"/>
          </w:tcPr>
          <w:p>
            <w:pPr>
              <w:snapToGrid w:val="0"/>
              <w:spacing w:line="240" w:lineRule="exact"/>
              <w:ind w:firstLine="0" w:firstLineChars="0"/>
              <w:jc w:val="center"/>
              <w:rPr>
                <w:rFonts w:hint="default" w:ascii="Times New Roman" w:hAnsi="Times New Roman" w:eastAsia="方正仿宋_GBK" w:cs="Times New Roman"/>
                <w:bCs/>
                <w:kern w:val="0"/>
                <w:sz w:val="21"/>
                <w:szCs w:val="21"/>
              </w:rPr>
            </w:pPr>
            <w:r>
              <w:rPr>
                <w:rFonts w:hint="default" w:ascii="Times New Roman" w:hAnsi="Times New Roman" w:eastAsia="方正仿宋_GBK" w:cs="Times New Roman"/>
                <w:bCs/>
                <w:kern w:val="0"/>
                <w:sz w:val="21"/>
                <w:szCs w:val="21"/>
              </w:rPr>
              <w:t>远期</w:t>
            </w: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12" w:hRule="atLeast"/>
        </w:trPr>
        <w:tc>
          <w:tcPr>
            <w:tcW w:w="5000" w:type="pct"/>
            <w:gridSpan w:val="6"/>
            <w:noWrap w:val="0"/>
            <w:vAlign w:val="center"/>
          </w:tcPr>
          <w:p>
            <w:pPr>
              <w:snapToGrid w:val="0"/>
              <w:spacing w:line="240" w:lineRule="exact"/>
              <w:ind w:firstLine="0" w:firstLineChars="0"/>
              <w:jc w:val="center"/>
              <w:rPr>
                <w:rFonts w:hint="eastAsia" w:ascii="楷体_GB2312" w:hAnsi="楷体" w:eastAsia="楷体_GB2312"/>
                <w:bCs/>
                <w:kern w:val="0"/>
                <w:sz w:val="21"/>
                <w:szCs w:val="21"/>
              </w:rPr>
            </w:pPr>
          </w:p>
        </w:tc>
      </w:tr>
    </w:tbl>
    <w:p>
      <w:pPr>
        <w:adjustRightInd w:val="0"/>
        <w:spacing w:line="240" w:lineRule="exact"/>
        <w:rPr>
          <w:rFonts w:hint="eastAsia"/>
          <w:sz w:val="10"/>
          <w:szCs w:val="10"/>
        </w:rPr>
      </w:pPr>
    </w:p>
    <w:p>
      <w:pPr>
        <w:pStyle w:val="2953"/>
        <w:spacing w:line="240" w:lineRule="exact"/>
        <w:rPr>
          <w:sz w:val="10"/>
          <w:szCs w:val="10"/>
        </w:rPr>
        <w:sectPr>
          <w:headerReference r:id="rId57" w:type="default"/>
          <w:headerReference r:id="rId58" w:type="even"/>
          <w:pgSz w:w="16838" w:h="23811"/>
          <w:pgMar w:top="1616" w:right="1418" w:bottom="1616" w:left="1418" w:header="851" w:footer="1304" w:gutter="0"/>
          <w:pgBorders>
            <w:top w:val="none" w:sz="0" w:space="0"/>
            <w:left w:val="none" w:sz="0" w:space="0"/>
            <w:bottom w:val="none" w:sz="0" w:space="0"/>
            <w:right w:val="none" w:sz="0" w:space="0"/>
          </w:pgBorders>
          <w:pgNumType w:fmt="decimal"/>
          <w:cols w:space="720" w:num="1"/>
          <w:docGrid w:type="lines" w:linePitch="381" w:charSpace="0"/>
        </w:sectPr>
      </w:pPr>
    </w:p>
    <w:p>
      <w:pPr>
        <w:pStyle w:val="1530"/>
        <w:keepNext w:val="0"/>
        <w:keepLines w:val="0"/>
        <w:pageBreakBefore w:val="0"/>
        <w:widowControl w:val="0"/>
        <w:kinsoku/>
        <w:wordWrap/>
        <w:overflowPunct/>
        <w:topLinePunct w:val="0"/>
        <w:autoSpaceDE/>
        <w:autoSpaceDN/>
        <w:bidi w:val="0"/>
        <w:adjustRightInd/>
        <w:snapToGrid/>
        <w:ind w:firstLine="720" w:firstLineChars="200"/>
        <w:textAlignment w:val="auto"/>
        <w:rPr>
          <w:rFonts w:hint="eastAsia" w:ascii="方正黑体_GBK" w:hAnsi="方正黑体_GBK" w:eastAsia="方正黑体_GBK" w:cs="方正黑体_GBK"/>
        </w:rPr>
      </w:pPr>
      <w:bookmarkStart w:id="239" w:name="_Toc20784"/>
      <w:bookmarkStart w:id="240" w:name="_Toc71782117"/>
      <w:bookmarkStart w:id="241" w:name="_Toc8805"/>
      <w:bookmarkStart w:id="242" w:name="_Toc71665902"/>
      <w:r>
        <w:rPr>
          <w:rFonts w:hint="eastAsia" w:ascii="方正黑体_GBK" w:hAnsi="方正黑体_GBK" w:eastAsia="方正黑体_GBK" w:cs="方正黑体_GBK"/>
          <w:lang w:val="en-US" w:eastAsia="zh-CN"/>
        </w:rPr>
        <w:t>十二、</w:t>
      </w:r>
      <w:r>
        <w:rPr>
          <w:rFonts w:hint="eastAsia" w:ascii="方正黑体_GBK" w:hAnsi="方正黑体_GBK" w:eastAsia="方正黑体_GBK" w:cs="方正黑体_GBK"/>
        </w:rPr>
        <w:t>结论与建议</w:t>
      </w:r>
      <w:bookmarkEnd w:id="239"/>
      <w:bookmarkEnd w:id="240"/>
      <w:bookmarkEnd w:id="241"/>
      <w:bookmarkEnd w:id="242"/>
    </w:p>
    <w:p>
      <w:pPr>
        <w:pStyle w:val="1795"/>
        <w:keepNext w:val="0"/>
        <w:keepLines w:val="0"/>
        <w:pageBreakBefore w:val="0"/>
        <w:widowControl w:val="0"/>
        <w:kinsoku/>
        <w:wordWrap/>
        <w:overflowPunct/>
        <w:topLinePunct w:val="0"/>
        <w:autoSpaceDE/>
        <w:autoSpaceDN/>
        <w:bidi w:val="0"/>
        <w:adjustRightInd/>
        <w:snapToGrid/>
        <w:spacing w:before="0" w:after="0"/>
        <w:ind w:firstLine="640" w:firstLineChars="200"/>
        <w:textAlignment w:val="auto"/>
        <w:rPr>
          <w:rFonts w:hint="eastAsia" w:ascii="方正楷体_GBK" w:hAnsi="方正楷体_GBK" w:eastAsia="方正楷体_GBK" w:cs="方正楷体_GBK"/>
        </w:rPr>
      </w:pPr>
      <w:bookmarkStart w:id="243" w:name="_Toc15307"/>
      <w:bookmarkStart w:id="244" w:name="_Toc71665903"/>
      <w:bookmarkStart w:id="245" w:name="_Toc21906"/>
      <w:bookmarkStart w:id="246" w:name="_Toc71782118"/>
      <w:r>
        <w:rPr>
          <w:rFonts w:hint="eastAsia" w:ascii="方正楷体_GBK" w:hAnsi="方正楷体_GBK" w:eastAsia="方正楷体_GBK" w:cs="方正楷体_GBK"/>
          <w:lang w:eastAsia="zh-CN"/>
        </w:rPr>
        <w:t>（</w:t>
      </w:r>
      <w:r>
        <w:rPr>
          <w:rFonts w:hint="eastAsia" w:ascii="方正楷体_GBK" w:hAnsi="方正楷体_GBK" w:eastAsia="方正楷体_GBK" w:cs="方正楷体_GBK"/>
          <w:lang w:val="en-US" w:eastAsia="zh-CN"/>
        </w:rPr>
        <w:t>一</w:t>
      </w:r>
      <w:r>
        <w:rPr>
          <w:rFonts w:hint="eastAsia" w:ascii="方正楷体_GBK" w:hAnsi="方正楷体_GBK" w:eastAsia="方正楷体_GBK" w:cs="方正楷体_GBK"/>
          <w:lang w:eastAsia="zh-CN"/>
        </w:rPr>
        <w:t>）</w:t>
      </w:r>
      <w:r>
        <w:rPr>
          <w:rFonts w:hint="eastAsia" w:ascii="方正楷体_GBK" w:hAnsi="方正楷体_GBK" w:eastAsia="方正楷体_GBK" w:cs="方正楷体_GBK"/>
        </w:rPr>
        <w:t>结论</w:t>
      </w:r>
      <w:bookmarkEnd w:id="243"/>
      <w:bookmarkEnd w:id="244"/>
      <w:bookmarkEnd w:id="245"/>
      <w:bookmarkEnd w:id="246"/>
    </w:p>
    <w:p>
      <w:pPr>
        <w:pStyle w:val="2948"/>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1</w:t>
      </w:r>
      <w:r>
        <w:rPr>
          <w:rFonts w:hint="eastAsia" w:ascii="Times New Roman" w:eastAsia="方正仿宋_GBK" w:cs="Times New Roman"/>
          <w:sz w:val="32"/>
          <w:szCs w:val="32"/>
          <w:lang w:val="en-US" w:eastAsia="zh-CN"/>
        </w:rPr>
        <w:t>．</w:t>
      </w:r>
      <w:r>
        <w:rPr>
          <w:rFonts w:hint="default" w:ascii="Times New Roman" w:hAnsi="Times New Roman" w:eastAsia="方正仿宋_GBK" w:cs="Times New Roman"/>
          <w:sz w:val="32"/>
          <w:szCs w:val="32"/>
        </w:rPr>
        <w:t>防洪现状</w:t>
      </w:r>
    </w:p>
    <w:p>
      <w:pPr>
        <w:pStyle w:val="2953"/>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目前，綦江区城区防洪仅依靠堤防护岸工程。其中，綦江干流主城区段已建堤防护岸9.09km，现状防洪能力达到20年一遇的堤段仅有3.46km；三江街道段已建堤防护岸4.00km，现状防洪能力达到20年一遇的堤段仅有2.53km。綦江支流通惠河段已建堤防护岸8.60km，现状防洪能力整体不足20年一遇；沙溪河段已建堤防护岸4.20km，大部分达到20年一遇防洪标准；登瀛河已建堤防护岸1.30km，其中0.84km现状防洪能力不足20年一遇，0.46km达到20年一遇防洪标准。</w:t>
      </w:r>
    </w:p>
    <w:p>
      <w:pPr>
        <w:pStyle w:val="2953"/>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由于堤防建设未达标、城市建设挤压行洪空间、航电梯级和跨河桥梁阻水、上游缺乏控制性防洪工程等原因，綦江区城区现状防洪能力不足5年一遇，其中菜坝片区防洪标准约3年一遇，滨江路防洪标准约2年一遇。主城区20年一遇和50年一遇洪水淹没面积分别约31万m</w:t>
      </w:r>
      <w:r>
        <w:rPr>
          <w:rFonts w:hint="default" w:ascii="Times New Roman" w:hAnsi="Times New Roman" w:eastAsia="方正仿宋_GBK" w:cs="Times New Roman"/>
          <w:sz w:val="32"/>
          <w:szCs w:val="32"/>
          <w:vertAlign w:val="superscript"/>
        </w:rPr>
        <w:t>2</w:t>
      </w:r>
      <w:r>
        <w:rPr>
          <w:rFonts w:hint="default" w:ascii="Times New Roman" w:hAnsi="Times New Roman" w:eastAsia="方正仿宋_GBK" w:cs="Times New Roman"/>
          <w:sz w:val="32"/>
          <w:szCs w:val="32"/>
        </w:rPr>
        <w:t>和42万m</w:t>
      </w:r>
      <w:r>
        <w:rPr>
          <w:rFonts w:hint="default" w:ascii="Times New Roman" w:hAnsi="Times New Roman" w:eastAsia="方正仿宋_GBK" w:cs="Times New Roman"/>
          <w:sz w:val="32"/>
          <w:szCs w:val="32"/>
          <w:vertAlign w:val="superscript"/>
        </w:rPr>
        <w:t>2</w:t>
      </w:r>
      <w:r>
        <w:rPr>
          <w:rFonts w:hint="default" w:ascii="Times New Roman" w:hAnsi="Times New Roman" w:eastAsia="方正仿宋_GBK" w:cs="Times New Roman"/>
          <w:sz w:val="32"/>
          <w:szCs w:val="32"/>
        </w:rPr>
        <w:t>；三江街道20年一遇和50年一遇洪水淹没面积分别约7万m</w:t>
      </w:r>
      <w:r>
        <w:rPr>
          <w:rFonts w:hint="default" w:ascii="Times New Roman" w:hAnsi="Times New Roman" w:eastAsia="方正仿宋_GBK" w:cs="Times New Roman"/>
          <w:sz w:val="32"/>
          <w:szCs w:val="32"/>
          <w:vertAlign w:val="superscript"/>
        </w:rPr>
        <w:t>2</w:t>
      </w:r>
      <w:r>
        <w:rPr>
          <w:rFonts w:hint="default" w:ascii="Times New Roman" w:hAnsi="Times New Roman" w:eastAsia="方正仿宋_GBK" w:cs="Times New Roman"/>
          <w:sz w:val="32"/>
          <w:szCs w:val="32"/>
        </w:rPr>
        <w:t>和10.7万m</w:t>
      </w:r>
      <w:r>
        <w:rPr>
          <w:rFonts w:hint="default" w:ascii="Times New Roman" w:hAnsi="Times New Roman" w:eastAsia="方正仿宋_GBK" w:cs="Times New Roman"/>
          <w:sz w:val="32"/>
          <w:szCs w:val="32"/>
          <w:vertAlign w:val="superscript"/>
        </w:rPr>
        <w:t>2</w:t>
      </w:r>
      <w:r>
        <w:rPr>
          <w:rFonts w:hint="default" w:ascii="Times New Roman" w:hAnsi="Times New Roman" w:eastAsia="方正仿宋_GBK" w:cs="Times New Roman"/>
          <w:sz w:val="32"/>
          <w:szCs w:val="32"/>
        </w:rPr>
        <w:t>。</w:t>
      </w:r>
    </w:p>
    <w:p>
      <w:pPr>
        <w:pStyle w:val="2948"/>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2</w:t>
      </w:r>
      <w:r>
        <w:rPr>
          <w:rFonts w:hint="eastAsia" w:ascii="Times New Roman" w:eastAsia="方正仿宋_GBK" w:cs="Times New Roman"/>
          <w:sz w:val="32"/>
          <w:szCs w:val="32"/>
          <w:lang w:val="en-US" w:eastAsia="zh-CN"/>
        </w:rPr>
        <w:t>．</w:t>
      </w:r>
      <w:r>
        <w:rPr>
          <w:rFonts w:hint="default" w:ascii="Times New Roman" w:hAnsi="Times New Roman" w:eastAsia="方正仿宋_GBK" w:cs="Times New Roman"/>
          <w:sz w:val="32"/>
          <w:szCs w:val="32"/>
        </w:rPr>
        <w:t>防洪布局</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綦江城区防洪突出矛盾是河道的泄洪能力与上游来水不相适应，綦江干流彩虹桥处现状河道过流能力仅为2340m</w:t>
      </w:r>
      <w:r>
        <w:rPr>
          <w:rFonts w:hint="default" w:ascii="Times New Roman" w:hAnsi="Times New Roman" w:eastAsia="方正仿宋_GBK" w:cs="Times New Roman"/>
          <w:sz w:val="32"/>
          <w:szCs w:val="32"/>
          <w:vertAlign w:val="superscript"/>
        </w:rPr>
        <w:t>3</w:t>
      </w:r>
      <w:r>
        <w:rPr>
          <w:rFonts w:hint="default" w:ascii="Times New Roman" w:hAnsi="Times New Roman" w:eastAsia="方正仿宋_GBK" w:cs="Times New Roman"/>
          <w:sz w:val="32"/>
          <w:szCs w:val="32"/>
        </w:rPr>
        <w:t>/s，不足5年一遇远低于50年一遇（5868m</w:t>
      </w:r>
      <w:r>
        <w:rPr>
          <w:rFonts w:hint="default" w:ascii="Times New Roman" w:hAnsi="Times New Roman" w:eastAsia="方正仿宋_GBK" w:cs="Times New Roman"/>
          <w:sz w:val="32"/>
          <w:szCs w:val="32"/>
          <w:vertAlign w:val="superscript"/>
        </w:rPr>
        <w:t>3</w:t>
      </w:r>
      <w:r>
        <w:rPr>
          <w:rFonts w:hint="default" w:ascii="Times New Roman" w:hAnsi="Times New Roman" w:eastAsia="方正仿宋_GBK" w:cs="Times New Roman"/>
          <w:sz w:val="32"/>
          <w:szCs w:val="32"/>
        </w:rPr>
        <w:t>/s）洪水标准。</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綦江城区防洪治理以“蓄泄兼筹，以泄为主”为指导方针，拟定防洪总体布局为：结合兴利在上游支流逐步兴建防洪水库，整治排洪河道，适当修建堤防，筑堤护岸，加强水情测报及其他防洪非工程措施建设。</w:t>
      </w:r>
    </w:p>
    <w:p>
      <w:pPr>
        <w:pStyle w:val="2948"/>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3</w:t>
      </w:r>
      <w:r>
        <w:rPr>
          <w:rFonts w:hint="eastAsia" w:ascii="Times New Roman" w:eastAsia="方正仿宋_GBK" w:cs="Times New Roman"/>
          <w:sz w:val="32"/>
          <w:szCs w:val="32"/>
          <w:lang w:val="en-US" w:eastAsia="zh-CN"/>
        </w:rPr>
        <w:t>．</w:t>
      </w:r>
      <w:r>
        <w:rPr>
          <w:rFonts w:hint="default" w:ascii="Times New Roman" w:hAnsi="Times New Roman" w:eastAsia="方正仿宋_GBK" w:cs="Times New Roman"/>
          <w:sz w:val="32"/>
          <w:szCs w:val="32"/>
        </w:rPr>
        <w:t>防洪标准及主要控制点水位</w:t>
      </w:r>
    </w:p>
    <w:p>
      <w:pPr>
        <w:pStyle w:val="2953"/>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根据《防洪标准》（GB50201</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2014）以及《綦江片区城乡</w:t>
      </w:r>
      <w:r>
        <w:rPr>
          <w:rFonts w:hint="default" w:ascii="Times New Roman" w:hAnsi="Times New Roman" w:eastAsia="方正仿宋_GBK" w:cs="Times New Roman"/>
          <w:spacing w:val="-11"/>
          <w:sz w:val="32"/>
          <w:szCs w:val="32"/>
        </w:rPr>
        <w:t>总体规划（2012</w:t>
      </w:r>
      <w:r>
        <w:rPr>
          <w:rFonts w:hint="eastAsia" w:ascii="Times New Roman" w:eastAsia="方正仿宋_GBK" w:cs="Times New Roman"/>
          <w:spacing w:val="-11"/>
          <w:sz w:val="32"/>
          <w:szCs w:val="32"/>
          <w:lang w:eastAsia="zh-CN"/>
        </w:rPr>
        <w:t>—</w:t>
      </w:r>
      <w:r>
        <w:rPr>
          <w:rFonts w:hint="default" w:ascii="Times New Roman" w:hAnsi="Times New Roman" w:eastAsia="方正仿宋_GBK" w:cs="Times New Roman"/>
          <w:spacing w:val="-11"/>
          <w:sz w:val="32"/>
          <w:szCs w:val="32"/>
        </w:rPr>
        <w:t>2020年）》，綦江城区规划防洪标准为50年一</w:t>
      </w:r>
      <w:r>
        <w:rPr>
          <w:rFonts w:hint="default" w:ascii="Times New Roman" w:hAnsi="Times New Roman" w:eastAsia="方正仿宋_GBK" w:cs="Times New Roman"/>
          <w:sz w:val="32"/>
          <w:szCs w:val="32"/>
        </w:rPr>
        <w:t>遇。</w:t>
      </w:r>
    </w:p>
    <w:p>
      <w:pPr>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规划采取堤库结合方案，通过河道整治和堤防建设使綦江干流城区段防洪标准达到20年一遇，再通过上游修建藻渡水库，将綦江城区防洪标准提升至50年一遇。主要控制点20年一遇设计洪水位为：沱湾大桥226.56m、彩虹桥226.24m、綦江大桥225.74m、城北大桥224.24m。</w:t>
      </w:r>
    </w:p>
    <w:p>
      <w:pPr>
        <w:pStyle w:val="2948"/>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en-US" w:eastAsia="zh-CN"/>
        </w:rPr>
        <w:t>4</w:t>
      </w:r>
      <w:r>
        <w:rPr>
          <w:rFonts w:hint="eastAsia" w:ascii="Times New Roman" w:eastAsia="方正仿宋_GBK" w:cs="Times New Roman"/>
          <w:sz w:val="32"/>
          <w:szCs w:val="32"/>
          <w:lang w:val="en-US" w:eastAsia="zh-CN"/>
        </w:rPr>
        <w:t>．</w:t>
      </w:r>
      <w:r>
        <w:rPr>
          <w:rFonts w:hint="default" w:ascii="Times New Roman" w:hAnsi="Times New Roman" w:eastAsia="方正仿宋_GBK" w:cs="Times New Roman"/>
          <w:sz w:val="32"/>
          <w:szCs w:val="32"/>
        </w:rPr>
        <w:t>主要工程措施</w:t>
      </w:r>
    </w:p>
    <w:p>
      <w:pPr>
        <w:pStyle w:val="2953"/>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通过加高綦江干流堤防（加高堤段长度12.02km），辅以合理地征地拆迁（房屋拆迁面积29.05万m</w:t>
      </w:r>
      <w:r>
        <w:rPr>
          <w:rFonts w:hint="default" w:ascii="Times New Roman" w:hAnsi="Times New Roman" w:eastAsia="方正仿宋_GBK" w:cs="Times New Roman"/>
          <w:sz w:val="32"/>
          <w:szCs w:val="32"/>
          <w:vertAlign w:val="superscript"/>
        </w:rPr>
        <w:t>2</w:t>
      </w:r>
      <w:r>
        <w:rPr>
          <w:rFonts w:hint="default" w:ascii="Times New Roman" w:hAnsi="Times New Roman" w:eastAsia="方正仿宋_GBK" w:cs="Times New Roman"/>
          <w:sz w:val="32"/>
          <w:szCs w:val="32"/>
        </w:rPr>
        <w:t>）、河道疏浚（疏浚河段长</w:t>
      </w:r>
      <w:r>
        <w:rPr>
          <w:rFonts w:hint="default" w:ascii="Times New Roman" w:hAnsi="Times New Roman" w:eastAsia="方正仿宋_GBK" w:cs="Times New Roman"/>
          <w:spacing w:val="-6"/>
          <w:sz w:val="32"/>
          <w:szCs w:val="32"/>
        </w:rPr>
        <w:t>度11.55km）、航电梯级优化改建（采用全闸方案对大常、石溪口、桥河、桥溪口枢纽实施改造）措施，使綦江城区干流侧防洪标准达到20年一遇；通过修建藻渡水库</w:t>
      </w:r>
      <w:r>
        <w:rPr>
          <w:rFonts w:hint="default" w:ascii="Times New Roman" w:hAnsi="Times New Roman" w:eastAsia="方正仿宋_GBK" w:cs="Times New Roman"/>
          <w:sz w:val="32"/>
          <w:szCs w:val="32"/>
        </w:rPr>
        <w:t>，预留防洪库容4975万m</w:t>
      </w:r>
      <w:r>
        <w:rPr>
          <w:rFonts w:hint="default" w:ascii="Times New Roman" w:hAnsi="Times New Roman" w:eastAsia="方正仿宋_GBK" w:cs="Times New Roman"/>
          <w:sz w:val="32"/>
          <w:szCs w:val="32"/>
          <w:vertAlign w:val="superscript"/>
        </w:rPr>
        <w:t>3</w:t>
      </w:r>
      <w:r>
        <w:rPr>
          <w:rFonts w:hint="default" w:ascii="Times New Roman" w:hAnsi="Times New Roman" w:eastAsia="方正仿宋_GBK" w:cs="Times New Roman"/>
          <w:sz w:val="32"/>
          <w:szCs w:val="32"/>
        </w:rPr>
        <w:t>，使綦江干流綦江城区段防洪标准由20年一遇提高到50年一遇。加高加固支流堤防4.42km，其中通惠河3.20km</w:t>
      </w:r>
      <w:r>
        <w:rPr>
          <w:rFonts w:hint="eastAsia" w:ascii="Times New Roman" w:eastAsia="方正仿宋_GBK" w:cs="Times New Roman"/>
          <w:sz w:val="32"/>
          <w:szCs w:val="32"/>
          <w:lang w:eastAsia="zh-CN"/>
        </w:rPr>
        <w:t>、</w:t>
      </w:r>
      <w:r>
        <w:rPr>
          <w:rFonts w:hint="default" w:ascii="Times New Roman" w:hAnsi="Times New Roman" w:eastAsia="方正仿宋_GBK" w:cs="Times New Roman"/>
          <w:sz w:val="32"/>
          <w:szCs w:val="32"/>
        </w:rPr>
        <w:t>登瀛河0.84km、蒲河</w:t>
      </w:r>
      <w:r>
        <w:rPr>
          <w:rFonts w:hint="default" w:ascii="Times New Roman" w:hAnsi="Times New Roman" w:eastAsia="方正仿宋_GBK" w:cs="Times New Roman"/>
          <w:spacing w:val="-6"/>
          <w:sz w:val="32"/>
          <w:szCs w:val="32"/>
        </w:rPr>
        <w:t>0.38km，辅以合理地征地拆迁（通惠河沿岸拆迁房屋面积1.04万</w:t>
      </w:r>
      <w:r>
        <w:rPr>
          <w:rFonts w:hint="default" w:ascii="Times New Roman" w:hAnsi="Times New Roman" w:eastAsia="方正仿宋_GBK" w:cs="Times New Roman"/>
          <w:sz w:val="32"/>
          <w:szCs w:val="32"/>
        </w:rPr>
        <w:t>m</w:t>
      </w:r>
      <w:r>
        <w:rPr>
          <w:rFonts w:hint="default" w:ascii="Times New Roman" w:hAnsi="Times New Roman" w:eastAsia="方正仿宋_GBK" w:cs="Times New Roman"/>
          <w:sz w:val="32"/>
          <w:szCs w:val="32"/>
          <w:vertAlign w:val="superscript"/>
        </w:rPr>
        <w:t>2</w:t>
      </w:r>
      <w:r>
        <w:rPr>
          <w:rFonts w:hint="default" w:ascii="Times New Roman" w:hAnsi="Times New Roman" w:eastAsia="方正仿宋_GBK" w:cs="Times New Roman"/>
          <w:sz w:val="32"/>
          <w:szCs w:val="32"/>
        </w:rPr>
        <w:t>），使綦江城区支流侧防洪标准达到50年一遇。</w:t>
      </w:r>
    </w:p>
    <w:p>
      <w:pPr>
        <w:pStyle w:val="2953"/>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rPr>
      </w:pPr>
      <w:r>
        <w:rPr>
          <w:rFonts w:hint="default" w:ascii="Times New Roman" w:hAnsi="Times New Roman" w:eastAsia="方正仿宋_GBK" w:cs="Times New Roman"/>
          <w:sz w:val="32"/>
          <w:szCs w:val="32"/>
        </w:rPr>
        <w:t>完善洪水监测预报预警、工程体系调度方案、防洪应急管理机制，实施洪水风险区划与防洪空间管控，加强行业强监管和信息化技术融合应用等非工程措施建设，实现河道和防洪工程的精细化管理。</w:t>
      </w:r>
    </w:p>
    <w:p>
      <w:pPr>
        <w:pStyle w:val="1795"/>
        <w:keepNext w:val="0"/>
        <w:keepLines w:val="0"/>
        <w:pageBreakBefore w:val="0"/>
        <w:widowControl w:val="0"/>
        <w:kinsoku/>
        <w:wordWrap/>
        <w:overflowPunct/>
        <w:topLinePunct w:val="0"/>
        <w:autoSpaceDE/>
        <w:autoSpaceDN/>
        <w:bidi w:val="0"/>
        <w:adjustRightInd/>
        <w:snapToGrid/>
        <w:spacing w:before="0" w:after="0"/>
        <w:ind w:firstLine="640" w:firstLineChars="200"/>
        <w:textAlignment w:val="auto"/>
        <w:rPr>
          <w:rFonts w:hint="eastAsia" w:ascii="方正楷体_GBK" w:hAnsi="方正楷体_GBK" w:eastAsia="方正楷体_GBK" w:cs="方正楷体_GBK"/>
          <w:lang w:eastAsia="zh-CN"/>
        </w:rPr>
      </w:pPr>
      <w:bookmarkStart w:id="247" w:name="_Toc71665904"/>
      <w:bookmarkStart w:id="248" w:name="_Toc71782119"/>
      <w:bookmarkStart w:id="249" w:name="_Toc27107"/>
      <w:bookmarkStart w:id="250" w:name="_Toc12512"/>
      <w:r>
        <w:rPr>
          <w:rFonts w:hint="eastAsia" w:ascii="方正楷体_GBK" w:hAnsi="方正楷体_GBK" w:eastAsia="方正楷体_GBK" w:cs="方正楷体_GBK"/>
          <w:lang w:eastAsia="zh-CN"/>
        </w:rPr>
        <w:t>（</w:t>
      </w:r>
      <w:r>
        <w:rPr>
          <w:rFonts w:hint="eastAsia" w:ascii="方正楷体_GBK" w:hAnsi="方正楷体_GBK" w:eastAsia="方正楷体_GBK" w:cs="方正楷体_GBK"/>
          <w:lang w:val="en-US" w:eastAsia="zh-CN"/>
        </w:rPr>
        <w:t>二</w:t>
      </w:r>
      <w:r>
        <w:rPr>
          <w:rFonts w:hint="eastAsia" w:ascii="方正楷体_GBK" w:hAnsi="方正楷体_GBK" w:eastAsia="方正楷体_GBK" w:cs="方正楷体_GBK"/>
          <w:lang w:eastAsia="zh-CN"/>
        </w:rPr>
        <w:t>）建议</w:t>
      </w:r>
      <w:bookmarkEnd w:id="247"/>
      <w:bookmarkEnd w:id="248"/>
      <w:bookmarkEnd w:id="249"/>
      <w:bookmarkEnd w:id="250"/>
    </w:p>
    <w:p>
      <w:pPr>
        <w:pStyle w:val="2948"/>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default"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1</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綦江城区现状不足5年一遇，洪灾频繁。建议尽快实施堤防加高加固、藻渡水库等防洪工程，将城区的防洪能力提高至50年一遇。</w:t>
      </w:r>
    </w:p>
    <w:p>
      <w:pPr>
        <w:pStyle w:val="2948"/>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2</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綦江城区堤防加高后，合理采取治涝措施解决因建堤造成的内涝问题。</w:t>
      </w:r>
    </w:p>
    <w:p>
      <w:pPr>
        <w:pStyle w:val="2948"/>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3</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建议先期实施菜坝片区、北渡老街片区20年一遇洪水位以下的老旧房屋拆迁、滨江路至下北街片区5年一遇洪水水面线以下的房屋拆迁和局部改造，加强防洪风险空间管控，并分段研究堤防的建设形式，重点建设沿江慢性生态堤防，打造滨河商业休闲步行街和亲水公园，提升城市品质形象。</w:t>
      </w:r>
    </w:p>
    <w:p>
      <w:pPr>
        <w:pStyle w:val="2948"/>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default"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4</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目前，綦江干流东溪至五岔长约84.13km河段无水文站控制，区间仅蒲河上有石角水文站控制，通惠河、扶欢河、郭扶河、清溪河等集水面积超过100km</w:t>
      </w:r>
      <w:r>
        <w:rPr>
          <w:rFonts w:hint="eastAsia" w:ascii="Times New Roman" w:hAnsi="Times New Roman" w:eastAsia="方正仿宋_GBK" w:cs="Times New Roman"/>
          <w:sz w:val="32"/>
          <w:szCs w:val="32"/>
          <w:vertAlign w:val="superscript"/>
          <w:lang w:val="en-US" w:eastAsia="zh-CN"/>
        </w:rPr>
        <w:t>2</w:t>
      </w:r>
      <w:r>
        <w:rPr>
          <w:rFonts w:hint="eastAsia" w:ascii="Times New Roman" w:hAnsi="Times New Roman" w:eastAsia="方正仿宋_GBK" w:cs="Times New Roman"/>
          <w:sz w:val="32"/>
          <w:szCs w:val="32"/>
          <w:lang w:val="en-US" w:eastAsia="zh-CN"/>
        </w:rPr>
        <w:t>的支流无水文站。本防洪规划方案区间洪水过程按照降雨径流推算，存在一定的计算误差。为增强规划水库运行调度的灵活性，建议尽快完善綦江流域水文信息监测及预报预警系统，保障区域防洪安全。</w:t>
      </w:r>
    </w:p>
    <w:p>
      <w:pPr>
        <w:pStyle w:val="2948"/>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5</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藻渡水库为綦江城区上游的防洪控制性工程，防洪库容</w:t>
      </w:r>
      <w:r>
        <w:rPr>
          <w:rFonts w:hint="default" w:ascii="Times New Roman" w:hAnsi="Times New Roman" w:eastAsia="方正仿宋_GBK" w:cs="Times New Roman"/>
          <w:sz w:val="32"/>
          <w:szCs w:val="32"/>
          <w:lang w:val="en-US" w:eastAsia="zh-CN"/>
        </w:rPr>
        <w:t>4975</w:t>
      </w:r>
      <w:r>
        <w:rPr>
          <w:rFonts w:hint="eastAsia" w:ascii="Times New Roman" w:hAnsi="Times New Roman" w:eastAsia="方正仿宋_GBK" w:cs="Times New Roman"/>
          <w:sz w:val="32"/>
          <w:szCs w:val="32"/>
          <w:lang w:val="en-US" w:eastAsia="zh-CN"/>
        </w:rPr>
        <w:t>万m</w:t>
      </w:r>
      <w:r>
        <w:rPr>
          <w:rFonts w:hint="eastAsia" w:ascii="Times New Roman" w:hAnsi="Times New Roman" w:eastAsia="方正仿宋_GBK" w:cs="Times New Roman"/>
          <w:sz w:val="32"/>
          <w:szCs w:val="32"/>
          <w:vertAlign w:val="superscript"/>
          <w:lang w:val="en-US" w:eastAsia="zh-CN"/>
        </w:rPr>
        <w:t>3</w:t>
      </w:r>
      <w:r>
        <w:rPr>
          <w:rFonts w:hint="eastAsia" w:ascii="Times New Roman" w:hAnsi="Times New Roman" w:eastAsia="方正仿宋_GBK" w:cs="Times New Roman"/>
          <w:sz w:val="32"/>
          <w:szCs w:val="32"/>
          <w:lang w:val="en-US" w:eastAsia="zh-CN"/>
        </w:rPr>
        <w:t>。藻渡水库等工程建成后，中下游河道冲淤及蓄泄关系将发生改变，建议加强河道观测研究。</w:t>
      </w:r>
    </w:p>
    <w:p>
      <w:pPr>
        <w:pStyle w:val="2948"/>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default"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6</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考虑綦江城区</w:t>
      </w:r>
      <w:r>
        <w:rPr>
          <w:rFonts w:hint="default" w:ascii="Times New Roman" w:hAnsi="Times New Roman" w:eastAsia="方正仿宋_GBK" w:cs="Times New Roman"/>
          <w:sz w:val="32"/>
          <w:szCs w:val="32"/>
          <w:lang w:val="en-US" w:eastAsia="zh-CN"/>
        </w:rPr>
        <w:t>洪水地区组成</w:t>
      </w:r>
      <w:r>
        <w:rPr>
          <w:rFonts w:hint="eastAsia" w:ascii="Times New Roman" w:hAnsi="Times New Roman" w:eastAsia="方正仿宋_GBK" w:cs="Times New Roman"/>
          <w:sz w:val="32"/>
          <w:szCs w:val="32"/>
          <w:lang w:val="en-US" w:eastAsia="zh-CN"/>
        </w:rPr>
        <w:t>复杂</w:t>
      </w:r>
      <w:r>
        <w:rPr>
          <w:rFonts w:hint="default" w:ascii="Times New Roman" w:hAns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今后在条件成熟时进一步研究实施綦江干流梯级优化改建及修建安江、双丰湖、桃花潭等支流防洪水库等防洪工程措施，提升綦江城区目标</w:t>
      </w:r>
      <w:r>
        <w:rPr>
          <w:rFonts w:hint="default" w:ascii="Times New Roman" w:hAnsi="Times New Roman" w:eastAsia="方正仿宋_GBK" w:cs="Times New Roman"/>
          <w:sz w:val="32"/>
          <w:szCs w:val="32"/>
          <w:lang w:val="en-US" w:eastAsia="zh-CN"/>
        </w:rPr>
        <w:t>洪水应对</w:t>
      </w:r>
      <w:r>
        <w:rPr>
          <w:rFonts w:hint="eastAsia" w:ascii="Times New Roman" w:hAnsi="Times New Roman" w:eastAsia="方正仿宋_GBK" w:cs="Times New Roman"/>
          <w:sz w:val="32"/>
          <w:szCs w:val="32"/>
          <w:lang w:val="en-US" w:eastAsia="zh-CN"/>
        </w:rPr>
        <w:t>能力</w:t>
      </w:r>
      <w:r>
        <w:rPr>
          <w:rFonts w:hint="default" w:ascii="Times New Roman" w:hAnsi="Times New Roman" w:eastAsia="方正仿宋_GBK" w:cs="Times New Roman"/>
          <w:sz w:val="32"/>
          <w:szCs w:val="32"/>
          <w:lang w:val="en-US" w:eastAsia="zh-CN"/>
        </w:rPr>
        <w:t>和</w:t>
      </w:r>
      <w:r>
        <w:rPr>
          <w:rFonts w:hint="eastAsia" w:ascii="Times New Roman" w:hAnsi="Times New Roman" w:eastAsia="方正仿宋_GBK" w:cs="Times New Roman"/>
          <w:sz w:val="32"/>
          <w:szCs w:val="32"/>
          <w:lang w:val="en-US" w:eastAsia="zh-CN"/>
        </w:rPr>
        <w:t>超标准洪水应急处置能力。</w:t>
      </w:r>
    </w:p>
    <w:p>
      <w:pPr>
        <w:pStyle w:val="2948"/>
        <w:keepNext w:val="0"/>
        <w:keepLines w:val="0"/>
        <w:pageBreakBefore w:val="0"/>
        <w:widowControl w:val="0"/>
        <w:kinsoku/>
        <w:wordWrap/>
        <w:overflowPunct/>
        <w:topLinePunct w:val="0"/>
        <w:autoSpaceDE/>
        <w:autoSpaceDN/>
        <w:bidi w:val="0"/>
        <w:adjustRightInd/>
        <w:snapToGrid/>
        <w:spacing w:line="560" w:lineRule="exact"/>
        <w:ind w:firstLine="560"/>
        <w:textAlignment w:val="auto"/>
        <w:rPr>
          <w:rFonts w:hint="default"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7</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涉河项目建设报相关水行政主管部门审批，并征求交通、市政、国土等相关部门意见。</w:t>
      </w:r>
    </w:p>
    <w:p>
      <w:pPr>
        <w:pStyle w:val="1354"/>
        <w:ind w:firstLine="560"/>
      </w:pPr>
      <w:r>
        <w:rPr>
          <w:rFonts w:hint="eastAsia" w:ascii="Times New Roman" w:hAnsi="Times New Roman" w:eastAsia="方正仿宋_GBK" w:cs="Times New Roman"/>
          <w:sz w:val="32"/>
          <w:szCs w:val="32"/>
          <w:lang w:val="en-US" w:eastAsia="zh-CN"/>
        </w:rPr>
        <w:t>8</w:t>
      </w:r>
      <w:r>
        <w:rPr>
          <w:rFonts w:hint="eastAsia" w:asci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本次规划推荐的綦江城区堤防建设方案在后续勘察设计和建设实施时可结合綦江城区防洪面临的新形势以及经济社会进步、城市空间拓展、生活品质提升、应急意识增强、生态宜居环境需求对防洪保障能力、防洪区划布局以及防洪管理建设提出的新要求，在治水新思路和防洪减灾新理念的指导下，在保证綦江城区防洪安全的前提下进一步完善优化。</w:t>
      </w:r>
      <w:bookmarkStart w:id="251" w:name="_Toc63230518"/>
      <w:bookmarkEnd w:id="251"/>
    </w:p>
    <w:p>
      <w:pPr>
        <w:pStyle w:val="1354"/>
        <w:ind w:firstLine="560"/>
        <w:sectPr>
          <w:headerReference r:id="rId59" w:type="default"/>
          <w:footerReference r:id="rId61" w:type="default"/>
          <w:headerReference r:id="rId60" w:type="even"/>
          <w:pgSz w:w="11907" w:h="16840"/>
          <w:pgMar w:top="1616" w:right="1418" w:bottom="1616" w:left="1418" w:header="851" w:footer="1304" w:gutter="0"/>
          <w:pgBorders>
            <w:top w:val="none" w:sz="0" w:space="0"/>
            <w:left w:val="none" w:sz="0" w:space="0"/>
            <w:bottom w:val="none" w:sz="0" w:space="0"/>
            <w:right w:val="none" w:sz="0" w:space="0"/>
          </w:pgBorders>
          <w:pgNumType w:fmt="decimal"/>
          <w:cols w:space="720" w:num="1"/>
          <w:docGrid w:type="lines" w:linePitch="381" w:charSpace="0"/>
        </w:sectPr>
      </w:pPr>
    </w:p>
    <w:p>
      <w:pPr>
        <w:pStyle w:val="1354"/>
        <w:spacing w:line="240" w:lineRule="auto"/>
        <w:ind w:firstLine="0" w:firstLineChars="0"/>
      </w:pPr>
      <w:r>
        <w:drawing>
          <wp:inline distT="0" distB="0" distL="114300" distR="114300">
            <wp:extent cx="8883015" cy="10183495"/>
            <wp:effectExtent l="0" t="0" r="13335" b="8255"/>
            <wp:docPr id="226" name="图片 145" descr="附图1 綦江流域水系及水文站网分布示意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6" name="图片 145" descr="附图1 綦江流域水系及水文站网分布示意图"/>
                    <pic:cNvPicPr>
                      <a:picLocks noChangeAspect="true"/>
                    </pic:cNvPicPr>
                  </pic:nvPicPr>
                  <pic:blipFill>
                    <a:blip r:embed="rId266"/>
                    <a:stretch>
                      <a:fillRect/>
                    </a:stretch>
                  </pic:blipFill>
                  <pic:spPr>
                    <a:xfrm>
                      <a:off x="0" y="0"/>
                      <a:ext cx="8883015" cy="10183495"/>
                    </a:xfrm>
                    <a:prstGeom prst="rect">
                      <a:avLst/>
                    </a:prstGeom>
                    <a:noFill/>
                    <a:ln>
                      <a:noFill/>
                    </a:ln>
                  </pic:spPr>
                </pic:pic>
              </a:graphicData>
            </a:graphic>
          </wp:inline>
        </w:drawing>
      </w:r>
    </w:p>
    <w:p>
      <w:pPr>
        <w:pStyle w:val="1354"/>
        <w:spacing w:line="240" w:lineRule="auto"/>
        <w:ind w:firstLine="0" w:firstLineChars="0"/>
        <w:jc w:val="center"/>
        <w:rPr>
          <w:lang w:val="en-US"/>
        </w:rPr>
      </w:pPr>
    </w:p>
    <w:p>
      <w:pPr>
        <w:pStyle w:val="1354"/>
        <w:spacing w:line="240" w:lineRule="auto"/>
        <w:ind w:firstLine="0" w:firstLineChars="0"/>
        <w:jc w:val="center"/>
        <w:rPr>
          <w:lang w:val="en-US"/>
        </w:rPr>
        <w:sectPr>
          <w:headerReference r:id="rId62" w:type="even"/>
          <w:footerReference r:id="rId63" w:type="even"/>
          <w:pgSz w:w="16839" w:h="23814"/>
          <w:pgMar w:top="1616" w:right="1418" w:bottom="1616" w:left="1418" w:header="851" w:footer="1304" w:gutter="0"/>
          <w:pgBorders>
            <w:top w:val="none" w:sz="0" w:space="0"/>
            <w:left w:val="none" w:sz="0" w:space="0"/>
            <w:bottom w:val="none" w:sz="0" w:space="0"/>
            <w:right w:val="none" w:sz="0" w:space="0"/>
          </w:pgBorders>
          <w:pgNumType w:fmt="decimal"/>
          <w:cols w:space="720" w:num="1"/>
          <w:docGrid w:type="lines" w:linePitch="381" w:charSpace="0"/>
        </w:sectPr>
      </w:pPr>
    </w:p>
    <w:p>
      <w:pPr>
        <w:pStyle w:val="1354"/>
        <w:spacing w:line="240" w:lineRule="auto"/>
        <w:ind w:firstLine="0" w:firstLineChars="0"/>
        <w:jc w:val="center"/>
        <w:rPr>
          <w:lang w:val="en-US"/>
        </w:rPr>
      </w:pPr>
      <w:r>
        <w:drawing>
          <wp:inline distT="0" distB="0" distL="114300" distR="114300">
            <wp:extent cx="13070205" cy="8018145"/>
            <wp:effectExtent l="0" t="0" r="17145" b="1905"/>
            <wp:docPr id="227"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7" name="图片 1"/>
                    <pic:cNvPicPr>
                      <a:picLocks noChangeAspect="true"/>
                    </pic:cNvPicPr>
                  </pic:nvPicPr>
                  <pic:blipFill>
                    <a:blip r:embed="rId267"/>
                    <a:stretch>
                      <a:fillRect/>
                    </a:stretch>
                  </pic:blipFill>
                  <pic:spPr>
                    <a:xfrm>
                      <a:off x="0" y="0"/>
                      <a:ext cx="13070205" cy="8018145"/>
                    </a:xfrm>
                    <a:prstGeom prst="rect">
                      <a:avLst/>
                    </a:prstGeom>
                    <a:noFill/>
                    <a:ln>
                      <a:noFill/>
                    </a:ln>
                  </pic:spPr>
                </pic:pic>
              </a:graphicData>
            </a:graphic>
          </wp:inline>
        </w:drawing>
      </w:r>
    </w:p>
    <w:p>
      <w:pPr>
        <w:pStyle w:val="1354"/>
        <w:spacing w:line="240" w:lineRule="auto"/>
        <w:ind w:firstLine="0" w:firstLineChars="0"/>
        <w:jc w:val="center"/>
        <w:rPr>
          <w:rFonts w:hint="eastAsia"/>
        </w:rPr>
        <w:sectPr>
          <w:pgSz w:w="23814" w:h="16839" w:orient="landscape"/>
          <w:pgMar w:top="567" w:right="1616" w:bottom="567" w:left="1616" w:header="567" w:footer="851" w:gutter="0"/>
          <w:pgBorders>
            <w:top w:val="none" w:sz="0" w:space="0"/>
            <w:left w:val="none" w:sz="0" w:space="0"/>
            <w:bottom w:val="none" w:sz="0" w:space="0"/>
            <w:right w:val="none" w:sz="0" w:space="0"/>
          </w:pgBorders>
          <w:pgNumType w:fmt="decimal"/>
          <w:cols w:space="720" w:num="1"/>
          <w:docGrid w:type="lines" w:linePitch="381" w:charSpace="0"/>
        </w:sectPr>
      </w:pPr>
      <w:r>
        <w:drawing>
          <wp:inline distT="0" distB="0" distL="114300" distR="114300">
            <wp:extent cx="12144375" cy="8315325"/>
            <wp:effectExtent l="0" t="0" r="9525" b="9525"/>
            <wp:docPr id="228"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8" name="图片 1"/>
                    <pic:cNvPicPr>
                      <a:picLocks noChangeAspect="true"/>
                    </pic:cNvPicPr>
                  </pic:nvPicPr>
                  <pic:blipFill>
                    <a:blip r:embed="rId268"/>
                    <a:stretch>
                      <a:fillRect/>
                    </a:stretch>
                  </pic:blipFill>
                  <pic:spPr>
                    <a:xfrm>
                      <a:off x="0" y="0"/>
                      <a:ext cx="12144375" cy="8315325"/>
                    </a:xfrm>
                    <a:prstGeom prst="rect">
                      <a:avLst/>
                    </a:prstGeom>
                    <a:noFill/>
                    <a:ln>
                      <a:noFill/>
                    </a:ln>
                  </pic:spPr>
                </pic:pic>
              </a:graphicData>
            </a:graphic>
          </wp:inline>
        </w:drawing>
      </w:r>
    </w:p>
    <w:p>
      <w:pPr>
        <w:pStyle w:val="2886"/>
        <w:outlineLvl w:val="9"/>
      </w:pPr>
      <w:r>
        <w:drawing>
          <wp:inline distT="0" distB="0" distL="114300" distR="114300">
            <wp:extent cx="8774430" cy="12802235"/>
            <wp:effectExtent l="0" t="0" r="7620" b="18415"/>
            <wp:docPr id="229" name="图片 31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9" name="图片 317"/>
                    <pic:cNvPicPr>
                      <a:picLocks noChangeAspect="true"/>
                    </pic:cNvPicPr>
                  </pic:nvPicPr>
                  <pic:blipFill>
                    <a:blip r:embed="rId269"/>
                    <a:stretch>
                      <a:fillRect/>
                    </a:stretch>
                  </pic:blipFill>
                  <pic:spPr>
                    <a:xfrm>
                      <a:off x="0" y="0"/>
                      <a:ext cx="8774430" cy="12802235"/>
                    </a:xfrm>
                    <a:prstGeom prst="rect">
                      <a:avLst/>
                    </a:prstGeom>
                    <a:noFill/>
                    <a:ln>
                      <a:noFill/>
                    </a:ln>
                  </pic:spPr>
                </pic:pic>
              </a:graphicData>
            </a:graphic>
          </wp:inline>
        </w:drawing>
      </w:r>
    </w:p>
    <w:p>
      <w:pPr>
        <w:pStyle w:val="2886"/>
        <w:outlineLvl w:val="9"/>
      </w:pPr>
      <w:r>
        <w:drawing>
          <wp:inline distT="0" distB="0" distL="114300" distR="114300">
            <wp:extent cx="8897620" cy="11457305"/>
            <wp:effectExtent l="0" t="0" r="17780" b="10795"/>
            <wp:docPr id="230" name="图片 31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0" name="图片 318"/>
                    <pic:cNvPicPr>
                      <a:picLocks noChangeAspect="true"/>
                    </pic:cNvPicPr>
                  </pic:nvPicPr>
                  <pic:blipFill>
                    <a:blip r:embed="rId270"/>
                    <a:stretch>
                      <a:fillRect/>
                    </a:stretch>
                  </pic:blipFill>
                  <pic:spPr>
                    <a:xfrm>
                      <a:off x="0" y="0"/>
                      <a:ext cx="8897620" cy="11457305"/>
                    </a:xfrm>
                    <a:prstGeom prst="rect">
                      <a:avLst/>
                    </a:prstGeom>
                    <a:noFill/>
                    <a:ln>
                      <a:noFill/>
                    </a:ln>
                  </pic:spPr>
                </pic:pic>
              </a:graphicData>
            </a:graphic>
          </wp:inline>
        </w:drawing>
      </w:r>
    </w:p>
    <w:p>
      <w:pPr>
        <w:pStyle w:val="2886"/>
        <w:outlineLvl w:val="9"/>
      </w:pPr>
      <w:r>
        <w:drawing>
          <wp:inline distT="0" distB="0" distL="114300" distR="114300">
            <wp:extent cx="8888095" cy="10966450"/>
            <wp:effectExtent l="0" t="0" r="8255" b="6350"/>
            <wp:docPr id="231"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1" name="图片 1"/>
                    <pic:cNvPicPr>
                      <a:picLocks noChangeAspect="true"/>
                    </pic:cNvPicPr>
                  </pic:nvPicPr>
                  <pic:blipFill>
                    <a:blip r:embed="rId271"/>
                    <a:stretch>
                      <a:fillRect/>
                    </a:stretch>
                  </pic:blipFill>
                  <pic:spPr>
                    <a:xfrm>
                      <a:off x="0" y="0"/>
                      <a:ext cx="8888095" cy="10966450"/>
                    </a:xfrm>
                    <a:prstGeom prst="rect">
                      <a:avLst/>
                    </a:prstGeom>
                    <a:noFill/>
                    <a:ln>
                      <a:noFill/>
                    </a:ln>
                  </pic:spPr>
                </pic:pic>
              </a:graphicData>
            </a:graphic>
          </wp:inline>
        </w:drawing>
      </w:r>
    </w:p>
    <w:p>
      <w:pPr>
        <w:pStyle w:val="2886"/>
        <w:outlineLvl w:val="9"/>
        <w:rPr>
          <w:rFonts w:ascii="仿宋_GB2312" w:eastAsia="仿宋_GB2312"/>
        </w:rPr>
      </w:pPr>
      <w:r>
        <w:rPr>
          <w:rFonts w:ascii="仿宋_GB2312" w:eastAsia="仿宋_GB2312"/>
        </w:rPr>
        <w:drawing>
          <wp:inline distT="0" distB="0" distL="114300" distR="114300">
            <wp:extent cx="8895080" cy="13019405"/>
            <wp:effectExtent l="0" t="0" r="1270" b="10795"/>
            <wp:docPr id="232" name="图片 320" descr="附图22 河道疏浚+大常枢纽改造前后綦江城区防洪能力分段描述示意图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2" name="图片 320" descr="附图22 河道疏浚+大常枢纽改造前后綦江城区防洪能力分段描述示意图1"/>
                    <pic:cNvPicPr>
                      <a:picLocks noChangeAspect="true"/>
                    </pic:cNvPicPr>
                  </pic:nvPicPr>
                  <pic:blipFill>
                    <a:blip r:embed="rId272"/>
                    <a:stretch>
                      <a:fillRect/>
                    </a:stretch>
                  </pic:blipFill>
                  <pic:spPr>
                    <a:xfrm>
                      <a:off x="0" y="0"/>
                      <a:ext cx="8895080" cy="13019405"/>
                    </a:xfrm>
                    <a:prstGeom prst="rect">
                      <a:avLst/>
                    </a:prstGeom>
                    <a:noFill/>
                    <a:ln>
                      <a:noFill/>
                    </a:ln>
                  </pic:spPr>
                </pic:pic>
              </a:graphicData>
            </a:graphic>
          </wp:inline>
        </w:drawing>
      </w:r>
    </w:p>
    <w:p>
      <w:pPr>
        <w:pStyle w:val="2886"/>
        <w:outlineLvl w:val="9"/>
        <w:rPr>
          <w:rFonts w:ascii="仿宋_GB2312" w:eastAsia="仿宋_GB2312"/>
        </w:rPr>
      </w:pPr>
      <w:r>
        <w:rPr>
          <w:rFonts w:ascii="仿宋_GB2312" w:eastAsia="仿宋_GB2312"/>
        </w:rPr>
        <w:drawing>
          <wp:inline distT="0" distB="0" distL="114300" distR="114300">
            <wp:extent cx="8768080" cy="10779760"/>
            <wp:effectExtent l="0" t="0" r="13970" b="2540"/>
            <wp:docPr id="233" name="图片 330" descr="附图23 大常枢纽拆除+河道疏浚后綦江城区左右岸堤顶欠高分布示意图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3" name="图片 330" descr="附图23 大常枢纽拆除+河道疏浚后綦江城区左右岸堤顶欠高分布示意图2"/>
                    <pic:cNvPicPr>
                      <a:picLocks noChangeAspect="true"/>
                    </pic:cNvPicPr>
                  </pic:nvPicPr>
                  <pic:blipFill>
                    <a:blip r:embed="rId273"/>
                    <a:stretch>
                      <a:fillRect/>
                    </a:stretch>
                  </pic:blipFill>
                  <pic:spPr>
                    <a:xfrm>
                      <a:off x="0" y="0"/>
                      <a:ext cx="8768080" cy="10779760"/>
                    </a:xfrm>
                    <a:prstGeom prst="rect">
                      <a:avLst/>
                    </a:prstGeom>
                    <a:noFill/>
                    <a:ln>
                      <a:noFill/>
                    </a:ln>
                  </pic:spPr>
                </pic:pic>
              </a:graphicData>
            </a:graphic>
          </wp:inline>
        </w:drawing>
      </w:r>
    </w:p>
    <w:p>
      <w:pPr>
        <w:pStyle w:val="2886"/>
        <w:outlineLvl w:val="9"/>
        <w:rPr>
          <w:rFonts w:ascii="仿宋_GB2312" w:eastAsia="仿宋_GB2312"/>
        </w:rPr>
      </w:pPr>
    </w:p>
    <w:p>
      <w:pPr>
        <w:pStyle w:val="1354"/>
        <w:spacing w:line="240" w:lineRule="auto"/>
        <w:ind w:firstLine="0" w:firstLineChars="0"/>
        <w:jc w:val="center"/>
        <w:rPr>
          <w:sz w:val="20"/>
        </w:rPr>
        <w:sectPr>
          <w:pgSz w:w="16839" w:h="23814"/>
          <w:pgMar w:top="1616" w:right="1418" w:bottom="1616" w:left="1418" w:header="851" w:footer="1304" w:gutter="0"/>
          <w:pgBorders>
            <w:top w:val="none" w:sz="0" w:space="0"/>
            <w:left w:val="none" w:sz="0" w:space="0"/>
            <w:bottom w:val="none" w:sz="0" w:space="0"/>
            <w:right w:val="none" w:sz="0" w:space="0"/>
          </w:pgBorders>
          <w:pgNumType w:fmt="decimal"/>
          <w:cols w:space="720" w:num="1"/>
          <w:docGrid w:type="lines" w:linePitch="381" w:charSpace="0"/>
        </w:sectPr>
      </w:pPr>
    </w:p>
    <w:p>
      <w:pPr>
        <w:pStyle w:val="1354"/>
        <w:spacing w:line="240" w:lineRule="auto"/>
        <w:ind w:firstLine="0" w:firstLineChars="0"/>
        <w:jc w:val="center"/>
        <w:rPr>
          <w:sz w:val="20"/>
        </w:rPr>
      </w:pPr>
      <w:r>
        <w:drawing>
          <wp:inline distT="0" distB="0" distL="114300" distR="114300">
            <wp:extent cx="18088610" cy="13032105"/>
            <wp:effectExtent l="0" t="0" r="8890" b="17145"/>
            <wp:docPr id="234" name="图片 2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4" name="图片 215"/>
                    <pic:cNvPicPr>
                      <a:picLocks noChangeAspect="true"/>
                    </pic:cNvPicPr>
                  </pic:nvPicPr>
                  <pic:blipFill>
                    <a:blip r:embed="rId274"/>
                    <a:stretch>
                      <a:fillRect/>
                    </a:stretch>
                  </pic:blipFill>
                  <pic:spPr>
                    <a:xfrm>
                      <a:off x="0" y="0"/>
                      <a:ext cx="18088610" cy="13032105"/>
                    </a:xfrm>
                    <a:prstGeom prst="rect">
                      <a:avLst/>
                    </a:prstGeom>
                    <a:noFill/>
                    <a:ln>
                      <a:noFill/>
                    </a:ln>
                  </pic:spPr>
                </pic:pic>
              </a:graphicData>
            </a:graphic>
          </wp:inline>
        </w:drawing>
      </w:r>
    </w:p>
    <w:p>
      <w:pPr>
        <w:pStyle w:val="1354"/>
        <w:spacing w:line="240" w:lineRule="auto"/>
        <w:ind w:firstLine="0" w:firstLineChars="0"/>
        <w:jc w:val="center"/>
        <w:rPr>
          <w:rFonts w:hint="default" w:ascii="Times New Roman" w:hAnsi="Times New Roman" w:eastAsia="方正黑体_GBK" w:cs="Times New Roman"/>
          <w:b w:val="0"/>
          <w:bCs w:val="0"/>
          <w:szCs w:val="28"/>
          <w:lang w:val="en-US"/>
        </w:rPr>
      </w:pPr>
      <w:r>
        <w:rPr>
          <w:rFonts w:hint="default" w:ascii="Times New Roman" w:hAnsi="Times New Roman" w:eastAsia="方正黑体_GBK" w:cs="Times New Roman"/>
          <w:b w:val="0"/>
          <w:bCs w:val="0"/>
          <w:szCs w:val="28"/>
          <w:lang w:val="en-US"/>
        </w:rPr>
        <w:t>附图9  綦江主城区堤防工程规划布置示意图</w:t>
      </w:r>
    </w:p>
    <w:sectPr>
      <w:pgSz w:w="31680" w:h="24480" w:orient="landscape"/>
      <w:pgMar w:top="1418" w:right="1616" w:bottom="1418" w:left="1616" w:header="851" w:footer="1304" w:gutter="0"/>
      <w:pgBorders>
        <w:top w:val="none" w:sz="0" w:space="0"/>
        <w:left w:val="none" w:sz="0" w:space="0"/>
        <w:bottom w:val="none" w:sz="0" w:space="0"/>
        <w:right w:val="none" w:sz="0" w:space="0"/>
      </w:pgBorders>
      <w:pgNumType w:fmt="decimal"/>
      <w:cols w:space="720" w:num="1"/>
      <w:docGrid w:type="lines" w:linePitch="381"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560"/>
      </w:pPr>
      <w:r>
        <w:separator/>
      </w:r>
    </w:p>
  </w:endnote>
  <w:endnote w:type="continuationSeparator" w:id="1">
    <w:p>
      <w:pPr>
        <w:spacing w:line="240" w:lineRule="auto"/>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altName w:val="方正书宋_GBK"/>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Times New Roman"/>
    <w:panose1 w:val="020B0604020202020204"/>
    <w:charset w:val="01"/>
    <w:family w:val="swiss"/>
    <w:pitch w:val="default"/>
    <w:sig w:usb0="E0002AFF" w:usb1="C0007843" w:usb2="00000009" w:usb3="00000000" w:csb0="400001FF" w:csb1="FFFF0000"/>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font>
  <w:font w:name="Calibri">
    <w:altName w:val="DejaVu Sans"/>
    <w:panose1 w:val="020F0502020204030204"/>
    <w:charset w:val="00"/>
    <w:family w:val="swiss"/>
    <w:pitch w:val="default"/>
    <w:sig w:usb0="00000000" w:usb1="00000000" w:usb2="00000001" w:usb3="00000000" w:csb0="0000019F" w:csb1="00000000"/>
  </w:font>
  <w:font w:name="仿宋_GB2312">
    <w:altName w:val="方正仿宋_GBK"/>
    <w:panose1 w:val="02010609030101010101"/>
    <w:charset w:val="86"/>
    <w:family w:val="modern"/>
    <w:pitch w:val="default"/>
    <w:sig w:usb0="00000000" w:usb1="00000000" w:usb2="00000010" w:usb3="00000000" w:csb0="00040000" w:csb1="00000000"/>
  </w:font>
  <w:font w:name="方正小标宋_GBK">
    <w:panose1 w:val="02000000000000000000"/>
    <w:charset w:val="86"/>
    <w:family w:val="script"/>
    <w:pitch w:val="default"/>
    <w:sig w:usb0="00000001" w:usb1="08000000" w:usb2="00000000" w:usb3="00000000" w:csb0="00040000" w:csb1="00000000"/>
  </w:font>
  <w:font w:name="Cambria">
    <w:altName w:val="Noto Sans Syriac Eastern"/>
    <w:panose1 w:val="02040503050406030204"/>
    <w:charset w:val="00"/>
    <w:family w:val="roman"/>
    <w:pitch w:val="default"/>
    <w:sig w:usb0="00000000" w:usb1="00000000" w:usb2="02000000" w:usb3="00000000" w:csb0="2000019F" w:csb1="00000000"/>
  </w:font>
  <w:font w:name="华文中宋">
    <w:altName w:val="汉仪中宋简"/>
    <w:panose1 w:val="02010600040101010101"/>
    <w:charset w:val="86"/>
    <w:family w:val="auto"/>
    <w:pitch w:val="default"/>
    <w:sig w:usb0="00000000" w:usb1="00000000" w:usb2="00000000" w:usb3="00000000" w:csb0="0004009F" w:csb1="DFD70000"/>
  </w:font>
  <w:font w:name="楷体_GB2312">
    <w:altName w:val="方正楷体_GBK"/>
    <w:panose1 w:val="00000000000000000000"/>
    <w:charset w:val="86"/>
    <w:family w:val="modern"/>
    <w:pitch w:val="default"/>
    <w:sig w:usb0="00000000" w:usb1="00000000" w:usb2="00000010" w:usb3="00000000" w:csb0="00040000" w:csb1="00000000"/>
  </w:font>
  <w:font w:name="楷体">
    <w:altName w:val="方正楷体_GBK"/>
    <w:panose1 w:val="02010609060101010101"/>
    <w:charset w:val="86"/>
    <w:family w:val="auto"/>
    <w:pitch w:val="default"/>
    <w:sig w:usb0="00000000" w:usb1="00000000" w:usb2="00000016" w:usb3="00000000" w:csb0="00040001" w:csb1="00000000"/>
  </w:font>
  <w:font w:name="文鼎CS书宋二">
    <w:altName w:val="方正书宋_GBK"/>
    <w:panose1 w:val="00000000000000000000"/>
    <w:charset w:val="86"/>
    <w:family w:val="modern"/>
    <w:pitch w:val="default"/>
    <w:sig w:usb0="00000000" w:usb1="00000000" w:usb2="00000010" w:usb3="00000000" w:csb0="00040000" w:csb1="00000000"/>
  </w:font>
  <w:font w:name="Verdana">
    <w:altName w:val="DejaVu Sans"/>
    <w:panose1 w:val="020B0604030504040204"/>
    <w:charset w:val="00"/>
    <w:family w:val="swiss"/>
    <w:pitch w:val="default"/>
    <w:sig w:usb0="00000000" w:usb1="00000000" w:usb2="00000010" w:usb3="00000000" w:csb0="2000019F" w:csb1="00000000"/>
  </w:font>
  <w:font w:name="MingLiU">
    <w:altName w:val="方正书宋_GBK"/>
    <w:panose1 w:val="02010609000101010101"/>
    <w:charset w:val="88"/>
    <w:family w:val="modern"/>
    <w:pitch w:val="default"/>
    <w:sig w:usb0="00000000" w:usb1="00000000" w:usb2="00000016" w:usb3="00000000" w:csb0="00100001" w:csb1="00000000"/>
  </w:font>
  <w:font w:name="ˎ̥">
    <w:altName w:val="Times New Roman"/>
    <w:panose1 w:val="00000000000000000000"/>
    <w:charset w:val="00"/>
    <w:family w:val="roman"/>
    <w:pitch w:val="default"/>
    <w:sig w:usb0="00000000" w:usb1="00000000" w:usb2="00000000" w:usb3="00000000" w:csb0="00040001" w:csb1="00000000"/>
  </w:font>
  <w:font w:name="华文新魏">
    <w:altName w:val="方正魏碑_GBK"/>
    <w:panose1 w:val="02010800040101010101"/>
    <w:charset w:val="86"/>
    <w:family w:val="auto"/>
    <w:pitch w:val="default"/>
    <w:sig w:usb0="00000000" w:usb1="00000000" w:usb2="00000000" w:usb3="00000000" w:csb0="00040000" w:csb1="00000000"/>
  </w:font>
  <w:font w:name="仿宋">
    <w:altName w:val="方正仿宋_GBK"/>
    <w:panose1 w:val="02010609060101010101"/>
    <w:charset w:val="86"/>
    <w:family w:val="auto"/>
    <w:pitch w:val="default"/>
    <w:sig w:usb0="00000000" w:usb1="00000000" w:usb2="00000016" w:usb3="00000000" w:csb0="00040001" w:csb1="00000000"/>
  </w:font>
  <w:font w:name="Times">
    <w:altName w:val="Times New Roman"/>
    <w:panose1 w:val="02020603050405020304"/>
    <w:charset w:val="00"/>
    <w:family w:val="roman"/>
    <w:pitch w:val="default"/>
    <w:sig w:usb0="00000000" w:usb1="00000000" w:usb2="00000009" w:usb3="00000000" w:csb0="000001FF" w:csb1="00000000"/>
  </w:font>
  <w:font w:name="_GB2312">
    <w:altName w:val="Noto Serif CJK JP"/>
    <w:panose1 w:val="00000000000000000000"/>
    <w:charset w:val="00"/>
    <w:family w:val="roman"/>
    <w:pitch w:val="default"/>
    <w:sig w:usb0="00000000" w:usb1="00000000" w:usb2="00000000" w:usb3="00000000" w:csb0="00040001" w:csb1="00000000"/>
  </w:font>
  <w:font w:name="Swis721 BT">
    <w:altName w:val="Unifont"/>
    <w:panose1 w:val="020B0504020202020204"/>
    <w:charset w:val="00"/>
    <w:family w:val="swiss"/>
    <w:pitch w:val="default"/>
    <w:sig w:usb0="00000000" w:usb1="00000000" w:usb2="00000000" w:usb3="00000000" w:csb0="00040001" w:csb1="00000000"/>
  </w:font>
  <w:font w:name="CG Times">
    <w:altName w:val="Times New Roman"/>
    <w:panose1 w:val="00000000000000000000"/>
    <w:charset w:val="00"/>
    <w:family w:val="roman"/>
    <w:pitch w:val="default"/>
    <w:sig w:usb0="00000000" w:usb1="00000000" w:usb2="00000000" w:usb3="00000000" w:csb0="00000001" w:csb1="00000000"/>
  </w:font>
  <w:font w:name="Candara">
    <w:altName w:val="Noto Music"/>
    <w:panose1 w:val="020E0502030303020204"/>
    <w:charset w:val="00"/>
    <w:family w:val="swiss"/>
    <w:pitch w:val="default"/>
    <w:sig w:usb0="00000000" w:usb1="00000000" w:usb2="00000000" w:usb3="00000000" w:csb0="2000019F" w:csb1="00000000"/>
  </w:font>
  <w:font w:name="Arial Unicode MS">
    <w:altName w:val="Times New Roman"/>
    <w:panose1 w:val="020B0604020202020204"/>
    <w:charset w:val="86"/>
    <w:family w:val="auto"/>
    <w:pitch w:val="default"/>
    <w:sig w:usb0="00000000" w:usb1="00000000" w:usb2="0000003F" w:usb3="00000000" w:csb0="603F01FF" w:csb1="FFFF0000"/>
  </w:font>
  <w:font w:name="方正仿宋简体">
    <w:altName w:val="方正仿宋_GBK"/>
    <w:panose1 w:val="00000000000000000000"/>
    <w:charset w:val="86"/>
    <w:family w:val="script"/>
    <w:pitch w:val="default"/>
    <w:sig w:usb0="00000000" w:usb1="00000000" w:usb2="00000010" w:usb3="00000000" w:csb0="00040000" w:csb1="00000000"/>
  </w:font>
  <w:font w:name="华文楷体">
    <w:altName w:val="方正楷体_GBK"/>
    <w:panose1 w:val="02010600040101010101"/>
    <w:charset w:val="86"/>
    <w:family w:val="auto"/>
    <w:pitch w:val="default"/>
    <w:sig w:usb0="00000000" w:usb1="00000000" w:usb2="00000000" w:usb3="00000000" w:csb0="0004009F" w:csb1="DFD70000"/>
  </w:font>
  <w:font w:name="新宋体">
    <w:altName w:val="方正书宋_GBK"/>
    <w:panose1 w:val="02010609030101010101"/>
    <w:charset w:val="86"/>
    <w:family w:val="modern"/>
    <w:pitch w:val="default"/>
    <w:sig w:usb0="00000000" w:usb1="00000000" w:usb2="00000006" w:usb3="00000000" w:csb0="00040001" w:csb1="00000000"/>
  </w:font>
  <w:font w:name="华文行楷">
    <w:altName w:val="汉仪行楷简"/>
    <w:panose1 w:val="02010800040101010101"/>
    <w:charset w:val="86"/>
    <w:family w:val="auto"/>
    <w:pitch w:val="default"/>
    <w:sig w:usb0="00000000" w:usb1="00000000" w:usb2="00000000" w:usb3="00000000" w:csb0="00040000" w:csb1="00000000"/>
  </w:font>
  <w:font w:name="Garamond">
    <w:altName w:val="Noto Serif Bengali"/>
    <w:panose1 w:val="02020404030301010803"/>
    <w:charset w:val="00"/>
    <w:family w:val="roman"/>
    <w:pitch w:val="default"/>
    <w:sig w:usb0="00000000" w:usb1="00000000" w:usb2="00000000" w:usb3="00000000" w:csb0="0000009F" w:csb1="DFD70000"/>
  </w:font>
  <w:font w:name="幼圆">
    <w:altName w:val="汉仪中宋简"/>
    <w:panose1 w:val="02010509060101010101"/>
    <w:charset w:val="86"/>
    <w:family w:val="modern"/>
    <w:pitch w:val="default"/>
    <w:sig w:usb0="00000000" w:usb1="00000000" w:usb2="00000000" w:usb3="00000000" w:csb0="00040000" w:csb1="00000000"/>
  </w:font>
  <w:font w:name="Century">
    <w:altName w:val="Times New Roman"/>
    <w:panose1 w:val="02040604050505020304"/>
    <w:charset w:val="00"/>
    <w:family w:val="roman"/>
    <w:pitch w:val="default"/>
    <w:sig w:usb0="00000000" w:usb1="00000000" w:usb2="00000000" w:usb3="00000000" w:csb0="2000009F" w:csb1="DFD70000"/>
  </w:font>
  <w:font w:name="Swis721 Lt BT">
    <w:altName w:val="Noto Serif CJK JP"/>
    <w:panose1 w:val="020B0403020202020204"/>
    <w:charset w:val="00"/>
    <w:family w:val="swiss"/>
    <w:pitch w:val="default"/>
    <w:sig w:usb0="00000000" w:usb1="00000000" w:usb2="00000000" w:usb3="00000000" w:csb0="00040001" w:csb1="00000000"/>
  </w:font>
  <w:font w:name="方正细黑一简体">
    <w:altName w:val="汉仪中等线简"/>
    <w:panose1 w:val="00000000000000000000"/>
    <w:charset w:val="86"/>
    <w:family w:val="script"/>
    <w:pitch w:val="default"/>
    <w:sig w:usb0="00000000" w:usb1="00000000" w:usb2="00000010" w:usb3="00000000" w:csb0="00040000" w:csb1="00000000"/>
  </w:font>
  <w:font w:name="宋体-方正超大字符集">
    <w:altName w:val="方正书宋_GBK"/>
    <w:panose1 w:val="03000509000000000000"/>
    <w:charset w:val="86"/>
    <w:family w:val="script"/>
    <w:pitch w:val="default"/>
    <w:sig w:usb0="00000000" w:usb1="00000000" w:usb2="00000000" w:usb3="00000000" w:csb0="00040000" w:csb1="00000000"/>
  </w:font>
  <w:font w:name="方正行楷简体">
    <w:altName w:val="汉仪行楷简"/>
    <w:panose1 w:val="00000000000000000000"/>
    <w:charset w:val="86"/>
    <w:family w:val="script"/>
    <w:pitch w:val="default"/>
    <w:sig w:usb0="00000000" w:usb1="00000000" w:usb2="00000010" w:usb3="00000000" w:csb0="00040000" w:csb1="00000000"/>
  </w:font>
  <w:font w:name="MingLiU_HKSCS">
    <w:altName w:val="Noto Sans CJK SC"/>
    <w:panose1 w:val="00000000000000000000"/>
    <w:charset w:val="88"/>
    <w:family w:val="roman"/>
    <w:pitch w:val="default"/>
    <w:sig w:usb0="00000000" w:usb1="00000000" w:usb2="00000016" w:usb3="00000000" w:csb0="00100001" w:csb1="00000000"/>
  </w:font>
  <w:font w:name="华文仿宋">
    <w:altName w:val="汉仪仿宋简"/>
    <w:panose1 w:val="02010600040101010101"/>
    <w:charset w:val="86"/>
    <w:family w:val="auto"/>
    <w:pitch w:val="default"/>
    <w:sig w:usb0="00000000" w:usb1="00000000" w:usb2="00000000" w:usb3="00000000" w:csb0="0004009F" w:csb1="DFD70000"/>
  </w:font>
  <w:font w:name="方正楷体简体">
    <w:altName w:val="方正楷体_GBK"/>
    <w:panose1 w:val="00000000000000000000"/>
    <w:charset w:val="86"/>
    <w:family w:val="auto"/>
    <w:pitch w:val="default"/>
    <w:sig w:usb0="00000000" w:usb1="00000000" w:usb2="00000010" w:usb3="00000000" w:csb0="00040000" w:csb1="00000000"/>
  </w:font>
  <w:font w:name="Plotter">
    <w:altName w:val="DejaVu Math TeX Gyre"/>
    <w:panose1 w:val="00000000000000000000"/>
    <w:charset w:val="00"/>
    <w:family w:val="modern"/>
    <w:pitch w:val="default"/>
    <w:sig w:usb0="00000000" w:usb1="00000000" w:usb2="00000000" w:usb3="00000000" w:csb0="00000001" w:csb1="00000000"/>
  </w:font>
  <w:font w:name="CG Times (W1)">
    <w:altName w:val="Times New Roman"/>
    <w:panose1 w:val="00000000000000000000"/>
    <w:charset w:val="00"/>
    <w:family w:val="roman"/>
    <w:pitch w:val="default"/>
    <w:sig w:usb0="00000000" w:usb1="00000000" w:usb2="00000000" w:usb3="00000000" w:csb0="00000001" w:csb1="00000000"/>
  </w:font>
  <w:font w:name="Tahoma">
    <w:altName w:val="DejaVu Sans"/>
    <w:panose1 w:val="020B0604030504040204"/>
    <w:charset w:val="00"/>
    <w:family w:val="swiss"/>
    <w:pitch w:val="default"/>
    <w:sig w:usb0="00000000" w:usb1="00000000" w:usb2="00000029" w:usb3="00000000" w:csb0="200101FF" w:csb1="20280000"/>
  </w:font>
  <w:font w:name="华文细黑">
    <w:altName w:val="汉仪中等线简"/>
    <w:panose1 w:val="02010600040101010101"/>
    <w:charset w:val="86"/>
    <w:family w:val="auto"/>
    <w:pitch w:val="default"/>
    <w:sig w:usb0="00000000" w:usb1="00000000" w:usb2="00000000" w:usb3="00000000" w:csb0="0004009F" w:csb1="DFD70000"/>
  </w:font>
  <w:font w:name="长城新魏碑体">
    <w:altName w:val="方正细黑一_GBK"/>
    <w:panose1 w:val="00000000000000000000"/>
    <w:charset w:val="86"/>
    <w:family w:val="modern"/>
    <w:pitch w:val="default"/>
    <w:sig w:usb0="00000000" w:usb1="00000000" w:usb2="00000010" w:usb3="00000000" w:csb0="00040000" w:csb1="00000000"/>
  </w:font>
  <w:font w:name="华文宋体">
    <w:altName w:val="方正书宋_GBK"/>
    <w:panose1 w:val="02010600040101010101"/>
    <w:charset w:val="86"/>
    <w:family w:val="auto"/>
    <w:pitch w:val="default"/>
    <w:sig w:usb0="00000000" w:usb1="00000000" w:usb2="00000000" w:usb3="00000000" w:csb0="0004009F" w:csb1="DFD70000"/>
  </w:font>
  <w:font w:name="Arial Narrow">
    <w:altName w:val="Times New Roman"/>
    <w:panose1 w:val="020B0606020202030204"/>
    <w:charset w:val="00"/>
    <w:family w:val="swiss"/>
    <w:pitch w:val="default"/>
    <w:sig w:usb0="00000000" w:usb1="00000000" w:usb2="00000000" w:usb3="00000000" w:csb0="2000009F" w:csb1="DFD70000"/>
  </w:font>
  <w:font w:name="方正魏碑_GBK">
    <w:panose1 w:val="02000000000000000000"/>
    <w:charset w:val="86"/>
    <w:family w:val="script"/>
    <w:pitch w:val="default"/>
    <w:sig w:usb0="00000001" w:usb1="08000000" w:usb2="00000000" w:usb3="00000000" w:csb0="00040000" w:csb1="00000000"/>
  </w:font>
  <w:font w:name="方正黑体_GBK">
    <w:panose1 w:val="02000000000000000000"/>
    <w:charset w:val="86"/>
    <w:family w:val="auto"/>
    <w:pitch w:val="default"/>
    <w:sig w:usb0="00000001" w:usb1="08000000" w:usb2="00000000" w:usb3="00000000" w:csb0="00040000" w:csb1="00000000"/>
  </w:font>
  <w:font w:name="方正仿宋_GBK">
    <w:panose1 w:val="02000000000000000000"/>
    <w:charset w:val="86"/>
    <w:family w:val="auto"/>
    <w:pitch w:val="default"/>
    <w:sig w:usb0="00000001" w:usb1="08000000" w:usb2="00000000" w:usb3="00000000" w:csb0="00040000" w:csb1="00000000"/>
  </w:font>
  <w:font w:name="方正楷体_GBK">
    <w:panose1 w:val="02000000000000000000"/>
    <w:charset w:val="86"/>
    <w:family w:val="auto"/>
    <w:pitch w:val="default"/>
    <w:sig w:usb0="00000001" w:usb1="08000000" w:usb2="00000000" w:usb3="00000000" w:csb0="00040000" w:csb1="00000000"/>
  </w:font>
  <w:font w:name="微软雅黑">
    <w:altName w:val="方正黑体_GBK"/>
    <w:panose1 w:val="020B0503020204020204"/>
    <w:charset w:val="86"/>
    <w:family w:val="swiss"/>
    <w:pitch w:val="default"/>
    <w:sig w:usb0="00000000" w:usb1="00000000" w:usb2="00000016" w:usb3="00000000" w:csb0="0004001F" w:csb1="00000000"/>
  </w:font>
  <w:font w:name="方正书宋_GBK">
    <w:panose1 w:val="02000000000000000000"/>
    <w:charset w:val="86"/>
    <w:family w:val="auto"/>
    <w:pitch w:val="default"/>
    <w:sig w:usb0="00000001" w:usb1="08000000" w:usb2="00000000" w:usb3="00000000" w:csb0="00040000" w:csb1="00000000"/>
  </w:font>
  <w:font w:name="方正宋体S-超大字符集">
    <w:panose1 w:val="02000000000000000000"/>
    <w:charset w:val="86"/>
    <w:family w:val="auto"/>
    <w:pitch w:val="default"/>
    <w:sig w:usb0="00000001" w:usb1="08000000" w:usb2="00000000" w:usb3="00000000" w:csb0="00040000" w:csb1="00000000"/>
  </w:font>
  <w:font w:name="DejaVu Sans">
    <w:panose1 w:val="020B0603030804020204"/>
    <w:charset w:val="00"/>
    <w:family w:val="auto"/>
    <w:pitch w:val="default"/>
    <w:sig w:usb0="E7006EFF" w:usb1="D200FDFF" w:usb2="0A246029" w:usb3="0400200C" w:csb0="600001FF" w:csb1="DFFF0000"/>
  </w:font>
  <w:font w:name="Noto Sans Syriac Eastern">
    <w:panose1 w:val="02040503050306020203"/>
    <w:charset w:val="86"/>
    <w:family w:val="auto"/>
    <w:pitch w:val="default"/>
    <w:sig w:usb0="00000000" w:usb1="00000000" w:usb2="00000080" w:usb3="00000000" w:csb0="203E0161" w:csb1="D7FF0000"/>
  </w:font>
  <w:font w:name="方正宋体S-超大字符集(SIP)">
    <w:panose1 w:val="03000509000000000000"/>
    <w:charset w:val="86"/>
    <w:family w:val="auto"/>
    <w:pitch w:val="default"/>
    <w:sig w:usb0="00000003" w:usb1="0A0E0800" w:usb2="0000000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240" w:lineRule="auto"/>
      <w:ind w:firstLine="360"/>
    </w:pPr>
    <w:r>
      <w:rPr>
        <w:sz w:val="18"/>
      </w:rPr>
      <mc:AlternateContent>
        <mc:Choice Requires="wps">
          <w:drawing>
            <wp:anchor distT="0" distB="0" distL="114300" distR="114300" simplePos="0" relativeHeight="251665408" behindDoc="0" locked="0" layoutInCell="1" allowOverlap="1">
              <wp:simplePos x="0" y="0"/>
              <wp:positionH relativeFrom="margin">
                <wp:align>outside</wp:align>
              </wp:positionH>
              <wp:positionV relativeFrom="paragraph">
                <wp:posOffset>0</wp:posOffset>
              </wp:positionV>
              <wp:extent cx="1828800" cy="1828800"/>
              <wp:effectExtent l="0" t="0" r="0" b="0"/>
              <wp:wrapNone/>
              <wp:docPr id="242" name="文本框 242"/>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 xml:space="preserve">— </w:t>
                          </w:r>
                          <w:r>
                            <w:rPr>
                              <w:rFonts w:hint="default" w:ascii="Times New Roman" w:hAnsi="Times New Roman" w:eastAsia="方正仿宋_GBK" w:cs="Times New Roman"/>
                              <w:sz w:val="28"/>
                              <w:szCs w:val="28"/>
                            </w:rPr>
                            <w:fldChar w:fldCharType="begin"/>
                          </w:r>
                          <w:r>
                            <w:rPr>
                              <w:rFonts w:hint="default" w:ascii="Times New Roman" w:hAnsi="Times New Roman" w:eastAsia="方正仿宋_GBK" w:cs="Times New Roman"/>
                              <w:sz w:val="28"/>
                              <w:szCs w:val="28"/>
                            </w:rPr>
                            <w:instrText xml:space="preserve"> PAGE  \* MERGEFORMAT </w:instrText>
                          </w:r>
                          <w:r>
                            <w:rPr>
                              <w:rFonts w:hint="default" w:ascii="Times New Roman" w:hAnsi="Times New Roman" w:eastAsia="方正仿宋_GBK" w:cs="Times New Roman"/>
                              <w:sz w:val="28"/>
                              <w:szCs w:val="28"/>
                            </w:rPr>
                            <w:fldChar w:fldCharType="separate"/>
                          </w:r>
                          <w:r>
                            <w:rPr>
                              <w:rFonts w:hint="default" w:ascii="Times New Roman" w:hAnsi="Times New Roman" w:eastAsia="方正仿宋_GBK" w:cs="Times New Roman"/>
                              <w:sz w:val="28"/>
                              <w:szCs w:val="28"/>
                            </w:rPr>
                            <w:t>1</w:t>
                          </w:r>
                          <w:r>
                            <w:rPr>
                              <w:rFonts w:hint="default" w:ascii="Times New Roman" w:hAnsi="Times New Roman" w:eastAsia="方正仿宋_GBK" w:cs="Times New Roman"/>
                              <w:sz w:val="28"/>
                              <w:szCs w:val="28"/>
                            </w:rPr>
                            <w:fldChar w:fldCharType="end"/>
                          </w:r>
                          <w:r>
                            <w:rPr>
                              <w:rFonts w:hint="default" w:ascii="Times New Roman" w:hAnsi="Times New Roman" w:eastAsia="方正仿宋_GBK" w:cs="Times New Roman"/>
                              <w:sz w:val="28"/>
                              <w:szCs w:val="28"/>
                            </w:rPr>
                            <w:t xml:space="preserve"> </w:t>
                          </w:r>
                          <w:r>
                            <w:rPr>
                              <w:rFonts w:hint="eastAsia" w:ascii="方正仿宋_GBK" w:hAnsi="方正仿宋_GBK" w:eastAsia="方正仿宋_GBK" w:cs="方正仿宋_GBK"/>
                              <w:sz w:val="28"/>
                              <w:szCs w:val="28"/>
                            </w:rPr>
                            <w:t>—</w:t>
                          </w:r>
                        </w:p>
                      </w:txbxContent>
                    </wps:txbx>
                    <wps:bodyPr rot="0" spcFirstLastPara="0" vertOverflow="overflow" horzOverflow="overflow" vert="horz" wrap="none" lIns="0" tIns="0" rIns="0" bIns="0" numCol="1" spcCol="0" rtlCol="0" fromWordArt="false" anchor="t" anchorCtr="false" forceAA="false" upright="false" compatLnSpc="true">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5408;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BYAAABkcnMvUEsBAhQAFAAA&#10;AAgAh07iQLNJWO7QAAAABQEAAA8AAAAAAAAAAQAgAAAAOAAAAGRycy9kb3ducmV2LnhtbFBLAQIU&#10;ABQAAAAIAIdO4kDEY9+dHgIAAC0EAAAOAAAAAAAAAAEAIAAAADUBAABkcnMvZTJvRG9jLnhtbFBL&#10;BQYAAAAABgAGAFkBAADFBQAAAAA=&#10;">
              <v:fill on="f" focussize="0,0"/>
              <v:stroke on="f" weight="0.5pt"/>
              <v:imagedata o:title=""/>
              <o:lock v:ext="edit" aspectratio="f"/>
              <v:textbox inset="0mm,0mm,0mm,0mm" style="mso-fit-shape-to-text:t;">
                <w:txbxContent>
                  <w:p>
                    <w:pPr>
                      <w:pStyle w:val="2"/>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 xml:space="preserve">— </w:t>
                    </w:r>
                    <w:r>
                      <w:rPr>
                        <w:rFonts w:hint="default" w:ascii="Times New Roman" w:hAnsi="Times New Roman" w:eastAsia="方正仿宋_GBK" w:cs="Times New Roman"/>
                        <w:sz w:val="28"/>
                        <w:szCs w:val="28"/>
                      </w:rPr>
                      <w:fldChar w:fldCharType="begin"/>
                    </w:r>
                    <w:r>
                      <w:rPr>
                        <w:rFonts w:hint="default" w:ascii="Times New Roman" w:hAnsi="Times New Roman" w:eastAsia="方正仿宋_GBK" w:cs="Times New Roman"/>
                        <w:sz w:val="28"/>
                        <w:szCs w:val="28"/>
                      </w:rPr>
                      <w:instrText xml:space="preserve"> PAGE  \* MERGEFORMAT </w:instrText>
                    </w:r>
                    <w:r>
                      <w:rPr>
                        <w:rFonts w:hint="default" w:ascii="Times New Roman" w:hAnsi="Times New Roman" w:eastAsia="方正仿宋_GBK" w:cs="Times New Roman"/>
                        <w:sz w:val="28"/>
                        <w:szCs w:val="28"/>
                      </w:rPr>
                      <w:fldChar w:fldCharType="separate"/>
                    </w:r>
                    <w:r>
                      <w:rPr>
                        <w:rFonts w:hint="default" w:ascii="Times New Roman" w:hAnsi="Times New Roman" w:eastAsia="方正仿宋_GBK" w:cs="Times New Roman"/>
                        <w:sz w:val="28"/>
                        <w:szCs w:val="28"/>
                      </w:rPr>
                      <w:t>1</w:t>
                    </w:r>
                    <w:r>
                      <w:rPr>
                        <w:rFonts w:hint="default" w:ascii="Times New Roman" w:hAnsi="Times New Roman" w:eastAsia="方正仿宋_GBK" w:cs="Times New Roman"/>
                        <w:sz w:val="28"/>
                        <w:szCs w:val="28"/>
                      </w:rPr>
                      <w:fldChar w:fldCharType="end"/>
                    </w:r>
                    <w:r>
                      <w:rPr>
                        <w:rFonts w:hint="default" w:ascii="Times New Roman" w:hAnsi="Times New Roman" w:eastAsia="方正仿宋_GBK" w:cs="Times New Roman"/>
                        <w:sz w:val="28"/>
                        <w:szCs w:val="28"/>
                      </w:rPr>
                      <w:t xml:space="preserve"> </w:t>
                    </w:r>
                    <w:r>
                      <w:rPr>
                        <w:rFonts w:hint="eastAsia" w:ascii="方正仿宋_GBK" w:hAnsi="方正仿宋_GBK" w:eastAsia="方正仿宋_GBK" w:cs="方正仿宋_GBK"/>
                        <w:sz w:val="28"/>
                        <w:szCs w:val="28"/>
                      </w:rPr>
                      <w:t>—</w:t>
                    </w:r>
                  </w:p>
                </w:txbxContent>
              </v:textbox>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240" w:lineRule="auto"/>
      <w:ind w:firstLine="0" w:firstLineChars="0"/>
      <w:jc w:val="center"/>
      <w:rPr>
        <w:rStyle w:val="136"/>
        <w:rFonts w:hint="eastAsia"/>
      </w:rPr>
    </w:pPr>
    <w:r>
      <w:rPr>
        <w:sz w:val="18"/>
      </w:rPr>
      <mc:AlternateContent>
        <mc:Choice Requires="wps">
          <w:drawing>
            <wp:anchor distT="0" distB="0" distL="114300" distR="114300" simplePos="0" relativeHeight="251672576" behindDoc="0" locked="0" layoutInCell="1" allowOverlap="1">
              <wp:simplePos x="0" y="0"/>
              <wp:positionH relativeFrom="margin">
                <wp:align>outside</wp:align>
              </wp:positionH>
              <wp:positionV relativeFrom="paragraph">
                <wp:posOffset>0</wp:posOffset>
              </wp:positionV>
              <wp:extent cx="1828800" cy="1828800"/>
              <wp:effectExtent l="0" t="0" r="0" b="0"/>
              <wp:wrapNone/>
              <wp:docPr id="249" name="文本框 249"/>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 xml:space="preserve">— </w:t>
                          </w:r>
                          <w:r>
                            <w:rPr>
                              <w:rFonts w:hint="default" w:ascii="Times New Roman" w:hAnsi="Times New Roman" w:eastAsia="方正仿宋_GBK" w:cs="Times New Roman"/>
                              <w:sz w:val="28"/>
                              <w:szCs w:val="28"/>
                            </w:rPr>
                            <w:fldChar w:fldCharType="begin"/>
                          </w:r>
                          <w:r>
                            <w:rPr>
                              <w:rFonts w:hint="default" w:ascii="Times New Roman" w:hAnsi="Times New Roman" w:eastAsia="方正仿宋_GBK" w:cs="Times New Roman"/>
                              <w:sz w:val="28"/>
                              <w:szCs w:val="28"/>
                            </w:rPr>
                            <w:instrText xml:space="preserve"> PAGE  \* MERGEFORMAT </w:instrText>
                          </w:r>
                          <w:r>
                            <w:rPr>
                              <w:rFonts w:hint="default" w:ascii="Times New Roman" w:hAnsi="Times New Roman" w:eastAsia="方正仿宋_GBK" w:cs="Times New Roman"/>
                              <w:sz w:val="28"/>
                              <w:szCs w:val="28"/>
                            </w:rPr>
                            <w:fldChar w:fldCharType="separate"/>
                          </w:r>
                          <w:r>
                            <w:rPr>
                              <w:rFonts w:hint="default" w:ascii="Times New Roman" w:hAnsi="Times New Roman" w:eastAsia="方正仿宋_GBK" w:cs="Times New Roman"/>
                              <w:sz w:val="28"/>
                              <w:szCs w:val="28"/>
                            </w:rPr>
                            <w:t>290</w:t>
                          </w:r>
                          <w:r>
                            <w:rPr>
                              <w:rFonts w:hint="default" w:ascii="Times New Roman" w:hAnsi="Times New Roman" w:eastAsia="方正仿宋_GBK" w:cs="Times New Roman"/>
                              <w:sz w:val="28"/>
                              <w:szCs w:val="28"/>
                            </w:rPr>
                            <w:fldChar w:fldCharType="end"/>
                          </w:r>
                          <w:r>
                            <w:rPr>
                              <w:rFonts w:hint="eastAsia" w:ascii="方正仿宋_GBK" w:hAnsi="方正仿宋_GBK" w:eastAsia="方正仿宋_GBK" w:cs="方正仿宋_GBK"/>
                              <w:sz w:val="28"/>
                              <w:szCs w:val="28"/>
                            </w:rPr>
                            <w:t xml:space="preserve"> —</w:t>
                          </w:r>
                        </w:p>
                      </w:txbxContent>
                    </wps:txbx>
                    <wps:bodyPr rot="0" spcFirstLastPara="0" vertOverflow="overflow" horzOverflow="overflow" vert="horz" wrap="none" lIns="0" tIns="0" rIns="0" bIns="0" numCol="1" spcCol="0" rtlCol="0" fromWordArt="false" anchor="t" anchorCtr="false" forceAA="false" upright="false" compatLnSpc="true">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72576;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BYAAABkcnMvUEsBAhQAFAAA&#10;AAgAh07iQLNJWO7QAAAABQEAAA8AAAAAAAAAAQAgAAAAOAAAAGRycy9kb3ducmV2LnhtbFBLAQIU&#10;ABQAAAAIAIdO4kA+XEgKHgIAAC0EAAAOAAAAAAAAAAEAIAAAADUBAABkcnMvZTJvRG9jLnhtbFBL&#10;BQYAAAAABgAGAFkBAADFBQAAAAA=&#10;">
              <v:fill on="f" focussize="0,0"/>
              <v:stroke on="f" weight="0.5pt"/>
              <v:imagedata o:title=""/>
              <o:lock v:ext="edit" aspectratio="f"/>
              <v:textbox inset="0mm,0mm,0mm,0mm" style="mso-fit-shape-to-text:t;">
                <w:txbxContent>
                  <w:p>
                    <w:pPr>
                      <w:pStyle w:val="2"/>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 xml:space="preserve">— </w:t>
                    </w:r>
                    <w:r>
                      <w:rPr>
                        <w:rFonts w:hint="default" w:ascii="Times New Roman" w:hAnsi="Times New Roman" w:eastAsia="方正仿宋_GBK" w:cs="Times New Roman"/>
                        <w:sz w:val="28"/>
                        <w:szCs w:val="28"/>
                      </w:rPr>
                      <w:fldChar w:fldCharType="begin"/>
                    </w:r>
                    <w:r>
                      <w:rPr>
                        <w:rFonts w:hint="default" w:ascii="Times New Roman" w:hAnsi="Times New Roman" w:eastAsia="方正仿宋_GBK" w:cs="Times New Roman"/>
                        <w:sz w:val="28"/>
                        <w:szCs w:val="28"/>
                      </w:rPr>
                      <w:instrText xml:space="preserve"> PAGE  \* MERGEFORMAT </w:instrText>
                    </w:r>
                    <w:r>
                      <w:rPr>
                        <w:rFonts w:hint="default" w:ascii="Times New Roman" w:hAnsi="Times New Roman" w:eastAsia="方正仿宋_GBK" w:cs="Times New Roman"/>
                        <w:sz w:val="28"/>
                        <w:szCs w:val="28"/>
                      </w:rPr>
                      <w:fldChar w:fldCharType="separate"/>
                    </w:r>
                    <w:r>
                      <w:rPr>
                        <w:rFonts w:hint="default" w:ascii="Times New Roman" w:hAnsi="Times New Roman" w:eastAsia="方正仿宋_GBK" w:cs="Times New Roman"/>
                        <w:sz w:val="28"/>
                        <w:szCs w:val="28"/>
                      </w:rPr>
                      <w:t>290</w:t>
                    </w:r>
                    <w:r>
                      <w:rPr>
                        <w:rFonts w:hint="default" w:ascii="Times New Roman" w:hAnsi="Times New Roman" w:eastAsia="方正仿宋_GBK" w:cs="Times New Roman"/>
                        <w:sz w:val="28"/>
                        <w:szCs w:val="28"/>
                      </w:rPr>
                      <w:fldChar w:fldCharType="end"/>
                    </w:r>
                    <w:r>
                      <w:rPr>
                        <w:rFonts w:hint="eastAsia" w:ascii="方正仿宋_GBK" w:hAnsi="方正仿宋_GBK" w:eastAsia="方正仿宋_GBK" w:cs="方正仿宋_GBK"/>
                        <w:sz w:val="28"/>
                        <w:szCs w:val="28"/>
                      </w:rPr>
                      <w:t xml:space="preserve"> —</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240" w:lineRule="auto"/>
      <w:ind w:firstLine="0" w:firstLineChars="0"/>
      <w:rPr>
        <w:rStyle w:val="136"/>
      </w:rPr>
    </w:pPr>
    <w:r>
      <w:rPr>
        <w:sz w:val="18"/>
      </w:rPr>
      <mc:AlternateContent>
        <mc:Choice Requires="wps">
          <w:drawing>
            <wp:anchor distT="0" distB="0" distL="114300" distR="114300" simplePos="0" relativeHeight="251666432" behindDoc="0" locked="0" layoutInCell="1" allowOverlap="1">
              <wp:simplePos x="0" y="0"/>
              <wp:positionH relativeFrom="margin">
                <wp:align>outside</wp:align>
              </wp:positionH>
              <wp:positionV relativeFrom="paragraph">
                <wp:posOffset>0</wp:posOffset>
              </wp:positionV>
              <wp:extent cx="1828800" cy="1828800"/>
              <wp:effectExtent l="0" t="0" r="0" b="0"/>
              <wp:wrapNone/>
              <wp:docPr id="243" name="文本框 243"/>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w:t>
                          </w:r>
                          <w:r>
                            <w:rPr>
                              <w:rFonts w:hint="default" w:ascii="Times New Roman" w:hAnsi="Times New Roman" w:eastAsia="方正仿宋_GBK" w:cs="Times New Roman"/>
                              <w:sz w:val="28"/>
                              <w:szCs w:val="28"/>
                            </w:rPr>
                            <w:t xml:space="preserve"> </w:t>
                          </w:r>
                          <w:r>
                            <w:rPr>
                              <w:rFonts w:hint="default" w:ascii="Times New Roman" w:hAnsi="Times New Roman" w:eastAsia="方正仿宋_GBK" w:cs="Times New Roman"/>
                              <w:sz w:val="28"/>
                              <w:szCs w:val="28"/>
                            </w:rPr>
                            <w:fldChar w:fldCharType="begin"/>
                          </w:r>
                          <w:r>
                            <w:rPr>
                              <w:rFonts w:hint="default" w:ascii="Times New Roman" w:hAnsi="Times New Roman" w:eastAsia="方正仿宋_GBK" w:cs="Times New Roman"/>
                              <w:sz w:val="28"/>
                              <w:szCs w:val="28"/>
                            </w:rPr>
                            <w:instrText xml:space="preserve"> PAGE  \* MERGEFORMAT </w:instrText>
                          </w:r>
                          <w:r>
                            <w:rPr>
                              <w:rFonts w:hint="default" w:ascii="Times New Roman" w:hAnsi="Times New Roman" w:eastAsia="方正仿宋_GBK" w:cs="Times New Roman"/>
                              <w:sz w:val="28"/>
                              <w:szCs w:val="28"/>
                            </w:rPr>
                            <w:fldChar w:fldCharType="separate"/>
                          </w:r>
                          <w:r>
                            <w:rPr>
                              <w:rFonts w:hint="default" w:ascii="Times New Roman" w:hAnsi="Times New Roman" w:eastAsia="方正仿宋_GBK" w:cs="Times New Roman"/>
                              <w:sz w:val="28"/>
                              <w:szCs w:val="28"/>
                            </w:rPr>
                            <w:t>2</w:t>
                          </w:r>
                          <w:r>
                            <w:rPr>
                              <w:rFonts w:hint="default" w:ascii="Times New Roman" w:hAnsi="Times New Roman" w:eastAsia="方正仿宋_GBK" w:cs="Times New Roman"/>
                              <w:sz w:val="28"/>
                              <w:szCs w:val="28"/>
                            </w:rPr>
                            <w:fldChar w:fldCharType="end"/>
                          </w:r>
                          <w:r>
                            <w:rPr>
                              <w:rFonts w:hint="eastAsia" w:ascii="方正仿宋_GBK" w:hAnsi="方正仿宋_GBK" w:eastAsia="方正仿宋_GBK" w:cs="方正仿宋_GBK"/>
                              <w:sz w:val="28"/>
                              <w:szCs w:val="28"/>
                            </w:rPr>
                            <w:t xml:space="preserve"> —</w:t>
                          </w:r>
                        </w:p>
                      </w:txbxContent>
                    </wps:txbx>
                    <wps:bodyPr rot="0" spcFirstLastPara="0" vertOverflow="overflow" horzOverflow="overflow" vert="horz" wrap="none" lIns="0" tIns="0" rIns="0" bIns="0" numCol="1" spcCol="0" rtlCol="0" fromWordArt="false" anchor="t" anchorCtr="false" forceAA="false" upright="false" compatLnSpc="true">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6432;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WAAAAZHJzL1BLAQIUABQA&#10;AAAIAIdO4kCzSVju0AAAAAUBAAAPAAAAAAAAAAEAIAAAADgAAABkcnMvZG93bnJldi54bWxQSwEC&#10;FAAUAAAACACHTuJAia30fR8CAAAtBAAADgAAAAAAAAABACAAAAA1AQAAZHJzL2Uyb0RvYy54bWxQ&#10;SwUGAAAAAAYABgBZAQAAxgUAAAAA&#10;">
              <v:fill on="f" focussize="0,0"/>
              <v:stroke on="f" weight="0.5pt"/>
              <v:imagedata o:title=""/>
              <o:lock v:ext="edit" aspectratio="f"/>
              <v:textbox inset="0mm,0mm,0mm,0mm" style="mso-fit-shape-to-text:t;">
                <w:txbxContent>
                  <w:p>
                    <w:pPr>
                      <w:pStyle w:val="2"/>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w:t>
                    </w:r>
                    <w:r>
                      <w:rPr>
                        <w:rFonts w:hint="default" w:ascii="Times New Roman" w:hAnsi="Times New Roman" w:eastAsia="方正仿宋_GBK" w:cs="Times New Roman"/>
                        <w:sz w:val="28"/>
                        <w:szCs w:val="28"/>
                      </w:rPr>
                      <w:t xml:space="preserve"> </w:t>
                    </w:r>
                    <w:r>
                      <w:rPr>
                        <w:rFonts w:hint="default" w:ascii="Times New Roman" w:hAnsi="Times New Roman" w:eastAsia="方正仿宋_GBK" w:cs="Times New Roman"/>
                        <w:sz w:val="28"/>
                        <w:szCs w:val="28"/>
                      </w:rPr>
                      <w:fldChar w:fldCharType="begin"/>
                    </w:r>
                    <w:r>
                      <w:rPr>
                        <w:rFonts w:hint="default" w:ascii="Times New Roman" w:hAnsi="Times New Roman" w:eastAsia="方正仿宋_GBK" w:cs="Times New Roman"/>
                        <w:sz w:val="28"/>
                        <w:szCs w:val="28"/>
                      </w:rPr>
                      <w:instrText xml:space="preserve"> PAGE  \* MERGEFORMAT </w:instrText>
                    </w:r>
                    <w:r>
                      <w:rPr>
                        <w:rFonts w:hint="default" w:ascii="Times New Roman" w:hAnsi="Times New Roman" w:eastAsia="方正仿宋_GBK" w:cs="Times New Roman"/>
                        <w:sz w:val="28"/>
                        <w:szCs w:val="28"/>
                      </w:rPr>
                      <w:fldChar w:fldCharType="separate"/>
                    </w:r>
                    <w:r>
                      <w:rPr>
                        <w:rFonts w:hint="default" w:ascii="Times New Roman" w:hAnsi="Times New Roman" w:eastAsia="方正仿宋_GBK" w:cs="Times New Roman"/>
                        <w:sz w:val="28"/>
                        <w:szCs w:val="28"/>
                      </w:rPr>
                      <w:t>2</w:t>
                    </w:r>
                    <w:r>
                      <w:rPr>
                        <w:rFonts w:hint="default" w:ascii="Times New Roman" w:hAnsi="Times New Roman" w:eastAsia="方正仿宋_GBK" w:cs="Times New Roman"/>
                        <w:sz w:val="28"/>
                        <w:szCs w:val="28"/>
                      </w:rPr>
                      <w:fldChar w:fldCharType="end"/>
                    </w:r>
                    <w:r>
                      <w:rPr>
                        <w:rFonts w:hint="eastAsia" w:ascii="方正仿宋_GBK" w:hAnsi="方正仿宋_GBK" w:eastAsia="方正仿宋_GBK" w:cs="方正仿宋_GBK"/>
                        <w:sz w:val="28"/>
                        <w:szCs w:val="28"/>
                      </w:rPr>
                      <w:t xml:space="preserve"> —</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240" w:lineRule="auto"/>
      <w:ind w:firstLine="0" w:firstLineChars="0"/>
      <w:jc w:val="center"/>
      <w:rPr>
        <w:rFonts w:hint="eastAsia"/>
      </w:rPr>
    </w:pPr>
    <w:r>
      <w:rPr>
        <w:sz w:val="18"/>
      </w:rPr>
      <mc:AlternateContent>
        <mc:Choice Requires="wps">
          <w:drawing>
            <wp:anchor distT="0" distB="0" distL="114300" distR="114300" simplePos="0" relativeHeight="251667456" behindDoc="0" locked="0" layoutInCell="1" allowOverlap="1">
              <wp:simplePos x="0" y="0"/>
              <wp:positionH relativeFrom="margin">
                <wp:align>outside</wp:align>
              </wp:positionH>
              <wp:positionV relativeFrom="paragraph">
                <wp:posOffset>0</wp:posOffset>
              </wp:positionV>
              <wp:extent cx="1828800" cy="1828800"/>
              <wp:effectExtent l="0" t="0" r="0" b="0"/>
              <wp:wrapNone/>
              <wp:docPr id="244" name="文本框 244"/>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 xml:space="preserve">— </w:t>
                          </w:r>
                          <w:r>
                            <w:rPr>
                              <w:rFonts w:hint="default" w:ascii="Times New Roman" w:hAnsi="Times New Roman" w:eastAsia="方正仿宋_GBK" w:cs="Times New Roman"/>
                              <w:sz w:val="28"/>
                              <w:szCs w:val="28"/>
                            </w:rPr>
                            <w:fldChar w:fldCharType="begin"/>
                          </w:r>
                          <w:r>
                            <w:rPr>
                              <w:rFonts w:hint="default" w:ascii="Times New Roman" w:hAnsi="Times New Roman" w:eastAsia="方正仿宋_GBK" w:cs="Times New Roman"/>
                              <w:sz w:val="28"/>
                              <w:szCs w:val="28"/>
                            </w:rPr>
                            <w:instrText xml:space="preserve"> PAGE  \* MERGEFORMAT </w:instrText>
                          </w:r>
                          <w:r>
                            <w:rPr>
                              <w:rFonts w:hint="default" w:ascii="Times New Roman" w:hAnsi="Times New Roman" w:eastAsia="方正仿宋_GBK" w:cs="Times New Roman"/>
                              <w:sz w:val="28"/>
                              <w:szCs w:val="28"/>
                            </w:rPr>
                            <w:fldChar w:fldCharType="separate"/>
                          </w:r>
                          <w:r>
                            <w:rPr>
                              <w:rFonts w:hint="default" w:ascii="Times New Roman" w:hAnsi="Times New Roman" w:eastAsia="方正仿宋_GBK" w:cs="Times New Roman"/>
                              <w:sz w:val="28"/>
                              <w:szCs w:val="28"/>
                            </w:rPr>
                            <w:t>1</w:t>
                          </w:r>
                          <w:r>
                            <w:rPr>
                              <w:rFonts w:hint="default" w:ascii="Times New Roman" w:hAnsi="Times New Roman" w:eastAsia="方正仿宋_GBK" w:cs="Times New Roman"/>
                              <w:sz w:val="28"/>
                              <w:szCs w:val="28"/>
                            </w:rPr>
                            <w:fldChar w:fldCharType="end"/>
                          </w:r>
                          <w:r>
                            <w:rPr>
                              <w:rFonts w:hint="default" w:ascii="Times New Roman" w:hAnsi="Times New Roman" w:eastAsia="方正仿宋_GBK" w:cs="Times New Roman"/>
                              <w:sz w:val="28"/>
                              <w:szCs w:val="28"/>
                            </w:rPr>
                            <w:t xml:space="preserve"> </w:t>
                          </w:r>
                          <w:r>
                            <w:rPr>
                              <w:rFonts w:hint="eastAsia" w:ascii="方正仿宋_GBK" w:hAnsi="方正仿宋_GBK" w:eastAsia="方正仿宋_GBK" w:cs="方正仿宋_GBK"/>
                              <w:sz w:val="28"/>
                              <w:szCs w:val="28"/>
                            </w:rPr>
                            <w:t>—</w:t>
                          </w:r>
                        </w:p>
                      </w:txbxContent>
                    </wps:txbx>
                    <wps:bodyPr rot="0" spcFirstLastPara="0" vertOverflow="overflow" horzOverflow="overflow" vert="horz" wrap="none" lIns="0" tIns="0" rIns="0" bIns="0" numCol="1" spcCol="0" rtlCol="0" fromWordArt="false" anchor="t" anchorCtr="false" forceAA="false" upright="false" compatLnSpc="true">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7456;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WAAAAZHJzL1BLAQIUABQA&#10;AAAIAIdO4kCzSVju0AAAAAUBAAAPAAAAAAAAAAEAIAAAADgAAABkcnMvZG93bnJldi54bWxQSwEC&#10;FAAUAAAACACHTuJAqcy0sB8CAAAtBAAADgAAAAAAAAABACAAAAA1AQAAZHJzL2Uyb0RvYy54bWxQ&#10;SwUGAAAAAAYABgBZAQAAxgUAAAAA&#10;">
              <v:fill on="f" focussize="0,0"/>
              <v:stroke on="f" weight="0.5pt"/>
              <v:imagedata o:title=""/>
              <o:lock v:ext="edit" aspectratio="f"/>
              <v:textbox inset="0mm,0mm,0mm,0mm" style="mso-fit-shape-to-text:t;">
                <w:txbxContent>
                  <w:p>
                    <w:pPr>
                      <w:pStyle w:val="2"/>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 xml:space="preserve">— </w:t>
                    </w:r>
                    <w:r>
                      <w:rPr>
                        <w:rFonts w:hint="default" w:ascii="Times New Roman" w:hAnsi="Times New Roman" w:eastAsia="方正仿宋_GBK" w:cs="Times New Roman"/>
                        <w:sz w:val="28"/>
                        <w:szCs w:val="28"/>
                      </w:rPr>
                      <w:fldChar w:fldCharType="begin"/>
                    </w:r>
                    <w:r>
                      <w:rPr>
                        <w:rFonts w:hint="default" w:ascii="Times New Roman" w:hAnsi="Times New Roman" w:eastAsia="方正仿宋_GBK" w:cs="Times New Roman"/>
                        <w:sz w:val="28"/>
                        <w:szCs w:val="28"/>
                      </w:rPr>
                      <w:instrText xml:space="preserve"> PAGE  \* MERGEFORMAT </w:instrText>
                    </w:r>
                    <w:r>
                      <w:rPr>
                        <w:rFonts w:hint="default" w:ascii="Times New Roman" w:hAnsi="Times New Roman" w:eastAsia="方正仿宋_GBK" w:cs="Times New Roman"/>
                        <w:sz w:val="28"/>
                        <w:szCs w:val="28"/>
                      </w:rPr>
                      <w:fldChar w:fldCharType="separate"/>
                    </w:r>
                    <w:r>
                      <w:rPr>
                        <w:rFonts w:hint="default" w:ascii="Times New Roman" w:hAnsi="Times New Roman" w:eastAsia="方正仿宋_GBK" w:cs="Times New Roman"/>
                        <w:sz w:val="28"/>
                        <w:szCs w:val="28"/>
                      </w:rPr>
                      <w:t>1</w:t>
                    </w:r>
                    <w:r>
                      <w:rPr>
                        <w:rFonts w:hint="default" w:ascii="Times New Roman" w:hAnsi="Times New Roman" w:eastAsia="方正仿宋_GBK" w:cs="Times New Roman"/>
                        <w:sz w:val="28"/>
                        <w:szCs w:val="28"/>
                      </w:rPr>
                      <w:fldChar w:fldCharType="end"/>
                    </w:r>
                    <w:r>
                      <w:rPr>
                        <w:rFonts w:hint="default" w:ascii="Times New Roman" w:hAnsi="Times New Roman" w:eastAsia="方正仿宋_GBK" w:cs="Times New Roman"/>
                        <w:sz w:val="28"/>
                        <w:szCs w:val="28"/>
                      </w:rPr>
                      <w:t xml:space="preserve"> </w:t>
                    </w:r>
                    <w:r>
                      <w:rPr>
                        <w:rFonts w:hint="eastAsia" w:ascii="方正仿宋_GBK" w:hAnsi="方正仿宋_GBK" w:eastAsia="方正仿宋_GBK" w:cs="方正仿宋_GBK"/>
                        <w:sz w:val="28"/>
                        <w:szCs w:val="28"/>
                      </w:rPr>
                      <w:t>—</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240" w:lineRule="auto"/>
      <w:ind w:firstLine="0" w:firstLineChars="0"/>
      <w:jc w:val="center"/>
      <w:rPr>
        <w:rStyle w:val="136"/>
        <w:rFonts w:hint="eastAsia"/>
      </w:rPr>
    </w:pPr>
    <w:r>
      <w:rPr>
        <w:sz w:val="18"/>
      </w:rPr>
      <mc:AlternateContent>
        <mc:Choice Requires="wps">
          <w:drawing>
            <wp:anchor distT="0" distB="0" distL="114300" distR="114300" simplePos="0" relativeHeight="251668480" behindDoc="0" locked="0" layoutInCell="1" allowOverlap="1">
              <wp:simplePos x="0" y="0"/>
              <wp:positionH relativeFrom="margin">
                <wp:align>outside</wp:align>
              </wp:positionH>
              <wp:positionV relativeFrom="paragraph">
                <wp:posOffset>0</wp:posOffset>
              </wp:positionV>
              <wp:extent cx="1828800" cy="1828800"/>
              <wp:effectExtent l="0" t="0" r="0" b="0"/>
              <wp:wrapNone/>
              <wp:docPr id="245" name="文本框 245"/>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 xml:space="preserve">— </w:t>
                          </w:r>
                          <w:r>
                            <w:rPr>
                              <w:rFonts w:hint="default" w:ascii="Times New Roman" w:hAnsi="Times New Roman" w:eastAsia="方正仿宋_GBK" w:cs="Times New Roman"/>
                              <w:sz w:val="28"/>
                              <w:szCs w:val="28"/>
                            </w:rPr>
                            <w:fldChar w:fldCharType="begin"/>
                          </w:r>
                          <w:r>
                            <w:rPr>
                              <w:rFonts w:hint="default" w:ascii="Times New Roman" w:hAnsi="Times New Roman" w:eastAsia="方正仿宋_GBK" w:cs="Times New Roman"/>
                              <w:sz w:val="28"/>
                              <w:szCs w:val="28"/>
                            </w:rPr>
                            <w:instrText xml:space="preserve"> PAGE  \* MERGEFORMAT </w:instrText>
                          </w:r>
                          <w:r>
                            <w:rPr>
                              <w:rFonts w:hint="default" w:ascii="Times New Roman" w:hAnsi="Times New Roman" w:eastAsia="方正仿宋_GBK" w:cs="Times New Roman"/>
                              <w:sz w:val="28"/>
                              <w:szCs w:val="28"/>
                            </w:rPr>
                            <w:fldChar w:fldCharType="separate"/>
                          </w:r>
                          <w:r>
                            <w:rPr>
                              <w:rFonts w:hint="default" w:ascii="Times New Roman" w:hAnsi="Times New Roman" w:eastAsia="方正仿宋_GBK" w:cs="Times New Roman"/>
                              <w:sz w:val="28"/>
                              <w:szCs w:val="28"/>
                            </w:rPr>
                            <w:t>2</w:t>
                          </w:r>
                          <w:r>
                            <w:rPr>
                              <w:rFonts w:hint="default" w:ascii="Times New Roman" w:hAnsi="Times New Roman" w:eastAsia="方正仿宋_GBK" w:cs="Times New Roman"/>
                              <w:sz w:val="28"/>
                              <w:szCs w:val="28"/>
                            </w:rPr>
                            <w:fldChar w:fldCharType="end"/>
                          </w:r>
                          <w:r>
                            <w:rPr>
                              <w:rFonts w:hint="default" w:ascii="Times New Roman" w:hAnsi="Times New Roman" w:eastAsia="方正仿宋_GBK" w:cs="Times New Roman"/>
                              <w:sz w:val="28"/>
                              <w:szCs w:val="28"/>
                            </w:rPr>
                            <w:t xml:space="preserve"> </w:t>
                          </w:r>
                          <w:r>
                            <w:rPr>
                              <w:rFonts w:hint="eastAsia" w:ascii="方正仿宋_GBK" w:hAnsi="方正仿宋_GBK" w:eastAsia="方正仿宋_GBK" w:cs="方正仿宋_GBK"/>
                              <w:sz w:val="28"/>
                              <w:szCs w:val="28"/>
                            </w:rPr>
                            <w:t>—</w:t>
                          </w:r>
                        </w:p>
                      </w:txbxContent>
                    </wps:txbx>
                    <wps:bodyPr rot="0" spcFirstLastPara="0" vertOverflow="overflow" horzOverflow="overflow" vert="horz" wrap="none" lIns="0" tIns="0" rIns="0" bIns="0" numCol="1" spcCol="0" rtlCol="0" fromWordArt="false" anchor="t" anchorCtr="false" forceAA="false" upright="false" compatLnSpc="true">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8480;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BYAAABkcnMvUEsBAhQAFAAA&#10;AAgAh07iQLNJWO7QAAAABQEAAA8AAAAAAAAAAQAgAAAAOAAAAGRycy9kb3ducmV2LnhtbFBLAQIU&#10;ABQAAAAIAIdO4kDkAp9QHgIAAC0EAAAOAAAAAAAAAAEAIAAAADUBAABkcnMvZTJvRG9jLnhtbFBL&#10;BQYAAAAABgAGAFkBAADFBQAAAAA=&#10;">
              <v:fill on="f" focussize="0,0"/>
              <v:stroke on="f" weight="0.5pt"/>
              <v:imagedata o:title=""/>
              <o:lock v:ext="edit" aspectratio="f"/>
              <v:textbox inset="0mm,0mm,0mm,0mm" style="mso-fit-shape-to-text:t;">
                <w:txbxContent>
                  <w:p>
                    <w:pPr>
                      <w:pStyle w:val="2"/>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 xml:space="preserve">— </w:t>
                    </w:r>
                    <w:r>
                      <w:rPr>
                        <w:rFonts w:hint="default" w:ascii="Times New Roman" w:hAnsi="Times New Roman" w:eastAsia="方正仿宋_GBK" w:cs="Times New Roman"/>
                        <w:sz w:val="28"/>
                        <w:szCs w:val="28"/>
                      </w:rPr>
                      <w:fldChar w:fldCharType="begin"/>
                    </w:r>
                    <w:r>
                      <w:rPr>
                        <w:rFonts w:hint="default" w:ascii="Times New Roman" w:hAnsi="Times New Roman" w:eastAsia="方正仿宋_GBK" w:cs="Times New Roman"/>
                        <w:sz w:val="28"/>
                        <w:szCs w:val="28"/>
                      </w:rPr>
                      <w:instrText xml:space="preserve"> PAGE  \* MERGEFORMAT </w:instrText>
                    </w:r>
                    <w:r>
                      <w:rPr>
                        <w:rFonts w:hint="default" w:ascii="Times New Roman" w:hAnsi="Times New Roman" w:eastAsia="方正仿宋_GBK" w:cs="Times New Roman"/>
                        <w:sz w:val="28"/>
                        <w:szCs w:val="28"/>
                      </w:rPr>
                      <w:fldChar w:fldCharType="separate"/>
                    </w:r>
                    <w:r>
                      <w:rPr>
                        <w:rFonts w:hint="default" w:ascii="Times New Roman" w:hAnsi="Times New Roman" w:eastAsia="方正仿宋_GBK" w:cs="Times New Roman"/>
                        <w:sz w:val="28"/>
                        <w:szCs w:val="28"/>
                      </w:rPr>
                      <w:t>2</w:t>
                    </w:r>
                    <w:r>
                      <w:rPr>
                        <w:rFonts w:hint="default" w:ascii="Times New Roman" w:hAnsi="Times New Roman" w:eastAsia="方正仿宋_GBK" w:cs="Times New Roman"/>
                        <w:sz w:val="28"/>
                        <w:szCs w:val="28"/>
                      </w:rPr>
                      <w:fldChar w:fldCharType="end"/>
                    </w:r>
                    <w:r>
                      <w:rPr>
                        <w:rFonts w:hint="default" w:ascii="Times New Roman" w:hAnsi="Times New Roman" w:eastAsia="方正仿宋_GBK" w:cs="Times New Roman"/>
                        <w:sz w:val="28"/>
                        <w:szCs w:val="28"/>
                      </w:rPr>
                      <w:t xml:space="preserve"> </w:t>
                    </w:r>
                    <w:r>
                      <w:rPr>
                        <w:rFonts w:hint="eastAsia" w:ascii="方正仿宋_GBK" w:hAnsi="方正仿宋_GBK" w:eastAsia="方正仿宋_GBK" w:cs="方正仿宋_GBK"/>
                        <w:sz w:val="28"/>
                        <w:szCs w:val="28"/>
                      </w:rPr>
                      <w:t>—</w:t>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240" w:lineRule="auto"/>
      <w:ind w:firstLine="0" w:firstLineChars="0"/>
      <w:jc w:val="center"/>
      <w:rPr>
        <w:rFonts w:hint="eastAsia"/>
      </w:rPr>
    </w:pPr>
    <w:r>
      <w:rPr>
        <w:sz w:val="18"/>
      </w:rPr>
      <mc:AlternateContent>
        <mc:Choice Requires="wps">
          <w:drawing>
            <wp:anchor distT="0" distB="0" distL="114300" distR="114300" simplePos="0" relativeHeight="251669504" behindDoc="0" locked="0" layoutInCell="1" allowOverlap="1">
              <wp:simplePos x="0" y="0"/>
              <wp:positionH relativeFrom="margin">
                <wp:align>outside</wp:align>
              </wp:positionH>
              <wp:positionV relativeFrom="paragraph">
                <wp:posOffset>0</wp:posOffset>
              </wp:positionV>
              <wp:extent cx="1828800" cy="1828800"/>
              <wp:effectExtent l="0" t="0" r="0" b="0"/>
              <wp:wrapNone/>
              <wp:docPr id="246" name="文本框 246"/>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pPr>
                          <w:r>
                            <w:rPr>
                              <w:rFonts w:hint="eastAsia" w:ascii="Times New Roman" w:hAnsi="Times New Roman" w:eastAsia="方正仿宋_GBK" w:cs="Times New Roman"/>
                              <w:sz w:val="28"/>
                              <w:szCs w:val="28"/>
                              <w:lang w:eastAsia="zh-CN"/>
                            </w:rPr>
                            <w:t>—</w:t>
                          </w:r>
                          <w:r>
                            <w:rPr>
                              <w:rFonts w:hint="default" w:ascii="Times New Roman" w:hAnsi="Times New Roman" w:eastAsia="方正仿宋_GBK" w:cs="Times New Roman"/>
                              <w:sz w:val="28"/>
                              <w:szCs w:val="28"/>
                            </w:rPr>
                            <w:t xml:space="preserve"> </w:t>
                          </w:r>
                          <w:r>
                            <w:rPr>
                              <w:rFonts w:hint="default" w:ascii="Times New Roman" w:hAnsi="Times New Roman" w:eastAsia="方正仿宋_GBK" w:cs="Times New Roman"/>
                              <w:sz w:val="28"/>
                              <w:szCs w:val="28"/>
                            </w:rPr>
                            <w:fldChar w:fldCharType="begin"/>
                          </w:r>
                          <w:r>
                            <w:rPr>
                              <w:rFonts w:hint="default" w:ascii="Times New Roman" w:hAnsi="Times New Roman" w:eastAsia="方正仿宋_GBK" w:cs="Times New Roman"/>
                              <w:sz w:val="28"/>
                              <w:szCs w:val="28"/>
                            </w:rPr>
                            <w:instrText xml:space="preserve"> PAGE  \* MERGEFORMAT </w:instrText>
                          </w:r>
                          <w:r>
                            <w:rPr>
                              <w:rFonts w:hint="default" w:ascii="Times New Roman" w:hAnsi="Times New Roman" w:eastAsia="方正仿宋_GBK" w:cs="Times New Roman"/>
                              <w:sz w:val="28"/>
                              <w:szCs w:val="28"/>
                            </w:rPr>
                            <w:fldChar w:fldCharType="separate"/>
                          </w:r>
                          <w:r>
                            <w:rPr>
                              <w:rFonts w:hint="default" w:ascii="Times New Roman" w:hAnsi="Times New Roman" w:eastAsia="方正仿宋_GBK" w:cs="Times New Roman"/>
                              <w:sz w:val="28"/>
                              <w:szCs w:val="28"/>
                            </w:rPr>
                            <w:t>227</w:t>
                          </w:r>
                          <w:r>
                            <w:rPr>
                              <w:rFonts w:hint="default" w:ascii="Times New Roman" w:hAnsi="Times New Roman" w:eastAsia="方正仿宋_GBK" w:cs="Times New Roman"/>
                              <w:sz w:val="28"/>
                              <w:szCs w:val="28"/>
                            </w:rPr>
                            <w:fldChar w:fldCharType="end"/>
                          </w:r>
                          <w:r>
                            <w:rPr>
                              <w:rFonts w:hint="eastAsia" w:ascii="方正仿宋_GBK" w:hAnsi="方正仿宋_GBK" w:eastAsia="方正仿宋_GBK" w:cs="方正仿宋_GBK"/>
                              <w:sz w:val="28"/>
                              <w:szCs w:val="28"/>
                            </w:rPr>
                            <w:t xml:space="preserve"> —</w:t>
                          </w:r>
                        </w:p>
                      </w:txbxContent>
                    </wps:txbx>
                    <wps:bodyPr rot="0" spcFirstLastPara="0" vertOverflow="overflow" horzOverflow="overflow" vert="horz" wrap="none" lIns="0" tIns="0" rIns="0" bIns="0" numCol="1" spcCol="0" rtlCol="0" fromWordArt="false" anchor="t" anchorCtr="false" forceAA="false" upright="false" compatLnSpc="true">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9504;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BYAAABkcnMvUEsBAhQAFAAA&#10;AAgAh07iQLNJWO7QAAAABQEAAA8AAAAAAAAAAQAgAAAAOAAAAGRycy9kb3ducmV2LnhtbFBLAQIU&#10;ABQAAAAIAIdO4kByVpKrHgIAAC0EAAAOAAAAAAAAAAEAIAAAADUBAABkcnMvZTJvRG9jLnhtbFBL&#10;BQYAAAAABgAGAFkBAADFBQAAAAA=&#10;">
              <v:fill on="f" focussize="0,0"/>
              <v:stroke on="f" weight="0.5pt"/>
              <v:imagedata o:title=""/>
              <o:lock v:ext="edit" aspectratio="f"/>
              <v:textbox inset="0mm,0mm,0mm,0mm" style="mso-fit-shape-to-text:t;">
                <w:txbxContent>
                  <w:p>
                    <w:pPr>
                      <w:pStyle w:val="2"/>
                    </w:pPr>
                    <w:r>
                      <w:rPr>
                        <w:rFonts w:hint="eastAsia" w:ascii="Times New Roman" w:hAnsi="Times New Roman" w:eastAsia="方正仿宋_GBK" w:cs="Times New Roman"/>
                        <w:sz w:val="28"/>
                        <w:szCs w:val="28"/>
                        <w:lang w:eastAsia="zh-CN"/>
                      </w:rPr>
                      <w:t>—</w:t>
                    </w:r>
                    <w:r>
                      <w:rPr>
                        <w:rFonts w:hint="default" w:ascii="Times New Roman" w:hAnsi="Times New Roman" w:eastAsia="方正仿宋_GBK" w:cs="Times New Roman"/>
                        <w:sz w:val="28"/>
                        <w:szCs w:val="28"/>
                      </w:rPr>
                      <w:t xml:space="preserve"> </w:t>
                    </w:r>
                    <w:r>
                      <w:rPr>
                        <w:rFonts w:hint="default" w:ascii="Times New Roman" w:hAnsi="Times New Roman" w:eastAsia="方正仿宋_GBK" w:cs="Times New Roman"/>
                        <w:sz w:val="28"/>
                        <w:szCs w:val="28"/>
                      </w:rPr>
                      <w:fldChar w:fldCharType="begin"/>
                    </w:r>
                    <w:r>
                      <w:rPr>
                        <w:rFonts w:hint="default" w:ascii="Times New Roman" w:hAnsi="Times New Roman" w:eastAsia="方正仿宋_GBK" w:cs="Times New Roman"/>
                        <w:sz w:val="28"/>
                        <w:szCs w:val="28"/>
                      </w:rPr>
                      <w:instrText xml:space="preserve"> PAGE  \* MERGEFORMAT </w:instrText>
                    </w:r>
                    <w:r>
                      <w:rPr>
                        <w:rFonts w:hint="default" w:ascii="Times New Roman" w:hAnsi="Times New Roman" w:eastAsia="方正仿宋_GBK" w:cs="Times New Roman"/>
                        <w:sz w:val="28"/>
                        <w:szCs w:val="28"/>
                      </w:rPr>
                      <w:fldChar w:fldCharType="separate"/>
                    </w:r>
                    <w:r>
                      <w:rPr>
                        <w:rFonts w:hint="default" w:ascii="Times New Roman" w:hAnsi="Times New Roman" w:eastAsia="方正仿宋_GBK" w:cs="Times New Roman"/>
                        <w:sz w:val="28"/>
                        <w:szCs w:val="28"/>
                      </w:rPr>
                      <w:t>227</w:t>
                    </w:r>
                    <w:r>
                      <w:rPr>
                        <w:rFonts w:hint="default" w:ascii="Times New Roman" w:hAnsi="Times New Roman" w:eastAsia="方正仿宋_GBK" w:cs="Times New Roman"/>
                        <w:sz w:val="28"/>
                        <w:szCs w:val="28"/>
                      </w:rPr>
                      <w:fldChar w:fldCharType="end"/>
                    </w:r>
                    <w:r>
                      <w:rPr>
                        <w:rFonts w:hint="eastAsia" w:ascii="方正仿宋_GBK" w:hAnsi="方正仿宋_GBK" w:eastAsia="方正仿宋_GBK" w:cs="方正仿宋_GBK"/>
                        <w:sz w:val="28"/>
                        <w:szCs w:val="28"/>
                      </w:rPr>
                      <w:t xml:space="preserve"> —</w:t>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240" w:lineRule="auto"/>
      <w:ind w:firstLine="0" w:firstLineChars="0"/>
      <w:jc w:val="center"/>
      <w:rPr>
        <w:rStyle w:val="136"/>
        <w:rFonts w:hint="eastAsia"/>
      </w:rPr>
    </w:pPr>
    <w:r>
      <w:rPr>
        <w:sz w:val="18"/>
      </w:rPr>
      <mc:AlternateContent>
        <mc:Choice Requires="wps">
          <w:drawing>
            <wp:anchor distT="0" distB="0" distL="114300" distR="114300" simplePos="0" relativeHeight="251670528" behindDoc="0" locked="0" layoutInCell="1" allowOverlap="1">
              <wp:simplePos x="0" y="0"/>
              <wp:positionH relativeFrom="margin">
                <wp:align>outside</wp:align>
              </wp:positionH>
              <wp:positionV relativeFrom="paragraph">
                <wp:posOffset>0</wp:posOffset>
              </wp:positionV>
              <wp:extent cx="1828800" cy="1828800"/>
              <wp:effectExtent l="0" t="0" r="0" b="0"/>
              <wp:wrapNone/>
              <wp:docPr id="247" name="文本框 247"/>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 xml:space="preserve">— </w:t>
                          </w:r>
                          <w:r>
                            <w:rPr>
                              <w:rFonts w:hint="default" w:ascii="Times New Roman" w:hAnsi="Times New Roman" w:eastAsia="方正仿宋_GBK" w:cs="Times New Roman"/>
                              <w:sz w:val="28"/>
                              <w:szCs w:val="28"/>
                            </w:rPr>
                            <w:fldChar w:fldCharType="begin"/>
                          </w:r>
                          <w:r>
                            <w:rPr>
                              <w:rFonts w:hint="default" w:ascii="Times New Roman" w:hAnsi="Times New Roman" w:eastAsia="方正仿宋_GBK" w:cs="Times New Roman"/>
                              <w:sz w:val="28"/>
                              <w:szCs w:val="28"/>
                            </w:rPr>
                            <w:instrText xml:space="preserve"> PAGE  \* MERGEFORMAT </w:instrText>
                          </w:r>
                          <w:r>
                            <w:rPr>
                              <w:rFonts w:hint="default" w:ascii="Times New Roman" w:hAnsi="Times New Roman" w:eastAsia="方正仿宋_GBK" w:cs="Times New Roman"/>
                              <w:sz w:val="28"/>
                              <w:szCs w:val="28"/>
                            </w:rPr>
                            <w:fldChar w:fldCharType="separate"/>
                          </w:r>
                          <w:r>
                            <w:rPr>
                              <w:rFonts w:hint="default" w:ascii="Times New Roman" w:hAnsi="Times New Roman" w:eastAsia="方正仿宋_GBK" w:cs="Times New Roman"/>
                              <w:sz w:val="28"/>
                              <w:szCs w:val="28"/>
                            </w:rPr>
                            <w:t>226</w:t>
                          </w:r>
                          <w:r>
                            <w:rPr>
                              <w:rFonts w:hint="default" w:ascii="Times New Roman" w:hAnsi="Times New Roman" w:eastAsia="方正仿宋_GBK" w:cs="Times New Roman"/>
                              <w:sz w:val="28"/>
                              <w:szCs w:val="28"/>
                            </w:rPr>
                            <w:fldChar w:fldCharType="end"/>
                          </w:r>
                          <w:r>
                            <w:rPr>
                              <w:rFonts w:hint="default" w:ascii="Times New Roman" w:hAnsi="Times New Roman" w:eastAsia="方正仿宋_GBK" w:cs="Times New Roman"/>
                              <w:sz w:val="28"/>
                              <w:szCs w:val="28"/>
                            </w:rPr>
                            <w:t xml:space="preserve"> </w:t>
                          </w:r>
                          <w:r>
                            <w:rPr>
                              <w:rFonts w:hint="eastAsia" w:ascii="方正仿宋_GBK" w:hAnsi="方正仿宋_GBK" w:eastAsia="方正仿宋_GBK" w:cs="方正仿宋_GBK"/>
                              <w:sz w:val="28"/>
                              <w:szCs w:val="28"/>
                            </w:rPr>
                            <w:t>—</w:t>
                          </w:r>
                        </w:p>
                      </w:txbxContent>
                    </wps:txbx>
                    <wps:bodyPr rot="0" spcFirstLastPara="0" vertOverflow="overflow" horzOverflow="overflow" vert="horz" wrap="none" lIns="0" tIns="0" rIns="0" bIns="0" numCol="1" spcCol="0" rtlCol="0" fromWordArt="false" anchor="t" anchorCtr="false" forceAA="false" upright="false" compatLnSpc="true">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70528;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BYAAABkcnMvUEsBAhQAFAAA&#10;AAgAh07iQLNJWO7QAAAABQEAAA8AAAAAAAAAAQAgAAAAOAAAAGRycy9kb3ducmV2LnhtbFBLAQIU&#10;ABQAAAAIAIdO4kA/mLlLHgIAAC0EAAAOAAAAAAAAAAEAIAAAADUBAABkcnMvZTJvRG9jLnhtbFBL&#10;BQYAAAAABgAGAFkBAADFBQAAAAA=&#10;">
              <v:fill on="f" focussize="0,0"/>
              <v:stroke on="f" weight="0.5pt"/>
              <v:imagedata o:title=""/>
              <o:lock v:ext="edit" aspectratio="f"/>
              <v:textbox inset="0mm,0mm,0mm,0mm" style="mso-fit-shape-to-text:t;">
                <w:txbxContent>
                  <w:p>
                    <w:pPr>
                      <w:pStyle w:val="2"/>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 xml:space="preserve">— </w:t>
                    </w:r>
                    <w:r>
                      <w:rPr>
                        <w:rFonts w:hint="default" w:ascii="Times New Roman" w:hAnsi="Times New Roman" w:eastAsia="方正仿宋_GBK" w:cs="Times New Roman"/>
                        <w:sz w:val="28"/>
                        <w:szCs w:val="28"/>
                      </w:rPr>
                      <w:fldChar w:fldCharType="begin"/>
                    </w:r>
                    <w:r>
                      <w:rPr>
                        <w:rFonts w:hint="default" w:ascii="Times New Roman" w:hAnsi="Times New Roman" w:eastAsia="方正仿宋_GBK" w:cs="Times New Roman"/>
                        <w:sz w:val="28"/>
                        <w:szCs w:val="28"/>
                      </w:rPr>
                      <w:instrText xml:space="preserve"> PAGE  \* MERGEFORMAT </w:instrText>
                    </w:r>
                    <w:r>
                      <w:rPr>
                        <w:rFonts w:hint="default" w:ascii="Times New Roman" w:hAnsi="Times New Roman" w:eastAsia="方正仿宋_GBK" w:cs="Times New Roman"/>
                        <w:sz w:val="28"/>
                        <w:szCs w:val="28"/>
                      </w:rPr>
                      <w:fldChar w:fldCharType="separate"/>
                    </w:r>
                    <w:r>
                      <w:rPr>
                        <w:rFonts w:hint="default" w:ascii="Times New Roman" w:hAnsi="Times New Roman" w:eastAsia="方正仿宋_GBK" w:cs="Times New Roman"/>
                        <w:sz w:val="28"/>
                        <w:szCs w:val="28"/>
                      </w:rPr>
                      <w:t>226</w:t>
                    </w:r>
                    <w:r>
                      <w:rPr>
                        <w:rFonts w:hint="default" w:ascii="Times New Roman" w:hAnsi="Times New Roman" w:eastAsia="方正仿宋_GBK" w:cs="Times New Roman"/>
                        <w:sz w:val="28"/>
                        <w:szCs w:val="28"/>
                      </w:rPr>
                      <w:fldChar w:fldCharType="end"/>
                    </w:r>
                    <w:r>
                      <w:rPr>
                        <w:rFonts w:hint="default" w:ascii="Times New Roman" w:hAnsi="Times New Roman" w:eastAsia="方正仿宋_GBK" w:cs="Times New Roman"/>
                        <w:sz w:val="28"/>
                        <w:szCs w:val="28"/>
                      </w:rPr>
                      <w:t xml:space="preserve"> </w:t>
                    </w:r>
                    <w:r>
                      <w:rPr>
                        <w:rFonts w:hint="eastAsia" w:ascii="方正仿宋_GBK" w:hAnsi="方正仿宋_GBK" w:eastAsia="方正仿宋_GBK" w:cs="方正仿宋_GBK"/>
                        <w:sz w:val="28"/>
                        <w:szCs w:val="28"/>
                      </w:rPr>
                      <w:t>—</w:t>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240" w:lineRule="auto"/>
      <w:ind w:firstLine="0" w:firstLineChars="0"/>
      <w:jc w:val="center"/>
    </w:pPr>
    <w:r>
      <w:rPr>
        <w:sz w:val="18"/>
      </w:rPr>
      <mc:AlternateContent>
        <mc:Choice Requires="wps">
          <w:drawing>
            <wp:anchor distT="0" distB="0" distL="114300" distR="114300" simplePos="0" relativeHeight="251671552" behindDoc="0" locked="0" layoutInCell="1" allowOverlap="1">
              <wp:simplePos x="0" y="0"/>
              <wp:positionH relativeFrom="margin">
                <wp:align>outside</wp:align>
              </wp:positionH>
              <wp:positionV relativeFrom="paragraph">
                <wp:posOffset>0</wp:posOffset>
              </wp:positionV>
              <wp:extent cx="1828800" cy="1828800"/>
              <wp:effectExtent l="0" t="0" r="0" b="0"/>
              <wp:wrapNone/>
              <wp:docPr id="248" name="文本框 248"/>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w:t>
                          </w:r>
                          <w:r>
                            <w:rPr>
                              <w:rFonts w:hint="default" w:ascii="Times New Roman" w:hAnsi="Times New Roman" w:eastAsia="方正仿宋_GBK" w:cs="Times New Roman"/>
                              <w:sz w:val="28"/>
                              <w:szCs w:val="28"/>
                            </w:rPr>
                            <w:t xml:space="preserve"> </w:t>
                          </w:r>
                          <w:r>
                            <w:rPr>
                              <w:rFonts w:hint="default" w:ascii="Times New Roman" w:hAnsi="Times New Roman" w:eastAsia="方正仿宋_GBK" w:cs="Times New Roman"/>
                              <w:sz w:val="28"/>
                              <w:szCs w:val="28"/>
                            </w:rPr>
                            <w:fldChar w:fldCharType="begin"/>
                          </w:r>
                          <w:r>
                            <w:rPr>
                              <w:rFonts w:hint="default" w:ascii="Times New Roman" w:hAnsi="Times New Roman" w:eastAsia="方正仿宋_GBK" w:cs="Times New Roman"/>
                              <w:sz w:val="28"/>
                              <w:szCs w:val="28"/>
                            </w:rPr>
                            <w:instrText xml:space="preserve"> PAGE  \* MERGEFORMAT </w:instrText>
                          </w:r>
                          <w:r>
                            <w:rPr>
                              <w:rFonts w:hint="default" w:ascii="Times New Roman" w:hAnsi="Times New Roman" w:eastAsia="方正仿宋_GBK" w:cs="Times New Roman"/>
                              <w:sz w:val="28"/>
                              <w:szCs w:val="28"/>
                            </w:rPr>
                            <w:fldChar w:fldCharType="separate"/>
                          </w:r>
                          <w:r>
                            <w:rPr>
                              <w:rFonts w:hint="default" w:ascii="Times New Roman" w:hAnsi="Times New Roman" w:eastAsia="方正仿宋_GBK" w:cs="Times New Roman"/>
                              <w:sz w:val="28"/>
                              <w:szCs w:val="28"/>
                            </w:rPr>
                            <w:t>289</w:t>
                          </w:r>
                          <w:r>
                            <w:rPr>
                              <w:rFonts w:hint="default" w:ascii="Times New Roman" w:hAnsi="Times New Roman" w:eastAsia="方正仿宋_GBK" w:cs="Times New Roman"/>
                              <w:sz w:val="28"/>
                              <w:szCs w:val="28"/>
                            </w:rPr>
                            <w:fldChar w:fldCharType="end"/>
                          </w:r>
                          <w:r>
                            <w:rPr>
                              <w:rFonts w:hint="default" w:ascii="Times New Roman" w:hAnsi="Times New Roman" w:eastAsia="方正仿宋_GBK" w:cs="Times New Roman"/>
                              <w:sz w:val="28"/>
                              <w:szCs w:val="28"/>
                            </w:rPr>
                            <w:t xml:space="preserve"> </w:t>
                          </w:r>
                          <w:r>
                            <w:rPr>
                              <w:rFonts w:hint="eastAsia" w:ascii="方正仿宋_GBK" w:hAnsi="方正仿宋_GBK" w:eastAsia="方正仿宋_GBK" w:cs="方正仿宋_GBK"/>
                              <w:sz w:val="28"/>
                              <w:szCs w:val="28"/>
                            </w:rPr>
                            <w:t>—</w:t>
                          </w:r>
                        </w:p>
                      </w:txbxContent>
                    </wps:txbx>
                    <wps:bodyPr rot="0" spcFirstLastPara="0" vertOverflow="overflow" horzOverflow="overflow" vert="horz" wrap="none" lIns="0" tIns="0" rIns="0" bIns="0" numCol="1" spcCol="0" rtlCol="0" fromWordArt="false" anchor="t" anchorCtr="false" forceAA="false" upright="false" compatLnSpc="true">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71552;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BYAAABkcnMvUEsBAhQAFAAA&#10;AAgAh07iQLNJWO7QAAAABQEAAA8AAAAAAAAAAQAgAAAAOAAAAGRycy9kb3ducmV2LnhtbFBLAQIU&#10;ABQAAAAIAIdO4kBzkmPqHgIAAC0EAAAOAAAAAAAAAAEAIAAAADUBAABkcnMvZTJvRG9jLnhtbFBL&#10;BQYAAAAABgAGAFkBAADFBQAAAAA=&#10;">
              <v:fill on="f" focussize="0,0"/>
              <v:stroke on="f" weight="0.5pt"/>
              <v:imagedata o:title=""/>
              <o:lock v:ext="edit" aspectratio="f"/>
              <v:textbox inset="0mm,0mm,0mm,0mm" style="mso-fit-shape-to-text:t;">
                <w:txbxContent>
                  <w:p>
                    <w:pPr>
                      <w:pStyle w:val="2"/>
                      <w:rPr>
                        <w:rFonts w:hint="eastAsia" w:ascii="方正仿宋_GBK" w:hAnsi="方正仿宋_GBK" w:eastAsia="方正仿宋_GBK" w:cs="方正仿宋_GBK"/>
                        <w:sz w:val="28"/>
                        <w:szCs w:val="28"/>
                      </w:rPr>
                    </w:pPr>
                    <w:r>
                      <w:rPr>
                        <w:rFonts w:hint="eastAsia" w:ascii="方正仿宋_GBK" w:hAnsi="方正仿宋_GBK" w:eastAsia="方正仿宋_GBK" w:cs="方正仿宋_GBK"/>
                        <w:sz w:val="28"/>
                        <w:szCs w:val="28"/>
                      </w:rPr>
                      <w:t>—</w:t>
                    </w:r>
                    <w:r>
                      <w:rPr>
                        <w:rFonts w:hint="default" w:ascii="Times New Roman" w:hAnsi="Times New Roman" w:eastAsia="方正仿宋_GBK" w:cs="Times New Roman"/>
                        <w:sz w:val="28"/>
                        <w:szCs w:val="28"/>
                      </w:rPr>
                      <w:t xml:space="preserve"> </w:t>
                    </w:r>
                    <w:r>
                      <w:rPr>
                        <w:rFonts w:hint="default" w:ascii="Times New Roman" w:hAnsi="Times New Roman" w:eastAsia="方正仿宋_GBK" w:cs="Times New Roman"/>
                        <w:sz w:val="28"/>
                        <w:szCs w:val="28"/>
                      </w:rPr>
                      <w:fldChar w:fldCharType="begin"/>
                    </w:r>
                    <w:r>
                      <w:rPr>
                        <w:rFonts w:hint="default" w:ascii="Times New Roman" w:hAnsi="Times New Roman" w:eastAsia="方正仿宋_GBK" w:cs="Times New Roman"/>
                        <w:sz w:val="28"/>
                        <w:szCs w:val="28"/>
                      </w:rPr>
                      <w:instrText xml:space="preserve"> PAGE  \* MERGEFORMAT </w:instrText>
                    </w:r>
                    <w:r>
                      <w:rPr>
                        <w:rFonts w:hint="default" w:ascii="Times New Roman" w:hAnsi="Times New Roman" w:eastAsia="方正仿宋_GBK" w:cs="Times New Roman"/>
                        <w:sz w:val="28"/>
                        <w:szCs w:val="28"/>
                      </w:rPr>
                      <w:fldChar w:fldCharType="separate"/>
                    </w:r>
                    <w:r>
                      <w:rPr>
                        <w:rFonts w:hint="default" w:ascii="Times New Roman" w:hAnsi="Times New Roman" w:eastAsia="方正仿宋_GBK" w:cs="Times New Roman"/>
                        <w:sz w:val="28"/>
                        <w:szCs w:val="28"/>
                      </w:rPr>
                      <w:t>289</w:t>
                    </w:r>
                    <w:r>
                      <w:rPr>
                        <w:rFonts w:hint="default" w:ascii="Times New Roman" w:hAnsi="Times New Roman" w:eastAsia="方正仿宋_GBK" w:cs="Times New Roman"/>
                        <w:sz w:val="28"/>
                        <w:szCs w:val="28"/>
                      </w:rPr>
                      <w:fldChar w:fldCharType="end"/>
                    </w:r>
                    <w:r>
                      <w:rPr>
                        <w:rFonts w:hint="default" w:ascii="Times New Roman" w:hAnsi="Times New Roman" w:eastAsia="方正仿宋_GBK" w:cs="Times New Roman"/>
                        <w:sz w:val="28"/>
                        <w:szCs w:val="28"/>
                      </w:rPr>
                      <w:t xml:space="preserve"> </w:t>
                    </w:r>
                    <w:r>
                      <w:rPr>
                        <w:rFonts w:hint="eastAsia" w:ascii="方正仿宋_GBK" w:hAnsi="方正仿宋_GBK" w:eastAsia="方正仿宋_GBK" w:cs="方正仿宋_GBK"/>
                        <w:sz w:val="28"/>
                        <w:szCs w:val="28"/>
                      </w:rPr>
                      <w:t>—</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560"/>
      </w:pPr>
      <w:r>
        <w:separator/>
      </w:r>
    </w:p>
  </w:footnote>
  <w:footnote w:type="continuationSeparator" w:id="1">
    <w:p>
      <w:pPr>
        <w:spacing w:line="240" w:lineRule="auto"/>
        <w:ind w:firstLine="56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pBdr>
        <w:bottom w:val="none" w:color="auto" w:sz="0" w:space="0"/>
      </w:pBdr>
      <w:ind w:firstLine="36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widowControl w:val="0"/>
      <w:pBdr>
        <w:top w:val="none" w:color="auto" w:sz="0" w:space="1"/>
        <w:left w:val="none" w:color="auto" w:sz="0" w:space="4"/>
        <w:bottom w:val="none" w:color="auto" w:sz="0" w:space="1"/>
        <w:right w:val="none" w:color="auto" w:sz="0" w:space="4"/>
        <w:between w:val="none" w:color="auto" w:sz="0" w:space="0"/>
      </w:pBdr>
      <w:snapToGrid w:val="0"/>
      <w:spacing w:line="560" w:lineRule="exact"/>
      <w:ind w:firstLine="360" w:firstLineChars="200"/>
      <w:jc w:val="center"/>
      <w:rPr>
        <w:rFonts w:hint="eastAsia"/>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widowControl w:val="0"/>
      <w:pBdr>
        <w:top w:val="none" w:color="auto" w:sz="0" w:space="1"/>
        <w:left w:val="none" w:color="auto" w:sz="0" w:space="4"/>
        <w:bottom w:val="none" w:color="auto" w:sz="0" w:space="1"/>
        <w:right w:val="none" w:color="auto" w:sz="0" w:space="4"/>
        <w:between w:val="none" w:color="auto" w:sz="0" w:space="0"/>
      </w:pBdr>
      <w:snapToGrid w:val="0"/>
      <w:spacing w:line="560" w:lineRule="exact"/>
      <w:ind w:firstLine="360" w:firstLineChars="200"/>
      <w:jc w:val="center"/>
      <w:rPr>
        <w:rFonts w:hint="eastAsia"/>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widowControl w:val="0"/>
      <w:pBdr>
        <w:top w:val="none" w:color="auto" w:sz="0" w:space="1"/>
        <w:left w:val="none" w:color="auto" w:sz="0" w:space="4"/>
        <w:bottom w:val="none" w:color="auto" w:sz="0" w:space="1"/>
        <w:right w:val="none" w:color="auto" w:sz="0" w:space="4"/>
        <w:between w:val="none" w:color="auto" w:sz="0" w:space="0"/>
      </w:pBdr>
      <w:snapToGrid w:val="0"/>
      <w:spacing w:line="560" w:lineRule="exact"/>
      <w:ind w:firstLine="360" w:firstLineChars="200"/>
      <w:jc w:val="center"/>
      <w:rPr>
        <w:rFonts w:hint="eastAsia"/>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widowControl w:val="0"/>
      <w:pBdr>
        <w:top w:val="none" w:color="auto" w:sz="0" w:space="1"/>
        <w:left w:val="none" w:color="auto" w:sz="0" w:space="4"/>
        <w:bottom w:val="none" w:color="auto" w:sz="0" w:space="1"/>
        <w:right w:val="none" w:color="auto" w:sz="0" w:space="4"/>
        <w:between w:val="none" w:color="auto" w:sz="0" w:space="0"/>
      </w:pBdr>
      <w:snapToGrid w:val="0"/>
      <w:spacing w:line="560" w:lineRule="exact"/>
      <w:ind w:firstLine="360" w:firstLineChars="200"/>
      <w:jc w:val="center"/>
      <w:rPr>
        <w:rFonts w:hint="eastAsia"/>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widowControl w:val="0"/>
      <w:pBdr>
        <w:top w:val="none" w:color="auto" w:sz="0" w:space="1"/>
        <w:left w:val="none" w:color="auto" w:sz="0" w:space="4"/>
        <w:bottom w:val="none" w:color="auto" w:sz="0" w:space="1"/>
        <w:right w:val="none" w:color="auto" w:sz="0" w:space="4"/>
        <w:between w:val="none" w:color="auto" w:sz="0" w:space="0"/>
      </w:pBdr>
      <w:snapToGrid w:val="0"/>
      <w:spacing w:line="560" w:lineRule="exact"/>
      <w:ind w:firstLine="360" w:firstLineChars="200"/>
      <w:jc w:val="center"/>
      <w:rPr>
        <w:rFonts w:hint="eastAsia"/>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widowControl w:val="0"/>
      <w:pBdr>
        <w:top w:val="none" w:color="auto" w:sz="0" w:space="1"/>
        <w:left w:val="none" w:color="auto" w:sz="0" w:space="4"/>
        <w:bottom w:val="none" w:color="auto" w:sz="0" w:space="1"/>
        <w:right w:val="none" w:color="auto" w:sz="0" w:space="4"/>
        <w:between w:val="none" w:color="auto" w:sz="0" w:space="0"/>
      </w:pBdr>
      <w:snapToGrid w:val="0"/>
      <w:spacing w:line="560" w:lineRule="exact"/>
      <w:ind w:firstLine="360" w:firstLineChars="200"/>
      <w:jc w:val="center"/>
      <w:rPr>
        <w:rFonts w:hint="eastAsia"/>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widowControl w:val="0"/>
      <w:pBdr>
        <w:top w:val="none" w:color="auto" w:sz="0" w:space="1"/>
        <w:left w:val="none" w:color="auto" w:sz="0" w:space="4"/>
        <w:bottom w:val="none" w:color="auto" w:sz="0" w:space="1"/>
        <w:right w:val="none" w:color="auto" w:sz="0" w:space="4"/>
        <w:between w:val="none" w:color="auto" w:sz="0" w:space="0"/>
      </w:pBdr>
      <w:snapToGrid w:val="0"/>
      <w:spacing w:line="560" w:lineRule="exact"/>
      <w:ind w:firstLine="360" w:firstLineChars="200"/>
      <w:jc w:val="center"/>
      <w:rPr>
        <w:rFonts w:hint="eastAsia"/>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widowControl w:val="0"/>
      <w:pBdr>
        <w:top w:val="none" w:color="auto" w:sz="0" w:space="1"/>
        <w:left w:val="none" w:color="auto" w:sz="0" w:space="4"/>
        <w:bottom w:val="none" w:color="auto" w:sz="0" w:space="1"/>
        <w:right w:val="none" w:color="auto" w:sz="0" w:space="4"/>
        <w:between w:val="none" w:color="auto" w:sz="0" w:space="0"/>
      </w:pBdr>
      <w:snapToGrid w:val="0"/>
      <w:spacing w:line="560" w:lineRule="exact"/>
      <w:ind w:firstLine="360" w:firstLineChars="200"/>
      <w:jc w:val="center"/>
      <w:rPr>
        <w:rFonts w:hint="eastAsia"/>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widowControl w:val="0"/>
      <w:pBdr>
        <w:top w:val="none" w:color="auto" w:sz="0" w:space="1"/>
        <w:left w:val="none" w:color="auto" w:sz="0" w:space="4"/>
        <w:bottom w:val="none" w:color="auto" w:sz="0" w:space="1"/>
        <w:right w:val="none" w:color="auto" w:sz="0" w:space="4"/>
        <w:between w:val="none" w:color="auto" w:sz="0" w:space="0"/>
      </w:pBdr>
      <w:snapToGrid w:val="0"/>
      <w:spacing w:line="560" w:lineRule="exact"/>
      <w:ind w:firstLine="360" w:firstLineChars="200"/>
      <w:jc w:val="cent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pBdr>
        <w:bottom w:val="none" w:color="auto" w:sz="0" w:space="0"/>
      </w:pBdr>
      <w:ind w:firstLine="360"/>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pBdr>
        <w:bottom w:val="single" w:color="auto" w:sz="12" w:space="1"/>
      </w:pBdr>
      <w:tabs>
        <w:tab w:val="right" w:pos="9070"/>
        <w:tab w:val="right" w:pos="13606"/>
        <w:tab w:val="clear" w:pos="4153"/>
        <w:tab w:val="clear" w:pos="8306"/>
      </w:tabs>
      <w:ind w:firstLine="0" w:firstLineChars="0"/>
      <w:jc w:val="both"/>
      <w:rPr>
        <w:rFonts w:hint="eastAsia"/>
      </w:rPr>
    </w:pPr>
    <w:r>
      <w:rPr>
        <w:rFonts w:hint="eastAsia" w:ascii="宋体" w:hAnsi="宋体"/>
        <w:position w:val="-7"/>
      </w:rPr>
      <w:tab/>
    </w:r>
    <w:r>
      <w:rPr>
        <w:rFonts w:hint="eastAsia" w:ascii="宋体" w:hAnsi="宋体"/>
        <w:position w:val="-7"/>
      </w:rPr>
      <w:tab/>
    </w:r>
    <w:r>
      <w:rPr>
        <w:rFonts w:ascii="宋体" w:hAnsi="宋体"/>
        <w:position w:val="-7"/>
      </w:rPr>
      <w:t>第</w:t>
    </w:r>
    <w:r>
      <w:rPr>
        <w:rFonts w:hint="eastAsia" w:ascii="宋体" w:hAnsi="宋体"/>
        <w:position w:val="-7"/>
      </w:rPr>
      <w:t>6篇  防洪工程规划</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widowControl w:val="0"/>
      <w:pBdr>
        <w:top w:val="none" w:color="auto" w:sz="0" w:space="1"/>
        <w:left w:val="none" w:color="auto" w:sz="0" w:space="4"/>
        <w:bottom w:val="none" w:color="auto" w:sz="0" w:space="1"/>
        <w:right w:val="none" w:color="auto" w:sz="0" w:space="4"/>
        <w:between w:val="none" w:color="auto" w:sz="0" w:space="0"/>
      </w:pBdr>
      <w:snapToGrid w:val="0"/>
      <w:spacing w:line="560" w:lineRule="exact"/>
      <w:ind w:firstLine="360" w:firstLineChars="200"/>
      <w:jc w:val="center"/>
      <w:rPr>
        <w:rFonts w:hint="eastAsia"/>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widowControl w:val="0"/>
      <w:pBdr>
        <w:top w:val="none" w:color="auto" w:sz="0" w:space="1"/>
        <w:left w:val="none" w:color="auto" w:sz="0" w:space="4"/>
        <w:bottom w:val="none" w:color="auto" w:sz="0" w:space="1"/>
        <w:right w:val="none" w:color="auto" w:sz="0" w:space="4"/>
        <w:between w:val="none" w:color="auto" w:sz="0" w:space="0"/>
      </w:pBdr>
      <w:tabs>
        <w:tab w:val="right" w:pos="9070"/>
        <w:tab w:val="right" w:pos="13606"/>
        <w:tab w:val="clear" w:pos="4153"/>
        <w:tab w:val="clear" w:pos="8306"/>
      </w:tabs>
      <w:snapToGrid w:val="0"/>
      <w:spacing w:line="560" w:lineRule="exact"/>
      <w:ind w:firstLine="0" w:firstLineChars="0"/>
      <w:jc w:val="both"/>
      <w:rPr>
        <w:rFonts w:hint="eastAsia"/>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widowControl w:val="0"/>
      <w:pBdr>
        <w:top w:val="none" w:color="auto" w:sz="0" w:space="1"/>
        <w:left w:val="none" w:color="auto" w:sz="0" w:space="4"/>
        <w:bottom w:val="none" w:color="auto" w:sz="0" w:space="1"/>
        <w:right w:val="none" w:color="auto" w:sz="0" w:space="4"/>
        <w:between w:val="none" w:color="auto" w:sz="0" w:space="0"/>
      </w:pBdr>
      <w:snapToGrid w:val="0"/>
      <w:spacing w:line="560" w:lineRule="exact"/>
      <w:ind w:firstLine="360" w:firstLineChars="200"/>
      <w:jc w:val="center"/>
      <w:rPr>
        <w:rFonts w:hint="eastAsia"/>
      </w:rPr>
    </w:pPr>
    <w:r>
      <w:rPr>
        <w:rFonts w:hint="eastAsia" w:ascii="宋体" w:hAnsi="宋体"/>
        <w:position w:val="-7"/>
      </w:rPr>
      <w:tab/>
    </w:r>
    <w:r>
      <w:rPr>
        <w:rFonts w:hint="eastAsia" w:ascii="宋体" w:hAnsi="宋体"/>
        <w:position w:val="-7"/>
      </w:rPr>
      <w:tab/>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widowControl w:val="0"/>
      <w:pBdr>
        <w:top w:val="none" w:color="auto" w:sz="0" w:space="1"/>
        <w:left w:val="none" w:color="auto" w:sz="0" w:space="4"/>
        <w:bottom w:val="none" w:color="auto" w:sz="0" w:space="1"/>
        <w:right w:val="none" w:color="auto" w:sz="0" w:space="4"/>
        <w:between w:val="none" w:color="auto" w:sz="0" w:space="0"/>
      </w:pBdr>
      <w:snapToGrid w:val="0"/>
      <w:spacing w:line="560" w:lineRule="exact"/>
      <w:ind w:firstLine="360" w:firstLineChars="200"/>
      <w:jc w:val="center"/>
      <w:rPr>
        <w:rFonts w:hint="eastAsia"/>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widowControl w:val="0"/>
      <w:pBdr>
        <w:top w:val="none" w:color="auto" w:sz="0" w:space="1"/>
        <w:left w:val="none" w:color="auto" w:sz="0" w:space="4"/>
        <w:bottom w:val="none" w:color="auto" w:sz="0" w:space="1"/>
        <w:right w:val="none" w:color="auto" w:sz="0" w:space="4"/>
        <w:between w:val="none" w:color="auto" w:sz="0" w:space="0"/>
      </w:pBdr>
      <w:snapToGrid w:val="0"/>
      <w:spacing w:line="560" w:lineRule="exact"/>
      <w:ind w:firstLine="360" w:firstLineChars="200"/>
      <w:jc w:val="center"/>
      <w:rPr>
        <w:rFonts w:hint="eastAsia"/>
      </w:rP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none" w:color="auto" w:sz="0" w:space="1"/>
      </w:pBdr>
      <w:tabs>
        <w:tab w:val="left" w:pos="18711"/>
      </w:tabs>
      <w:ind w:firstLine="0" w:firstLineChars="0"/>
      <w:rPr>
        <w:rFonts w:hint="eastAsia"/>
        <w:sz w:val="18"/>
        <w:szCs w:val="18"/>
      </w:rPr>
    </w:pPr>
    <w:r>
      <w:rPr>
        <w:rFonts w:hint="eastAsia" w:ascii="宋体" w:hAnsi="宋体" w:eastAsia="宋体"/>
        <w:position w:val="-7"/>
        <w:sz w:val="18"/>
        <w:szCs w:val="18"/>
      </w:rPr>
      <w:tab/>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pBdr>
        <w:bottom w:val="none" w:color="auto" w:sz="0" w:space="1"/>
      </w:pBdr>
      <w:ind w:left="700" w:leftChars="250" w:firstLine="0" w:firstLineChars="0"/>
      <w:jc w:val="both"/>
      <w:rPr>
        <w:rFonts w:ascii="宋体" w:hAnsi="宋体"/>
        <w:position w:val="-7"/>
      </w:rPr>
    </w:pPr>
    <w:r>
      <w:rPr>
        <w:rFonts w:ascii="宋体" w:hAnsi="宋体"/>
        <w:position w:val="-7"/>
      </w:rPr>
      <w:t xml:space="preserve">       </w:t>
    </w:r>
    <w:r>
      <w:rPr>
        <w:rFonts w:hint="eastAsia" w:ascii="宋体" w:hAnsi="宋体"/>
        <w:position w:val="-7"/>
      </w:rPr>
      <w:t xml:space="preserve">            </w:t>
    </w:r>
    <w:r>
      <w:rPr>
        <w:rFonts w:ascii="宋体" w:hAnsi="宋体"/>
        <w:position w:val="-7"/>
      </w:rPr>
      <w:t xml:space="preserve">       </w:t>
    </w:r>
    <w:r>
      <w:rPr>
        <w:rFonts w:hint="eastAsia" w:ascii="宋体" w:hAnsi="宋体"/>
        <w:position w:val="-7"/>
      </w:rPr>
      <w:t xml:space="preserve">             </w:t>
    </w:r>
    <w:r>
      <w:rPr>
        <w:rFonts w:ascii="宋体" w:hAnsi="宋体"/>
        <w:position w:val="-7"/>
      </w:rPr>
      <w:t xml:space="preserve">     </w:t>
    </w:r>
    <w:r>
      <w:rPr>
        <w:rFonts w:hint="eastAsia" w:ascii="宋体" w:hAnsi="宋体"/>
        <w:position w:val="-7"/>
      </w:rPr>
      <w:t xml:space="preserve">   </w:t>
    </w:r>
    <w:r>
      <w:rPr>
        <w:rFonts w:ascii="宋体" w:hAnsi="宋体"/>
        <w:position w:val="-7"/>
      </w:rPr>
      <w:t xml:space="preserve">       </w:t>
    </w:r>
    <w:r>
      <w:rPr>
        <w:rFonts w:hint="eastAsia" w:ascii="宋体" w:hAnsi="宋体"/>
        <w:position w:val="-7"/>
      </w:rPr>
      <w:t xml:space="preserve">             </w:t>
    </w:r>
    <w:r>
      <w:rPr>
        <w:rFonts w:ascii="宋体" w:hAnsi="宋体"/>
        <w:position w:val="-7"/>
      </w:rPr>
      <w:t xml:space="preserve">     </w:t>
    </w:r>
    <w:r>
      <w:rPr>
        <w:rFonts w:hint="eastAsia" w:ascii="宋体" w:hAnsi="宋体"/>
        <w:position w:val="-7"/>
      </w:rPr>
      <w:t xml:space="preserve">   </w:t>
    </w:r>
    <w:r>
      <w:rPr>
        <w:rFonts w:ascii="宋体" w:hAnsi="宋体"/>
        <w:position w:val="-7"/>
      </w:rPr>
      <w:t xml:space="preserve">       </w:t>
    </w:r>
    <w:r>
      <w:rPr>
        <w:rFonts w:hint="eastAsia" w:ascii="宋体" w:hAnsi="宋体"/>
        <w:position w:val="-7"/>
      </w:rPr>
      <w:t xml:space="preserve">             </w:t>
    </w:r>
    <w:r>
      <w:rPr>
        <w:rFonts w:ascii="宋体" w:hAnsi="宋体"/>
        <w:position w:val="-7"/>
      </w:rPr>
      <w:t xml:space="preserve">     </w:t>
    </w:r>
    <w:r>
      <w:rPr>
        <w:rFonts w:hint="eastAsia" w:ascii="宋体" w:hAnsi="宋体"/>
        <w:position w:val="-7"/>
      </w:rPr>
      <w:t xml:space="preserve">   </w:t>
    </w:r>
    <w:r>
      <w:rPr>
        <w:rFonts w:ascii="宋体" w:hAnsi="宋体"/>
        <w:position w:val="-7"/>
      </w:rPr>
      <w:t xml:space="preserve">       </w:t>
    </w:r>
    <w:r>
      <w:rPr>
        <w:rFonts w:hint="eastAsia" w:ascii="宋体" w:hAnsi="宋体"/>
        <w:position w:val="-7"/>
      </w:rPr>
      <w:t xml:space="preserve">             </w:t>
    </w:r>
    <w:r>
      <w:rPr>
        <w:rFonts w:ascii="宋体" w:hAnsi="宋体"/>
        <w:position w:val="-7"/>
      </w:rPr>
      <w:t xml:space="preserve">     </w:t>
    </w:r>
    <w:r>
      <w:rPr>
        <w:rFonts w:hint="eastAsia" w:ascii="宋体" w:hAnsi="宋体"/>
        <w:position w:val="-7"/>
      </w:rPr>
      <w:t xml:space="preserve">   </w:t>
    </w:r>
    <w:r>
      <w:rPr>
        <w:rFonts w:ascii="宋体" w:hAnsi="宋体"/>
        <w:position w:val="-7"/>
      </w:rPr>
      <w:t xml:space="preserve">       </w:t>
    </w:r>
    <w:r>
      <w:rPr>
        <w:rFonts w:hint="eastAsia" w:ascii="宋体" w:hAnsi="宋体"/>
        <w:position w:val="-7"/>
      </w:rPr>
      <w:t xml:space="preserve">      </w: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widowControl w:val="0"/>
      <w:pBdr>
        <w:top w:val="none" w:color="auto" w:sz="0" w:space="1"/>
        <w:left w:val="none" w:color="auto" w:sz="0" w:space="4"/>
        <w:bottom w:val="none" w:color="auto" w:sz="0" w:space="1"/>
        <w:right w:val="none" w:color="auto" w:sz="0" w:space="4"/>
        <w:between w:val="none" w:color="auto" w:sz="0" w:space="0"/>
      </w:pBdr>
      <w:snapToGrid w:val="0"/>
      <w:spacing w:line="560" w:lineRule="exact"/>
      <w:ind w:firstLine="360" w:firstLineChars="200"/>
      <w:jc w:val="center"/>
      <w:rPr>
        <w:rFonts w:hint="eastAsia"/>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ind w:firstLine="0" w:firstLineChars="0"/>
    </w:pPr>
    <w:r>
      <w:rPr>
        <w:rFonts w:hint="eastAsia" w:ascii="宋体" w:hAnsi="宋体"/>
      </w:rPr>
      <w:t>长江勘测规划设计研究有限责任公司                            重庆市綦江区城区防洪规划报告（2020</w:t>
    </w:r>
    <w:r>
      <w:rPr>
        <w:rFonts w:hint="eastAsia" w:ascii="宋体" w:hAnsi="宋体"/>
        <w:lang w:eastAsia="zh-CN"/>
      </w:rPr>
      <w:t>—</w:t>
    </w:r>
    <w:r>
      <w:rPr>
        <w:rFonts w:hint="eastAsia" w:ascii="宋体" w:hAnsi="宋体"/>
      </w:rPr>
      <w:t>2035年）方案研究</w: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widowControl w:val="0"/>
      <w:pBdr>
        <w:top w:val="none" w:color="auto" w:sz="0" w:space="1"/>
        <w:left w:val="none" w:color="auto" w:sz="0" w:space="4"/>
        <w:bottom w:val="none" w:color="auto" w:sz="0" w:space="1"/>
        <w:right w:val="none" w:color="auto" w:sz="0" w:space="4"/>
        <w:between w:val="none" w:color="auto" w:sz="0" w:space="0"/>
      </w:pBdr>
      <w:snapToGrid w:val="0"/>
      <w:spacing w:line="560" w:lineRule="exact"/>
      <w:ind w:firstLine="360" w:firstLineChars="200"/>
      <w:jc w:val="center"/>
      <w:rPr>
        <w:rFonts w:hint="eastAsia"/>
      </w:rPr>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none" w:color="auto" w:sz="0" w:space="1"/>
      </w:pBdr>
      <w:tabs>
        <w:tab w:val="right" w:pos="8370"/>
      </w:tabs>
      <w:ind w:firstLine="0" w:firstLineChars="0"/>
      <w:rPr>
        <w:rFonts w:hint="eastAsia"/>
        <w:sz w:val="18"/>
        <w:szCs w:val="18"/>
      </w:rPr>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pBdr>
        <w:bottom w:val="none" w:color="auto" w:sz="0" w:space="1"/>
      </w:pBdr>
      <w:rPr>
        <w:rFonts w:hint="eastAsia"/>
      </w:rP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val="0"/>
      <w:pBdr>
        <w:top w:val="none" w:color="auto" w:sz="0" w:space="1"/>
        <w:left w:val="none" w:color="auto" w:sz="0" w:space="4"/>
        <w:bottom w:val="none" w:color="auto" w:sz="0" w:space="1"/>
        <w:right w:val="none" w:color="auto" w:sz="0" w:space="4"/>
        <w:between w:val="none" w:color="auto" w:sz="0" w:space="0"/>
      </w:pBdr>
      <w:tabs>
        <w:tab w:val="right" w:pos="9071"/>
      </w:tabs>
      <w:spacing w:line="560" w:lineRule="exact"/>
      <w:ind w:firstLine="0" w:firstLineChars="0"/>
      <w:jc w:val="both"/>
      <w:rPr>
        <w:rFonts w:hint="eastAsia"/>
        <w:sz w:val="18"/>
        <w:szCs w:val="18"/>
      </w:rPr>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widowControl w:val="0"/>
      <w:pBdr>
        <w:top w:val="none" w:color="auto" w:sz="0" w:space="1"/>
        <w:left w:val="none" w:color="auto" w:sz="0" w:space="4"/>
        <w:bottom w:val="none" w:color="auto" w:sz="0" w:space="1"/>
        <w:right w:val="none" w:color="auto" w:sz="0" w:space="4"/>
        <w:between w:val="none" w:color="auto" w:sz="0" w:space="0"/>
      </w:pBdr>
      <w:snapToGrid w:val="0"/>
      <w:spacing w:line="560" w:lineRule="exact"/>
      <w:ind w:firstLine="360" w:firstLineChars="200"/>
      <w:jc w:val="center"/>
      <w:rPr>
        <w:rFonts w:hint="eastAsia"/>
      </w:rPr>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widowControl w:val="0"/>
      <w:pBdr>
        <w:top w:val="none" w:color="auto" w:sz="0" w:space="1"/>
        <w:left w:val="none" w:color="auto" w:sz="0" w:space="4"/>
        <w:bottom w:val="none" w:color="auto" w:sz="0" w:space="1"/>
        <w:right w:val="none" w:color="auto" w:sz="0" w:space="4"/>
        <w:between w:val="none" w:color="auto" w:sz="0" w:space="0"/>
      </w:pBdr>
      <w:snapToGrid w:val="0"/>
      <w:spacing w:line="560" w:lineRule="exact"/>
      <w:ind w:firstLine="360" w:firstLineChars="200"/>
      <w:jc w:val="center"/>
      <w:rPr>
        <w:rFonts w:hint="eastAsia"/>
      </w:rPr>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widowControl w:val="0"/>
      <w:pBdr>
        <w:top w:val="none" w:color="auto" w:sz="0" w:space="1"/>
        <w:left w:val="none" w:color="auto" w:sz="0" w:space="4"/>
        <w:bottom w:val="none" w:color="auto" w:sz="0" w:space="1"/>
        <w:right w:val="none" w:color="auto" w:sz="0" w:space="4"/>
        <w:between w:val="none" w:color="auto" w:sz="0" w:space="0"/>
      </w:pBdr>
      <w:snapToGrid w:val="0"/>
      <w:spacing w:line="560" w:lineRule="exact"/>
      <w:ind w:firstLine="360" w:firstLineChars="200"/>
      <w:jc w:val="center"/>
      <w:rPr>
        <w:rFonts w:hint="eastAsia"/>
      </w:rPr>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pBdr>
        <w:bottom w:val="single" w:color="auto" w:sz="12" w:space="1"/>
      </w:pBdr>
      <w:tabs>
        <w:tab w:val="clear" w:pos="4153"/>
        <w:tab w:val="clear" w:pos="8306"/>
      </w:tabs>
      <w:ind w:firstLine="0" w:firstLineChars="0"/>
      <w:jc w:val="both"/>
      <w:rPr>
        <w:rFonts w:hint="eastAsia"/>
      </w:rPr>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widowControl w:val="0"/>
      <w:pBdr>
        <w:top w:val="none" w:color="auto" w:sz="0" w:space="1"/>
        <w:left w:val="none" w:color="auto" w:sz="0" w:space="4"/>
        <w:bottom w:val="none" w:color="auto" w:sz="0" w:space="1"/>
        <w:right w:val="none" w:color="auto" w:sz="0" w:space="4"/>
        <w:between w:val="none" w:color="auto" w:sz="0" w:space="0"/>
      </w:pBdr>
      <w:snapToGrid w:val="0"/>
      <w:spacing w:line="560" w:lineRule="exact"/>
      <w:ind w:firstLine="360" w:firstLineChars="200"/>
      <w:jc w:val="center"/>
      <w:rPr>
        <w:rFonts w:hint="eastAsia"/>
      </w:rPr>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widowControl w:val="0"/>
      <w:pBdr>
        <w:top w:val="none" w:color="auto" w:sz="0" w:space="1"/>
        <w:left w:val="none" w:color="auto" w:sz="0" w:space="4"/>
        <w:bottom w:val="none" w:color="auto" w:sz="0" w:space="1"/>
        <w:right w:val="none" w:color="auto" w:sz="0" w:space="4"/>
        <w:between w:val="none" w:color="auto" w:sz="0" w:space="0"/>
      </w:pBdr>
      <w:snapToGrid w:val="0"/>
      <w:spacing w:line="560" w:lineRule="exact"/>
      <w:ind w:firstLine="360" w:firstLineChars="200"/>
      <w:jc w:val="center"/>
      <w:rPr>
        <w:rFonts w:hint="eastAsia"/>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widowControl w:val="0"/>
      <w:pBdr>
        <w:top w:val="none" w:color="auto" w:sz="0" w:space="1"/>
        <w:left w:val="none" w:color="auto" w:sz="0" w:space="4"/>
        <w:bottom w:val="none" w:color="auto" w:sz="0" w:space="1"/>
        <w:right w:val="none" w:color="auto" w:sz="0" w:space="4"/>
        <w:between w:val="none" w:color="auto" w:sz="0" w:space="0"/>
      </w:pBdr>
      <w:snapToGrid w:val="0"/>
      <w:spacing w:line="560" w:lineRule="exact"/>
      <w:ind w:firstLine="360" w:firstLineChars="200"/>
      <w:jc w:val="center"/>
      <w:rPr>
        <w:rFonts w:hint="eastAsia"/>
      </w:rPr>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ind w:firstLine="360"/>
    </w:pP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none" w:color="auto" w:sz="0" w:space="1"/>
      </w:pBdr>
      <w:tabs>
        <w:tab w:val="right" w:pos="8370"/>
      </w:tabs>
      <w:ind w:right="700" w:rightChars="250" w:firstLine="0" w:firstLineChars="0"/>
      <w:rPr>
        <w:rFonts w:hint="eastAsia"/>
        <w:sz w:val="18"/>
        <w:szCs w:val="18"/>
      </w:rPr>
    </w:pPr>
    <w:r>
      <w:rPr>
        <w:rFonts w:hint="eastAsia" w:ascii="宋体" w:hAnsi="宋体" w:eastAsia="宋体"/>
        <w:position w:val="-7"/>
        <w:sz w:val="18"/>
        <w:szCs w:val="18"/>
      </w:rPr>
      <w:tab/>
    </w:r>
    <w:r>
      <w:rPr>
        <w:rFonts w:hint="eastAsia" w:ascii="宋体" w:hAnsi="宋体" w:eastAsia="宋体"/>
        <w:position w:val="-7"/>
        <w:sz w:val="18"/>
        <w:szCs w:val="18"/>
      </w:rPr>
      <w:t xml:space="preserve">               </w: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pBdr>
        <w:bottom w:val="none" w:color="auto" w:sz="0" w:space="1"/>
      </w:pBdr>
      <w:rPr>
        <w:rFonts w:hint="eastAsia"/>
      </w:rPr>
    </w:pP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widowControl w:val="0"/>
      <w:pBdr>
        <w:top w:val="none" w:color="auto" w:sz="0" w:space="1"/>
        <w:left w:val="none" w:color="auto" w:sz="0" w:space="4"/>
        <w:bottom w:val="none" w:color="auto" w:sz="0" w:space="1"/>
        <w:right w:val="none" w:color="auto" w:sz="0" w:space="4"/>
        <w:between w:val="none" w:color="auto" w:sz="0" w:space="0"/>
      </w:pBdr>
      <w:snapToGrid w:val="0"/>
      <w:spacing w:line="560" w:lineRule="exact"/>
      <w:ind w:firstLine="360" w:firstLineChars="200"/>
      <w:jc w:val="center"/>
      <w:rPr>
        <w:rFonts w:hint="eastAsia"/>
      </w:rPr>
    </w:pP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widowControl w:val="0"/>
      <w:pBdr>
        <w:top w:val="none" w:color="auto" w:sz="0" w:space="1"/>
        <w:left w:val="none" w:color="auto" w:sz="0" w:space="4"/>
        <w:bottom w:val="none" w:color="auto" w:sz="0" w:space="1"/>
        <w:right w:val="none" w:color="auto" w:sz="0" w:space="4"/>
        <w:between w:val="none" w:color="auto" w:sz="0" w:space="0"/>
      </w:pBdr>
      <w:snapToGrid w:val="0"/>
      <w:spacing w:line="560" w:lineRule="exact"/>
      <w:ind w:firstLine="360" w:firstLineChars="200"/>
      <w:jc w:val="center"/>
      <w:rPr>
        <w:rFonts w:hint="eastAsia"/>
      </w:rPr>
    </w:pP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pBdr>
        <w:bottom w:val="none" w:color="auto" w:sz="0" w:space="1"/>
      </w:pBdr>
      <w:rPr>
        <w:rFonts w:hint="eastAsia"/>
      </w:rPr>
    </w:pP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widowControl w:val="0"/>
      <w:pBdr>
        <w:top w:val="none" w:color="auto" w:sz="0" w:space="1"/>
        <w:left w:val="none" w:color="auto" w:sz="0" w:space="4"/>
        <w:bottom w:val="none" w:color="auto" w:sz="0" w:space="1"/>
        <w:right w:val="none" w:color="auto" w:sz="0" w:space="4"/>
        <w:between w:val="none" w:color="auto" w:sz="0" w:space="0"/>
      </w:pBdr>
      <w:snapToGrid w:val="0"/>
      <w:spacing w:line="560" w:lineRule="exact"/>
      <w:ind w:firstLine="360" w:firstLineChars="200"/>
      <w:jc w:val="center"/>
      <w:rPr>
        <w:rFonts w:hint="eastAsia"/>
      </w:rPr>
    </w:pP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pBdr>
        <w:bottom w:val="none" w:color="auto" w:sz="0" w:space="0"/>
      </w:pBdr>
      <w:ind w:firstLine="0" w:firstLineChars="0"/>
      <w:jc w:val="left"/>
      <w:rPr>
        <w:rFonts w:hint="eastAsia" w:ascii="宋体" w:hAnsi="宋体"/>
      </w:rPr>
    </w:pP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pBdr>
        <w:bottom w:val="none" w:color="auto" w:sz="0" w:space="0"/>
      </w:pBdr>
      <w:ind w:left="700" w:leftChars="250" w:firstLine="0" w:firstLineChars="0"/>
      <w:jc w:val="both"/>
      <w:rPr>
        <w:rFonts w:ascii="宋体" w:hAnsi="宋体"/>
        <w:position w:val="-7"/>
      </w:rPr>
    </w:pP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pBdr>
        <w:bottom w:val="none" w:color="auto" w:sz="0" w:space="0"/>
      </w:pBdr>
      <w:ind w:left="700" w:leftChars="250" w:firstLine="0" w:firstLineChars="0"/>
      <w:jc w:val="both"/>
      <w:rPr>
        <w:rFonts w:ascii="宋体" w:hAnsi="宋体"/>
        <w:position w:val="-7"/>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widowControl w:val="0"/>
      <w:pBdr>
        <w:top w:val="none" w:color="auto" w:sz="0" w:space="1"/>
        <w:left w:val="none" w:color="auto" w:sz="0" w:space="4"/>
        <w:bottom w:val="none" w:color="auto" w:sz="0" w:space="1"/>
        <w:right w:val="none" w:color="auto" w:sz="0" w:space="4"/>
        <w:between w:val="none" w:color="auto" w:sz="0" w:space="0"/>
      </w:pBdr>
      <w:snapToGrid w:val="0"/>
      <w:spacing w:line="560" w:lineRule="exact"/>
      <w:ind w:firstLine="360" w:firstLineChars="200"/>
      <w:jc w:val="center"/>
      <w:rPr>
        <w:rFonts w:hint="eastAsia"/>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pBdr>
        <w:bottom w:val="none" w:color="auto" w:sz="0" w:space="1"/>
      </w:pBdr>
      <w:rPr>
        <w:rFonts w:hint="eastAsia"/>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widowControl w:val="0"/>
      <w:pBdr>
        <w:top w:val="none" w:color="auto" w:sz="0" w:space="1"/>
        <w:left w:val="none" w:color="auto" w:sz="0" w:space="4"/>
        <w:bottom w:val="none" w:color="auto" w:sz="0" w:space="1"/>
        <w:right w:val="none" w:color="auto" w:sz="0" w:space="4"/>
        <w:between w:val="none" w:color="auto" w:sz="0" w:space="0"/>
      </w:pBdr>
      <w:snapToGrid w:val="0"/>
      <w:spacing w:line="560" w:lineRule="exact"/>
      <w:ind w:firstLine="360" w:firstLineChars="200"/>
      <w:jc w:val="center"/>
      <w:rPr>
        <w:rFonts w:hint="eastAsia"/>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12" w:space="1"/>
      </w:pBdr>
      <w:tabs>
        <w:tab w:val="right" w:pos="8370"/>
        <w:tab w:val="left" w:pos="10490"/>
      </w:tabs>
      <w:ind w:firstLine="0" w:firstLineChars="0"/>
      <w:rPr>
        <w:rFonts w:hint="eastAsia"/>
        <w:sz w:val="18"/>
        <w:szCs w:val="18"/>
      </w:rPr>
    </w:pPr>
    <w:r>
      <w:rPr>
        <w:rFonts w:hint="eastAsia" w:ascii="宋体" w:hAnsi="宋体" w:eastAsia="宋体"/>
        <w:position w:val="-7"/>
        <w:sz w:val="18"/>
        <w:szCs w:val="18"/>
      </w:rPr>
      <w:t>重庆市綦江区城区防洪规划（202</w:t>
    </w:r>
    <w:r>
      <w:rPr>
        <w:rFonts w:ascii="宋体" w:hAnsi="宋体" w:eastAsia="宋体"/>
        <w:position w:val="-7"/>
        <w:sz w:val="18"/>
        <w:szCs w:val="18"/>
      </w:rPr>
      <w:t>1</w:t>
    </w:r>
    <w:r>
      <w:rPr>
        <w:rFonts w:hint="eastAsia" w:ascii="宋体" w:hAnsi="宋体" w:eastAsia="宋体"/>
        <w:position w:val="-7"/>
        <w:sz w:val="18"/>
        <w:szCs w:val="18"/>
        <w:lang w:eastAsia="zh-CN"/>
      </w:rPr>
      <w:t>—</w:t>
    </w:r>
    <w:r>
      <w:rPr>
        <w:rFonts w:hint="eastAsia" w:ascii="宋体" w:hAnsi="宋体" w:eastAsia="宋体"/>
        <w:position w:val="-7"/>
        <w:sz w:val="18"/>
        <w:szCs w:val="18"/>
      </w:rPr>
      <w:t>2035年）</w:t>
    </w:r>
    <w:r>
      <w:rPr>
        <w:rFonts w:hint="eastAsia" w:ascii="宋体" w:hAnsi="宋体" w:eastAsia="宋体"/>
        <w:position w:val="-7"/>
        <w:sz w:val="18"/>
        <w:szCs w:val="18"/>
      </w:rPr>
      <w:tab/>
    </w:r>
    <w:r>
      <w:rPr>
        <w:rFonts w:hint="eastAsia" w:ascii="宋体" w:hAnsi="宋体" w:eastAsia="宋体"/>
        <w:position w:val="-7"/>
        <w:sz w:val="18"/>
        <w:szCs w:val="18"/>
      </w:rPr>
      <w:t xml:space="preserve">                                                                </w:t>
    </w:r>
    <w:r>
      <w:rPr>
        <w:rFonts w:ascii="宋体" w:hAnsi="宋体" w:eastAsia="宋体"/>
        <w:position w:val="-7"/>
        <w:sz w:val="18"/>
        <w:szCs w:val="18"/>
      </w:rPr>
      <w:t xml:space="preserve">        </w:t>
    </w:r>
    <w:r>
      <w:rPr>
        <w:rFonts w:hint="eastAsia" w:ascii="宋体" w:hAnsi="宋体" w:eastAsia="宋体"/>
        <w:position w:val="-7"/>
        <w:sz w:val="18"/>
        <w:szCs w:val="18"/>
      </w:rPr>
      <w:t xml:space="preserve">    </w:t>
    </w:r>
    <w:r>
      <w:rPr>
        <w:rFonts w:ascii="宋体" w:hAnsi="宋体" w:eastAsia="宋体"/>
        <w:position w:val="-7"/>
        <w:sz w:val="18"/>
        <w:szCs w:val="18"/>
      </w:rPr>
      <w:t>第</w:t>
    </w:r>
    <w:r>
      <w:rPr>
        <w:rFonts w:hint="eastAsia" w:ascii="宋体" w:hAnsi="宋体" w:eastAsia="宋体"/>
        <w:position w:val="-7"/>
        <w:sz w:val="18"/>
        <w:szCs w:val="18"/>
      </w:rPr>
      <w:t>2篇  防洪现状及存在的主要问题</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val="0"/>
      <w:pBdr>
        <w:top w:val="none" w:color="auto" w:sz="0" w:space="1"/>
        <w:left w:val="none" w:color="auto" w:sz="0" w:space="4"/>
        <w:bottom w:val="none" w:color="auto" w:sz="0" w:space="1"/>
        <w:right w:val="none" w:color="auto" w:sz="0" w:space="4"/>
        <w:between w:val="none" w:color="auto" w:sz="0" w:space="0"/>
      </w:pBdr>
      <w:tabs>
        <w:tab w:val="right" w:pos="9071"/>
      </w:tabs>
      <w:spacing w:line="560" w:lineRule="exact"/>
      <w:ind w:firstLine="0" w:firstLineChars="0"/>
      <w:jc w:val="both"/>
      <w:rPr>
        <w:rFonts w:hint="eastAsia"/>
        <w:sz w:val="18"/>
        <w:szCs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90A3BCA"/>
    <w:multiLevelType w:val="singleLevel"/>
    <w:tmpl w:val="990A3BCA"/>
    <w:lvl w:ilvl="0" w:tentative="0">
      <w:start w:val="2"/>
      <w:numFmt w:val="decimal"/>
      <w:suff w:val="space"/>
      <w:lvlText w:val="(%1)"/>
      <w:lvlJc w:val="left"/>
    </w:lvl>
  </w:abstractNum>
  <w:abstractNum w:abstractNumId="1">
    <w:nsid w:val="FFFFFF7D"/>
    <w:multiLevelType w:val="singleLevel"/>
    <w:tmpl w:val="FFFFFF7D"/>
    <w:lvl w:ilvl="0" w:tentative="0">
      <w:start w:val="1"/>
      <w:numFmt w:val="decimal"/>
      <w:pStyle w:val="1485"/>
      <w:lvlText w:val="%1."/>
      <w:lvlJc w:val="left"/>
      <w:pPr>
        <w:tabs>
          <w:tab w:val="left" w:pos="1620"/>
        </w:tabs>
        <w:ind w:left="1620" w:hanging="360"/>
      </w:pPr>
    </w:lvl>
  </w:abstractNum>
  <w:abstractNum w:abstractNumId="2">
    <w:nsid w:val="FFFFFF7E"/>
    <w:multiLevelType w:val="singleLevel"/>
    <w:tmpl w:val="FFFFFF7E"/>
    <w:lvl w:ilvl="0" w:tentative="0">
      <w:start w:val="1"/>
      <w:numFmt w:val="decimal"/>
      <w:pStyle w:val="2068"/>
      <w:lvlText w:val="%1."/>
      <w:lvlJc w:val="left"/>
      <w:pPr>
        <w:tabs>
          <w:tab w:val="left" w:pos="1200"/>
        </w:tabs>
        <w:ind w:left="1200" w:hanging="360"/>
      </w:pPr>
    </w:lvl>
  </w:abstractNum>
  <w:abstractNum w:abstractNumId="3">
    <w:nsid w:val="FFFFFF7F"/>
    <w:multiLevelType w:val="singleLevel"/>
    <w:tmpl w:val="FFFFFF7F"/>
    <w:lvl w:ilvl="0" w:tentative="0">
      <w:start w:val="1"/>
      <w:numFmt w:val="decimal"/>
      <w:pStyle w:val="3097"/>
      <w:lvlText w:val="%1."/>
      <w:lvlJc w:val="left"/>
      <w:pPr>
        <w:tabs>
          <w:tab w:val="left" w:pos="780"/>
        </w:tabs>
        <w:ind w:left="780" w:hanging="360"/>
      </w:pPr>
    </w:lvl>
  </w:abstractNum>
  <w:abstractNum w:abstractNumId="4">
    <w:nsid w:val="FFFFFF80"/>
    <w:multiLevelType w:val="singleLevel"/>
    <w:tmpl w:val="FFFFFF80"/>
    <w:lvl w:ilvl="0" w:tentative="0">
      <w:start w:val="1"/>
      <w:numFmt w:val="bullet"/>
      <w:pStyle w:val="2161"/>
      <w:lvlText w:val=""/>
      <w:lvlJc w:val="left"/>
      <w:pPr>
        <w:tabs>
          <w:tab w:val="left" w:pos="2040"/>
        </w:tabs>
        <w:ind w:left="2040" w:hanging="360"/>
      </w:pPr>
      <w:rPr>
        <w:rFonts w:hint="default" w:ascii="Wingdings" w:hAnsi="Wingdings"/>
      </w:rPr>
    </w:lvl>
  </w:abstractNum>
  <w:abstractNum w:abstractNumId="5">
    <w:nsid w:val="FFFFFF81"/>
    <w:multiLevelType w:val="singleLevel"/>
    <w:tmpl w:val="FFFFFF81"/>
    <w:lvl w:ilvl="0" w:tentative="0">
      <w:start w:val="1"/>
      <w:numFmt w:val="bullet"/>
      <w:pStyle w:val="2181"/>
      <w:lvlText w:val=""/>
      <w:lvlJc w:val="left"/>
      <w:pPr>
        <w:tabs>
          <w:tab w:val="left" w:pos="1620"/>
        </w:tabs>
        <w:ind w:left="1620" w:hanging="360"/>
      </w:pPr>
      <w:rPr>
        <w:rFonts w:hint="default" w:ascii="Wingdings" w:hAnsi="Wingdings"/>
      </w:rPr>
    </w:lvl>
  </w:abstractNum>
  <w:abstractNum w:abstractNumId="6">
    <w:nsid w:val="FFFFFF82"/>
    <w:multiLevelType w:val="singleLevel"/>
    <w:tmpl w:val="FFFFFF82"/>
    <w:lvl w:ilvl="0" w:tentative="0">
      <w:start w:val="1"/>
      <w:numFmt w:val="bullet"/>
      <w:pStyle w:val="1728"/>
      <w:lvlText w:val=""/>
      <w:lvlJc w:val="left"/>
      <w:pPr>
        <w:tabs>
          <w:tab w:val="left" w:pos="1200"/>
        </w:tabs>
        <w:ind w:left="1200" w:hanging="360"/>
      </w:pPr>
      <w:rPr>
        <w:rFonts w:hint="default" w:ascii="Wingdings" w:hAnsi="Wingdings"/>
      </w:rPr>
    </w:lvl>
  </w:abstractNum>
  <w:abstractNum w:abstractNumId="7">
    <w:nsid w:val="FFFFFF83"/>
    <w:multiLevelType w:val="singleLevel"/>
    <w:tmpl w:val="FFFFFF83"/>
    <w:lvl w:ilvl="0" w:tentative="0">
      <w:start w:val="1"/>
      <w:numFmt w:val="bullet"/>
      <w:pStyle w:val="1786"/>
      <w:lvlText w:val=""/>
      <w:lvlJc w:val="left"/>
      <w:pPr>
        <w:tabs>
          <w:tab w:val="left" w:pos="780"/>
        </w:tabs>
        <w:ind w:left="780" w:hanging="360"/>
      </w:pPr>
      <w:rPr>
        <w:rFonts w:hint="default" w:ascii="Wingdings" w:hAnsi="Wingdings"/>
      </w:rPr>
    </w:lvl>
  </w:abstractNum>
  <w:abstractNum w:abstractNumId="8">
    <w:nsid w:val="FFFFFF88"/>
    <w:multiLevelType w:val="singleLevel"/>
    <w:tmpl w:val="FFFFFF88"/>
    <w:lvl w:ilvl="0" w:tentative="0">
      <w:start w:val="1"/>
      <w:numFmt w:val="decimal"/>
      <w:pStyle w:val="1400"/>
      <w:lvlText w:val="%1."/>
      <w:lvlJc w:val="left"/>
      <w:pPr>
        <w:tabs>
          <w:tab w:val="left" w:pos="360"/>
        </w:tabs>
        <w:ind w:left="360" w:hanging="360"/>
      </w:pPr>
    </w:lvl>
  </w:abstractNum>
  <w:abstractNum w:abstractNumId="9">
    <w:nsid w:val="FFFFFF89"/>
    <w:multiLevelType w:val="singleLevel"/>
    <w:tmpl w:val="FFFFFF89"/>
    <w:lvl w:ilvl="0" w:tentative="0">
      <w:start w:val="1"/>
      <w:numFmt w:val="bullet"/>
      <w:pStyle w:val="2229"/>
      <w:lvlText w:val=""/>
      <w:lvlJc w:val="left"/>
      <w:pPr>
        <w:tabs>
          <w:tab w:val="left" w:pos="360"/>
        </w:tabs>
        <w:ind w:left="360" w:hanging="360"/>
      </w:pPr>
      <w:rPr>
        <w:rFonts w:hint="default" w:ascii="Wingdings" w:hAnsi="Wingdings"/>
      </w:rPr>
    </w:lvl>
  </w:abstractNum>
  <w:abstractNum w:abstractNumId="10">
    <w:nsid w:val="0C7B6C9C"/>
    <w:multiLevelType w:val="multilevel"/>
    <w:tmpl w:val="0C7B6C9C"/>
    <w:lvl w:ilvl="0" w:tentative="0">
      <w:start w:val="1"/>
      <w:numFmt w:val="decimal"/>
      <w:pStyle w:val="2894"/>
      <w:lvlText w:val="%1"/>
      <w:lvlJc w:val="left"/>
      <w:pPr>
        <w:tabs>
          <w:tab w:val="left" w:pos="432"/>
        </w:tabs>
        <w:ind w:left="0" w:firstLine="0"/>
      </w:pPr>
      <w:rPr>
        <w:rFonts w:hint="eastAsia"/>
      </w:rPr>
    </w:lvl>
    <w:lvl w:ilvl="1" w:tentative="0">
      <w:start w:val="1"/>
      <w:numFmt w:val="decimal"/>
      <w:lvlText w:val="%1.%2"/>
      <w:lvlJc w:val="left"/>
      <w:pPr>
        <w:tabs>
          <w:tab w:val="left" w:pos="576"/>
        </w:tabs>
        <w:ind w:left="576" w:hanging="576"/>
      </w:pPr>
      <w:rPr>
        <w:rFonts w:hint="eastAsia"/>
      </w:rPr>
    </w:lvl>
    <w:lvl w:ilvl="2" w:tentative="0">
      <w:start w:val="1"/>
      <w:numFmt w:val="decimal"/>
      <w:lvlText w:val="%1.%2.%3"/>
      <w:lvlJc w:val="left"/>
      <w:pPr>
        <w:tabs>
          <w:tab w:val="left" w:pos="720"/>
        </w:tabs>
        <w:ind w:left="720" w:hanging="720"/>
      </w:pPr>
      <w:rPr>
        <w:rFonts w:hint="eastAsia"/>
      </w:rPr>
    </w:lvl>
    <w:lvl w:ilvl="3" w:tentative="0">
      <w:start w:val="1"/>
      <w:numFmt w:val="decimal"/>
      <w:lvlText w:val="%1.%2.%3.%4"/>
      <w:lvlJc w:val="left"/>
      <w:pPr>
        <w:tabs>
          <w:tab w:val="left" w:pos="864"/>
        </w:tabs>
        <w:ind w:left="864" w:hanging="864"/>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11">
    <w:nsid w:val="0D0D5950"/>
    <w:multiLevelType w:val="multilevel"/>
    <w:tmpl w:val="0D0D5950"/>
    <w:lvl w:ilvl="0" w:tentative="0">
      <w:start w:val="10"/>
      <w:numFmt w:val="decimal"/>
      <w:lvlText w:val="%1"/>
      <w:lvlJc w:val="left"/>
      <w:pPr>
        <w:tabs>
          <w:tab w:val="left" w:pos="432"/>
        </w:tabs>
        <w:ind w:left="432" w:hanging="432"/>
      </w:pPr>
      <w:rPr>
        <w:rFonts w:hint="eastAsia"/>
      </w:rPr>
    </w:lvl>
    <w:lvl w:ilvl="1" w:tentative="0">
      <w:start w:val="1"/>
      <w:numFmt w:val="decimal"/>
      <w:lvlText w:val="%1.%2"/>
      <w:lvlJc w:val="left"/>
      <w:pPr>
        <w:tabs>
          <w:tab w:val="left" w:pos="576"/>
        </w:tabs>
        <w:ind w:left="576" w:hanging="576"/>
      </w:pPr>
      <w:rPr>
        <w:rFonts w:hint="eastAsia"/>
      </w:rPr>
    </w:lvl>
    <w:lvl w:ilvl="2" w:tentative="0">
      <w:start w:val="1"/>
      <w:numFmt w:val="decimal"/>
      <w:lvlText w:val="%1.%2.%3"/>
      <w:lvlJc w:val="left"/>
      <w:pPr>
        <w:tabs>
          <w:tab w:val="left" w:pos="720"/>
        </w:tabs>
        <w:ind w:left="720" w:hanging="720"/>
      </w:pPr>
      <w:rPr>
        <w:rFonts w:hint="eastAsia"/>
      </w:rPr>
    </w:lvl>
    <w:lvl w:ilvl="3" w:tentative="0">
      <w:start w:val="1"/>
      <w:numFmt w:val="decimal"/>
      <w:pStyle w:val="2055"/>
      <w:lvlText w:val="%1.%2.%3.%4"/>
      <w:lvlJc w:val="left"/>
      <w:pPr>
        <w:tabs>
          <w:tab w:val="left" w:pos="864"/>
        </w:tabs>
        <w:ind w:left="864" w:hanging="864"/>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12">
    <w:nsid w:val="11F64EF2"/>
    <w:multiLevelType w:val="multilevel"/>
    <w:tmpl w:val="11F64EF2"/>
    <w:lvl w:ilvl="0" w:tentative="0">
      <w:start w:val="11"/>
      <w:numFmt w:val="decimal"/>
      <w:pStyle w:val="2046"/>
      <w:suff w:val="space"/>
      <w:lvlText w:val="%1"/>
      <w:lvlJc w:val="center"/>
      <w:pPr>
        <w:ind w:left="0" w:firstLine="288"/>
      </w:pPr>
      <w:rPr>
        <w:rFonts w:hint="eastAsia"/>
        <w:spacing w:val="60"/>
      </w:rPr>
    </w:lvl>
    <w:lvl w:ilvl="1" w:tentative="0">
      <w:start w:val="1"/>
      <w:numFmt w:val="decimal"/>
      <w:pStyle w:val="1732"/>
      <w:suff w:val="space"/>
      <w:lvlText w:val="%1.%2"/>
      <w:lvlJc w:val="left"/>
      <w:pPr>
        <w:ind w:left="0" w:firstLine="0"/>
      </w:pPr>
      <w:rPr>
        <w:rFonts w:hint="eastAsia"/>
        <w:spacing w:val="0"/>
      </w:rPr>
    </w:lvl>
    <w:lvl w:ilvl="2" w:tentative="0">
      <w:start w:val="1"/>
      <w:numFmt w:val="decimal"/>
      <w:pStyle w:val="2140"/>
      <w:suff w:val="space"/>
      <w:lvlText w:val="%1.%2.%3"/>
      <w:lvlJc w:val="left"/>
      <w:pPr>
        <w:ind w:left="0" w:firstLine="0"/>
      </w:pPr>
      <w:rPr>
        <w:rFonts w:hint="eastAsia"/>
      </w:rPr>
    </w:lvl>
    <w:lvl w:ilvl="3" w:tentative="0">
      <w:start w:val="1"/>
      <w:numFmt w:val="decimal"/>
      <w:pStyle w:val="1306"/>
      <w:suff w:val="space"/>
      <w:lvlText w:val="%1.%2.%3.%4"/>
      <w:lvlJc w:val="left"/>
      <w:pPr>
        <w:ind w:left="0" w:firstLine="0"/>
      </w:pPr>
      <w:rPr>
        <w:rFonts w:hint="eastAsia"/>
      </w:rPr>
    </w:lvl>
    <w:lvl w:ilvl="4" w:tentative="0">
      <w:start w:val="1"/>
      <w:numFmt w:val="none"/>
      <w:suff w:val="nothing"/>
      <w:lvlText w:val=""/>
      <w:lvlJc w:val="left"/>
      <w:pPr>
        <w:ind w:left="0" w:firstLine="0"/>
      </w:pPr>
      <w:rPr>
        <w:rFonts w:hint="eastAsia"/>
      </w:rPr>
    </w:lvl>
    <w:lvl w:ilvl="5" w:tentative="0">
      <w:start w:val="1"/>
      <w:numFmt w:val="none"/>
      <w:suff w:val="nothing"/>
      <w:lvlText w:val=""/>
      <w:lvlJc w:val="left"/>
      <w:pPr>
        <w:ind w:left="0" w:firstLine="0"/>
      </w:pPr>
      <w:rPr>
        <w:rFonts w:hint="eastAsia"/>
      </w:rPr>
    </w:lvl>
    <w:lvl w:ilvl="6" w:tentative="0">
      <w:start w:val="1"/>
      <w:numFmt w:val="none"/>
      <w:suff w:val="nothing"/>
      <w:lvlText w:val=""/>
      <w:lvlJc w:val="left"/>
      <w:pPr>
        <w:ind w:left="0" w:firstLine="0"/>
      </w:pPr>
      <w:rPr>
        <w:rFonts w:hint="eastAsia"/>
      </w:rPr>
    </w:lvl>
    <w:lvl w:ilvl="7" w:tentative="0">
      <w:start w:val="1"/>
      <w:numFmt w:val="none"/>
      <w:suff w:val="nothing"/>
      <w:lvlText w:val=""/>
      <w:lvlJc w:val="left"/>
      <w:pPr>
        <w:ind w:left="0" w:firstLine="0"/>
      </w:pPr>
      <w:rPr>
        <w:rFonts w:hint="eastAsia"/>
      </w:rPr>
    </w:lvl>
    <w:lvl w:ilvl="8" w:tentative="0">
      <w:start w:val="1"/>
      <w:numFmt w:val="none"/>
      <w:suff w:val="nothing"/>
      <w:lvlText w:val=""/>
      <w:lvlJc w:val="left"/>
      <w:pPr>
        <w:ind w:left="0" w:firstLine="0"/>
      </w:pPr>
      <w:rPr>
        <w:rFonts w:hint="eastAsia"/>
      </w:rPr>
    </w:lvl>
  </w:abstractNum>
  <w:abstractNum w:abstractNumId="13">
    <w:nsid w:val="165B530C"/>
    <w:multiLevelType w:val="multilevel"/>
    <w:tmpl w:val="165B530C"/>
    <w:lvl w:ilvl="0" w:tentative="0">
      <w:start w:val="7"/>
      <w:numFmt w:val="decimal"/>
      <w:pStyle w:val="2767"/>
      <w:lvlText w:val="%1"/>
      <w:lvlJc w:val="left"/>
      <w:pPr>
        <w:tabs>
          <w:tab w:val="left" w:pos="432"/>
        </w:tabs>
        <w:ind w:left="432" w:hanging="432"/>
      </w:pPr>
      <w:rPr>
        <w:rFonts w:hint="eastAsia"/>
      </w:rPr>
    </w:lvl>
    <w:lvl w:ilvl="1" w:tentative="0">
      <w:start w:val="4"/>
      <w:numFmt w:val="decimal"/>
      <w:pStyle w:val="1444"/>
      <w:lvlText w:val="%1.%2"/>
      <w:lvlJc w:val="left"/>
      <w:pPr>
        <w:tabs>
          <w:tab w:val="left" w:pos="576"/>
        </w:tabs>
        <w:ind w:left="576" w:hanging="576"/>
      </w:pPr>
      <w:rPr>
        <w:rFonts w:hint="eastAsia"/>
      </w:rPr>
    </w:lvl>
    <w:lvl w:ilvl="2" w:tentative="0">
      <w:start w:val="1"/>
      <w:numFmt w:val="decimal"/>
      <w:pStyle w:val="2872"/>
      <w:lvlText w:val="%1.%2.%3"/>
      <w:lvlJc w:val="left"/>
      <w:pPr>
        <w:tabs>
          <w:tab w:val="left" w:pos="720"/>
        </w:tabs>
        <w:ind w:left="720" w:hanging="720"/>
      </w:pPr>
      <w:rPr>
        <w:rFonts w:hint="eastAsia"/>
      </w:rPr>
    </w:lvl>
    <w:lvl w:ilvl="3" w:tentative="0">
      <w:start w:val="1"/>
      <w:numFmt w:val="decimal"/>
      <w:lvlText w:val="%1.%2.%3.%4"/>
      <w:lvlJc w:val="left"/>
      <w:pPr>
        <w:tabs>
          <w:tab w:val="left" w:pos="864"/>
        </w:tabs>
        <w:ind w:left="864" w:hanging="864"/>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14">
    <w:nsid w:val="193D012B"/>
    <w:multiLevelType w:val="multilevel"/>
    <w:tmpl w:val="193D012B"/>
    <w:lvl w:ilvl="0" w:tentative="0">
      <w:start w:val="1"/>
      <w:numFmt w:val="decimal"/>
      <w:pStyle w:val="807"/>
      <w:lvlText w:val="%1"/>
      <w:lvlJc w:val="left"/>
      <w:pPr>
        <w:tabs>
          <w:tab w:val="left" w:pos="327"/>
        </w:tabs>
        <w:ind w:left="327" w:hanging="327"/>
      </w:pPr>
      <w:rPr>
        <w:rFonts w:hint="default" w:ascii="Arial" w:hAnsi="Arial" w:eastAsia="黑体" w:cs="Times New Roman"/>
        <w:b w:val="0"/>
        <w:bCs w:val="0"/>
        <w:i w:val="0"/>
        <w:iCs w:val="0"/>
        <w:caps w:val="0"/>
        <w:smallCaps w:val="0"/>
        <w:strike w:val="0"/>
        <w:dstrike w:val="0"/>
        <w:snapToGrid w:val="0"/>
        <w:vanish w:val="0"/>
        <w:color w:val="000000"/>
        <w:spacing w:val="0"/>
        <w:kern w:val="0"/>
        <w:position w:val="0"/>
        <w:sz w:val="30"/>
        <w:szCs w:val="36"/>
        <w:u w:val="none"/>
        <w:vertAlign w:val="baseline"/>
      </w:rPr>
    </w:lvl>
    <w:lvl w:ilvl="1" w:tentative="0">
      <w:start w:val="1"/>
      <w:numFmt w:val="decimal"/>
      <w:pStyle w:val="595"/>
      <w:suff w:val="space"/>
      <w:lvlText w:val="%1.%2"/>
      <w:lvlJc w:val="left"/>
      <w:pPr>
        <w:ind w:left="0" w:firstLine="0"/>
      </w:pPr>
      <w:rPr>
        <w:rFonts w:hint="eastAsia"/>
        <w:lang w:eastAsia="zh-CN"/>
      </w:rPr>
    </w:lvl>
    <w:lvl w:ilvl="2" w:tentative="0">
      <w:start w:val="1"/>
      <w:numFmt w:val="decimal"/>
      <w:suff w:val="space"/>
      <w:lvlText w:val="%1.%2.%3"/>
      <w:lvlJc w:val="left"/>
      <w:pPr>
        <w:ind w:left="900" w:hanging="900"/>
      </w:pPr>
      <w:rPr>
        <w:rFonts w:hint="default" w:ascii="Times New Roman" w:hAnsi="Times New Roman"/>
        <w:b w:val="0"/>
        <w:color w:val="auto"/>
      </w:rPr>
    </w:lvl>
    <w:lvl w:ilvl="3" w:tentative="0">
      <w:start w:val="1"/>
      <w:numFmt w:val="decimal"/>
      <w:pStyle w:val="235"/>
      <w:suff w:val="space"/>
      <w:lvlText w:val="%1.%2.%3.%4"/>
      <w:lvlJc w:val="left"/>
      <w:pPr>
        <w:ind w:left="759" w:hanging="759"/>
      </w:pPr>
      <w:rPr>
        <w:rFonts w:hint="default" w:ascii="Times New Roman" w:hAnsi="Times New Roman" w:cs="Times New Roman"/>
        <w:b w:val="0"/>
        <w:sz w:val="24"/>
        <w:szCs w:val="24"/>
        <w:lang w:val="en-US"/>
      </w:rPr>
    </w:lvl>
    <w:lvl w:ilvl="4" w:tentative="0">
      <w:start w:val="1"/>
      <w:numFmt w:val="decimal"/>
      <w:lvlText w:val="%1.%2.%3.%4.%5"/>
      <w:lvlJc w:val="left"/>
      <w:pPr>
        <w:tabs>
          <w:tab w:val="left" w:pos="903"/>
        </w:tabs>
        <w:ind w:left="903" w:hanging="1008"/>
      </w:pPr>
      <w:rPr>
        <w:rFonts w:hint="eastAsia"/>
      </w:rPr>
    </w:lvl>
    <w:lvl w:ilvl="5" w:tentative="0">
      <w:start w:val="1"/>
      <w:numFmt w:val="decimal"/>
      <w:lvlText w:val="%1.%2.%3.%4.%5.%6"/>
      <w:lvlJc w:val="left"/>
      <w:pPr>
        <w:tabs>
          <w:tab w:val="left" w:pos="1047"/>
        </w:tabs>
        <w:ind w:left="1047" w:hanging="1152"/>
      </w:pPr>
      <w:rPr>
        <w:rFonts w:hint="eastAsia"/>
      </w:rPr>
    </w:lvl>
    <w:lvl w:ilvl="6" w:tentative="0">
      <w:start w:val="1"/>
      <w:numFmt w:val="decimal"/>
      <w:lvlText w:val="%1.%2.%3.%4.%5.%6.%7"/>
      <w:lvlJc w:val="left"/>
      <w:pPr>
        <w:tabs>
          <w:tab w:val="left" w:pos="1191"/>
        </w:tabs>
        <w:ind w:left="1191" w:hanging="1296"/>
      </w:pPr>
      <w:rPr>
        <w:rFonts w:hint="eastAsia"/>
      </w:rPr>
    </w:lvl>
    <w:lvl w:ilvl="7" w:tentative="0">
      <w:start w:val="1"/>
      <w:numFmt w:val="decimal"/>
      <w:lvlText w:val="%1.%2.%3.%4.%5.%6.%7.%8"/>
      <w:lvlJc w:val="left"/>
      <w:pPr>
        <w:tabs>
          <w:tab w:val="left" w:pos="1335"/>
        </w:tabs>
        <w:ind w:left="1335" w:hanging="1440"/>
      </w:pPr>
      <w:rPr>
        <w:rFonts w:hint="eastAsia"/>
      </w:rPr>
    </w:lvl>
    <w:lvl w:ilvl="8" w:tentative="0">
      <w:start w:val="1"/>
      <w:numFmt w:val="decimal"/>
      <w:lvlText w:val="%1.%2.%3.%4.%5.%6.%7.%8.%9"/>
      <w:lvlJc w:val="left"/>
      <w:pPr>
        <w:tabs>
          <w:tab w:val="left" w:pos="1479"/>
        </w:tabs>
        <w:ind w:left="1479" w:hanging="1584"/>
      </w:pPr>
      <w:rPr>
        <w:rFonts w:hint="eastAsia"/>
      </w:rPr>
    </w:lvl>
  </w:abstractNum>
  <w:abstractNum w:abstractNumId="15">
    <w:nsid w:val="21376D5E"/>
    <w:multiLevelType w:val="multilevel"/>
    <w:tmpl w:val="21376D5E"/>
    <w:lvl w:ilvl="0" w:tentative="0">
      <w:start w:val="1"/>
      <w:numFmt w:val="decimal"/>
      <w:isLgl/>
      <w:lvlText w:val="%1."/>
      <w:lvlJc w:val="left"/>
      <w:pPr>
        <w:tabs>
          <w:tab w:val="left" w:pos="425"/>
        </w:tabs>
        <w:ind w:left="425" w:hanging="425"/>
      </w:pPr>
      <w:rPr>
        <w:rFonts w:hint="eastAsia"/>
      </w:rPr>
    </w:lvl>
    <w:lvl w:ilvl="1" w:tentative="0">
      <w:start w:val="1"/>
      <w:numFmt w:val="decimal"/>
      <w:lvlRestart w:val="0"/>
      <w:isLgl/>
      <w:lvlText w:val="%1.%2."/>
      <w:lvlJc w:val="left"/>
      <w:pPr>
        <w:tabs>
          <w:tab w:val="left" w:pos="567"/>
        </w:tabs>
        <w:ind w:left="567" w:hanging="567"/>
      </w:pPr>
      <w:rPr>
        <w:rFonts w:hint="eastAsia"/>
      </w:rPr>
    </w:lvl>
    <w:lvl w:ilvl="2" w:tentative="0">
      <w:start w:val="1"/>
      <w:numFmt w:val="decimal"/>
      <w:lvlRestart w:val="0"/>
      <w:pStyle w:val="2893"/>
      <w:isLgl/>
      <w:lvlText w:val="%1.%2.%3."/>
      <w:lvlJc w:val="left"/>
      <w:pPr>
        <w:tabs>
          <w:tab w:val="left" w:pos="709"/>
        </w:tabs>
        <w:ind w:left="0" w:firstLine="0"/>
      </w:pPr>
      <w:rPr>
        <w:rFonts w:hint="eastAsia"/>
      </w:rPr>
    </w:lvl>
    <w:lvl w:ilvl="3" w:tentative="0">
      <w:start w:val="1"/>
      <w:numFmt w:val="decimal"/>
      <w:lvlText w:val="%1.%2.%3.%4."/>
      <w:lvlJc w:val="left"/>
      <w:pPr>
        <w:tabs>
          <w:tab w:val="left" w:pos="851"/>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16">
    <w:nsid w:val="236D4237"/>
    <w:multiLevelType w:val="multilevel"/>
    <w:tmpl w:val="236D4237"/>
    <w:lvl w:ilvl="0" w:tentative="0">
      <w:start w:val="1"/>
      <w:numFmt w:val="decimal"/>
      <w:lvlText w:val="（%1）"/>
      <w:lvlJc w:val="left"/>
      <w:pPr>
        <w:tabs>
          <w:tab w:val="left" w:pos="340"/>
        </w:tabs>
        <w:ind w:left="0" w:firstLine="34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pStyle w:val="699"/>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7">
    <w:nsid w:val="27290F5F"/>
    <w:multiLevelType w:val="multilevel"/>
    <w:tmpl w:val="27290F5F"/>
    <w:lvl w:ilvl="0" w:tentative="0">
      <w:start w:val="1"/>
      <w:numFmt w:val="decimal"/>
      <w:isLgl/>
      <w:lvlText w:val="%1."/>
      <w:lvlJc w:val="left"/>
      <w:pPr>
        <w:tabs>
          <w:tab w:val="left" w:pos="425"/>
        </w:tabs>
        <w:ind w:left="425" w:hanging="425"/>
      </w:pPr>
      <w:rPr>
        <w:rFonts w:hint="eastAsia"/>
      </w:rPr>
    </w:lvl>
    <w:lvl w:ilvl="1" w:tentative="0">
      <w:start w:val="1"/>
      <w:numFmt w:val="decimal"/>
      <w:lvlRestart w:val="0"/>
      <w:isLgl/>
      <w:lvlText w:val="%1.%2."/>
      <w:lvlJc w:val="left"/>
      <w:pPr>
        <w:tabs>
          <w:tab w:val="left" w:pos="567"/>
        </w:tabs>
        <w:ind w:left="567" w:hanging="567"/>
      </w:pPr>
      <w:rPr>
        <w:rFonts w:hint="eastAsia"/>
      </w:rPr>
    </w:lvl>
    <w:lvl w:ilvl="2" w:tentative="0">
      <w:start w:val="1"/>
      <w:numFmt w:val="decimal"/>
      <w:lvlRestart w:val="0"/>
      <w:isLgl/>
      <w:lvlText w:val="%1.%2.%3."/>
      <w:lvlJc w:val="left"/>
      <w:pPr>
        <w:tabs>
          <w:tab w:val="left" w:pos="709"/>
        </w:tabs>
        <w:ind w:left="0" w:firstLine="0"/>
      </w:pPr>
      <w:rPr>
        <w:rFonts w:hint="eastAsia"/>
      </w:rPr>
    </w:lvl>
    <w:lvl w:ilvl="3" w:tentative="0">
      <w:start w:val="1"/>
      <w:numFmt w:val="decimal"/>
      <w:lvlText w:val="%1.%2.%3.%4."/>
      <w:lvlJc w:val="left"/>
      <w:pPr>
        <w:tabs>
          <w:tab w:val="left" w:pos="851"/>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18">
    <w:nsid w:val="33C84192"/>
    <w:multiLevelType w:val="multilevel"/>
    <w:tmpl w:val="33C84192"/>
    <w:lvl w:ilvl="0" w:tentative="0">
      <w:start w:val="1"/>
      <w:numFmt w:val="decimal"/>
      <w:pStyle w:val="2168"/>
      <w:isLgl/>
      <w:lvlText w:val="%1."/>
      <w:lvlJc w:val="left"/>
      <w:pPr>
        <w:tabs>
          <w:tab w:val="left" w:pos="425"/>
        </w:tabs>
        <w:ind w:left="425" w:hanging="425"/>
      </w:pPr>
      <w:rPr>
        <w:rFonts w:hint="eastAsia"/>
      </w:rPr>
    </w:lvl>
    <w:lvl w:ilvl="1" w:tentative="0">
      <w:start w:val="1"/>
      <w:numFmt w:val="decimal"/>
      <w:lvlRestart w:val="0"/>
      <w:isLgl/>
      <w:lvlText w:val="%1.%2."/>
      <w:lvlJc w:val="left"/>
      <w:pPr>
        <w:tabs>
          <w:tab w:val="left" w:pos="567"/>
        </w:tabs>
        <w:ind w:left="567" w:hanging="567"/>
      </w:pPr>
      <w:rPr>
        <w:rFonts w:hint="eastAsia"/>
      </w:rPr>
    </w:lvl>
    <w:lvl w:ilvl="2" w:tentative="0">
      <w:start w:val="1"/>
      <w:numFmt w:val="decimal"/>
      <w:lvlRestart w:val="0"/>
      <w:isLgl/>
      <w:lvlText w:val="%1.%2.%3."/>
      <w:lvlJc w:val="left"/>
      <w:pPr>
        <w:tabs>
          <w:tab w:val="left" w:pos="709"/>
        </w:tabs>
        <w:ind w:left="0" w:firstLine="0"/>
      </w:pPr>
      <w:rPr>
        <w:rFonts w:hint="eastAsia"/>
      </w:rPr>
    </w:lvl>
    <w:lvl w:ilvl="3" w:tentative="0">
      <w:start w:val="1"/>
      <w:numFmt w:val="decimal"/>
      <w:lvlText w:val="%1.%2.%3.%4."/>
      <w:lvlJc w:val="left"/>
      <w:pPr>
        <w:tabs>
          <w:tab w:val="left" w:pos="851"/>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19">
    <w:nsid w:val="39617ED3"/>
    <w:multiLevelType w:val="multilevel"/>
    <w:tmpl w:val="39617ED3"/>
    <w:lvl w:ilvl="0" w:tentative="0">
      <w:start w:val="1"/>
      <w:numFmt w:val="decimal"/>
      <w:isLgl/>
      <w:lvlText w:val="%1."/>
      <w:lvlJc w:val="left"/>
      <w:pPr>
        <w:tabs>
          <w:tab w:val="left" w:pos="425"/>
        </w:tabs>
        <w:ind w:left="425" w:hanging="425"/>
      </w:pPr>
      <w:rPr>
        <w:rFonts w:hint="eastAsia"/>
      </w:rPr>
    </w:lvl>
    <w:lvl w:ilvl="1" w:tentative="0">
      <w:start w:val="1"/>
      <w:numFmt w:val="decimal"/>
      <w:pStyle w:val="2926"/>
      <w:isLgl/>
      <w:lvlText w:val="%1.%2."/>
      <w:lvlJc w:val="left"/>
      <w:pPr>
        <w:tabs>
          <w:tab w:val="left" w:pos="567"/>
        </w:tabs>
        <w:ind w:left="567" w:hanging="567"/>
      </w:pPr>
      <w:rPr>
        <w:rFonts w:hint="eastAsia"/>
      </w:rPr>
    </w:lvl>
    <w:lvl w:ilvl="2" w:tentative="0">
      <w:start w:val="1"/>
      <w:numFmt w:val="decimal"/>
      <w:lvlText w:val="%1.%2.%3."/>
      <w:lvlJc w:val="left"/>
      <w:pPr>
        <w:tabs>
          <w:tab w:val="left" w:pos="709"/>
        </w:tabs>
        <w:ind w:left="709" w:hanging="709"/>
      </w:pPr>
      <w:rPr>
        <w:rFonts w:hint="eastAsia"/>
      </w:rPr>
    </w:lvl>
    <w:lvl w:ilvl="3" w:tentative="0">
      <w:start w:val="1"/>
      <w:numFmt w:val="decimal"/>
      <w:lvlText w:val="%1.%2.%3.%4."/>
      <w:lvlJc w:val="left"/>
      <w:pPr>
        <w:tabs>
          <w:tab w:val="left" w:pos="851"/>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20">
    <w:nsid w:val="4CD83728"/>
    <w:multiLevelType w:val="multilevel"/>
    <w:tmpl w:val="4CD83728"/>
    <w:lvl w:ilvl="0" w:tentative="0">
      <w:start w:val="1"/>
      <w:numFmt w:val="decimal"/>
      <w:pStyle w:val="2875"/>
      <w:isLgl/>
      <w:lvlText w:val="%1."/>
      <w:lvlJc w:val="left"/>
      <w:pPr>
        <w:tabs>
          <w:tab w:val="left" w:pos="425"/>
        </w:tabs>
        <w:ind w:left="425" w:hanging="425"/>
      </w:pPr>
      <w:rPr>
        <w:rFonts w:hint="eastAsia"/>
      </w:rPr>
    </w:lvl>
    <w:lvl w:ilvl="1" w:tentative="0">
      <w:start w:val="1"/>
      <w:numFmt w:val="decimal"/>
      <w:lvlText w:val="%1.%2."/>
      <w:lvlJc w:val="left"/>
      <w:pPr>
        <w:tabs>
          <w:tab w:val="left" w:pos="567"/>
        </w:tabs>
        <w:ind w:left="567" w:hanging="567"/>
      </w:pPr>
      <w:rPr>
        <w:rFonts w:hint="eastAsia"/>
      </w:rPr>
    </w:lvl>
    <w:lvl w:ilvl="2" w:tentative="0">
      <w:start w:val="1"/>
      <w:numFmt w:val="decimal"/>
      <w:lvlText w:val="%1.%2.%3."/>
      <w:lvlJc w:val="left"/>
      <w:pPr>
        <w:tabs>
          <w:tab w:val="left" w:pos="709"/>
        </w:tabs>
        <w:ind w:left="709" w:hanging="709"/>
      </w:pPr>
      <w:rPr>
        <w:rFonts w:hint="eastAsia"/>
      </w:rPr>
    </w:lvl>
    <w:lvl w:ilvl="3" w:tentative="0">
      <w:start w:val="1"/>
      <w:numFmt w:val="decimal"/>
      <w:lvlText w:val="%1.%2.%3.%4."/>
      <w:lvlJc w:val="left"/>
      <w:pPr>
        <w:tabs>
          <w:tab w:val="left" w:pos="851"/>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21">
    <w:nsid w:val="68A95689"/>
    <w:multiLevelType w:val="multilevel"/>
    <w:tmpl w:val="68A95689"/>
    <w:lvl w:ilvl="0" w:tentative="0">
      <w:start w:val="1"/>
      <w:numFmt w:val="decimal"/>
      <w:pStyle w:val="1552"/>
      <w:lvlText w:val="表5.4-%1"/>
      <w:lvlJc w:val="left"/>
      <w:pPr>
        <w:tabs>
          <w:tab w:val="left" w:pos="0"/>
        </w:tabs>
        <w:ind w:left="420" w:hanging="420"/>
      </w:pPr>
      <w:rPr>
        <w:rFonts w:hint="eastAsia" w:hAnsi="Times New Roman" w:cs="Times New Roman"/>
        <w:b w:val="0"/>
        <w:bCs w:val="0"/>
        <w:i w:val="0"/>
        <w:iCs w:val="0"/>
        <w:caps w:val="0"/>
        <w:smallCaps w:val="0"/>
        <w:strike w:val="0"/>
        <w:dstrike w:val="0"/>
        <w:snapToGrid w:val="0"/>
        <w:vanish w:val="0"/>
        <w:color w:val="000000"/>
        <w:spacing w:val="0"/>
        <w:w w:val="0"/>
        <w:kern w:val="0"/>
        <w:position w:val="0"/>
        <w:szCs w:val="0"/>
        <w:u w:val="none"/>
        <w:vertAlign w:val="baseline"/>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2">
    <w:nsid w:val="6E254582"/>
    <w:multiLevelType w:val="multilevel"/>
    <w:tmpl w:val="6E254582"/>
    <w:lvl w:ilvl="0" w:tentative="0">
      <w:start w:val="1"/>
      <w:numFmt w:val="decimal"/>
      <w:lvlText w:val="7.%1"/>
      <w:lvlJc w:val="left"/>
      <w:pPr>
        <w:tabs>
          <w:tab w:val="left" w:pos="709"/>
        </w:tabs>
        <w:ind w:left="709" w:hanging="709"/>
      </w:pPr>
      <w:rPr>
        <w:rFonts w:hint="eastAsia"/>
        <w:b w:val="0"/>
        <w:bCs w:val="0"/>
        <w:i w:val="0"/>
        <w:iCs w:val="0"/>
        <w:caps w:val="0"/>
        <w:smallCaps w:val="0"/>
        <w:strike w:val="0"/>
        <w:dstrike w:val="0"/>
        <w:vanish w:val="0"/>
        <w:color w:val="000000"/>
        <w:spacing w:val="0"/>
        <w:position w:val="0"/>
        <w:u w:val="none"/>
        <w:vertAlign w:val="baseline"/>
      </w:rPr>
    </w:lvl>
    <w:lvl w:ilvl="1" w:tentative="0">
      <w:start w:val="1"/>
      <w:numFmt w:val="decimal"/>
      <w:lvlText w:val="7.2.%2"/>
      <w:lvlJc w:val="left"/>
      <w:pPr>
        <w:tabs>
          <w:tab w:val="left" w:pos="993"/>
        </w:tabs>
        <w:ind w:left="993" w:hanging="709"/>
      </w:pPr>
      <w:rPr>
        <w:rFonts w:hint="eastAsia"/>
        <w:sz w:val="32"/>
        <w:szCs w:val="32"/>
      </w:rPr>
    </w:lvl>
    <w:lvl w:ilvl="2" w:tentative="0">
      <w:start w:val="1"/>
      <w:numFmt w:val="decimal"/>
      <w:lvlText w:val="7.2.1.%3"/>
      <w:lvlJc w:val="left"/>
      <w:pPr>
        <w:tabs>
          <w:tab w:val="left" w:pos="1134"/>
        </w:tabs>
        <w:ind w:left="1134" w:hanging="1134"/>
      </w:pPr>
      <w:rPr>
        <w:rFonts w:hint="eastAsia"/>
        <w:sz w:val="28"/>
        <w:szCs w:val="28"/>
      </w:rPr>
    </w:lvl>
    <w:lvl w:ilvl="3" w:tentative="0">
      <w:start w:val="1"/>
      <w:numFmt w:val="decimal"/>
      <w:pStyle w:val="1588"/>
      <w:lvlText w:val="%1.%2.%3.%4"/>
      <w:lvlJc w:val="left"/>
      <w:pPr>
        <w:tabs>
          <w:tab w:val="left" w:pos="1844"/>
        </w:tabs>
        <w:ind w:left="1844" w:hanging="709"/>
      </w:pPr>
      <w:rPr>
        <w:rFonts w:hint="eastAsia"/>
        <w:sz w:val="28"/>
        <w:szCs w:val="28"/>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num w:numId="1">
    <w:abstractNumId w:val="14"/>
  </w:num>
  <w:num w:numId="2">
    <w:abstractNumId w:val="16"/>
  </w:num>
  <w:num w:numId="3">
    <w:abstractNumId w:val="12"/>
  </w:num>
  <w:num w:numId="4">
    <w:abstractNumId w:val="8"/>
  </w:num>
  <w:num w:numId="5">
    <w:abstractNumId w:val="13"/>
  </w:num>
  <w:num w:numId="6">
    <w:abstractNumId w:val="1"/>
  </w:num>
  <w:num w:numId="7">
    <w:abstractNumId w:val="21"/>
  </w:num>
  <w:num w:numId="8">
    <w:abstractNumId w:val="22"/>
  </w:num>
  <w:num w:numId="9">
    <w:abstractNumId w:val="17"/>
    <w:lvlOverride w:ilvl="0">
      <w:lvl w:ilvl="0" w:tentative="1">
        <w:start w:val="1"/>
        <w:numFmt w:val="decimal"/>
        <w:isLgl/>
        <w:lvlText w:val="%1."/>
        <w:lvlJc w:val="left"/>
        <w:pPr>
          <w:tabs>
            <w:tab w:val="left" w:pos="425"/>
          </w:tabs>
          <w:ind w:left="425" w:hanging="425"/>
        </w:pPr>
        <w:rPr>
          <w:rFonts w:hint="eastAsia"/>
        </w:rPr>
      </w:lvl>
    </w:lvlOverride>
    <w:lvlOverride w:ilvl="1">
      <w:lvl w:ilvl="1" w:tentative="1">
        <w:start w:val="1"/>
        <w:numFmt w:val="decimal"/>
        <w:isLgl/>
        <w:lvlText w:val="%1.%2."/>
        <w:lvlJc w:val="left"/>
        <w:pPr>
          <w:tabs>
            <w:tab w:val="left" w:pos="567"/>
          </w:tabs>
          <w:ind w:left="567" w:hanging="567"/>
        </w:pPr>
        <w:rPr>
          <w:rFonts w:hint="eastAsia"/>
        </w:rPr>
      </w:lvl>
    </w:lvlOverride>
    <w:lvlOverride w:ilvl="2">
      <w:lvl w:ilvl="2" w:tentative="1">
        <w:start w:val="1"/>
        <w:numFmt w:val="decimal"/>
        <w:lvlRestart w:val="0"/>
        <w:pStyle w:val="1625"/>
        <w:isLgl/>
        <w:lvlText w:val="%1.%2.%3."/>
        <w:lvlJc w:val="left"/>
        <w:pPr>
          <w:tabs>
            <w:tab w:val="left" w:pos="709"/>
          </w:tabs>
          <w:ind w:left="0" w:firstLine="0"/>
        </w:pPr>
        <w:rPr>
          <w:rFonts w:hint="eastAsia"/>
        </w:rPr>
      </w:lvl>
    </w:lvlOverride>
    <w:lvlOverride w:ilvl="3">
      <w:lvl w:ilvl="3" w:tentative="1">
        <w:start w:val="1"/>
        <w:numFmt w:val="decimal"/>
        <w:lvlText w:val="%1.%2.%3.%4."/>
        <w:lvlJc w:val="left"/>
        <w:pPr>
          <w:tabs>
            <w:tab w:val="left" w:pos="851"/>
          </w:tabs>
          <w:ind w:left="851" w:hanging="851"/>
        </w:pPr>
        <w:rPr>
          <w:rFonts w:hint="eastAsia"/>
        </w:rPr>
      </w:lvl>
    </w:lvlOverride>
    <w:lvlOverride w:ilvl="4">
      <w:lvl w:ilvl="4" w:tentative="1">
        <w:start w:val="1"/>
        <w:numFmt w:val="decimal"/>
        <w:lvlText w:val="%1.%2.%3.%4.%5."/>
        <w:lvlJc w:val="left"/>
        <w:pPr>
          <w:tabs>
            <w:tab w:val="left" w:pos="992"/>
          </w:tabs>
          <w:ind w:left="992" w:hanging="992"/>
        </w:pPr>
        <w:rPr>
          <w:rFonts w:hint="eastAsia"/>
        </w:rPr>
      </w:lvl>
    </w:lvlOverride>
    <w:lvlOverride w:ilvl="5">
      <w:lvl w:ilvl="5" w:tentative="1">
        <w:start w:val="1"/>
        <w:numFmt w:val="decimal"/>
        <w:lvlText w:val="%1.%2.%3.%4.%5.%6."/>
        <w:lvlJc w:val="left"/>
        <w:pPr>
          <w:tabs>
            <w:tab w:val="left" w:pos="1134"/>
          </w:tabs>
          <w:ind w:left="1134" w:hanging="1134"/>
        </w:pPr>
        <w:rPr>
          <w:rFonts w:hint="eastAsia"/>
        </w:rPr>
      </w:lvl>
    </w:lvlOverride>
    <w:lvlOverride w:ilvl="6">
      <w:lvl w:ilvl="6" w:tentative="1">
        <w:start w:val="1"/>
        <w:numFmt w:val="decimal"/>
        <w:lvlText w:val="%1.%2.%3.%4.%5.%6.%7."/>
        <w:lvlJc w:val="left"/>
        <w:pPr>
          <w:tabs>
            <w:tab w:val="left" w:pos="1276"/>
          </w:tabs>
          <w:ind w:left="1276" w:hanging="1276"/>
        </w:pPr>
        <w:rPr>
          <w:rFonts w:hint="eastAsia"/>
        </w:rPr>
      </w:lvl>
    </w:lvlOverride>
    <w:lvlOverride w:ilvl="7">
      <w:lvl w:ilvl="7" w:tentative="1">
        <w:start w:val="1"/>
        <w:numFmt w:val="decimal"/>
        <w:lvlText w:val="%1.%2.%3.%4.%5.%6.%7.%8."/>
        <w:lvlJc w:val="left"/>
        <w:pPr>
          <w:tabs>
            <w:tab w:val="left" w:pos="1418"/>
          </w:tabs>
          <w:ind w:left="1418" w:hanging="1418"/>
        </w:pPr>
        <w:rPr>
          <w:rFonts w:hint="eastAsia"/>
        </w:rPr>
      </w:lvl>
    </w:lvlOverride>
    <w:lvlOverride w:ilvl="8">
      <w:lvl w:ilvl="8" w:tentative="1">
        <w:start w:val="1"/>
        <w:numFmt w:val="decimal"/>
        <w:lvlText w:val="%1.%2.%3.%4.%5.%6.%7.%8.%9."/>
        <w:lvlJc w:val="left"/>
        <w:pPr>
          <w:tabs>
            <w:tab w:val="left" w:pos="1559"/>
          </w:tabs>
          <w:ind w:left="1559" w:hanging="1559"/>
        </w:pPr>
        <w:rPr>
          <w:rFonts w:hint="eastAsia"/>
        </w:rPr>
      </w:lvl>
    </w:lvlOverride>
  </w:num>
  <w:num w:numId="10">
    <w:abstractNumId w:val="6"/>
  </w:num>
  <w:num w:numId="11">
    <w:abstractNumId w:val="7"/>
  </w:num>
  <w:num w:numId="12">
    <w:abstractNumId w:val="11"/>
  </w:num>
  <w:num w:numId="13">
    <w:abstractNumId w:val="2"/>
  </w:num>
  <w:num w:numId="14">
    <w:abstractNumId w:val="4"/>
  </w:num>
  <w:num w:numId="15">
    <w:abstractNumId w:val="18"/>
  </w:num>
  <w:num w:numId="16">
    <w:abstractNumId w:val="5"/>
  </w:num>
  <w:num w:numId="17">
    <w:abstractNumId w:val="9"/>
  </w:num>
  <w:num w:numId="18">
    <w:abstractNumId w:val="20"/>
  </w:num>
  <w:num w:numId="19">
    <w:abstractNumId w:val="15"/>
  </w:num>
  <w:num w:numId="20">
    <w:abstractNumId w:val="10"/>
  </w:num>
  <w:num w:numId="21">
    <w:abstractNumId w:val="19"/>
  </w:num>
  <w:num w:numId="22">
    <w:abstractNumId w:val="3"/>
  </w:num>
  <w:num w:numId="2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false"/>
  <w:bordersDoNotSurroundFooter w:val="fals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comments" w:enforcement="0"/>
  <w:defaultTabStop w:val="420"/>
  <w:hyphenationZone w:val="360"/>
  <w:evenAndOddHeaders w:val="true"/>
  <w:drawingGridHorizontalSpacing w:val="140"/>
  <w:drawingGridVerticalSpacing w:val="381"/>
  <w:displayHorizontalDrawingGridEvery w:val="2"/>
  <w:displayVerticalDrawingGridEvery w:val="1"/>
  <w:noPunctuationKerning w:val="true"/>
  <w:characterSpacingControl w:val="compressPunctuation"/>
  <w:hdrShapeDefaults>
    <o:shapelayout v:ext="edit">
      <o:idmap v:ext="edit" data="1"/>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2E5ZjBkMGUzMDAyNmI3NDFmZDVmNGQwNzc0ZmIyZGUifQ=="/>
  </w:docVars>
  <w:rsids>
    <w:rsidRoot w:val="00172A27"/>
    <w:rsid w:val="0000036D"/>
    <w:rsid w:val="00000648"/>
    <w:rsid w:val="000008E9"/>
    <w:rsid w:val="00000A39"/>
    <w:rsid w:val="00000AB6"/>
    <w:rsid w:val="00000D5B"/>
    <w:rsid w:val="00000DB9"/>
    <w:rsid w:val="00001177"/>
    <w:rsid w:val="000012F1"/>
    <w:rsid w:val="000013A8"/>
    <w:rsid w:val="00001559"/>
    <w:rsid w:val="000018ED"/>
    <w:rsid w:val="00001938"/>
    <w:rsid w:val="00001BCA"/>
    <w:rsid w:val="00001C94"/>
    <w:rsid w:val="00001CDA"/>
    <w:rsid w:val="00001D54"/>
    <w:rsid w:val="00001D55"/>
    <w:rsid w:val="00001EB3"/>
    <w:rsid w:val="00001FC4"/>
    <w:rsid w:val="00002100"/>
    <w:rsid w:val="0000230A"/>
    <w:rsid w:val="00002589"/>
    <w:rsid w:val="000025FA"/>
    <w:rsid w:val="000026AA"/>
    <w:rsid w:val="00002790"/>
    <w:rsid w:val="00002901"/>
    <w:rsid w:val="0000290E"/>
    <w:rsid w:val="00002D58"/>
    <w:rsid w:val="00002DAA"/>
    <w:rsid w:val="0000300A"/>
    <w:rsid w:val="00003091"/>
    <w:rsid w:val="000030F2"/>
    <w:rsid w:val="000030F4"/>
    <w:rsid w:val="00003136"/>
    <w:rsid w:val="0000314B"/>
    <w:rsid w:val="00003249"/>
    <w:rsid w:val="0000354D"/>
    <w:rsid w:val="000035F5"/>
    <w:rsid w:val="0000376E"/>
    <w:rsid w:val="00003837"/>
    <w:rsid w:val="000038F1"/>
    <w:rsid w:val="00003A4F"/>
    <w:rsid w:val="00003A54"/>
    <w:rsid w:val="00003D31"/>
    <w:rsid w:val="00003DC9"/>
    <w:rsid w:val="00003F23"/>
    <w:rsid w:val="000043F8"/>
    <w:rsid w:val="000044F6"/>
    <w:rsid w:val="00004596"/>
    <w:rsid w:val="0000476F"/>
    <w:rsid w:val="0000479E"/>
    <w:rsid w:val="0000481C"/>
    <w:rsid w:val="00004DD0"/>
    <w:rsid w:val="00005108"/>
    <w:rsid w:val="000051E1"/>
    <w:rsid w:val="0000523E"/>
    <w:rsid w:val="00005357"/>
    <w:rsid w:val="0000545B"/>
    <w:rsid w:val="0000550A"/>
    <w:rsid w:val="00005AAE"/>
    <w:rsid w:val="00005BBC"/>
    <w:rsid w:val="00005D96"/>
    <w:rsid w:val="0000612A"/>
    <w:rsid w:val="000061D5"/>
    <w:rsid w:val="000062C7"/>
    <w:rsid w:val="000062E1"/>
    <w:rsid w:val="000068C4"/>
    <w:rsid w:val="0000693B"/>
    <w:rsid w:val="00006A71"/>
    <w:rsid w:val="00006A74"/>
    <w:rsid w:val="00006C5F"/>
    <w:rsid w:val="000070FA"/>
    <w:rsid w:val="000071B2"/>
    <w:rsid w:val="00007242"/>
    <w:rsid w:val="00007325"/>
    <w:rsid w:val="00007559"/>
    <w:rsid w:val="00007586"/>
    <w:rsid w:val="00007624"/>
    <w:rsid w:val="00007671"/>
    <w:rsid w:val="00007962"/>
    <w:rsid w:val="000079CC"/>
    <w:rsid w:val="00007B2B"/>
    <w:rsid w:val="00007DE8"/>
    <w:rsid w:val="0001009E"/>
    <w:rsid w:val="000100A1"/>
    <w:rsid w:val="000100C8"/>
    <w:rsid w:val="00010343"/>
    <w:rsid w:val="000103D9"/>
    <w:rsid w:val="00010598"/>
    <w:rsid w:val="00010769"/>
    <w:rsid w:val="0001078E"/>
    <w:rsid w:val="00010A2E"/>
    <w:rsid w:val="00010BF6"/>
    <w:rsid w:val="00010C95"/>
    <w:rsid w:val="00010E48"/>
    <w:rsid w:val="0001118F"/>
    <w:rsid w:val="00011398"/>
    <w:rsid w:val="000117BE"/>
    <w:rsid w:val="000119F9"/>
    <w:rsid w:val="00011A23"/>
    <w:rsid w:val="00011C5D"/>
    <w:rsid w:val="00011F5C"/>
    <w:rsid w:val="00011FE3"/>
    <w:rsid w:val="00012119"/>
    <w:rsid w:val="000121AB"/>
    <w:rsid w:val="0001231A"/>
    <w:rsid w:val="00012AC7"/>
    <w:rsid w:val="000130D4"/>
    <w:rsid w:val="000132FF"/>
    <w:rsid w:val="0001336D"/>
    <w:rsid w:val="000133B4"/>
    <w:rsid w:val="000135B7"/>
    <w:rsid w:val="00013652"/>
    <w:rsid w:val="000136C8"/>
    <w:rsid w:val="000137BF"/>
    <w:rsid w:val="000137EF"/>
    <w:rsid w:val="00013CA6"/>
    <w:rsid w:val="00013F09"/>
    <w:rsid w:val="00014310"/>
    <w:rsid w:val="000145CC"/>
    <w:rsid w:val="000145EF"/>
    <w:rsid w:val="00014735"/>
    <w:rsid w:val="000147B7"/>
    <w:rsid w:val="00014A07"/>
    <w:rsid w:val="00014AB3"/>
    <w:rsid w:val="00014ACB"/>
    <w:rsid w:val="00014CA9"/>
    <w:rsid w:val="00014E02"/>
    <w:rsid w:val="00014E44"/>
    <w:rsid w:val="00014EB2"/>
    <w:rsid w:val="0001510F"/>
    <w:rsid w:val="00015438"/>
    <w:rsid w:val="00015595"/>
    <w:rsid w:val="00015630"/>
    <w:rsid w:val="000156F8"/>
    <w:rsid w:val="0001596D"/>
    <w:rsid w:val="00015B50"/>
    <w:rsid w:val="00015B7E"/>
    <w:rsid w:val="00015E1E"/>
    <w:rsid w:val="00016021"/>
    <w:rsid w:val="00016137"/>
    <w:rsid w:val="00016211"/>
    <w:rsid w:val="0001633C"/>
    <w:rsid w:val="000163FC"/>
    <w:rsid w:val="00016676"/>
    <w:rsid w:val="0001694B"/>
    <w:rsid w:val="000169EF"/>
    <w:rsid w:val="00016DAA"/>
    <w:rsid w:val="00016EC0"/>
    <w:rsid w:val="00016EFF"/>
    <w:rsid w:val="00017055"/>
    <w:rsid w:val="00017280"/>
    <w:rsid w:val="000172C7"/>
    <w:rsid w:val="000173A6"/>
    <w:rsid w:val="000173EF"/>
    <w:rsid w:val="000173F2"/>
    <w:rsid w:val="00017479"/>
    <w:rsid w:val="00017727"/>
    <w:rsid w:val="0001773E"/>
    <w:rsid w:val="0001781C"/>
    <w:rsid w:val="00017845"/>
    <w:rsid w:val="0001785C"/>
    <w:rsid w:val="00017901"/>
    <w:rsid w:val="000179D8"/>
    <w:rsid w:val="00017ECD"/>
    <w:rsid w:val="00017EE2"/>
    <w:rsid w:val="00017F13"/>
    <w:rsid w:val="00017F76"/>
    <w:rsid w:val="00020047"/>
    <w:rsid w:val="000201B4"/>
    <w:rsid w:val="000202B7"/>
    <w:rsid w:val="00020697"/>
    <w:rsid w:val="000209D8"/>
    <w:rsid w:val="00020D62"/>
    <w:rsid w:val="00020EF1"/>
    <w:rsid w:val="00020F8A"/>
    <w:rsid w:val="00021056"/>
    <w:rsid w:val="000214D9"/>
    <w:rsid w:val="0002153D"/>
    <w:rsid w:val="00021754"/>
    <w:rsid w:val="00021C14"/>
    <w:rsid w:val="00021CA1"/>
    <w:rsid w:val="00021CB7"/>
    <w:rsid w:val="00021DF1"/>
    <w:rsid w:val="00021E0C"/>
    <w:rsid w:val="00021F8F"/>
    <w:rsid w:val="00022054"/>
    <w:rsid w:val="00022070"/>
    <w:rsid w:val="0002218D"/>
    <w:rsid w:val="0002251C"/>
    <w:rsid w:val="000226CC"/>
    <w:rsid w:val="0002298B"/>
    <w:rsid w:val="00022B6E"/>
    <w:rsid w:val="00022CA8"/>
    <w:rsid w:val="0002304C"/>
    <w:rsid w:val="00023099"/>
    <w:rsid w:val="000230DB"/>
    <w:rsid w:val="00023527"/>
    <w:rsid w:val="0002358F"/>
    <w:rsid w:val="000235B9"/>
    <w:rsid w:val="000237C4"/>
    <w:rsid w:val="00023802"/>
    <w:rsid w:val="00023A33"/>
    <w:rsid w:val="00023E80"/>
    <w:rsid w:val="00024182"/>
    <w:rsid w:val="000241A5"/>
    <w:rsid w:val="00024263"/>
    <w:rsid w:val="00024297"/>
    <w:rsid w:val="0002431B"/>
    <w:rsid w:val="00024433"/>
    <w:rsid w:val="00024844"/>
    <w:rsid w:val="00024846"/>
    <w:rsid w:val="0002486E"/>
    <w:rsid w:val="000249F5"/>
    <w:rsid w:val="00025129"/>
    <w:rsid w:val="00025176"/>
    <w:rsid w:val="0002519F"/>
    <w:rsid w:val="00025203"/>
    <w:rsid w:val="000258FC"/>
    <w:rsid w:val="00025BE6"/>
    <w:rsid w:val="00025DA8"/>
    <w:rsid w:val="00026364"/>
    <w:rsid w:val="0002637B"/>
    <w:rsid w:val="000263A7"/>
    <w:rsid w:val="00026419"/>
    <w:rsid w:val="000266AC"/>
    <w:rsid w:val="0002673B"/>
    <w:rsid w:val="00026818"/>
    <w:rsid w:val="0002682A"/>
    <w:rsid w:val="0002687C"/>
    <w:rsid w:val="0002691E"/>
    <w:rsid w:val="000269ED"/>
    <w:rsid w:val="00026E16"/>
    <w:rsid w:val="00026E73"/>
    <w:rsid w:val="00026EAF"/>
    <w:rsid w:val="00026F0B"/>
    <w:rsid w:val="000270B1"/>
    <w:rsid w:val="000270E2"/>
    <w:rsid w:val="0002728C"/>
    <w:rsid w:val="000273CB"/>
    <w:rsid w:val="00027569"/>
    <w:rsid w:val="00027958"/>
    <w:rsid w:val="00030630"/>
    <w:rsid w:val="0003087A"/>
    <w:rsid w:val="00030D17"/>
    <w:rsid w:val="00031697"/>
    <w:rsid w:val="000317E4"/>
    <w:rsid w:val="00031832"/>
    <w:rsid w:val="00031B5F"/>
    <w:rsid w:val="00031DDC"/>
    <w:rsid w:val="00031E9D"/>
    <w:rsid w:val="00032108"/>
    <w:rsid w:val="00032A0C"/>
    <w:rsid w:val="00032A9B"/>
    <w:rsid w:val="00032AC4"/>
    <w:rsid w:val="0003308C"/>
    <w:rsid w:val="00033316"/>
    <w:rsid w:val="0003338F"/>
    <w:rsid w:val="000336B2"/>
    <w:rsid w:val="000336E0"/>
    <w:rsid w:val="00033783"/>
    <w:rsid w:val="000338ED"/>
    <w:rsid w:val="00033B14"/>
    <w:rsid w:val="00033BA0"/>
    <w:rsid w:val="00033E7C"/>
    <w:rsid w:val="00033ED1"/>
    <w:rsid w:val="000340B5"/>
    <w:rsid w:val="0003412E"/>
    <w:rsid w:val="0003424A"/>
    <w:rsid w:val="000344AB"/>
    <w:rsid w:val="00034582"/>
    <w:rsid w:val="000345F6"/>
    <w:rsid w:val="0003468E"/>
    <w:rsid w:val="00034721"/>
    <w:rsid w:val="000348DC"/>
    <w:rsid w:val="00034937"/>
    <w:rsid w:val="00034AB4"/>
    <w:rsid w:val="00034B9C"/>
    <w:rsid w:val="00034F1A"/>
    <w:rsid w:val="00034F51"/>
    <w:rsid w:val="0003508B"/>
    <w:rsid w:val="000350B4"/>
    <w:rsid w:val="0003528A"/>
    <w:rsid w:val="0003544F"/>
    <w:rsid w:val="00035512"/>
    <w:rsid w:val="000355B1"/>
    <w:rsid w:val="0003568B"/>
    <w:rsid w:val="00035C73"/>
    <w:rsid w:val="00035D18"/>
    <w:rsid w:val="00035D6C"/>
    <w:rsid w:val="0003609C"/>
    <w:rsid w:val="000361AB"/>
    <w:rsid w:val="000361CF"/>
    <w:rsid w:val="000361D9"/>
    <w:rsid w:val="00036227"/>
    <w:rsid w:val="00036345"/>
    <w:rsid w:val="00036430"/>
    <w:rsid w:val="00036866"/>
    <w:rsid w:val="00036947"/>
    <w:rsid w:val="00036B02"/>
    <w:rsid w:val="00036CE8"/>
    <w:rsid w:val="00036FE1"/>
    <w:rsid w:val="00037433"/>
    <w:rsid w:val="0003744B"/>
    <w:rsid w:val="0003752D"/>
    <w:rsid w:val="000375E2"/>
    <w:rsid w:val="000376BA"/>
    <w:rsid w:val="00037857"/>
    <w:rsid w:val="00037CDE"/>
    <w:rsid w:val="00037CE3"/>
    <w:rsid w:val="00037D0C"/>
    <w:rsid w:val="00037D57"/>
    <w:rsid w:val="00037DBD"/>
    <w:rsid w:val="0004025F"/>
    <w:rsid w:val="00040795"/>
    <w:rsid w:val="00040A1B"/>
    <w:rsid w:val="00040A3A"/>
    <w:rsid w:val="00040B9E"/>
    <w:rsid w:val="00040F0E"/>
    <w:rsid w:val="00041167"/>
    <w:rsid w:val="00041196"/>
    <w:rsid w:val="00041326"/>
    <w:rsid w:val="00041575"/>
    <w:rsid w:val="000415E5"/>
    <w:rsid w:val="0004160F"/>
    <w:rsid w:val="000416A8"/>
    <w:rsid w:val="00041A45"/>
    <w:rsid w:val="00041AAE"/>
    <w:rsid w:val="000420F6"/>
    <w:rsid w:val="0004237D"/>
    <w:rsid w:val="000425FC"/>
    <w:rsid w:val="00042801"/>
    <w:rsid w:val="000429DC"/>
    <w:rsid w:val="00043032"/>
    <w:rsid w:val="0004303E"/>
    <w:rsid w:val="000430E2"/>
    <w:rsid w:val="0004321C"/>
    <w:rsid w:val="00043269"/>
    <w:rsid w:val="0004337E"/>
    <w:rsid w:val="00043B94"/>
    <w:rsid w:val="00044030"/>
    <w:rsid w:val="00044165"/>
    <w:rsid w:val="00044535"/>
    <w:rsid w:val="000446E6"/>
    <w:rsid w:val="0004495E"/>
    <w:rsid w:val="00044F91"/>
    <w:rsid w:val="000453D9"/>
    <w:rsid w:val="00045607"/>
    <w:rsid w:val="00045635"/>
    <w:rsid w:val="0004578C"/>
    <w:rsid w:val="00045B18"/>
    <w:rsid w:val="00045C67"/>
    <w:rsid w:val="00045D29"/>
    <w:rsid w:val="00045DF6"/>
    <w:rsid w:val="00045F1D"/>
    <w:rsid w:val="00046647"/>
    <w:rsid w:val="00046752"/>
    <w:rsid w:val="000467E5"/>
    <w:rsid w:val="00046890"/>
    <w:rsid w:val="00046ACF"/>
    <w:rsid w:val="00046D12"/>
    <w:rsid w:val="00046D43"/>
    <w:rsid w:val="00046D96"/>
    <w:rsid w:val="00046E9D"/>
    <w:rsid w:val="00046FD6"/>
    <w:rsid w:val="00047832"/>
    <w:rsid w:val="00047B7C"/>
    <w:rsid w:val="00047B85"/>
    <w:rsid w:val="00047C54"/>
    <w:rsid w:val="0005030A"/>
    <w:rsid w:val="00050432"/>
    <w:rsid w:val="000504D6"/>
    <w:rsid w:val="00050594"/>
    <w:rsid w:val="000506D9"/>
    <w:rsid w:val="000508A9"/>
    <w:rsid w:val="00050A1A"/>
    <w:rsid w:val="00050ABF"/>
    <w:rsid w:val="00050B6D"/>
    <w:rsid w:val="00050CE6"/>
    <w:rsid w:val="00051029"/>
    <w:rsid w:val="00051094"/>
    <w:rsid w:val="000510C6"/>
    <w:rsid w:val="000512E5"/>
    <w:rsid w:val="000514D3"/>
    <w:rsid w:val="000516EA"/>
    <w:rsid w:val="00051AA2"/>
    <w:rsid w:val="00051B19"/>
    <w:rsid w:val="00051EB9"/>
    <w:rsid w:val="00051EBA"/>
    <w:rsid w:val="00051FC1"/>
    <w:rsid w:val="00052350"/>
    <w:rsid w:val="0005258E"/>
    <w:rsid w:val="000526CD"/>
    <w:rsid w:val="00052897"/>
    <w:rsid w:val="000529FB"/>
    <w:rsid w:val="00052A5E"/>
    <w:rsid w:val="00052B38"/>
    <w:rsid w:val="00052B48"/>
    <w:rsid w:val="00052BE8"/>
    <w:rsid w:val="00052CD9"/>
    <w:rsid w:val="00052D53"/>
    <w:rsid w:val="00052EB0"/>
    <w:rsid w:val="00053173"/>
    <w:rsid w:val="000532DE"/>
    <w:rsid w:val="00053447"/>
    <w:rsid w:val="0005378E"/>
    <w:rsid w:val="00053830"/>
    <w:rsid w:val="00053A0D"/>
    <w:rsid w:val="00053CFD"/>
    <w:rsid w:val="00053E48"/>
    <w:rsid w:val="00053E91"/>
    <w:rsid w:val="00053FA1"/>
    <w:rsid w:val="00054233"/>
    <w:rsid w:val="00054282"/>
    <w:rsid w:val="000542EA"/>
    <w:rsid w:val="0005473A"/>
    <w:rsid w:val="00054BC2"/>
    <w:rsid w:val="00054E3D"/>
    <w:rsid w:val="00054E3F"/>
    <w:rsid w:val="00054F4D"/>
    <w:rsid w:val="000557E6"/>
    <w:rsid w:val="0005597E"/>
    <w:rsid w:val="00055A0D"/>
    <w:rsid w:val="00055AD1"/>
    <w:rsid w:val="00055E9C"/>
    <w:rsid w:val="00055F11"/>
    <w:rsid w:val="00055F6D"/>
    <w:rsid w:val="00056144"/>
    <w:rsid w:val="000564D0"/>
    <w:rsid w:val="00056A16"/>
    <w:rsid w:val="00056BB6"/>
    <w:rsid w:val="00056C55"/>
    <w:rsid w:val="00056CFF"/>
    <w:rsid w:val="00056D1A"/>
    <w:rsid w:val="00056D33"/>
    <w:rsid w:val="00056DD2"/>
    <w:rsid w:val="00056F5D"/>
    <w:rsid w:val="00057151"/>
    <w:rsid w:val="00057425"/>
    <w:rsid w:val="00057A30"/>
    <w:rsid w:val="00057C6E"/>
    <w:rsid w:val="00057C91"/>
    <w:rsid w:val="00057D65"/>
    <w:rsid w:val="00057ED0"/>
    <w:rsid w:val="00057F57"/>
    <w:rsid w:val="00057FFD"/>
    <w:rsid w:val="00060082"/>
    <w:rsid w:val="0006021A"/>
    <w:rsid w:val="00060999"/>
    <w:rsid w:val="000609D1"/>
    <w:rsid w:val="00060B06"/>
    <w:rsid w:val="00060DB3"/>
    <w:rsid w:val="00060F0F"/>
    <w:rsid w:val="00060F19"/>
    <w:rsid w:val="00060FA5"/>
    <w:rsid w:val="00061343"/>
    <w:rsid w:val="000613E3"/>
    <w:rsid w:val="00061407"/>
    <w:rsid w:val="00061787"/>
    <w:rsid w:val="0006183A"/>
    <w:rsid w:val="000618A3"/>
    <w:rsid w:val="000619D9"/>
    <w:rsid w:val="00061AA1"/>
    <w:rsid w:val="00061DE9"/>
    <w:rsid w:val="00061E5B"/>
    <w:rsid w:val="00062250"/>
    <w:rsid w:val="000622D5"/>
    <w:rsid w:val="0006255D"/>
    <w:rsid w:val="000626ED"/>
    <w:rsid w:val="000627BF"/>
    <w:rsid w:val="000629F3"/>
    <w:rsid w:val="00062A6D"/>
    <w:rsid w:val="00062AC9"/>
    <w:rsid w:val="00062DC4"/>
    <w:rsid w:val="00063055"/>
    <w:rsid w:val="0006318E"/>
    <w:rsid w:val="000631C5"/>
    <w:rsid w:val="000633A2"/>
    <w:rsid w:val="000634FF"/>
    <w:rsid w:val="000636F5"/>
    <w:rsid w:val="0006391E"/>
    <w:rsid w:val="00063EAF"/>
    <w:rsid w:val="00063EFB"/>
    <w:rsid w:val="0006406F"/>
    <w:rsid w:val="0006421D"/>
    <w:rsid w:val="00064463"/>
    <w:rsid w:val="000646E5"/>
    <w:rsid w:val="00064763"/>
    <w:rsid w:val="0006476E"/>
    <w:rsid w:val="00064774"/>
    <w:rsid w:val="00064B1C"/>
    <w:rsid w:val="00064F56"/>
    <w:rsid w:val="00065031"/>
    <w:rsid w:val="000650FA"/>
    <w:rsid w:val="000651F6"/>
    <w:rsid w:val="0006522B"/>
    <w:rsid w:val="00065545"/>
    <w:rsid w:val="00065704"/>
    <w:rsid w:val="00065723"/>
    <w:rsid w:val="000657D7"/>
    <w:rsid w:val="000658AB"/>
    <w:rsid w:val="000659DE"/>
    <w:rsid w:val="00065A73"/>
    <w:rsid w:val="000660D7"/>
    <w:rsid w:val="0006613D"/>
    <w:rsid w:val="00066241"/>
    <w:rsid w:val="00066494"/>
    <w:rsid w:val="00066750"/>
    <w:rsid w:val="0006676C"/>
    <w:rsid w:val="00066BDF"/>
    <w:rsid w:val="00066D8B"/>
    <w:rsid w:val="00066DAB"/>
    <w:rsid w:val="00066EC1"/>
    <w:rsid w:val="00066FB7"/>
    <w:rsid w:val="000674D8"/>
    <w:rsid w:val="000675F5"/>
    <w:rsid w:val="00067786"/>
    <w:rsid w:val="00067850"/>
    <w:rsid w:val="00067930"/>
    <w:rsid w:val="00067952"/>
    <w:rsid w:val="00067B4F"/>
    <w:rsid w:val="00067D59"/>
    <w:rsid w:val="00067E7A"/>
    <w:rsid w:val="00067F12"/>
    <w:rsid w:val="000701A1"/>
    <w:rsid w:val="00070232"/>
    <w:rsid w:val="0007026D"/>
    <w:rsid w:val="000703EB"/>
    <w:rsid w:val="000704C5"/>
    <w:rsid w:val="00070624"/>
    <w:rsid w:val="00070A3E"/>
    <w:rsid w:val="00070DD0"/>
    <w:rsid w:val="00070E9D"/>
    <w:rsid w:val="000713D5"/>
    <w:rsid w:val="00071629"/>
    <w:rsid w:val="00071682"/>
    <w:rsid w:val="00071725"/>
    <w:rsid w:val="00071809"/>
    <w:rsid w:val="000718A9"/>
    <w:rsid w:val="00071927"/>
    <w:rsid w:val="00071C2F"/>
    <w:rsid w:val="00071CC2"/>
    <w:rsid w:val="00071DE1"/>
    <w:rsid w:val="00071FE1"/>
    <w:rsid w:val="0007221A"/>
    <w:rsid w:val="0007228B"/>
    <w:rsid w:val="0007242B"/>
    <w:rsid w:val="000727E6"/>
    <w:rsid w:val="000728FF"/>
    <w:rsid w:val="00072AED"/>
    <w:rsid w:val="00072CF9"/>
    <w:rsid w:val="00072D60"/>
    <w:rsid w:val="00072D67"/>
    <w:rsid w:val="000731F8"/>
    <w:rsid w:val="0007332B"/>
    <w:rsid w:val="0007355A"/>
    <w:rsid w:val="000735B0"/>
    <w:rsid w:val="000736B7"/>
    <w:rsid w:val="00073978"/>
    <w:rsid w:val="00073D31"/>
    <w:rsid w:val="00074168"/>
    <w:rsid w:val="000744E1"/>
    <w:rsid w:val="000746C3"/>
    <w:rsid w:val="00074773"/>
    <w:rsid w:val="00074A4A"/>
    <w:rsid w:val="00074B20"/>
    <w:rsid w:val="00074DCB"/>
    <w:rsid w:val="00075035"/>
    <w:rsid w:val="000751A2"/>
    <w:rsid w:val="00075235"/>
    <w:rsid w:val="000752FF"/>
    <w:rsid w:val="0007539A"/>
    <w:rsid w:val="000753F3"/>
    <w:rsid w:val="0007555D"/>
    <w:rsid w:val="00075607"/>
    <w:rsid w:val="0007571D"/>
    <w:rsid w:val="000758CD"/>
    <w:rsid w:val="00075A18"/>
    <w:rsid w:val="00075A36"/>
    <w:rsid w:val="00075A9A"/>
    <w:rsid w:val="00075BA6"/>
    <w:rsid w:val="00075BD9"/>
    <w:rsid w:val="00075D52"/>
    <w:rsid w:val="00075D93"/>
    <w:rsid w:val="000760A8"/>
    <w:rsid w:val="00076169"/>
    <w:rsid w:val="00076174"/>
    <w:rsid w:val="0007649E"/>
    <w:rsid w:val="0007679D"/>
    <w:rsid w:val="00076C28"/>
    <w:rsid w:val="00076DFE"/>
    <w:rsid w:val="000770D8"/>
    <w:rsid w:val="00077258"/>
    <w:rsid w:val="000773CF"/>
    <w:rsid w:val="0007784A"/>
    <w:rsid w:val="0007791B"/>
    <w:rsid w:val="00077A74"/>
    <w:rsid w:val="00077B32"/>
    <w:rsid w:val="00077C4F"/>
    <w:rsid w:val="00077DB7"/>
    <w:rsid w:val="00077DC7"/>
    <w:rsid w:val="00077E62"/>
    <w:rsid w:val="00077FC1"/>
    <w:rsid w:val="000807E2"/>
    <w:rsid w:val="000807F7"/>
    <w:rsid w:val="0008085F"/>
    <w:rsid w:val="0008095C"/>
    <w:rsid w:val="00080C6E"/>
    <w:rsid w:val="00080CBC"/>
    <w:rsid w:val="00080D45"/>
    <w:rsid w:val="00080EAF"/>
    <w:rsid w:val="00080EC8"/>
    <w:rsid w:val="000810E2"/>
    <w:rsid w:val="00081131"/>
    <w:rsid w:val="00081491"/>
    <w:rsid w:val="00081951"/>
    <w:rsid w:val="00081A9A"/>
    <w:rsid w:val="00081B13"/>
    <w:rsid w:val="00081E49"/>
    <w:rsid w:val="00082053"/>
    <w:rsid w:val="000822BE"/>
    <w:rsid w:val="00082538"/>
    <w:rsid w:val="000827B7"/>
    <w:rsid w:val="000827D1"/>
    <w:rsid w:val="00082A66"/>
    <w:rsid w:val="00082B42"/>
    <w:rsid w:val="00082CBE"/>
    <w:rsid w:val="000831B7"/>
    <w:rsid w:val="00083380"/>
    <w:rsid w:val="000837C1"/>
    <w:rsid w:val="0008392C"/>
    <w:rsid w:val="00083B0D"/>
    <w:rsid w:val="000842D4"/>
    <w:rsid w:val="00084691"/>
    <w:rsid w:val="00084764"/>
    <w:rsid w:val="00084B83"/>
    <w:rsid w:val="00084F10"/>
    <w:rsid w:val="00084F43"/>
    <w:rsid w:val="00084F6D"/>
    <w:rsid w:val="00084FE6"/>
    <w:rsid w:val="00084FEA"/>
    <w:rsid w:val="000851D1"/>
    <w:rsid w:val="00085203"/>
    <w:rsid w:val="00085273"/>
    <w:rsid w:val="000854ED"/>
    <w:rsid w:val="00085677"/>
    <w:rsid w:val="000856DF"/>
    <w:rsid w:val="0008579E"/>
    <w:rsid w:val="00085A14"/>
    <w:rsid w:val="00085A4C"/>
    <w:rsid w:val="00085A94"/>
    <w:rsid w:val="00085F6F"/>
    <w:rsid w:val="00085FAA"/>
    <w:rsid w:val="00086045"/>
    <w:rsid w:val="000861EC"/>
    <w:rsid w:val="00086254"/>
    <w:rsid w:val="00086306"/>
    <w:rsid w:val="000864CA"/>
    <w:rsid w:val="000864DE"/>
    <w:rsid w:val="0008660B"/>
    <w:rsid w:val="0008675B"/>
    <w:rsid w:val="00086B8D"/>
    <w:rsid w:val="00086F3A"/>
    <w:rsid w:val="00086FB7"/>
    <w:rsid w:val="0008715D"/>
    <w:rsid w:val="00087233"/>
    <w:rsid w:val="0008728D"/>
    <w:rsid w:val="000873A6"/>
    <w:rsid w:val="00087420"/>
    <w:rsid w:val="00087436"/>
    <w:rsid w:val="00087473"/>
    <w:rsid w:val="00087506"/>
    <w:rsid w:val="00087891"/>
    <w:rsid w:val="000878C5"/>
    <w:rsid w:val="000879FA"/>
    <w:rsid w:val="00087C02"/>
    <w:rsid w:val="00087C89"/>
    <w:rsid w:val="00087E06"/>
    <w:rsid w:val="00087F2B"/>
    <w:rsid w:val="0009002F"/>
    <w:rsid w:val="000901CF"/>
    <w:rsid w:val="00090469"/>
    <w:rsid w:val="00090506"/>
    <w:rsid w:val="00090707"/>
    <w:rsid w:val="000907CB"/>
    <w:rsid w:val="0009088B"/>
    <w:rsid w:val="00090BB2"/>
    <w:rsid w:val="00090FFA"/>
    <w:rsid w:val="00091150"/>
    <w:rsid w:val="000914B0"/>
    <w:rsid w:val="0009174A"/>
    <w:rsid w:val="000917C7"/>
    <w:rsid w:val="0009187B"/>
    <w:rsid w:val="00091AF8"/>
    <w:rsid w:val="00091F22"/>
    <w:rsid w:val="00091FBA"/>
    <w:rsid w:val="00092535"/>
    <w:rsid w:val="00092675"/>
    <w:rsid w:val="000926A9"/>
    <w:rsid w:val="000928B1"/>
    <w:rsid w:val="00092A66"/>
    <w:rsid w:val="00092E50"/>
    <w:rsid w:val="00092E65"/>
    <w:rsid w:val="00092F14"/>
    <w:rsid w:val="0009317D"/>
    <w:rsid w:val="000932DF"/>
    <w:rsid w:val="000937CF"/>
    <w:rsid w:val="0009393A"/>
    <w:rsid w:val="00093B71"/>
    <w:rsid w:val="00093D2A"/>
    <w:rsid w:val="00094108"/>
    <w:rsid w:val="000946F5"/>
    <w:rsid w:val="0009480C"/>
    <w:rsid w:val="0009485A"/>
    <w:rsid w:val="000949EE"/>
    <w:rsid w:val="00094B08"/>
    <w:rsid w:val="00094C09"/>
    <w:rsid w:val="00094EFB"/>
    <w:rsid w:val="000951B2"/>
    <w:rsid w:val="000951BD"/>
    <w:rsid w:val="00095299"/>
    <w:rsid w:val="000952C3"/>
    <w:rsid w:val="00095426"/>
    <w:rsid w:val="00095AFC"/>
    <w:rsid w:val="00095C27"/>
    <w:rsid w:val="00095CDA"/>
    <w:rsid w:val="00095FDA"/>
    <w:rsid w:val="00095FFE"/>
    <w:rsid w:val="0009606D"/>
    <w:rsid w:val="000960CC"/>
    <w:rsid w:val="00096236"/>
    <w:rsid w:val="00096319"/>
    <w:rsid w:val="00096544"/>
    <w:rsid w:val="0009669F"/>
    <w:rsid w:val="00096C4D"/>
    <w:rsid w:val="00096D3A"/>
    <w:rsid w:val="00096EC9"/>
    <w:rsid w:val="000970D8"/>
    <w:rsid w:val="00097381"/>
    <w:rsid w:val="0009740C"/>
    <w:rsid w:val="00097444"/>
    <w:rsid w:val="00097484"/>
    <w:rsid w:val="0009759E"/>
    <w:rsid w:val="000979A7"/>
    <w:rsid w:val="00097A1B"/>
    <w:rsid w:val="00097D66"/>
    <w:rsid w:val="00097DF4"/>
    <w:rsid w:val="00097F5D"/>
    <w:rsid w:val="00097F91"/>
    <w:rsid w:val="000A0202"/>
    <w:rsid w:val="000A02F7"/>
    <w:rsid w:val="000A071F"/>
    <w:rsid w:val="000A073E"/>
    <w:rsid w:val="000A0A00"/>
    <w:rsid w:val="000A0B96"/>
    <w:rsid w:val="000A0BC2"/>
    <w:rsid w:val="000A0BE3"/>
    <w:rsid w:val="000A0F37"/>
    <w:rsid w:val="000A1365"/>
    <w:rsid w:val="000A154F"/>
    <w:rsid w:val="000A1568"/>
    <w:rsid w:val="000A1783"/>
    <w:rsid w:val="000A19A5"/>
    <w:rsid w:val="000A19D1"/>
    <w:rsid w:val="000A1E64"/>
    <w:rsid w:val="000A1F5F"/>
    <w:rsid w:val="000A20D0"/>
    <w:rsid w:val="000A225E"/>
    <w:rsid w:val="000A240C"/>
    <w:rsid w:val="000A2472"/>
    <w:rsid w:val="000A2B36"/>
    <w:rsid w:val="000A2D70"/>
    <w:rsid w:val="000A2DA6"/>
    <w:rsid w:val="000A2F11"/>
    <w:rsid w:val="000A312F"/>
    <w:rsid w:val="000A3195"/>
    <w:rsid w:val="000A3A49"/>
    <w:rsid w:val="000A3B51"/>
    <w:rsid w:val="000A40F7"/>
    <w:rsid w:val="000A43F1"/>
    <w:rsid w:val="000A4404"/>
    <w:rsid w:val="000A48B4"/>
    <w:rsid w:val="000A4943"/>
    <w:rsid w:val="000A4978"/>
    <w:rsid w:val="000A4AFC"/>
    <w:rsid w:val="000A4C84"/>
    <w:rsid w:val="000A4DA0"/>
    <w:rsid w:val="000A4E8F"/>
    <w:rsid w:val="000A5492"/>
    <w:rsid w:val="000A553B"/>
    <w:rsid w:val="000A5931"/>
    <w:rsid w:val="000A599E"/>
    <w:rsid w:val="000A6489"/>
    <w:rsid w:val="000A69D5"/>
    <w:rsid w:val="000A6B9B"/>
    <w:rsid w:val="000A6E5D"/>
    <w:rsid w:val="000A720C"/>
    <w:rsid w:val="000A7446"/>
    <w:rsid w:val="000A75A3"/>
    <w:rsid w:val="000A7626"/>
    <w:rsid w:val="000A76F4"/>
    <w:rsid w:val="000A7C23"/>
    <w:rsid w:val="000A7E97"/>
    <w:rsid w:val="000A7F40"/>
    <w:rsid w:val="000B009A"/>
    <w:rsid w:val="000B016A"/>
    <w:rsid w:val="000B04C9"/>
    <w:rsid w:val="000B04E5"/>
    <w:rsid w:val="000B054C"/>
    <w:rsid w:val="000B0620"/>
    <w:rsid w:val="000B0803"/>
    <w:rsid w:val="000B0972"/>
    <w:rsid w:val="000B09D1"/>
    <w:rsid w:val="000B1128"/>
    <w:rsid w:val="000B131D"/>
    <w:rsid w:val="000B1520"/>
    <w:rsid w:val="000B16AC"/>
    <w:rsid w:val="000B171F"/>
    <w:rsid w:val="000B1795"/>
    <w:rsid w:val="000B182A"/>
    <w:rsid w:val="000B19F7"/>
    <w:rsid w:val="000B1C29"/>
    <w:rsid w:val="000B1E2C"/>
    <w:rsid w:val="000B2070"/>
    <w:rsid w:val="000B21AC"/>
    <w:rsid w:val="000B22D9"/>
    <w:rsid w:val="000B2496"/>
    <w:rsid w:val="000B260A"/>
    <w:rsid w:val="000B2852"/>
    <w:rsid w:val="000B28C0"/>
    <w:rsid w:val="000B2A02"/>
    <w:rsid w:val="000B2A6E"/>
    <w:rsid w:val="000B2B5E"/>
    <w:rsid w:val="000B2BA0"/>
    <w:rsid w:val="000B2CAF"/>
    <w:rsid w:val="000B2E5D"/>
    <w:rsid w:val="000B2E8C"/>
    <w:rsid w:val="000B2FF1"/>
    <w:rsid w:val="000B34C4"/>
    <w:rsid w:val="000B3603"/>
    <w:rsid w:val="000B39E2"/>
    <w:rsid w:val="000B3A52"/>
    <w:rsid w:val="000B3B3D"/>
    <w:rsid w:val="000B3C71"/>
    <w:rsid w:val="000B3E2C"/>
    <w:rsid w:val="000B3E53"/>
    <w:rsid w:val="000B3F5F"/>
    <w:rsid w:val="000B4005"/>
    <w:rsid w:val="000B4077"/>
    <w:rsid w:val="000B40CA"/>
    <w:rsid w:val="000B4254"/>
    <w:rsid w:val="000B4942"/>
    <w:rsid w:val="000B4AEF"/>
    <w:rsid w:val="000B4DB0"/>
    <w:rsid w:val="000B501B"/>
    <w:rsid w:val="000B5050"/>
    <w:rsid w:val="000B50AC"/>
    <w:rsid w:val="000B535C"/>
    <w:rsid w:val="000B53B2"/>
    <w:rsid w:val="000B55EC"/>
    <w:rsid w:val="000B56DC"/>
    <w:rsid w:val="000B5921"/>
    <w:rsid w:val="000B5996"/>
    <w:rsid w:val="000B59E1"/>
    <w:rsid w:val="000B5E5C"/>
    <w:rsid w:val="000B6132"/>
    <w:rsid w:val="000B6203"/>
    <w:rsid w:val="000B6354"/>
    <w:rsid w:val="000B6375"/>
    <w:rsid w:val="000B64A9"/>
    <w:rsid w:val="000B687A"/>
    <w:rsid w:val="000B69F1"/>
    <w:rsid w:val="000B6AFB"/>
    <w:rsid w:val="000B6B78"/>
    <w:rsid w:val="000B6D41"/>
    <w:rsid w:val="000B6DCF"/>
    <w:rsid w:val="000B6E5C"/>
    <w:rsid w:val="000B6E85"/>
    <w:rsid w:val="000B7003"/>
    <w:rsid w:val="000B7275"/>
    <w:rsid w:val="000B7366"/>
    <w:rsid w:val="000B7740"/>
    <w:rsid w:val="000B7786"/>
    <w:rsid w:val="000B77A0"/>
    <w:rsid w:val="000B7827"/>
    <w:rsid w:val="000B784B"/>
    <w:rsid w:val="000B79C4"/>
    <w:rsid w:val="000B7B7A"/>
    <w:rsid w:val="000C00E8"/>
    <w:rsid w:val="000C0179"/>
    <w:rsid w:val="000C02E5"/>
    <w:rsid w:val="000C043E"/>
    <w:rsid w:val="000C0582"/>
    <w:rsid w:val="000C0944"/>
    <w:rsid w:val="000C097D"/>
    <w:rsid w:val="000C0A55"/>
    <w:rsid w:val="000C0C4A"/>
    <w:rsid w:val="000C0D2B"/>
    <w:rsid w:val="000C0D7A"/>
    <w:rsid w:val="000C0EF1"/>
    <w:rsid w:val="000C1130"/>
    <w:rsid w:val="000C1185"/>
    <w:rsid w:val="000C1560"/>
    <w:rsid w:val="000C156F"/>
    <w:rsid w:val="000C16A3"/>
    <w:rsid w:val="000C17D7"/>
    <w:rsid w:val="000C18D4"/>
    <w:rsid w:val="000C1A0B"/>
    <w:rsid w:val="000C1A13"/>
    <w:rsid w:val="000C1E16"/>
    <w:rsid w:val="000C1EA0"/>
    <w:rsid w:val="000C1F6C"/>
    <w:rsid w:val="000C22D7"/>
    <w:rsid w:val="000C280A"/>
    <w:rsid w:val="000C2A35"/>
    <w:rsid w:val="000C2AAE"/>
    <w:rsid w:val="000C2DCA"/>
    <w:rsid w:val="000C2E8A"/>
    <w:rsid w:val="000C3032"/>
    <w:rsid w:val="000C3154"/>
    <w:rsid w:val="000C3176"/>
    <w:rsid w:val="000C3311"/>
    <w:rsid w:val="000C34A4"/>
    <w:rsid w:val="000C3567"/>
    <w:rsid w:val="000C3585"/>
    <w:rsid w:val="000C360D"/>
    <w:rsid w:val="000C3625"/>
    <w:rsid w:val="000C3699"/>
    <w:rsid w:val="000C3964"/>
    <w:rsid w:val="000C3A92"/>
    <w:rsid w:val="000C3B53"/>
    <w:rsid w:val="000C3BF2"/>
    <w:rsid w:val="000C3E9E"/>
    <w:rsid w:val="000C3F41"/>
    <w:rsid w:val="000C4196"/>
    <w:rsid w:val="000C434F"/>
    <w:rsid w:val="000C4831"/>
    <w:rsid w:val="000C4945"/>
    <w:rsid w:val="000C4C47"/>
    <w:rsid w:val="000C4C9A"/>
    <w:rsid w:val="000C4E30"/>
    <w:rsid w:val="000C4FA0"/>
    <w:rsid w:val="000C540E"/>
    <w:rsid w:val="000C5422"/>
    <w:rsid w:val="000C5470"/>
    <w:rsid w:val="000C5698"/>
    <w:rsid w:val="000C56E9"/>
    <w:rsid w:val="000C573E"/>
    <w:rsid w:val="000C57DD"/>
    <w:rsid w:val="000C5A8E"/>
    <w:rsid w:val="000C5BA6"/>
    <w:rsid w:val="000C5BDF"/>
    <w:rsid w:val="000C5D70"/>
    <w:rsid w:val="000C5D84"/>
    <w:rsid w:val="000C643D"/>
    <w:rsid w:val="000C67FB"/>
    <w:rsid w:val="000C69F7"/>
    <w:rsid w:val="000C6A48"/>
    <w:rsid w:val="000C6BB5"/>
    <w:rsid w:val="000C6C54"/>
    <w:rsid w:val="000C6DA3"/>
    <w:rsid w:val="000C74CE"/>
    <w:rsid w:val="000C7544"/>
    <w:rsid w:val="000C7599"/>
    <w:rsid w:val="000C7A10"/>
    <w:rsid w:val="000C7C58"/>
    <w:rsid w:val="000C7C5E"/>
    <w:rsid w:val="000C7EBE"/>
    <w:rsid w:val="000D0231"/>
    <w:rsid w:val="000D03D8"/>
    <w:rsid w:val="000D0671"/>
    <w:rsid w:val="000D071E"/>
    <w:rsid w:val="000D079D"/>
    <w:rsid w:val="000D0A5A"/>
    <w:rsid w:val="000D0C4F"/>
    <w:rsid w:val="000D0E63"/>
    <w:rsid w:val="000D102D"/>
    <w:rsid w:val="000D110B"/>
    <w:rsid w:val="000D15F0"/>
    <w:rsid w:val="000D17D7"/>
    <w:rsid w:val="000D17E2"/>
    <w:rsid w:val="000D1D50"/>
    <w:rsid w:val="000D20F4"/>
    <w:rsid w:val="000D221F"/>
    <w:rsid w:val="000D2649"/>
    <w:rsid w:val="000D271F"/>
    <w:rsid w:val="000D2A0D"/>
    <w:rsid w:val="000D2A86"/>
    <w:rsid w:val="000D2B1B"/>
    <w:rsid w:val="000D2B68"/>
    <w:rsid w:val="000D2E9A"/>
    <w:rsid w:val="000D2FC3"/>
    <w:rsid w:val="000D308E"/>
    <w:rsid w:val="000D30E8"/>
    <w:rsid w:val="000D32C9"/>
    <w:rsid w:val="000D3875"/>
    <w:rsid w:val="000D38F2"/>
    <w:rsid w:val="000D39C3"/>
    <w:rsid w:val="000D3C7E"/>
    <w:rsid w:val="000D3D3D"/>
    <w:rsid w:val="000D3D48"/>
    <w:rsid w:val="000D3E24"/>
    <w:rsid w:val="000D3E69"/>
    <w:rsid w:val="000D3ED1"/>
    <w:rsid w:val="000D3FEC"/>
    <w:rsid w:val="000D4653"/>
    <w:rsid w:val="000D46DC"/>
    <w:rsid w:val="000D4768"/>
    <w:rsid w:val="000D4826"/>
    <w:rsid w:val="000D48FA"/>
    <w:rsid w:val="000D493D"/>
    <w:rsid w:val="000D499E"/>
    <w:rsid w:val="000D4A1B"/>
    <w:rsid w:val="000D4B09"/>
    <w:rsid w:val="000D4B24"/>
    <w:rsid w:val="000D4C71"/>
    <w:rsid w:val="000D4F34"/>
    <w:rsid w:val="000D5140"/>
    <w:rsid w:val="000D5163"/>
    <w:rsid w:val="000D5249"/>
    <w:rsid w:val="000D5280"/>
    <w:rsid w:val="000D54C9"/>
    <w:rsid w:val="000D5775"/>
    <w:rsid w:val="000D59C9"/>
    <w:rsid w:val="000D5D79"/>
    <w:rsid w:val="000D5DA0"/>
    <w:rsid w:val="000D5FCB"/>
    <w:rsid w:val="000D638E"/>
    <w:rsid w:val="000D6471"/>
    <w:rsid w:val="000D64EE"/>
    <w:rsid w:val="000D65EA"/>
    <w:rsid w:val="000D6615"/>
    <w:rsid w:val="000D667C"/>
    <w:rsid w:val="000D6872"/>
    <w:rsid w:val="000D6A6F"/>
    <w:rsid w:val="000D6AF7"/>
    <w:rsid w:val="000D6D1F"/>
    <w:rsid w:val="000D6D40"/>
    <w:rsid w:val="000D6D97"/>
    <w:rsid w:val="000D6EFF"/>
    <w:rsid w:val="000D7053"/>
    <w:rsid w:val="000D722D"/>
    <w:rsid w:val="000D7231"/>
    <w:rsid w:val="000D72E4"/>
    <w:rsid w:val="000D7336"/>
    <w:rsid w:val="000D7492"/>
    <w:rsid w:val="000D7C6C"/>
    <w:rsid w:val="000D7D52"/>
    <w:rsid w:val="000D7F3F"/>
    <w:rsid w:val="000E0150"/>
    <w:rsid w:val="000E0191"/>
    <w:rsid w:val="000E0309"/>
    <w:rsid w:val="000E0379"/>
    <w:rsid w:val="000E03BC"/>
    <w:rsid w:val="000E043B"/>
    <w:rsid w:val="000E07F8"/>
    <w:rsid w:val="000E0FC5"/>
    <w:rsid w:val="000E102F"/>
    <w:rsid w:val="000E10C9"/>
    <w:rsid w:val="000E10D2"/>
    <w:rsid w:val="000E10E9"/>
    <w:rsid w:val="000E141D"/>
    <w:rsid w:val="000E18C6"/>
    <w:rsid w:val="000E1A03"/>
    <w:rsid w:val="000E1AB1"/>
    <w:rsid w:val="000E1BE9"/>
    <w:rsid w:val="000E1F00"/>
    <w:rsid w:val="000E2120"/>
    <w:rsid w:val="000E230D"/>
    <w:rsid w:val="000E25ED"/>
    <w:rsid w:val="000E2CEC"/>
    <w:rsid w:val="000E2D68"/>
    <w:rsid w:val="000E2F2F"/>
    <w:rsid w:val="000E2FCF"/>
    <w:rsid w:val="000E2FD9"/>
    <w:rsid w:val="000E3478"/>
    <w:rsid w:val="000E35B7"/>
    <w:rsid w:val="000E3809"/>
    <w:rsid w:val="000E3882"/>
    <w:rsid w:val="000E3E2C"/>
    <w:rsid w:val="000E3E71"/>
    <w:rsid w:val="000E3FE5"/>
    <w:rsid w:val="000E404D"/>
    <w:rsid w:val="000E4151"/>
    <w:rsid w:val="000E4236"/>
    <w:rsid w:val="000E455D"/>
    <w:rsid w:val="000E4A16"/>
    <w:rsid w:val="000E4B01"/>
    <w:rsid w:val="000E4B2E"/>
    <w:rsid w:val="000E530C"/>
    <w:rsid w:val="000E5353"/>
    <w:rsid w:val="000E542E"/>
    <w:rsid w:val="000E5611"/>
    <w:rsid w:val="000E57EC"/>
    <w:rsid w:val="000E5A0C"/>
    <w:rsid w:val="000E5E66"/>
    <w:rsid w:val="000E5FF0"/>
    <w:rsid w:val="000E667C"/>
    <w:rsid w:val="000E66B2"/>
    <w:rsid w:val="000E69A3"/>
    <w:rsid w:val="000E6A49"/>
    <w:rsid w:val="000E6C52"/>
    <w:rsid w:val="000E6E3B"/>
    <w:rsid w:val="000E6ED2"/>
    <w:rsid w:val="000E7235"/>
    <w:rsid w:val="000E7582"/>
    <w:rsid w:val="000E76D9"/>
    <w:rsid w:val="000E7F3B"/>
    <w:rsid w:val="000E7F8D"/>
    <w:rsid w:val="000E7FDD"/>
    <w:rsid w:val="000F0251"/>
    <w:rsid w:val="000F035D"/>
    <w:rsid w:val="000F0491"/>
    <w:rsid w:val="000F05F6"/>
    <w:rsid w:val="000F094D"/>
    <w:rsid w:val="000F09F2"/>
    <w:rsid w:val="000F0BA5"/>
    <w:rsid w:val="000F0C0D"/>
    <w:rsid w:val="000F0C26"/>
    <w:rsid w:val="000F0D0A"/>
    <w:rsid w:val="000F0DDA"/>
    <w:rsid w:val="000F0E39"/>
    <w:rsid w:val="000F0F18"/>
    <w:rsid w:val="000F113E"/>
    <w:rsid w:val="000F1292"/>
    <w:rsid w:val="000F13E7"/>
    <w:rsid w:val="000F1890"/>
    <w:rsid w:val="000F191A"/>
    <w:rsid w:val="000F1922"/>
    <w:rsid w:val="000F1BB2"/>
    <w:rsid w:val="000F1C35"/>
    <w:rsid w:val="000F1F8E"/>
    <w:rsid w:val="000F2672"/>
    <w:rsid w:val="000F2796"/>
    <w:rsid w:val="000F2E64"/>
    <w:rsid w:val="000F2EE7"/>
    <w:rsid w:val="000F2FEB"/>
    <w:rsid w:val="000F32D3"/>
    <w:rsid w:val="000F3338"/>
    <w:rsid w:val="000F33DF"/>
    <w:rsid w:val="000F3414"/>
    <w:rsid w:val="000F359D"/>
    <w:rsid w:val="000F35EE"/>
    <w:rsid w:val="000F38BD"/>
    <w:rsid w:val="000F3C1F"/>
    <w:rsid w:val="000F3DEE"/>
    <w:rsid w:val="000F4083"/>
    <w:rsid w:val="000F409D"/>
    <w:rsid w:val="000F41AC"/>
    <w:rsid w:val="000F4285"/>
    <w:rsid w:val="000F42F1"/>
    <w:rsid w:val="000F43FA"/>
    <w:rsid w:val="000F455F"/>
    <w:rsid w:val="000F4605"/>
    <w:rsid w:val="000F4628"/>
    <w:rsid w:val="000F4674"/>
    <w:rsid w:val="000F4EB7"/>
    <w:rsid w:val="000F4EDC"/>
    <w:rsid w:val="000F4F76"/>
    <w:rsid w:val="000F5141"/>
    <w:rsid w:val="000F51E2"/>
    <w:rsid w:val="000F53B4"/>
    <w:rsid w:val="000F54FC"/>
    <w:rsid w:val="000F5644"/>
    <w:rsid w:val="000F5851"/>
    <w:rsid w:val="000F59B1"/>
    <w:rsid w:val="000F5EB4"/>
    <w:rsid w:val="000F614E"/>
    <w:rsid w:val="000F62D0"/>
    <w:rsid w:val="000F64B0"/>
    <w:rsid w:val="000F6A58"/>
    <w:rsid w:val="000F6C24"/>
    <w:rsid w:val="000F6CAA"/>
    <w:rsid w:val="000F6CEB"/>
    <w:rsid w:val="000F6D36"/>
    <w:rsid w:val="000F6EC7"/>
    <w:rsid w:val="000F6ED2"/>
    <w:rsid w:val="000F700A"/>
    <w:rsid w:val="000F70A1"/>
    <w:rsid w:val="000F757D"/>
    <w:rsid w:val="000F75FE"/>
    <w:rsid w:val="000F7668"/>
    <w:rsid w:val="000F77E4"/>
    <w:rsid w:val="000F793F"/>
    <w:rsid w:val="0010030A"/>
    <w:rsid w:val="001004B0"/>
    <w:rsid w:val="001005C8"/>
    <w:rsid w:val="001008AF"/>
    <w:rsid w:val="00100A00"/>
    <w:rsid w:val="00100C23"/>
    <w:rsid w:val="00100C4B"/>
    <w:rsid w:val="00100C77"/>
    <w:rsid w:val="00100CF5"/>
    <w:rsid w:val="00100DC4"/>
    <w:rsid w:val="00100E01"/>
    <w:rsid w:val="00100ECA"/>
    <w:rsid w:val="00101130"/>
    <w:rsid w:val="0010118C"/>
    <w:rsid w:val="001012F4"/>
    <w:rsid w:val="0010141D"/>
    <w:rsid w:val="001014C6"/>
    <w:rsid w:val="00101A5E"/>
    <w:rsid w:val="00101C00"/>
    <w:rsid w:val="001025C3"/>
    <w:rsid w:val="00102B65"/>
    <w:rsid w:val="00102BB0"/>
    <w:rsid w:val="00102D90"/>
    <w:rsid w:val="00103027"/>
    <w:rsid w:val="00103058"/>
    <w:rsid w:val="00103631"/>
    <w:rsid w:val="001038C6"/>
    <w:rsid w:val="00103A68"/>
    <w:rsid w:val="00103B62"/>
    <w:rsid w:val="00103BAE"/>
    <w:rsid w:val="00103C97"/>
    <w:rsid w:val="00103F4A"/>
    <w:rsid w:val="0010415B"/>
    <w:rsid w:val="001043C0"/>
    <w:rsid w:val="001044F0"/>
    <w:rsid w:val="001046F2"/>
    <w:rsid w:val="001049E7"/>
    <w:rsid w:val="00104BCF"/>
    <w:rsid w:val="00104F87"/>
    <w:rsid w:val="001050E0"/>
    <w:rsid w:val="00105207"/>
    <w:rsid w:val="001053A0"/>
    <w:rsid w:val="001053C8"/>
    <w:rsid w:val="00105498"/>
    <w:rsid w:val="001054DA"/>
    <w:rsid w:val="00105524"/>
    <w:rsid w:val="00105649"/>
    <w:rsid w:val="0010571B"/>
    <w:rsid w:val="00105D3A"/>
    <w:rsid w:val="00105D8E"/>
    <w:rsid w:val="00106138"/>
    <w:rsid w:val="001062F1"/>
    <w:rsid w:val="001063FB"/>
    <w:rsid w:val="0010651F"/>
    <w:rsid w:val="0010653D"/>
    <w:rsid w:val="00106ADB"/>
    <w:rsid w:val="00106C30"/>
    <w:rsid w:val="00106C5F"/>
    <w:rsid w:val="00106D55"/>
    <w:rsid w:val="00106FAC"/>
    <w:rsid w:val="0010710D"/>
    <w:rsid w:val="00107146"/>
    <w:rsid w:val="0010777D"/>
    <w:rsid w:val="00107903"/>
    <w:rsid w:val="00107972"/>
    <w:rsid w:val="00107E14"/>
    <w:rsid w:val="00107F9F"/>
    <w:rsid w:val="0011024E"/>
    <w:rsid w:val="00110659"/>
    <w:rsid w:val="0011069D"/>
    <w:rsid w:val="00110793"/>
    <w:rsid w:val="001108D5"/>
    <w:rsid w:val="0011098D"/>
    <w:rsid w:val="00110DE1"/>
    <w:rsid w:val="00110E14"/>
    <w:rsid w:val="00110F04"/>
    <w:rsid w:val="00111163"/>
    <w:rsid w:val="00111169"/>
    <w:rsid w:val="00111502"/>
    <w:rsid w:val="00111622"/>
    <w:rsid w:val="00111839"/>
    <w:rsid w:val="00111997"/>
    <w:rsid w:val="00111AE0"/>
    <w:rsid w:val="0011221F"/>
    <w:rsid w:val="00112264"/>
    <w:rsid w:val="001122BE"/>
    <w:rsid w:val="001122F2"/>
    <w:rsid w:val="00112351"/>
    <w:rsid w:val="00112483"/>
    <w:rsid w:val="0011287A"/>
    <w:rsid w:val="00112946"/>
    <w:rsid w:val="00112B06"/>
    <w:rsid w:val="00112EE7"/>
    <w:rsid w:val="00112F13"/>
    <w:rsid w:val="00113236"/>
    <w:rsid w:val="00113503"/>
    <w:rsid w:val="00113546"/>
    <w:rsid w:val="001136BC"/>
    <w:rsid w:val="001139A5"/>
    <w:rsid w:val="00113AA8"/>
    <w:rsid w:val="00113CCD"/>
    <w:rsid w:val="00113D79"/>
    <w:rsid w:val="00113DD6"/>
    <w:rsid w:val="0011418D"/>
    <w:rsid w:val="00114376"/>
    <w:rsid w:val="001144B2"/>
    <w:rsid w:val="001148DA"/>
    <w:rsid w:val="0011490E"/>
    <w:rsid w:val="00114992"/>
    <w:rsid w:val="00114B98"/>
    <w:rsid w:val="00114F3F"/>
    <w:rsid w:val="00114FD1"/>
    <w:rsid w:val="00115054"/>
    <w:rsid w:val="00115198"/>
    <w:rsid w:val="001151EE"/>
    <w:rsid w:val="001151F0"/>
    <w:rsid w:val="001154EE"/>
    <w:rsid w:val="00115614"/>
    <w:rsid w:val="0011571E"/>
    <w:rsid w:val="00115814"/>
    <w:rsid w:val="00115A49"/>
    <w:rsid w:val="00115A9F"/>
    <w:rsid w:val="00115AEC"/>
    <w:rsid w:val="00116149"/>
    <w:rsid w:val="00116604"/>
    <w:rsid w:val="001167D7"/>
    <w:rsid w:val="00116DE0"/>
    <w:rsid w:val="00116E43"/>
    <w:rsid w:val="00116FC2"/>
    <w:rsid w:val="001170E1"/>
    <w:rsid w:val="00117165"/>
    <w:rsid w:val="00117470"/>
    <w:rsid w:val="0011748A"/>
    <w:rsid w:val="001175B8"/>
    <w:rsid w:val="00117A42"/>
    <w:rsid w:val="00117B03"/>
    <w:rsid w:val="00120087"/>
    <w:rsid w:val="001200E8"/>
    <w:rsid w:val="001201A7"/>
    <w:rsid w:val="00120212"/>
    <w:rsid w:val="0012053A"/>
    <w:rsid w:val="001205E5"/>
    <w:rsid w:val="00120691"/>
    <w:rsid w:val="0012069E"/>
    <w:rsid w:val="001206D4"/>
    <w:rsid w:val="00120B0E"/>
    <w:rsid w:val="00120D5B"/>
    <w:rsid w:val="00120E6E"/>
    <w:rsid w:val="001210C2"/>
    <w:rsid w:val="0012122C"/>
    <w:rsid w:val="001215F8"/>
    <w:rsid w:val="00121B7B"/>
    <w:rsid w:val="00121BA9"/>
    <w:rsid w:val="00121DA2"/>
    <w:rsid w:val="00121E45"/>
    <w:rsid w:val="00121F19"/>
    <w:rsid w:val="0012200D"/>
    <w:rsid w:val="001220DF"/>
    <w:rsid w:val="001222DF"/>
    <w:rsid w:val="001224A4"/>
    <w:rsid w:val="00122603"/>
    <w:rsid w:val="00122796"/>
    <w:rsid w:val="001227D1"/>
    <w:rsid w:val="00122A10"/>
    <w:rsid w:val="00122A8D"/>
    <w:rsid w:val="00122BD5"/>
    <w:rsid w:val="00122C30"/>
    <w:rsid w:val="00122D2F"/>
    <w:rsid w:val="00122EB5"/>
    <w:rsid w:val="001236C9"/>
    <w:rsid w:val="00123716"/>
    <w:rsid w:val="00123761"/>
    <w:rsid w:val="001237B0"/>
    <w:rsid w:val="0012386F"/>
    <w:rsid w:val="00123958"/>
    <w:rsid w:val="00123A08"/>
    <w:rsid w:val="00123AE9"/>
    <w:rsid w:val="00123E7E"/>
    <w:rsid w:val="00124455"/>
    <w:rsid w:val="001245F5"/>
    <w:rsid w:val="0012466C"/>
    <w:rsid w:val="001246FB"/>
    <w:rsid w:val="00124C5F"/>
    <w:rsid w:val="00124E0F"/>
    <w:rsid w:val="00124F8D"/>
    <w:rsid w:val="001250CF"/>
    <w:rsid w:val="0012528F"/>
    <w:rsid w:val="00125327"/>
    <w:rsid w:val="00125468"/>
    <w:rsid w:val="00125536"/>
    <w:rsid w:val="0012556C"/>
    <w:rsid w:val="001255F1"/>
    <w:rsid w:val="0012563C"/>
    <w:rsid w:val="00125C5C"/>
    <w:rsid w:val="00125F97"/>
    <w:rsid w:val="00126208"/>
    <w:rsid w:val="0012622B"/>
    <w:rsid w:val="00126282"/>
    <w:rsid w:val="001264CD"/>
    <w:rsid w:val="0012653B"/>
    <w:rsid w:val="0012657C"/>
    <w:rsid w:val="0012671C"/>
    <w:rsid w:val="001267C5"/>
    <w:rsid w:val="00126A97"/>
    <w:rsid w:val="00127846"/>
    <w:rsid w:val="001278F1"/>
    <w:rsid w:val="00127C09"/>
    <w:rsid w:val="00127C71"/>
    <w:rsid w:val="00127CF8"/>
    <w:rsid w:val="00127DA6"/>
    <w:rsid w:val="00127F64"/>
    <w:rsid w:val="001300B6"/>
    <w:rsid w:val="00130136"/>
    <w:rsid w:val="0013028D"/>
    <w:rsid w:val="001303E5"/>
    <w:rsid w:val="00130407"/>
    <w:rsid w:val="00130722"/>
    <w:rsid w:val="001309BD"/>
    <w:rsid w:val="001309C6"/>
    <w:rsid w:val="00130C8C"/>
    <w:rsid w:val="00131847"/>
    <w:rsid w:val="00131A7D"/>
    <w:rsid w:val="00131C50"/>
    <w:rsid w:val="00131DE7"/>
    <w:rsid w:val="00131DFA"/>
    <w:rsid w:val="00131EF2"/>
    <w:rsid w:val="00131F63"/>
    <w:rsid w:val="00131F9B"/>
    <w:rsid w:val="001322DC"/>
    <w:rsid w:val="001323BF"/>
    <w:rsid w:val="001327F4"/>
    <w:rsid w:val="0013281D"/>
    <w:rsid w:val="001329A6"/>
    <w:rsid w:val="00132AE9"/>
    <w:rsid w:val="00132C68"/>
    <w:rsid w:val="00133165"/>
    <w:rsid w:val="001332D9"/>
    <w:rsid w:val="00133353"/>
    <w:rsid w:val="0013337F"/>
    <w:rsid w:val="00133417"/>
    <w:rsid w:val="00133925"/>
    <w:rsid w:val="00133E1A"/>
    <w:rsid w:val="00133E3B"/>
    <w:rsid w:val="001340F6"/>
    <w:rsid w:val="0013432D"/>
    <w:rsid w:val="0013471A"/>
    <w:rsid w:val="00134B1A"/>
    <w:rsid w:val="00134C29"/>
    <w:rsid w:val="00134E48"/>
    <w:rsid w:val="0013509C"/>
    <w:rsid w:val="001354C6"/>
    <w:rsid w:val="001355E8"/>
    <w:rsid w:val="001357AA"/>
    <w:rsid w:val="00135FF5"/>
    <w:rsid w:val="001362E9"/>
    <w:rsid w:val="0013632C"/>
    <w:rsid w:val="00136396"/>
    <w:rsid w:val="00136563"/>
    <w:rsid w:val="00136772"/>
    <w:rsid w:val="00136AD0"/>
    <w:rsid w:val="00136B17"/>
    <w:rsid w:val="00136BEE"/>
    <w:rsid w:val="00136CAC"/>
    <w:rsid w:val="00136CF9"/>
    <w:rsid w:val="001370B4"/>
    <w:rsid w:val="00137768"/>
    <w:rsid w:val="00137941"/>
    <w:rsid w:val="00137B69"/>
    <w:rsid w:val="00137CF4"/>
    <w:rsid w:val="0014072E"/>
    <w:rsid w:val="00140743"/>
    <w:rsid w:val="0014084C"/>
    <w:rsid w:val="001408BA"/>
    <w:rsid w:val="00140985"/>
    <w:rsid w:val="00140A8C"/>
    <w:rsid w:val="00140C47"/>
    <w:rsid w:val="00140D51"/>
    <w:rsid w:val="00140DC7"/>
    <w:rsid w:val="001413F3"/>
    <w:rsid w:val="00141446"/>
    <w:rsid w:val="00141468"/>
    <w:rsid w:val="00141578"/>
    <w:rsid w:val="00141C56"/>
    <w:rsid w:val="00141D89"/>
    <w:rsid w:val="00141E59"/>
    <w:rsid w:val="001420BA"/>
    <w:rsid w:val="00142180"/>
    <w:rsid w:val="0014224C"/>
    <w:rsid w:val="00142609"/>
    <w:rsid w:val="001427AE"/>
    <w:rsid w:val="001429A3"/>
    <w:rsid w:val="00142AA9"/>
    <w:rsid w:val="00142F75"/>
    <w:rsid w:val="0014311A"/>
    <w:rsid w:val="001433C2"/>
    <w:rsid w:val="001433CE"/>
    <w:rsid w:val="001436D6"/>
    <w:rsid w:val="00143725"/>
    <w:rsid w:val="00143911"/>
    <w:rsid w:val="00143E7D"/>
    <w:rsid w:val="001447C6"/>
    <w:rsid w:val="00144D98"/>
    <w:rsid w:val="0014528C"/>
    <w:rsid w:val="00145528"/>
    <w:rsid w:val="00145672"/>
    <w:rsid w:val="00145F24"/>
    <w:rsid w:val="00145F8A"/>
    <w:rsid w:val="00146059"/>
    <w:rsid w:val="00146080"/>
    <w:rsid w:val="001460EC"/>
    <w:rsid w:val="001460FD"/>
    <w:rsid w:val="00146855"/>
    <w:rsid w:val="00146B4A"/>
    <w:rsid w:val="00146E5E"/>
    <w:rsid w:val="00146F64"/>
    <w:rsid w:val="00147221"/>
    <w:rsid w:val="001473E6"/>
    <w:rsid w:val="00147437"/>
    <w:rsid w:val="001476AB"/>
    <w:rsid w:val="001477AA"/>
    <w:rsid w:val="001478C5"/>
    <w:rsid w:val="00147BAA"/>
    <w:rsid w:val="00147CCA"/>
    <w:rsid w:val="00147D63"/>
    <w:rsid w:val="00147D9A"/>
    <w:rsid w:val="00147F98"/>
    <w:rsid w:val="00150171"/>
    <w:rsid w:val="001504AE"/>
    <w:rsid w:val="0015066D"/>
    <w:rsid w:val="00150718"/>
    <w:rsid w:val="00150F73"/>
    <w:rsid w:val="001510CF"/>
    <w:rsid w:val="00151147"/>
    <w:rsid w:val="00151288"/>
    <w:rsid w:val="001512C4"/>
    <w:rsid w:val="001515A1"/>
    <w:rsid w:val="0015182C"/>
    <w:rsid w:val="00151A1D"/>
    <w:rsid w:val="00151DC1"/>
    <w:rsid w:val="001521C8"/>
    <w:rsid w:val="0015244E"/>
    <w:rsid w:val="0015247D"/>
    <w:rsid w:val="00152523"/>
    <w:rsid w:val="00152863"/>
    <w:rsid w:val="00152A78"/>
    <w:rsid w:val="00152D80"/>
    <w:rsid w:val="00152DC8"/>
    <w:rsid w:val="00152E4E"/>
    <w:rsid w:val="00152F00"/>
    <w:rsid w:val="00152F8F"/>
    <w:rsid w:val="0015308A"/>
    <w:rsid w:val="0015331D"/>
    <w:rsid w:val="00153342"/>
    <w:rsid w:val="001536C4"/>
    <w:rsid w:val="001538CB"/>
    <w:rsid w:val="00153919"/>
    <w:rsid w:val="001539B6"/>
    <w:rsid w:val="00153B57"/>
    <w:rsid w:val="00153B62"/>
    <w:rsid w:val="00153C10"/>
    <w:rsid w:val="00153C73"/>
    <w:rsid w:val="00153CE8"/>
    <w:rsid w:val="00153F2C"/>
    <w:rsid w:val="0015405B"/>
    <w:rsid w:val="001540AC"/>
    <w:rsid w:val="00154167"/>
    <w:rsid w:val="0015433E"/>
    <w:rsid w:val="0015439C"/>
    <w:rsid w:val="001543D7"/>
    <w:rsid w:val="001544F2"/>
    <w:rsid w:val="0015452A"/>
    <w:rsid w:val="001545B9"/>
    <w:rsid w:val="001547AE"/>
    <w:rsid w:val="00154896"/>
    <w:rsid w:val="001549AA"/>
    <w:rsid w:val="00154AF3"/>
    <w:rsid w:val="00154AF9"/>
    <w:rsid w:val="00154BD7"/>
    <w:rsid w:val="00154EF8"/>
    <w:rsid w:val="0015541F"/>
    <w:rsid w:val="001554B7"/>
    <w:rsid w:val="001554FA"/>
    <w:rsid w:val="001557F6"/>
    <w:rsid w:val="001558B2"/>
    <w:rsid w:val="00155ECE"/>
    <w:rsid w:val="00155F59"/>
    <w:rsid w:val="00155F8C"/>
    <w:rsid w:val="00156006"/>
    <w:rsid w:val="001562BC"/>
    <w:rsid w:val="00156349"/>
    <w:rsid w:val="00156441"/>
    <w:rsid w:val="00156679"/>
    <w:rsid w:val="00156884"/>
    <w:rsid w:val="00156C2F"/>
    <w:rsid w:val="00156D8B"/>
    <w:rsid w:val="00156F19"/>
    <w:rsid w:val="00157443"/>
    <w:rsid w:val="001574E8"/>
    <w:rsid w:val="001575F1"/>
    <w:rsid w:val="001577C2"/>
    <w:rsid w:val="0015789B"/>
    <w:rsid w:val="00157C17"/>
    <w:rsid w:val="00157E77"/>
    <w:rsid w:val="00160574"/>
    <w:rsid w:val="00160664"/>
    <w:rsid w:val="001606A4"/>
    <w:rsid w:val="00160707"/>
    <w:rsid w:val="0016075D"/>
    <w:rsid w:val="00160A2E"/>
    <w:rsid w:val="00160A46"/>
    <w:rsid w:val="00160AF5"/>
    <w:rsid w:val="00160DF7"/>
    <w:rsid w:val="00160F52"/>
    <w:rsid w:val="0016107E"/>
    <w:rsid w:val="001610BB"/>
    <w:rsid w:val="0016127E"/>
    <w:rsid w:val="0016141F"/>
    <w:rsid w:val="001616FC"/>
    <w:rsid w:val="0016180C"/>
    <w:rsid w:val="00161A35"/>
    <w:rsid w:val="00161DBE"/>
    <w:rsid w:val="00161E2F"/>
    <w:rsid w:val="00161F7B"/>
    <w:rsid w:val="001620A1"/>
    <w:rsid w:val="00162347"/>
    <w:rsid w:val="001625BE"/>
    <w:rsid w:val="00162716"/>
    <w:rsid w:val="001627A3"/>
    <w:rsid w:val="0016282E"/>
    <w:rsid w:val="00162B20"/>
    <w:rsid w:val="00162D6F"/>
    <w:rsid w:val="00162E15"/>
    <w:rsid w:val="00162F7F"/>
    <w:rsid w:val="00162FDA"/>
    <w:rsid w:val="00163062"/>
    <w:rsid w:val="001632C1"/>
    <w:rsid w:val="001632F8"/>
    <w:rsid w:val="001633E9"/>
    <w:rsid w:val="0016359A"/>
    <w:rsid w:val="0016365F"/>
    <w:rsid w:val="00163801"/>
    <w:rsid w:val="00163917"/>
    <w:rsid w:val="00163A11"/>
    <w:rsid w:val="00163A20"/>
    <w:rsid w:val="00163C24"/>
    <w:rsid w:val="00163CA5"/>
    <w:rsid w:val="00163D51"/>
    <w:rsid w:val="00163D58"/>
    <w:rsid w:val="00163E8E"/>
    <w:rsid w:val="0016423B"/>
    <w:rsid w:val="001642C8"/>
    <w:rsid w:val="00164428"/>
    <w:rsid w:val="00164534"/>
    <w:rsid w:val="001645A0"/>
    <w:rsid w:val="0016460B"/>
    <w:rsid w:val="0016471C"/>
    <w:rsid w:val="0016486C"/>
    <w:rsid w:val="00164875"/>
    <w:rsid w:val="0016494C"/>
    <w:rsid w:val="00164C9C"/>
    <w:rsid w:val="00164FFB"/>
    <w:rsid w:val="00165118"/>
    <w:rsid w:val="00165425"/>
    <w:rsid w:val="00165482"/>
    <w:rsid w:val="00165760"/>
    <w:rsid w:val="0016579F"/>
    <w:rsid w:val="001657C4"/>
    <w:rsid w:val="00165A57"/>
    <w:rsid w:val="00165A58"/>
    <w:rsid w:val="00165FA1"/>
    <w:rsid w:val="00166055"/>
    <w:rsid w:val="0016622C"/>
    <w:rsid w:val="001662A8"/>
    <w:rsid w:val="0016667A"/>
    <w:rsid w:val="00166819"/>
    <w:rsid w:val="00166EDE"/>
    <w:rsid w:val="00166F7F"/>
    <w:rsid w:val="00166F98"/>
    <w:rsid w:val="0016707F"/>
    <w:rsid w:val="00167237"/>
    <w:rsid w:val="00167457"/>
    <w:rsid w:val="001677DA"/>
    <w:rsid w:val="00167921"/>
    <w:rsid w:val="00167C75"/>
    <w:rsid w:val="00167DA5"/>
    <w:rsid w:val="00167DEE"/>
    <w:rsid w:val="00167EC2"/>
    <w:rsid w:val="0017040B"/>
    <w:rsid w:val="00170650"/>
    <w:rsid w:val="00170697"/>
    <w:rsid w:val="001708AB"/>
    <w:rsid w:val="0017127B"/>
    <w:rsid w:val="00171359"/>
    <w:rsid w:val="00171650"/>
    <w:rsid w:val="0017180F"/>
    <w:rsid w:val="0017187A"/>
    <w:rsid w:val="00171963"/>
    <w:rsid w:val="00171B0C"/>
    <w:rsid w:val="00171C79"/>
    <w:rsid w:val="00171C8C"/>
    <w:rsid w:val="00171E43"/>
    <w:rsid w:val="001720BA"/>
    <w:rsid w:val="0017218D"/>
    <w:rsid w:val="001721F5"/>
    <w:rsid w:val="0017231F"/>
    <w:rsid w:val="0017256A"/>
    <w:rsid w:val="0017288D"/>
    <w:rsid w:val="00172967"/>
    <w:rsid w:val="00172AC7"/>
    <w:rsid w:val="00172ADE"/>
    <w:rsid w:val="00172B34"/>
    <w:rsid w:val="00172BAB"/>
    <w:rsid w:val="00172C8F"/>
    <w:rsid w:val="00172D5B"/>
    <w:rsid w:val="00172D99"/>
    <w:rsid w:val="00172EBD"/>
    <w:rsid w:val="00172FBC"/>
    <w:rsid w:val="001730AE"/>
    <w:rsid w:val="00173225"/>
    <w:rsid w:val="0017337B"/>
    <w:rsid w:val="001735FD"/>
    <w:rsid w:val="00173611"/>
    <w:rsid w:val="0017376C"/>
    <w:rsid w:val="00173A35"/>
    <w:rsid w:val="00173BA9"/>
    <w:rsid w:val="00173DE0"/>
    <w:rsid w:val="00173FC6"/>
    <w:rsid w:val="001741CB"/>
    <w:rsid w:val="0017466A"/>
    <w:rsid w:val="001748D0"/>
    <w:rsid w:val="001749A6"/>
    <w:rsid w:val="00174E4B"/>
    <w:rsid w:val="00174F2F"/>
    <w:rsid w:val="001756A5"/>
    <w:rsid w:val="00175704"/>
    <w:rsid w:val="00175C15"/>
    <w:rsid w:val="00175D85"/>
    <w:rsid w:val="00175DCD"/>
    <w:rsid w:val="00175EA7"/>
    <w:rsid w:val="0017604A"/>
    <w:rsid w:val="0017611C"/>
    <w:rsid w:val="001762EF"/>
    <w:rsid w:val="0017641A"/>
    <w:rsid w:val="001764D7"/>
    <w:rsid w:val="001765FF"/>
    <w:rsid w:val="0017666A"/>
    <w:rsid w:val="0017681C"/>
    <w:rsid w:val="00176C92"/>
    <w:rsid w:val="00177047"/>
    <w:rsid w:val="00177061"/>
    <w:rsid w:val="00177119"/>
    <w:rsid w:val="001772E0"/>
    <w:rsid w:val="00177367"/>
    <w:rsid w:val="001773C6"/>
    <w:rsid w:val="00177411"/>
    <w:rsid w:val="001775A9"/>
    <w:rsid w:val="0017768D"/>
    <w:rsid w:val="00177A0F"/>
    <w:rsid w:val="00177A25"/>
    <w:rsid w:val="00177C52"/>
    <w:rsid w:val="00177D16"/>
    <w:rsid w:val="00177E17"/>
    <w:rsid w:val="00177EF6"/>
    <w:rsid w:val="0018015C"/>
    <w:rsid w:val="001802C2"/>
    <w:rsid w:val="00180449"/>
    <w:rsid w:val="00180769"/>
    <w:rsid w:val="00180A06"/>
    <w:rsid w:val="00180AE1"/>
    <w:rsid w:val="00180B35"/>
    <w:rsid w:val="00180C0B"/>
    <w:rsid w:val="00180C26"/>
    <w:rsid w:val="00180D3C"/>
    <w:rsid w:val="00180E6B"/>
    <w:rsid w:val="0018100A"/>
    <w:rsid w:val="001813B5"/>
    <w:rsid w:val="0018177F"/>
    <w:rsid w:val="001818A2"/>
    <w:rsid w:val="00181AF1"/>
    <w:rsid w:val="00181E5D"/>
    <w:rsid w:val="00181E6E"/>
    <w:rsid w:val="00181F8D"/>
    <w:rsid w:val="0018200F"/>
    <w:rsid w:val="00182029"/>
    <w:rsid w:val="00182356"/>
    <w:rsid w:val="00182590"/>
    <w:rsid w:val="00182595"/>
    <w:rsid w:val="00182B26"/>
    <w:rsid w:val="00182B62"/>
    <w:rsid w:val="00182BCC"/>
    <w:rsid w:val="00182C92"/>
    <w:rsid w:val="00182C96"/>
    <w:rsid w:val="00182D1B"/>
    <w:rsid w:val="00182D4D"/>
    <w:rsid w:val="00182E58"/>
    <w:rsid w:val="00182E9F"/>
    <w:rsid w:val="00183366"/>
    <w:rsid w:val="0018336F"/>
    <w:rsid w:val="00183633"/>
    <w:rsid w:val="0018384E"/>
    <w:rsid w:val="001839CB"/>
    <w:rsid w:val="00183B2B"/>
    <w:rsid w:val="00183BCD"/>
    <w:rsid w:val="00183EF7"/>
    <w:rsid w:val="00183FCE"/>
    <w:rsid w:val="00183FF6"/>
    <w:rsid w:val="00183FF9"/>
    <w:rsid w:val="00184044"/>
    <w:rsid w:val="0018404C"/>
    <w:rsid w:val="00184343"/>
    <w:rsid w:val="00184356"/>
    <w:rsid w:val="001844DE"/>
    <w:rsid w:val="00184501"/>
    <w:rsid w:val="0018457E"/>
    <w:rsid w:val="001846C4"/>
    <w:rsid w:val="0018487A"/>
    <w:rsid w:val="00184888"/>
    <w:rsid w:val="001848B4"/>
    <w:rsid w:val="001849D0"/>
    <w:rsid w:val="00184DB2"/>
    <w:rsid w:val="00184DCE"/>
    <w:rsid w:val="0018500D"/>
    <w:rsid w:val="001850C1"/>
    <w:rsid w:val="0018580F"/>
    <w:rsid w:val="001859C2"/>
    <w:rsid w:val="00185ACE"/>
    <w:rsid w:val="00185B93"/>
    <w:rsid w:val="0018628F"/>
    <w:rsid w:val="00186C1D"/>
    <w:rsid w:val="00186D85"/>
    <w:rsid w:val="00186F1B"/>
    <w:rsid w:val="00186FE0"/>
    <w:rsid w:val="00187197"/>
    <w:rsid w:val="00187325"/>
    <w:rsid w:val="001875D5"/>
    <w:rsid w:val="001876A9"/>
    <w:rsid w:val="001876E4"/>
    <w:rsid w:val="001878C9"/>
    <w:rsid w:val="00187CD8"/>
    <w:rsid w:val="00187EAC"/>
    <w:rsid w:val="00187F7A"/>
    <w:rsid w:val="001901FC"/>
    <w:rsid w:val="00190507"/>
    <w:rsid w:val="001906F6"/>
    <w:rsid w:val="00190704"/>
    <w:rsid w:val="00190825"/>
    <w:rsid w:val="00190BED"/>
    <w:rsid w:val="00190D15"/>
    <w:rsid w:val="00190F72"/>
    <w:rsid w:val="001910D9"/>
    <w:rsid w:val="001910EE"/>
    <w:rsid w:val="00191102"/>
    <w:rsid w:val="00191248"/>
    <w:rsid w:val="00191749"/>
    <w:rsid w:val="00191759"/>
    <w:rsid w:val="00191DF8"/>
    <w:rsid w:val="00191EE6"/>
    <w:rsid w:val="00191EE8"/>
    <w:rsid w:val="00191F78"/>
    <w:rsid w:val="00191FE6"/>
    <w:rsid w:val="0019227A"/>
    <w:rsid w:val="001922C2"/>
    <w:rsid w:val="001923D6"/>
    <w:rsid w:val="00192575"/>
    <w:rsid w:val="001927B8"/>
    <w:rsid w:val="00192A1B"/>
    <w:rsid w:val="00192C05"/>
    <w:rsid w:val="001930C6"/>
    <w:rsid w:val="001931A6"/>
    <w:rsid w:val="00193236"/>
    <w:rsid w:val="001932CF"/>
    <w:rsid w:val="001933C8"/>
    <w:rsid w:val="00193515"/>
    <w:rsid w:val="0019351F"/>
    <w:rsid w:val="001936B9"/>
    <w:rsid w:val="0019378C"/>
    <w:rsid w:val="00193829"/>
    <w:rsid w:val="00193846"/>
    <w:rsid w:val="00193A5C"/>
    <w:rsid w:val="00193D53"/>
    <w:rsid w:val="00193E65"/>
    <w:rsid w:val="00194AFE"/>
    <w:rsid w:val="00194B83"/>
    <w:rsid w:val="00194CDD"/>
    <w:rsid w:val="00194DFD"/>
    <w:rsid w:val="00194EC1"/>
    <w:rsid w:val="00194FBE"/>
    <w:rsid w:val="001952DE"/>
    <w:rsid w:val="00195447"/>
    <w:rsid w:val="00195496"/>
    <w:rsid w:val="001954EC"/>
    <w:rsid w:val="00195557"/>
    <w:rsid w:val="00195564"/>
    <w:rsid w:val="001959A1"/>
    <w:rsid w:val="00195A00"/>
    <w:rsid w:val="00195BF6"/>
    <w:rsid w:val="00195F04"/>
    <w:rsid w:val="00195FED"/>
    <w:rsid w:val="00196089"/>
    <w:rsid w:val="0019634A"/>
    <w:rsid w:val="00196460"/>
    <w:rsid w:val="00196499"/>
    <w:rsid w:val="00196986"/>
    <w:rsid w:val="00196AB5"/>
    <w:rsid w:val="00196E19"/>
    <w:rsid w:val="00196F9A"/>
    <w:rsid w:val="00196F9E"/>
    <w:rsid w:val="001971D6"/>
    <w:rsid w:val="00197394"/>
    <w:rsid w:val="0019797B"/>
    <w:rsid w:val="0019798C"/>
    <w:rsid w:val="00197A98"/>
    <w:rsid w:val="00197E7E"/>
    <w:rsid w:val="00197FA2"/>
    <w:rsid w:val="001A000E"/>
    <w:rsid w:val="001A07E7"/>
    <w:rsid w:val="001A0C3B"/>
    <w:rsid w:val="001A0C7A"/>
    <w:rsid w:val="001A0D74"/>
    <w:rsid w:val="001A0E45"/>
    <w:rsid w:val="001A0E77"/>
    <w:rsid w:val="001A1314"/>
    <w:rsid w:val="001A250B"/>
    <w:rsid w:val="001A27AA"/>
    <w:rsid w:val="001A28A1"/>
    <w:rsid w:val="001A28D2"/>
    <w:rsid w:val="001A2EE2"/>
    <w:rsid w:val="001A3190"/>
    <w:rsid w:val="001A3567"/>
    <w:rsid w:val="001A359C"/>
    <w:rsid w:val="001A3635"/>
    <w:rsid w:val="001A38C5"/>
    <w:rsid w:val="001A3927"/>
    <w:rsid w:val="001A3A21"/>
    <w:rsid w:val="001A3D0B"/>
    <w:rsid w:val="001A3DA0"/>
    <w:rsid w:val="001A3FB2"/>
    <w:rsid w:val="001A4654"/>
    <w:rsid w:val="001A47EE"/>
    <w:rsid w:val="001A486A"/>
    <w:rsid w:val="001A4A34"/>
    <w:rsid w:val="001A4B93"/>
    <w:rsid w:val="001A4C7D"/>
    <w:rsid w:val="001A4EDC"/>
    <w:rsid w:val="001A5063"/>
    <w:rsid w:val="001A545F"/>
    <w:rsid w:val="001A5FE3"/>
    <w:rsid w:val="001A6175"/>
    <w:rsid w:val="001A6580"/>
    <w:rsid w:val="001A68DA"/>
    <w:rsid w:val="001A6A60"/>
    <w:rsid w:val="001A6B26"/>
    <w:rsid w:val="001A6BFE"/>
    <w:rsid w:val="001A6DC3"/>
    <w:rsid w:val="001A6F62"/>
    <w:rsid w:val="001A7588"/>
    <w:rsid w:val="001A77B6"/>
    <w:rsid w:val="001A78E6"/>
    <w:rsid w:val="001A79A9"/>
    <w:rsid w:val="001A7A04"/>
    <w:rsid w:val="001A7AB9"/>
    <w:rsid w:val="001A7B19"/>
    <w:rsid w:val="001B0197"/>
    <w:rsid w:val="001B0371"/>
    <w:rsid w:val="001B0782"/>
    <w:rsid w:val="001B0841"/>
    <w:rsid w:val="001B0981"/>
    <w:rsid w:val="001B0B2F"/>
    <w:rsid w:val="001B0BBE"/>
    <w:rsid w:val="001B0BC8"/>
    <w:rsid w:val="001B0D8A"/>
    <w:rsid w:val="001B0E3C"/>
    <w:rsid w:val="001B11E7"/>
    <w:rsid w:val="001B1235"/>
    <w:rsid w:val="001B126D"/>
    <w:rsid w:val="001B155B"/>
    <w:rsid w:val="001B15DD"/>
    <w:rsid w:val="001B1A2E"/>
    <w:rsid w:val="001B1CA7"/>
    <w:rsid w:val="001B1CCC"/>
    <w:rsid w:val="001B1EAB"/>
    <w:rsid w:val="001B1EC6"/>
    <w:rsid w:val="001B20D3"/>
    <w:rsid w:val="001B21BA"/>
    <w:rsid w:val="001B243E"/>
    <w:rsid w:val="001B2569"/>
    <w:rsid w:val="001B278A"/>
    <w:rsid w:val="001B28D6"/>
    <w:rsid w:val="001B2914"/>
    <w:rsid w:val="001B2DD6"/>
    <w:rsid w:val="001B2E18"/>
    <w:rsid w:val="001B2E28"/>
    <w:rsid w:val="001B2EFF"/>
    <w:rsid w:val="001B31B2"/>
    <w:rsid w:val="001B3326"/>
    <w:rsid w:val="001B34FC"/>
    <w:rsid w:val="001B35F2"/>
    <w:rsid w:val="001B3659"/>
    <w:rsid w:val="001B3BA9"/>
    <w:rsid w:val="001B3E93"/>
    <w:rsid w:val="001B4298"/>
    <w:rsid w:val="001B42C5"/>
    <w:rsid w:val="001B42E6"/>
    <w:rsid w:val="001B4499"/>
    <w:rsid w:val="001B45A2"/>
    <w:rsid w:val="001B4DD2"/>
    <w:rsid w:val="001B4DEA"/>
    <w:rsid w:val="001B4E07"/>
    <w:rsid w:val="001B4FDF"/>
    <w:rsid w:val="001B505B"/>
    <w:rsid w:val="001B51BE"/>
    <w:rsid w:val="001B521D"/>
    <w:rsid w:val="001B53CE"/>
    <w:rsid w:val="001B5514"/>
    <w:rsid w:val="001B55D8"/>
    <w:rsid w:val="001B583D"/>
    <w:rsid w:val="001B59E3"/>
    <w:rsid w:val="001B5C00"/>
    <w:rsid w:val="001B5F79"/>
    <w:rsid w:val="001B622D"/>
    <w:rsid w:val="001B6286"/>
    <w:rsid w:val="001B6310"/>
    <w:rsid w:val="001B64D8"/>
    <w:rsid w:val="001B68C1"/>
    <w:rsid w:val="001B6A19"/>
    <w:rsid w:val="001B6A7B"/>
    <w:rsid w:val="001B704D"/>
    <w:rsid w:val="001B713C"/>
    <w:rsid w:val="001B71AB"/>
    <w:rsid w:val="001B738E"/>
    <w:rsid w:val="001B7AEA"/>
    <w:rsid w:val="001B7BC3"/>
    <w:rsid w:val="001B7CB4"/>
    <w:rsid w:val="001B7DB6"/>
    <w:rsid w:val="001B7E26"/>
    <w:rsid w:val="001B7EE3"/>
    <w:rsid w:val="001C0069"/>
    <w:rsid w:val="001C0091"/>
    <w:rsid w:val="001C00C1"/>
    <w:rsid w:val="001C0A40"/>
    <w:rsid w:val="001C0AE7"/>
    <w:rsid w:val="001C0DE4"/>
    <w:rsid w:val="001C0EED"/>
    <w:rsid w:val="001C10CF"/>
    <w:rsid w:val="001C174D"/>
    <w:rsid w:val="001C179D"/>
    <w:rsid w:val="001C191D"/>
    <w:rsid w:val="001C19D1"/>
    <w:rsid w:val="001C1A5A"/>
    <w:rsid w:val="001C1C3A"/>
    <w:rsid w:val="001C1D8D"/>
    <w:rsid w:val="001C258D"/>
    <w:rsid w:val="001C2709"/>
    <w:rsid w:val="001C2DFB"/>
    <w:rsid w:val="001C30B7"/>
    <w:rsid w:val="001C3150"/>
    <w:rsid w:val="001C3316"/>
    <w:rsid w:val="001C3637"/>
    <w:rsid w:val="001C375D"/>
    <w:rsid w:val="001C39D5"/>
    <w:rsid w:val="001C3D24"/>
    <w:rsid w:val="001C3FCB"/>
    <w:rsid w:val="001C4184"/>
    <w:rsid w:val="001C42C2"/>
    <w:rsid w:val="001C4324"/>
    <w:rsid w:val="001C432B"/>
    <w:rsid w:val="001C462F"/>
    <w:rsid w:val="001C4A65"/>
    <w:rsid w:val="001C4A81"/>
    <w:rsid w:val="001C4A93"/>
    <w:rsid w:val="001C4BE2"/>
    <w:rsid w:val="001C4CCD"/>
    <w:rsid w:val="001C4F44"/>
    <w:rsid w:val="001C500A"/>
    <w:rsid w:val="001C5298"/>
    <w:rsid w:val="001C529E"/>
    <w:rsid w:val="001C5683"/>
    <w:rsid w:val="001C5750"/>
    <w:rsid w:val="001C57FE"/>
    <w:rsid w:val="001C5A6F"/>
    <w:rsid w:val="001C5D61"/>
    <w:rsid w:val="001C5FB6"/>
    <w:rsid w:val="001C654E"/>
    <w:rsid w:val="001C665A"/>
    <w:rsid w:val="001C66B0"/>
    <w:rsid w:val="001C697F"/>
    <w:rsid w:val="001C6A12"/>
    <w:rsid w:val="001C6BBC"/>
    <w:rsid w:val="001C6BCA"/>
    <w:rsid w:val="001C6CE0"/>
    <w:rsid w:val="001C6FA3"/>
    <w:rsid w:val="001C7091"/>
    <w:rsid w:val="001C716B"/>
    <w:rsid w:val="001C7209"/>
    <w:rsid w:val="001C73B9"/>
    <w:rsid w:val="001C761B"/>
    <w:rsid w:val="001C7669"/>
    <w:rsid w:val="001C775D"/>
    <w:rsid w:val="001C7A9E"/>
    <w:rsid w:val="001C7BC4"/>
    <w:rsid w:val="001D06FF"/>
    <w:rsid w:val="001D084C"/>
    <w:rsid w:val="001D08FD"/>
    <w:rsid w:val="001D0C8B"/>
    <w:rsid w:val="001D0D2B"/>
    <w:rsid w:val="001D0D96"/>
    <w:rsid w:val="001D12BA"/>
    <w:rsid w:val="001D13A1"/>
    <w:rsid w:val="001D155E"/>
    <w:rsid w:val="001D1629"/>
    <w:rsid w:val="001D1991"/>
    <w:rsid w:val="001D1DCC"/>
    <w:rsid w:val="001D1E0C"/>
    <w:rsid w:val="001D1E3C"/>
    <w:rsid w:val="001D1F88"/>
    <w:rsid w:val="001D203E"/>
    <w:rsid w:val="001D20B1"/>
    <w:rsid w:val="001D2160"/>
    <w:rsid w:val="001D2874"/>
    <w:rsid w:val="001D28CF"/>
    <w:rsid w:val="001D2A71"/>
    <w:rsid w:val="001D2C0B"/>
    <w:rsid w:val="001D2F3E"/>
    <w:rsid w:val="001D2F94"/>
    <w:rsid w:val="001D30B4"/>
    <w:rsid w:val="001D3274"/>
    <w:rsid w:val="001D3686"/>
    <w:rsid w:val="001D37A9"/>
    <w:rsid w:val="001D38A9"/>
    <w:rsid w:val="001D3B76"/>
    <w:rsid w:val="001D3C63"/>
    <w:rsid w:val="001D3FF4"/>
    <w:rsid w:val="001D40B8"/>
    <w:rsid w:val="001D4102"/>
    <w:rsid w:val="001D4144"/>
    <w:rsid w:val="001D42A5"/>
    <w:rsid w:val="001D43E7"/>
    <w:rsid w:val="001D45E6"/>
    <w:rsid w:val="001D49B1"/>
    <w:rsid w:val="001D4C67"/>
    <w:rsid w:val="001D4CDC"/>
    <w:rsid w:val="001D4DF3"/>
    <w:rsid w:val="001D4EA2"/>
    <w:rsid w:val="001D57E6"/>
    <w:rsid w:val="001D5C98"/>
    <w:rsid w:val="001D5DEC"/>
    <w:rsid w:val="001D5E53"/>
    <w:rsid w:val="001D5F26"/>
    <w:rsid w:val="001D5F7D"/>
    <w:rsid w:val="001D653C"/>
    <w:rsid w:val="001D6B11"/>
    <w:rsid w:val="001D6E8C"/>
    <w:rsid w:val="001D6ED1"/>
    <w:rsid w:val="001D6F06"/>
    <w:rsid w:val="001D748C"/>
    <w:rsid w:val="001D79E2"/>
    <w:rsid w:val="001D7C08"/>
    <w:rsid w:val="001D7DF3"/>
    <w:rsid w:val="001E008A"/>
    <w:rsid w:val="001E00E4"/>
    <w:rsid w:val="001E0103"/>
    <w:rsid w:val="001E0365"/>
    <w:rsid w:val="001E0471"/>
    <w:rsid w:val="001E049C"/>
    <w:rsid w:val="001E0660"/>
    <w:rsid w:val="001E06D9"/>
    <w:rsid w:val="001E06EC"/>
    <w:rsid w:val="001E090A"/>
    <w:rsid w:val="001E0BC4"/>
    <w:rsid w:val="001E0F71"/>
    <w:rsid w:val="001E148C"/>
    <w:rsid w:val="001E1599"/>
    <w:rsid w:val="001E159D"/>
    <w:rsid w:val="001E165F"/>
    <w:rsid w:val="001E16D3"/>
    <w:rsid w:val="001E18DF"/>
    <w:rsid w:val="001E1B14"/>
    <w:rsid w:val="001E1E0B"/>
    <w:rsid w:val="001E1EE6"/>
    <w:rsid w:val="001E205C"/>
    <w:rsid w:val="001E23C6"/>
    <w:rsid w:val="001E2CB4"/>
    <w:rsid w:val="001E2DA1"/>
    <w:rsid w:val="001E2DBE"/>
    <w:rsid w:val="001E2E95"/>
    <w:rsid w:val="001E2EEC"/>
    <w:rsid w:val="001E2F38"/>
    <w:rsid w:val="001E3179"/>
    <w:rsid w:val="001E3209"/>
    <w:rsid w:val="001E33AC"/>
    <w:rsid w:val="001E3426"/>
    <w:rsid w:val="001E3463"/>
    <w:rsid w:val="001E3731"/>
    <w:rsid w:val="001E3BF3"/>
    <w:rsid w:val="001E4235"/>
    <w:rsid w:val="001E42B3"/>
    <w:rsid w:val="001E4583"/>
    <w:rsid w:val="001E4634"/>
    <w:rsid w:val="001E46CF"/>
    <w:rsid w:val="001E489A"/>
    <w:rsid w:val="001E52BE"/>
    <w:rsid w:val="001E533B"/>
    <w:rsid w:val="001E535A"/>
    <w:rsid w:val="001E5539"/>
    <w:rsid w:val="001E58A8"/>
    <w:rsid w:val="001E5D21"/>
    <w:rsid w:val="001E6074"/>
    <w:rsid w:val="001E65EB"/>
    <w:rsid w:val="001E6954"/>
    <w:rsid w:val="001E697F"/>
    <w:rsid w:val="001E6A29"/>
    <w:rsid w:val="001E6D9D"/>
    <w:rsid w:val="001E6DB1"/>
    <w:rsid w:val="001E6F54"/>
    <w:rsid w:val="001E6F72"/>
    <w:rsid w:val="001E6F7D"/>
    <w:rsid w:val="001E7049"/>
    <w:rsid w:val="001E7173"/>
    <w:rsid w:val="001E7326"/>
    <w:rsid w:val="001E745A"/>
    <w:rsid w:val="001E77A7"/>
    <w:rsid w:val="001E781C"/>
    <w:rsid w:val="001E781E"/>
    <w:rsid w:val="001E791C"/>
    <w:rsid w:val="001E7953"/>
    <w:rsid w:val="001E7BE4"/>
    <w:rsid w:val="001E7FD8"/>
    <w:rsid w:val="001F0297"/>
    <w:rsid w:val="001F0444"/>
    <w:rsid w:val="001F053C"/>
    <w:rsid w:val="001F0DAA"/>
    <w:rsid w:val="001F0ED8"/>
    <w:rsid w:val="001F0F14"/>
    <w:rsid w:val="001F0F85"/>
    <w:rsid w:val="001F126C"/>
    <w:rsid w:val="001F1276"/>
    <w:rsid w:val="001F1638"/>
    <w:rsid w:val="001F1CF8"/>
    <w:rsid w:val="001F1D99"/>
    <w:rsid w:val="001F2055"/>
    <w:rsid w:val="001F227A"/>
    <w:rsid w:val="001F2446"/>
    <w:rsid w:val="001F2605"/>
    <w:rsid w:val="001F2782"/>
    <w:rsid w:val="001F297B"/>
    <w:rsid w:val="001F2AAD"/>
    <w:rsid w:val="001F2BB2"/>
    <w:rsid w:val="001F30D3"/>
    <w:rsid w:val="001F3159"/>
    <w:rsid w:val="001F31A2"/>
    <w:rsid w:val="001F3502"/>
    <w:rsid w:val="001F35D7"/>
    <w:rsid w:val="001F3659"/>
    <w:rsid w:val="001F37FE"/>
    <w:rsid w:val="001F38D8"/>
    <w:rsid w:val="001F3A49"/>
    <w:rsid w:val="001F3A91"/>
    <w:rsid w:val="001F3BB5"/>
    <w:rsid w:val="001F3CB7"/>
    <w:rsid w:val="001F3E98"/>
    <w:rsid w:val="001F3F66"/>
    <w:rsid w:val="001F4030"/>
    <w:rsid w:val="001F408B"/>
    <w:rsid w:val="001F421A"/>
    <w:rsid w:val="001F421B"/>
    <w:rsid w:val="001F4311"/>
    <w:rsid w:val="001F4777"/>
    <w:rsid w:val="001F4B78"/>
    <w:rsid w:val="001F4FD2"/>
    <w:rsid w:val="001F501D"/>
    <w:rsid w:val="001F51A4"/>
    <w:rsid w:val="001F55F9"/>
    <w:rsid w:val="001F562A"/>
    <w:rsid w:val="001F573D"/>
    <w:rsid w:val="001F5A96"/>
    <w:rsid w:val="001F5B1A"/>
    <w:rsid w:val="001F5D0A"/>
    <w:rsid w:val="001F5D90"/>
    <w:rsid w:val="001F601E"/>
    <w:rsid w:val="001F630F"/>
    <w:rsid w:val="001F6374"/>
    <w:rsid w:val="001F65A5"/>
    <w:rsid w:val="001F67A1"/>
    <w:rsid w:val="001F69A7"/>
    <w:rsid w:val="001F6BEA"/>
    <w:rsid w:val="001F6DE3"/>
    <w:rsid w:val="001F7072"/>
    <w:rsid w:val="001F73CE"/>
    <w:rsid w:val="001F74B2"/>
    <w:rsid w:val="001F75DB"/>
    <w:rsid w:val="001F792C"/>
    <w:rsid w:val="0020017C"/>
    <w:rsid w:val="0020022A"/>
    <w:rsid w:val="002004EE"/>
    <w:rsid w:val="00200621"/>
    <w:rsid w:val="002006CE"/>
    <w:rsid w:val="00200754"/>
    <w:rsid w:val="0020085B"/>
    <w:rsid w:val="00200918"/>
    <w:rsid w:val="00200A5D"/>
    <w:rsid w:val="00200C1E"/>
    <w:rsid w:val="00200ED5"/>
    <w:rsid w:val="00200F31"/>
    <w:rsid w:val="0020107E"/>
    <w:rsid w:val="00201223"/>
    <w:rsid w:val="0020132D"/>
    <w:rsid w:val="002013AF"/>
    <w:rsid w:val="002015DD"/>
    <w:rsid w:val="00201632"/>
    <w:rsid w:val="00201739"/>
    <w:rsid w:val="002019AA"/>
    <w:rsid w:val="00201C5A"/>
    <w:rsid w:val="0020203F"/>
    <w:rsid w:val="002020DD"/>
    <w:rsid w:val="0020226F"/>
    <w:rsid w:val="00202B2C"/>
    <w:rsid w:val="00202BEB"/>
    <w:rsid w:val="00202C38"/>
    <w:rsid w:val="00202CA1"/>
    <w:rsid w:val="00202DE8"/>
    <w:rsid w:val="002031CC"/>
    <w:rsid w:val="002036E4"/>
    <w:rsid w:val="00203993"/>
    <w:rsid w:val="00203AB4"/>
    <w:rsid w:val="00203BEA"/>
    <w:rsid w:val="00203ECF"/>
    <w:rsid w:val="00204583"/>
    <w:rsid w:val="002045D5"/>
    <w:rsid w:val="00204693"/>
    <w:rsid w:val="002046A2"/>
    <w:rsid w:val="00204717"/>
    <w:rsid w:val="00204769"/>
    <w:rsid w:val="00204A23"/>
    <w:rsid w:val="00204A74"/>
    <w:rsid w:val="00204ABC"/>
    <w:rsid w:val="00204D18"/>
    <w:rsid w:val="00204E97"/>
    <w:rsid w:val="00204FE3"/>
    <w:rsid w:val="00205143"/>
    <w:rsid w:val="002051B3"/>
    <w:rsid w:val="00205270"/>
    <w:rsid w:val="00205377"/>
    <w:rsid w:val="0020546B"/>
    <w:rsid w:val="002054C7"/>
    <w:rsid w:val="002057C2"/>
    <w:rsid w:val="00205B46"/>
    <w:rsid w:val="00205DE2"/>
    <w:rsid w:val="00205E4C"/>
    <w:rsid w:val="00205E75"/>
    <w:rsid w:val="00205F46"/>
    <w:rsid w:val="00206337"/>
    <w:rsid w:val="002063EF"/>
    <w:rsid w:val="0020642B"/>
    <w:rsid w:val="00206785"/>
    <w:rsid w:val="00206794"/>
    <w:rsid w:val="00206941"/>
    <w:rsid w:val="00206A0A"/>
    <w:rsid w:val="00206A88"/>
    <w:rsid w:val="00206AEF"/>
    <w:rsid w:val="00206CC0"/>
    <w:rsid w:val="00206D5C"/>
    <w:rsid w:val="00206F1B"/>
    <w:rsid w:val="00206FDE"/>
    <w:rsid w:val="00207096"/>
    <w:rsid w:val="002071A2"/>
    <w:rsid w:val="002072AE"/>
    <w:rsid w:val="00207378"/>
    <w:rsid w:val="0020769D"/>
    <w:rsid w:val="00207868"/>
    <w:rsid w:val="002078EE"/>
    <w:rsid w:val="00207973"/>
    <w:rsid w:val="00207A2F"/>
    <w:rsid w:val="00207B2C"/>
    <w:rsid w:val="00207FEF"/>
    <w:rsid w:val="00210671"/>
    <w:rsid w:val="00210882"/>
    <w:rsid w:val="00210894"/>
    <w:rsid w:val="00210915"/>
    <w:rsid w:val="00210A03"/>
    <w:rsid w:val="00210ADB"/>
    <w:rsid w:val="00210B18"/>
    <w:rsid w:val="00210E53"/>
    <w:rsid w:val="00210FBF"/>
    <w:rsid w:val="0021198B"/>
    <w:rsid w:val="00211AE7"/>
    <w:rsid w:val="00211C4D"/>
    <w:rsid w:val="00211CFA"/>
    <w:rsid w:val="00211D31"/>
    <w:rsid w:val="00211E58"/>
    <w:rsid w:val="00211ECD"/>
    <w:rsid w:val="00212454"/>
    <w:rsid w:val="002124B6"/>
    <w:rsid w:val="002127AA"/>
    <w:rsid w:val="002127C8"/>
    <w:rsid w:val="00212BA9"/>
    <w:rsid w:val="00212BDE"/>
    <w:rsid w:val="00212D5B"/>
    <w:rsid w:val="00212E00"/>
    <w:rsid w:val="00212E18"/>
    <w:rsid w:val="00212E80"/>
    <w:rsid w:val="00213210"/>
    <w:rsid w:val="00213472"/>
    <w:rsid w:val="002137F1"/>
    <w:rsid w:val="0021392B"/>
    <w:rsid w:val="002139C1"/>
    <w:rsid w:val="00213D82"/>
    <w:rsid w:val="00213DDF"/>
    <w:rsid w:val="00213ED6"/>
    <w:rsid w:val="00213EEC"/>
    <w:rsid w:val="00214384"/>
    <w:rsid w:val="0021446D"/>
    <w:rsid w:val="00214617"/>
    <w:rsid w:val="002146E3"/>
    <w:rsid w:val="00214702"/>
    <w:rsid w:val="00214812"/>
    <w:rsid w:val="002149D0"/>
    <w:rsid w:val="00214A21"/>
    <w:rsid w:val="002150AB"/>
    <w:rsid w:val="002150B6"/>
    <w:rsid w:val="00215347"/>
    <w:rsid w:val="0021537E"/>
    <w:rsid w:val="002153BF"/>
    <w:rsid w:val="0021545F"/>
    <w:rsid w:val="00215739"/>
    <w:rsid w:val="00215BDC"/>
    <w:rsid w:val="00215C6D"/>
    <w:rsid w:val="00215EC0"/>
    <w:rsid w:val="00216191"/>
    <w:rsid w:val="002168E2"/>
    <w:rsid w:val="00216B6D"/>
    <w:rsid w:val="00216FED"/>
    <w:rsid w:val="002173D2"/>
    <w:rsid w:val="0021782F"/>
    <w:rsid w:val="00217848"/>
    <w:rsid w:val="00217B3F"/>
    <w:rsid w:val="00217D76"/>
    <w:rsid w:val="00217E1F"/>
    <w:rsid w:val="00220017"/>
    <w:rsid w:val="00220349"/>
    <w:rsid w:val="002203F9"/>
    <w:rsid w:val="00220636"/>
    <w:rsid w:val="0022067D"/>
    <w:rsid w:val="002206A2"/>
    <w:rsid w:val="00220810"/>
    <w:rsid w:val="002208D6"/>
    <w:rsid w:val="00220AF6"/>
    <w:rsid w:val="00220C10"/>
    <w:rsid w:val="00220C37"/>
    <w:rsid w:val="00220CE9"/>
    <w:rsid w:val="00220ED3"/>
    <w:rsid w:val="0022119F"/>
    <w:rsid w:val="002211F2"/>
    <w:rsid w:val="00221442"/>
    <w:rsid w:val="002217F6"/>
    <w:rsid w:val="00221D8D"/>
    <w:rsid w:val="00221EB7"/>
    <w:rsid w:val="002221FE"/>
    <w:rsid w:val="00222240"/>
    <w:rsid w:val="0022241F"/>
    <w:rsid w:val="0022253B"/>
    <w:rsid w:val="002225C1"/>
    <w:rsid w:val="0022272D"/>
    <w:rsid w:val="00222BB9"/>
    <w:rsid w:val="00222D5C"/>
    <w:rsid w:val="002230CB"/>
    <w:rsid w:val="00223158"/>
    <w:rsid w:val="0022315F"/>
    <w:rsid w:val="002233D6"/>
    <w:rsid w:val="002235E5"/>
    <w:rsid w:val="00223628"/>
    <w:rsid w:val="00223814"/>
    <w:rsid w:val="00223CCD"/>
    <w:rsid w:val="00223F76"/>
    <w:rsid w:val="00223F84"/>
    <w:rsid w:val="0022416E"/>
    <w:rsid w:val="002245B6"/>
    <w:rsid w:val="002247FE"/>
    <w:rsid w:val="0022482C"/>
    <w:rsid w:val="002248C1"/>
    <w:rsid w:val="00224920"/>
    <w:rsid w:val="0022495B"/>
    <w:rsid w:val="00224A89"/>
    <w:rsid w:val="00224B8C"/>
    <w:rsid w:val="00224BDF"/>
    <w:rsid w:val="00224D34"/>
    <w:rsid w:val="0022527A"/>
    <w:rsid w:val="00225295"/>
    <w:rsid w:val="00225867"/>
    <w:rsid w:val="00225872"/>
    <w:rsid w:val="00225BA4"/>
    <w:rsid w:val="00225D18"/>
    <w:rsid w:val="00226109"/>
    <w:rsid w:val="002261F2"/>
    <w:rsid w:val="00226676"/>
    <w:rsid w:val="00226A4D"/>
    <w:rsid w:val="00226AAB"/>
    <w:rsid w:val="00226C43"/>
    <w:rsid w:val="002270B0"/>
    <w:rsid w:val="002270EB"/>
    <w:rsid w:val="00227137"/>
    <w:rsid w:val="002271D7"/>
    <w:rsid w:val="002271EF"/>
    <w:rsid w:val="00227716"/>
    <w:rsid w:val="00227CDC"/>
    <w:rsid w:val="00227D9D"/>
    <w:rsid w:val="00227F59"/>
    <w:rsid w:val="00227F66"/>
    <w:rsid w:val="00227FD1"/>
    <w:rsid w:val="00230391"/>
    <w:rsid w:val="002309C9"/>
    <w:rsid w:val="00230A3F"/>
    <w:rsid w:val="00230B79"/>
    <w:rsid w:val="00230C17"/>
    <w:rsid w:val="00230D99"/>
    <w:rsid w:val="002312B4"/>
    <w:rsid w:val="0023135F"/>
    <w:rsid w:val="00231446"/>
    <w:rsid w:val="00231569"/>
    <w:rsid w:val="0023156C"/>
    <w:rsid w:val="002315A3"/>
    <w:rsid w:val="002315DF"/>
    <w:rsid w:val="00231CE6"/>
    <w:rsid w:val="002320E0"/>
    <w:rsid w:val="00232199"/>
    <w:rsid w:val="00232620"/>
    <w:rsid w:val="00232697"/>
    <w:rsid w:val="00232850"/>
    <w:rsid w:val="00232A49"/>
    <w:rsid w:val="00232E46"/>
    <w:rsid w:val="00232ED4"/>
    <w:rsid w:val="00232F7B"/>
    <w:rsid w:val="00232F86"/>
    <w:rsid w:val="00232FD0"/>
    <w:rsid w:val="0023307A"/>
    <w:rsid w:val="00233135"/>
    <w:rsid w:val="0023385E"/>
    <w:rsid w:val="002338FD"/>
    <w:rsid w:val="00233915"/>
    <w:rsid w:val="002339B0"/>
    <w:rsid w:val="00233B08"/>
    <w:rsid w:val="00233C67"/>
    <w:rsid w:val="002341FC"/>
    <w:rsid w:val="00234244"/>
    <w:rsid w:val="00234411"/>
    <w:rsid w:val="00234A7B"/>
    <w:rsid w:val="00234D30"/>
    <w:rsid w:val="00234E77"/>
    <w:rsid w:val="0023523E"/>
    <w:rsid w:val="002352B7"/>
    <w:rsid w:val="002355B3"/>
    <w:rsid w:val="002356B4"/>
    <w:rsid w:val="00235729"/>
    <w:rsid w:val="0023581A"/>
    <w:rsid w:val="0023582C"/>
    <w:rsid w:val="002359F0"/>
    <w:rsid w:val="00235ACE"/>
    <w:rsid w:val="00235BA7"/>
    <w:rsid w:val="00235BB1"/>
    <w:rsid w:val="00235DDE"/>
    <w:rsid w:val="00236302"/>
    <w:rsid w:val="00236417"/>
    <w:rsid w:val="00236547"/>
    <w:rsid w:val="0023684C"/>
    <w:rsid w:val="002369AF"/>
    <w:rsid w:val="00236EB3"/>
    <w:rsid w:val="002371EF"/>
    <w:rsid w:val="002373DF"/>
    <w:rsid w:val="002375C7"/>
    <w:rsid w:val="00237994"/>
    <w:rsid w:val="002379C0"/>
    <w:rsid w:val="002379C5"/>
    <w:rsid w:val="002379EF"/>
    <w:rsid w:val="00237A0E"/>
    <w:rsid w:val="00237A1D"/>
    <w:rsid w:val="00237A51"/>
    <w:rsid w:val="00237A75"/>
    <w:rsid w:val="00237B1C"/>
    <w:rsid w:val="00237C1B"/>
    <w:rsid w:val="00237D1F"/>
    <w:rsid w:val="00237D35"/>
    <w:rsid w:val="00237E79"/>
    <w:rsid w:val="0024009C"/>
    <w:rsid w:val="00240148"/>
    <w:rsid w:val="00240160"/>
    <w:rsid w:val="0024089C"/>
    <w:rsid w:val="00240C2A"/>
    <w:rsid w:val="00240E24"/>
    <w:rsid w:val="00240EB4"/>
    <w:rsid w:val="00240EFB"/>
    <w:rsid w:val="0024108D"/>
    <w:rsid w:val="002412ED"/>
    <w:rsid w:val="00241361"/>
    <w:rsid w:val="002413C9"/>
    <w:rsid w:val="0024145A"/>
    <w:rsid w:val="002415CC"/>
    <w:rsid w:val="00241801"/>
    <w:rsid w:val="002418A7"/>
    <w:rsid w:val="002419CA"/>
    <w:rsid w:val="00241A24"/>
    <w:rsid w:val="00241A84"/>
    <w:rsid w:val="00241BF2"/>
    <w:rsid w:val="00241D23"/>
    <w:rsid w:val="002420A8"/>
    <w:rsid w:val="00242384"/>
    <w:rsid w:val="00242625"/>
    <w:rsid w:val="00242996"/>
    <w:rsid w:val="0024308C"/>
    <w:rsid w:val="00243209"/>
    <w:rsid w:val="002432EC"/>
    <w:rsid w:val="002433E4"/>
    <w:rsid w:val="0024399C"/>
    <w:rsid w:val="00243ADB"/>
    <w:rsid w:val="00243C42"/>
    <w:rsid w:val="00243E4F"/>
    <w:rsid w:val="002441E1"/>
    <w:rsid w:val="002443E5"/>
    <w:rsid w:val="0024444B"/>
    <w:rsid w:val="0024486F"/>
    <w:rsid w:val="00244B2A"/>
    <w:rsid w:val="00244CA5"/>
    <w:rsid w:val="00244D84"/>
    <w:rsid w:val="00244E1F"/>
    <w:rsid w:val="0024503E"/>
    <w:rsid w:val="0024508B"/>
    <w:rsid w:val="002450B5"/>
    <w:rsid w:val="00245124"/>
    <w:rsid w:val="00245210"/>
    <w:rsid w:val="00245395"/>
    <w:rsid w:val="002455DB"/>
    <w:rsid w:val="00245AB0"/>
    <w:rsid w:val="00245C04"/>
    <w:rsid w:val="002463A0"/>
    <w:rsid w:val="00246B0E"/>
    <w:rsid w:val="00246B32"/>
    <w:rsid w:val="00246B48"/>
    <w:rsid w:val="00246EBA"/>
    <w:rsid w:val="00246F29"/>
    <w:rsid w:val="00246F5E"/>
    <w:rsid w:val="00246FBB"/>
    <w:rsid w:val="00247006"/>
    <w:rsid w:val="00247374"/>
    <w:rsid w:val="002474AB"/>
    <w:rsid w:val="00247638"/>
    <w:rsid w:val="0024786D"/>
    <w:rsid w:val="00247A0B"/>
    <w:rsid w:val="00247A30"/>
    <w:rsid w:val="002500A6"/>
    <w:rsid w:val="0025026E"/>
    <w:rsid w:val="002502DA"/>
    <w:rsid w:val="00250300"/>
    <w:rsid w:val="00250449"/>
    <w:rsid w:val="00250616"/>
    <w:rsid w:val="0025063D"/>
    <w:rsid w:val="00250855"/>
    <w:rsid w:val="002508B6"/>
    <w:rsid w:val="00250AA9"/>
    <w:rsid w:val="00250DB4"/>
    <w:rsid w:val="00251359"/>
    <w:rsid w:val="002516A9"/>
    <w:rsid w:val="002516F4"/>
    <w:rsid w:val="0025178B"/>
    <w:rsid w:val="00251B9A"/>
    <w:rsid w:val="00251D50"/>
    <w:rsid w:val="00251F74"/>
    <w:rsid w:val="0025204F"/>
    <w:rsid w:val="00252386"/>
    <w:rsid w:val="002523FC"/>
    <w:rsid w:val="0025251C"/>
    <w:rsid w:val="0025255E"/>
    <w:rsid w:val="0025256B"/>
    <w:rsid w:val="00252623"/>
    <w:rsid w:val="002526AB"/>
    <w:rsid w:val="00252B8D"/>
    <w:rsid w:val="00252FDD"/>
    <w:rsid w:val="002530DC"/>
    <w:rsid w:val="00253271"/>
    <w:rsid w:val="00253806"/>
    <w:rsid w:val="00253820"/>
    <w:rsid w:val="00253AE6"/>
    <w:rsid w:val="00253B2E"/>
    <w:rsid w:val="00253DE8"/>
    <w:rsid w:val="00253E6E"/>
    <w:rsid w:val="00254234"/>
    <w:rsid w:val="00254381"/>
    <w:rsid w:val="00254525"/>
    <w:rsid w:val="002546C4"/>
    <w:rsid w:val="00254720"/>
    <w:rsid w:val="002548BF"/>
    <w:rsid w:val="0025491E"/>
    <w:rsid w:val="002549F0"/>
    <w:rsid w:val="00254AD8"/>
    <w:rsid w:val="00254BEA"/>
    <w:rsid w:val="00254C93"/>
    <w:rsid w:val="00254C96"/>
    <w:rsid w:val="002551BE"/>
    <w:rsid w:val="002552B1"/>
    <w:rsid w:val="00255894"/>
    <w:rsid w:val="00255C5B"/>
    <w:rsid w:val="00255C63"/>
    <w:rsid w:val="00255D22"/>
    <w:rsid w:val="00255E5F"/>
    <w:rsid w:val="00255F92"/>
    <w:rsid w:val="00256073"/>
    <w:rsid w:val="00256431"/>
    <w:rsid w:val="002567C5"/>
    <w:rsid w:val="002567FC"/>
    <w:rsid w:val="00256BAF"/>
    <w:rsid w:val="00256D77"/>
    <w:rsid w:val="0025709A"/>
    <w:rsid w:val="0025716B"/>
    <w:rsid w:val="002571C5"/>
    <w:rsid w:val="00257364"/>
    <w:rsid w:val="002573BF"/>
    <w:rsid w:val="0025752B"/>
    <w:rsid w:val="002602A1"/>
    <w:rsid w:val="002602FD"/>
    <w:rsid w:val="00260359"/>
    <w:rsid w:val="0026037C"/>
    <w:rsid w:val="0026038F"/>
    <w:rsid w:val="00260506"/>
    <w:rsid w:val="00260803"/>
    <w:rsid w:val="002608A7"/>
    <w:rsid w:val="00260A41"/>
    <w:rsid w:val="00260B03"/>
    <w:rsid w:val="00260CDE"/>
    <w:rsid w:val="00260E5A"/>
    <w:rsid w:val="002610BE"/>
    <w:rsid w:val="002611AA"/>
    <w:rsid w:val="002612D3"/>
    <w:rsid w:val="00261676"/>
    <w:rsid w:val="00262191"/>
    <w:rsid w:val="00262345"/>
    <w:rsid w:val="00262448"/>
    <w:rsid w:val="0026286E"/>
    <w:rsid w:val="0026287B"/>
    <w:rsid w:val="00262DD6"/>
    <w:rsid w:val="00262F28"/>
    <w:rsid w:val="00262FAB"/>
    <w:rsid w:val="002631CA"/>
    <w:rsid w:val="002633E9"/>
    <w:rsid w:val="00263481"/>
    <w:rsid w:val="00263569"/>
    <w:rsid w:val="002635E5"/>
    <w:rsid w:val="002636C9"/>
    <w:rsid w:val="0026379A"/>
    <w:rsid w:val="0026379E"/>
    <w:rsid w:val="00263A15"/>
    <w:rsid w:val="00263AE3"/>
    <w:rsid w:val="00263AF9"/>
    <w:rsid w:val="00263C87"/>
    <w:rsid w:val="00263D2E"/>
    <w:rsid w:val="00264561"/>
    <w:rsid w:val="00264585"/>
    <w:rsid w:val="0026472A"/>
    <w:rsid w:val="00264786"/>
    <w:rsid w:val="002649A7"/>
    <w:rsid w:val="0026506F"/>
    <w:rsid w:val="00265180"/>
    <w:rsid w:val="002651B5"/>
    <w:rsid w:val="0026521F"/>
    <w:rsid w:val="00265357"/>
    <w:rsid w:val="00265398"/>
    <w:rsid w:val="00265412"/>
    <w:rsid w:val="00265483"/>
    <w:rsid w:val="002654C2"/>
    <w:rsid w:val="00265940"/>
    <w:rsid w:val="00265AA9"/>
    <w:rsid w:val="00265BD4"/>
    <w:rsid w:val="00265C32"/>
    <w:rsid w:val="00265D8C"/>
    <w:rsid w:val="002662F3"/>
    <w:rsid w:val="00266373"/>
    <w:rsid w:val="00266418"/>
    <w:rsid w:val="0026675B"/>
    <w:rsid w:val="0026691F"/>
    <w:rsid w:val="00266B75"/>
    <w:rsid w:val="00266C60"/>
    <w:rsid w:val="0026712F"/>
    <w:rsid w:val="0026731D"/>
    <w:rsid w:val="002673D3"/>
    <w:rsid w:val="00267452"/>
    <w:rsid w:val="00267635"/>
    <w:rsid w:val="002677FB"/>
    <w:rsid w:val="00267842"/>
    <w:rsid w:val="002679C9"/>
    <w:rsid w:val="00267A24"/>
    <w:rsid w:val="00267C8B"/>
    <w:rsid w:val="00267FE8"/>
    <w:rsid w:val="00270145"/>
    <w:rsid w:val="00270336"/>
    <w:rsid w:val="00270351"/>
    <w:rsid w:val="0027052F"/>
    <w:rsid w:val="00270569"/>
    <w:rsid w:val="0027059F"/>
    <w:rsid w:val="002708F7"/>
    <w:rsid w:val="00270CCE"/>
    <w:rsid w:val="00270FB6"/>
    <w:rsid w:val="00271026"/>
    <w:rsid w:val="0027106B"/>
    <w:rsid w:val="0027116F"/>
    <w:rsid w:val="002715B9"/>
    <w:rsid w:val="00271981"/>
    <w:rsid w:val="00271B1D"/>
    <w:rsid w:val="00271E11"/>
    <w:rsid w:val="00271E60"/>
    <w:rsid w:val="00272166"/>
    <w:rsid w:val="002721F5"/>
    <w:rsid w:val="0027229A"/>
    <w:rsid w:val="002723F4"/>
    <w:rsid w:val="00272427"/>
    <w:rsid w:val="0027255E"/>
    <w:rsid w:val="00272637"/>
    <w:rsid w:val="00272727"/>
    <w:rsid w:val="002727CF"/>
    <w:rsid w:val="002727E0"/>
    <w:rsid w:val="00272C5D"/>
    <w:rsid w:val="00272C86"/>
    <w:rsid w:val="002730B6"/>
    <w:rsid w:val="00273141"/>
    <w:rsid w:val="0027346E"/>
    <w:rsid w:val="002734F3"/>
    <w:rsid w:val="002735A5"/>
    <w:rsid w:val="002738C9"/>
    <w:rsid w:val="002739AD"/>
    <w:rsid w:val="00273D56"/>
    <w:rsid w:val="00274021"/>
    <w:rsid w:val="00274064"/>
    <w:rsid w:val="002745B3"/>
    <w:rsid w:val="00274D39"/>
    <w:rsid w:val="00274DA7"/>
    <w:rsid w:val="00274DB7"/>
    <w:rsid w:val="0027522A"/>
    <w:rsid w:val="00275266"/>
    <w:rsid w:val="002752BA"/>
    <w:rsid w:val="00275338"/>
    <w:rsid w:val="002755B1"/>
    <w:rsid w:val="00275758"/>
    <w:rsid w:val="0027578E"/>
    <w:rsid w:val="002757A4"/>
    <w:rsid w:val="00275C55"/>
    <w:rsid w:val="00275F4A"/>
    <w:rsid w:val="00276065"/>
    <w:rsid w:val="002761A9"/>
    <w:rsid w:val="0027667F"/>
    <w:rsid w:val="00276867"/>
    <w:rsid w:val="00276966"/>
    <w:rsid w:val="00276BCC"/>
    <w:rsid w:val="00276CA8"/>
    <w:rsid w:val="00276D3B"/>
    <w:rsid w:val="00276E27"/>
    <w:rsid w:val="00277050"/>
    <w:rsid w:val="0027706B"/>
    <w:rsid w:val="00277492"/>
    <w:rsid w:val="00277656"/>
    <w:rsid w:val="00277826"/>
    <w:rsid w:val="0027784A"/>
    <w:rsid w:val="00277914"/>
    <w:rsid w:val="00277E41"/>
    <w:rsid w:val="00280131"/>
    <w:rsid w:val="002801D5"/>
    <w:rsid w:val="00280265"/>
    <w:rsid w:val="002803E4"/>
    <w:rsid w:val="00280486"/>
    <w:rsid w:val="002804F2"/>
    <w:rsid w:val="00280548"/>
    <w:rsid w:val="00280923"/>
    <w:rsid w:val="00280E23"/>
    <w:rsid w:val="002810C1"/>
    <w:rsid w:val="002812F0"/>
    <w:rsid w:val="0028172F"/>
    <w:rsid w:val="002819E9"/>
    <w:rsid w:val="00281A3B"/>
    <w:rsid w:val="00281AA6"/>
    <w:rsid w:val="00281B98"/>
    <w:rsid w:val="00281C9D"/>
    <w:rsid w:val="00281CA8"/>
    <w:rsid w:val="00281E3F"/>
    <w:rsid w:val="00281ED6"/>
    <w:rsid w:val="0028200B"/>
    <w:rsid w:val="002820EE"/>
    <w:rsid w:val="0028255D"/>
    <w:rsid w:val="002825AB"/>
    <w:rsid w:val="00282766"/>
    <w:rsid w:val="002827ED"/>
    <w:rsid w:val="002827EF"/>
    <w:rsid w:val="00282833"/>
    <w:rsid w:val="00282A64"/>
    <w:rsid w:val="00282AD4"/>
    <w:rsid w:val="00282B82"/>
    <w:rsid w:val="002832E5"/>
    <w:rsid w:val="00283373"/>
    <w:rsid w:val="0028358A"/>
    <w:rsid w:val="002839BB"/>
    <w:rsid w:val="002839F7"/>
    <w:rsid w:val="00283B86"/>
    <w:rsid w:val="00283CDB"/>
    <w:rsid w:val="00283F40"/>
    <w:rsid w:val="00284051"/>
    <w:rsid w:val="0028417B"/>
    <w:rsid w:val="00284666"/>
    <w:rsid w:val="00284782"/>
    <w:rsid w:val="00284A26"/>
    <w:rsid w:val="00284A40"/>
    <w:rsid w:val="00284B20"/>
    <w:rsid w:val="002850BC"/>
    <w:rsid w:val="002852E9"/>
    <w:rsid w:val="00285511"/>
    <w:rsid w:val="0028559E"/>
    <w:rsid w:val="00285747"/>
    <w:rsid w:val="0028586E"/>
    <w:rsid w:val="00285910"/>
    <w:rsid w:val="002859E8"/>
    <w:rsid w:val="00285C4B"/>
    <w:rsid w:val="00285D16"/>
    <w:rsid w:val="0028624A"/>
    <w:rsid w:val="0028630A"/>
    <w:rsid w:val="0028653B"/>
    <w:rsid w:val="0028684F"/>
    <w:rsid w:val="002868E2"/>
    <w:rsid w:val="00286998"/>
    <w:rsid w:val="00286A3D"/>
    <w:rsid w:val="00286B57"/>
    <w:rsid w:val="00286B78"/>
    <w:rsid w:val="00286D6C"/>
    <w:rsid w:val="00286E82"/>
    <w:rsid w:val="00286FFF"/>
    <w:rsid w:val="00287219"/>
    <w:rsid w:val="0028725E"/>
    <w:rsid w:val="0028748C"/>
    <w:rsid w:val="002874A4"/>
    <w:rsid w:val="002875F6"/>
    <w:rsid w:val="0028786D"/>
    <w:rsid w:val="00287879"/>
    <w:rsid w:val="00287CB6"/>
    <w:rsid w:val="00287D6B"/>
    <w:rsid w:val="00287F1B"/>
    <w:rsid w:val="00287F40"/>
    <w:rsid w:val="002900B3"/>
    <w:rsid w:val="002900CC"/>
    <w:rsid w:val="0029042D"/>
    <w:rsid w:val="00290592"/>
    <w:rsid w:val="002906F4"/>
    <w:rsid w:val="00290D28"/>
    <w:rsid w:val="00290E56"/>
    <w:rsid w:val="00290F0D"/>
    <w:rsid w:val="002910E2"/>
    <w:rsid w:val="00291176"/>
    <w:rsid w:val="002912DF"/>
    <w:rsid w:val="00291566"/>
    <w:rsid w:val="0029158F"/>
    <w:rsid w:val="002915F5"/>
    <w:rsid w:val="002916D4"/>
    <w:rsid w:val="00291850"/>
    <w:rsid w:val="00291908"/>
    <w:rsid w:val="00291E77"/>
    <w:rsid w:val="00292058"/>
    <w:rsid w:val="00292069"/>
    <w:rsid w:val="002924FD"/>
    <w:rsid w:val="00292527"/>
    <w:rsid w:val="002925B0"/>
    <w:rsid w:val="0029279B"/>
    <w:rsid w:val="002927E8"/>
    <w:rsid w:val="00292811"/>
    <w:rsid w:val="00292C90"/>
    <w:rsid w:val="00292F70"/>
    <w:rsid w:val="00293074"/>
    <w:rsid w:val="002930BE"/>
    <w:rsid w:val="002930F7"/>
    <w:rsid w:val="00293176"/>
    <w:rsid w:val="00293215"/>
    <w:rsid w:val="00293274"/>
    <w:rsid w:val="00293703"/>
    <w:rsid w:val="0029370B"/>
    <w:rsid w:val="002938A0"/>
    <w:rsid w:val="002941C0"/>
    <w:rsid w:val="00294208"/>
    <w:rsid w:val="0029420B"/>
    <w:rsid w:val="00294357"/>
    <w:rsid w:val="00294706"/>
    <w:rsid w:val="00294A9D"/>
    <w:rsid w:val="00294AE3"/>
    <w:rsid w:val="00294FA1"/>
    <w:rsid w:val="0029512C"/>
    <w:rsid w:val="002953AF"/>
    <w:rsid w:val="0029579F"/>
    <w:rsid w:val="00295894"/>
    <w:rsid w:val="002959C8"/>
    <w:rsid w:val="00295F4E"/>
    <w:rsid w:val="0029605B"/>
    <w:rsid w:val="002960A2"/>
    <w:rsid w:val="0029622F"/>
    <w:rsid w:val="00296469"/>
    <w:rsid w:val="0029666C"/>
    <w:rsid w:val="00296767"/>
    <w:rsid w:val="0029678A"/>
    <w:rsid w:val="00296888"/>
    <w:rsid w:val="0029688A"/>
    <w:rsid w:val="00296932"/>
    <w:rsid w:val="00296A38"/>
    <w:rsid w:val="00296E54"/>
    <w:rsid w:val="0029700F"/>
    <w:rsid w:val="0029719C"/>
    <w:rsid w:val="00297478"/>
    <w:rsid w:val="002974DA"/>
    <w:rsid w:val="00297779"/>
    <w:rsid w:val="002978E2"/>
    <w:rsid w:val="002979C5"/>
    <w:rsid w:val="00297AB9"/>
    <w:rsid w:val="00297C6C"/>
    <w:rsid w:val="00297E25"/>
    <w:rsid w:val="002A01EF"/>
    <w:rsid w:val="002A020E"/>
    <w:rsid w:val="002A05A2"/>
    <w:rsid w:val="002A05D0"/>
    <w:rsid w:val="002A0856"/>
    <w:rsid w:val="002A09EF"/>
    <w:rsid w:val="002A0A9B"/>
    <w:rsid w:val="002A0B63"/>
    <w:rsid w:val="002A0C9D"/>
    <w:rsid w:val="002A1573"/>
    <w:rsid w:val="002A158F"/>
    <w:rsid w:val="002A167C"/>
    <w:rsid w:val="002A179C"/>
    <w:rsid w:val="002A1993"/>
    <w:rsid w:val="002A19F9"/>
    <w:rsid w:val="002A1AF1"/>
    <w:rsid w:val="002A1D2A"/>
    <w:rsid w:val="002A211B"/>
    <w:rsid w:val="002A21B3"/>
    <w:rsid w:val="002A2379"/>
    <w:rsid w:val="002A24F1"/>
    <w:rsid w:val="002A2752"/>
    <w:rsid w:val="002A294A"/>
    <w:rsid w:val="002A2E39"/>
    <w:rsid w:val="002A2E9B"/>
    <w:rsid w:val="002A304C"/>
    <w:rsid w:val="002A3168"/>
    <w:rsid w:val="002A346E"/>
    <w:rsid w:val="002A353C"/>
    <w:rsid w:val="002A3C4A"/>
    <w:rsid w:val="002A407B"/>
    <w:rsid w:val="002A4527"/>
    <w:rsid w:val="002A4533"/>
    <w:rsid w:val="002A48A3"/>
    <w:rsid w:val="002A490A"/>
    <w:rsid w:val="002A4987"/>
    <w:rsid w:val="002A4AD9"/>
    <w:rsid w:val="002A4B9F"/>
    <w:rsid w:val="002A4C78"/>
    <w:rsid w:val="002A4D84"/>
    <w:rsid w:val="002A4E6C"/>
    <w:rsid w:val="002A512F"/>
    <w:rsid w:val="002A51E2"/>
    <w:rsid w:val="002A54C4"/>
    <w:rsid w:val="002A57B3"/>
    <w:rsid w:val="002A57DA"/>
    <w:rsid w:val="002A5A9D"/>
    <w:rsid w:val="002A5AF2"/>
    <w:rsid w:val="002A5BBE"/>
    <w:rsid w:val="002A5DDE"/>
    <w:rsid w:val="002A5E13"/>
    <w:rsid w:val="002A610A"/>
    <w:rsid w:val="002A6170"/>
    <w:rsid w:val="002A6229"/>
    <w:rsid w:val="002A6346"/>
    <w:rsid w:val="002A65B1"/>
    <w:rsid w:val="002A65DC"/>
    <w:rsid w:val="002A6A8A"/>
    <w:rsid w:val="002A6AF6"/>
    <w:rsid w:val="002A6B37"/>
    <w:rsid w:val="002A6BCA"/>
    <w:rsid w:val="002A6CC6"/>
    <w:rsid w:val="002A6D1C"/>
    <w:rsid w:val="002A6E0B"/>
    <w:rsid w:val="002A6E6C"/>
    <w:rsid w:val="002A6F6F"/>
    <w:rsid w:val="002A7334"/>
    <w:rsid w:val="002A73A8"/>
    <w:rsid w:val="002A7B92"/>
    <w:rsid w:val="002A7CA4"/>
    <w:rsid w:val="002A7CA7"/>
    <w:rsid w:val="002A7EC3"/>
    <w:rsid w:val="002A7FC7"/>
    <w:rsid w:val="002B0065"/>
    <w:rsid w:val="002B0078"/>
    <w:rsid w:val="002B013E"/>
    <w:rsid w:val="002B0395"/>
    <w:rsid w:val="002B041F"/>
    <w:rsid w:val="002B0582"/>
    <w:rsid w:val="002B0A5A"/>
    <w:rsid w:val="002B0CE8"/>
    <w:rsid w:val="002B15DD"/>
    <w:rsid w:val="002B18BD"/>
    <w:rsid w:val="002B19EC"/>
    <w:rsid w:val="002B1D14"/>
    <w:rsid w:val="002B214B"/>
    <w:rsid w:val="002B23DF"/>
    <w:rsid w:val="002B2413"/>
    <w:rsid w:val="002B265E"/>
    <w:rsid w:val="002B2758"/>
    <w:rsid w:val="002B27A0"/>
    <w:rsid w:val="002B29B8"/>
    <w:rsid w:val="002B2B19"/>
    <w:rsid w:val="002B2B88"/>
    <w:rsid w:val="002B2D24"/>
    <w:rsid w:val="002B2EEC"/>
    <w:rsid w:val="002B2F1D"/>
    <w:rsid w:val="002B3080"/>
    <w:rsid w:val="002B30F4"/>
    <w:rsid w:val="002B312D"/>
    <w:rsid w:val="002B35D6"/>
    <w:rsid w:val="002B376F"/>
    <w:rsid w:val="002B3776"/>
    <w:rsid w:val="002B382F"/>
    <w:rsid w:val="002B3A0B"/>
    <w:rsid w:val="002B3AFD"/>
    <w:rsid w:val="002B3AFF"/>
    <w:rsid w:val="002B3B6F"/>
    <w:rsid w:val="002B3D56"/>
    <w:rsid w:val="002B3DFD"/>
    <w:rsid w:val="002B3EC6"/>
    <w:rsid w:val="002B3F5C"/>
    <w:rsid w:val="002B418E"/>
    <w:rsid w:val="002B4822"/>
    <w:rsid w:val="002B4B52"/>
    <w:rsid w:val="002B4F0A"/>
    <w:rsid w:val="002B4FEB"/>
    <w:rsid w:val="002B5046"/>
    <w:rsid w:val="002B5154"/>
    <w:rsid w:val="002B5414"/>
    <w:rsid w:val="002B545D"/>
    <w:rsid w:val="002B5645"/>
    <w:rsid w:val="002B56FF"/>
    <w:rsid w:val="002B59F2"/>
    <w:rsid w:val="002B5F1F"/>
    <w:rsid w:val="002B6276"/>
    <w:rsid w:val="002B63E3"/>
    <w:rsid w:val="002B6635"/>
    <w:rsid w:val="002B663B"/>
    <w:rsid w:val="002B67DF"/>
    <w:rsid w:val="002B6C18"/>
    <w:rsid w:val="002B7167"/>
    <w:rsid w:val="002B72A0"/>
    <w:rsid w:val="002B7484"/>
    <w:rsid w:val="002B75F6"/>
    <w:rsid w:val="002B7ACA"/>
    <w:rsid w:val="002B7C83"/>
    <w:rsid w:val="002B7D56"/>
    <w:rsid w:val="002B7D96"/>
    <w:rsid w:val="002B7DFB"/>
    <w:rsid w:val="002B7F1C"/>
    <w:rsid w:val="002B7F9D"/>
    <w:rsid w:val="002C0025"/>
    <w:rsid w:val="002C02D4"/>
    <w:rsid w:val="002C0320"/>
    <w:rsid w:val="002C0355"/>
    <w:rsid w:val="002C0428"/>
    <w:rsid w:val="002C0779"/>
    <w:rsid w:val="002C0827"/>
    <w:rsid w:val="002C09FC"/>
    <w:rsid w:val="002C0C75"/>
    <w:rsid w:val="002C0D06"/>
    <w:rsid w:val="002C0D76"/>
    <w:rsid w:val="002C0EA1"/>
    <w:rsid w:val="002C0FC9"/>
    <w:rsid w:val="002C10EF"/>
    <w:rsid w:val="002C10FA"/>
    <w:rsid w:val="002C11D8"/>
    <w:rsid w:val="002C12FD"/>
    <w:rsid w:val="002C1450"/>
    <w:rsid w:val="002C14B1"/>
    <w:rsid w:val="002C151E"/>
    <w:rsid w:val="002C15D0"/>
    <w:rsid w:val="002C19C4"/>
    <w:rsid w:val="002C1BC9"/>
    <w:rsid w:val="002C1BF5"/>
    <w:rsid w:val="002C1EB8"/>
    <w:rsid w:val="002C2039"/>
    <w:rsid w:val="002C2073"/>
    <w:rsid w:val="002C2416"/>
    <w:rsid w:val="002C24F8"/>
    <w:rsid w:val="002C2663"/>
    <w:rsid w:val="002C26CE"/>
    <w:rsid w:val="002C2830"/>
    <w:rsid w:val="002C2A57"/>
    <w:rsid w:val="002C2BB8"/>
    <w:rsid w:val="002C2CC7"/>
    <w:rsid w:val="002C30A5"/>
    <w:rsid w:val="002C30F2"/>
    <w:rsid w:val="002C34A5"/>
    <w:rsid w:val="002C3AFF"/>
    <w:rsid w:val="002C3C8C"/>
    <w:rsid w:val="002C3CD4"/>
    <w:rsid w:val="002C425C"/>
    <w:rsid w:val="002C45EB"/>
    <w:rsid w:val="002C466D"/>
    <w:rsid w:val="002C48F9"/>
    <w:rsid w:val="002C4A56"/>
    <w:rsid w:val="002C4B19"/>
    <w:rsid w:val="002C4BA0"/>
    <w:rsid w:val="002C4C3B"/>
    <w:rsid w:val="002C4EAF"/>
    <w:rsid w:val="002C4EB8"/>
    <w:rsid w:val="002C4F85"/>
    <w:rsid w:val="002C5285"/>
    <w:rsid w:val="002C52F1"/>
    <w:rsid w:val="002C5303"/>
    <w:rsid w:val="002C536E"/>
    <w:rsid w:val="002C53D9"/>
    <w:rsid w:val="002C5469"/>
    <w:rsid w:val="002C5665"/>
    <w:rsid w:val="002C56B1"/>
    <w:rsid w:val="002C58FF"/>
    <w:rsid w:val="002C5966"/>
    <w:rsid w:val="002C5D3C"/>
    <w:rsid w:val="002C5F18"/>
    <w:rsid w:val="002C67DA"/>
    <w:rsid w:val="002C6930"/>
    <w:rsid w:val="002C6985"/>
    <w:rsid w:val="002C6A05"/>
    <w:rsid w:val="002C6D92"/>
    <w:rsid w:val="002C7072"/>
    <w:rsid w:val="002C7581"/>
    <w:rsid w:val="002C75EE"/>
    <w:rsid w:val="002C7755"/>
    <w:rsid w:val="002C7F25"/>
    <w:rsid w:val="002D01F0"/>
    <w:rsid w:val="002D03CF"/>
    <w:rsid w:val="002D03D9"/>
    <w:rsid w:val="002D04CB"/>
    <w:rsid w:val="002D0560"/>
    <w:rsid w:val="002D0594"/>
    <w:rsid w:val="002D08BA"/>
    <w:rsid w:val="002D09DF"/>
    <w:rsid w:val="002D0BEE"/>
    <w:rsid w:val="002D0C6C"/>
    <w:rsid w:val="002D0C94"/>
    <w:rsid w:val="002D0D6F"/>
    <w:rsid w:val="002D0E7E"/>
    <w:rsid w:val="002D0ED0"/>
    <w:rsid w:val="002D1059"/>
    <w:rsid w:val="002D194D"/>
    <w:rsid w:val="002D1960"/>
    <w:rsid w:val="002D1A83"/>
    <w:rsid w:val="002D1C14"/>
    <w:rsid w:val="002D1F3C"/>
    <w:rsid w:val="002D211D"/>
    <w:rsid w:val="002D2256"/>
    <w:rsid w:val="002D274D"/>
    <w:rsid w:val="002D2F9D"/>
    <w:rsid w:val="002D3310"/>
    <w:rsid w:val="002D3376"/>
    <w:rsid w:val="002D33E0"/>
    <w:rsid w:val="002D37A3"/>
    <w:rsid w:val="002D3868"/>
    <w:rsid w:val="002D3A5F"/>
    <w:rsid w:val="002D3B47"/>
    <w:rsid w:val="002D3BE9"/>
    <w:rsid w:val="002D3F6F"/>
    <w:rsid w:val="002D40A7"/>
    <w:rsid w:val="002D43B5"/>
    <w:rsid w:val="002D43F9"/>
    <w:rsid w:val="002D4602"/>
    <w:rsid w:val="002D4A26"/>
    <w:rsid w:val="002D4B12"/>
    <w:rsid w:val="002D4E8C"/>
    <w:rsid w:val="002D4E9C"/>
    <w:rsid w:val="002D5083"/>
    <w:rsid w:val="002D51DD"/>
    <w:rsid w:val="002D53FC"/>
    <w:rsid w:val="002D5694"/>
    <w:rsid w:val="002D57F5"/>
    <w:rsid w:val="002D5A78"/>
    <w:rsid w:val="002D5BC7"/>
    <w:rsid w:val="002D5C0A"/>
    <w:rsid w:val="002D5EE5"/>
    <w:rsid w:val="002D645C"/>
    <w:rsid w:val="002D648A"/>
    <w:rsid w:val="002D6799"/>
    <w:rsid w:val="002D6822"/>
    <w:rsid w:val="002D6B99"/>
    <w:rsid w:val="002D6D50"/>
    <w:rsid w:val="002D6E6C"/>
    <w:rsid w:val="002D6F11"/>
    <w:rsid w:val="002D7235"/>
    <w:rsid w:val="002D7334"/>
    <w:rsid w:val="002D773A"/>
    <w:rsid w:val="002D77A0"/>
    <w:rsid w:val="002E01A5"/>
    <w:rsid w:val="002E0332"/>
    <w:rsid w:val="002E0346"/>
    <w:rsid w:val="002E041E"/>
    <w:rsid w:val="002E0734"/>
    <w:rsid w:val="002E08A3"/>
    <w:rsid w:val="002E0B14"/>
    <w:rsid w:val="002E0BAC"/>
    <w:rsid w:val="002E0C7A"/>
    <w:rsid w:val="002E0D17"/>
    <w:rsid w:val="002E0DAC"/>
    <w:rsid w:val="002E0DAF"/>
    <w:rsid w:val="002E0E0A"/>
    <w:rsid w:val="002E102B"/>
    <w:rsid w:val="002E148E"/>
    <w:rsid w:val="002E18E2"/>
    <w:rsid w:val="002E1998"/>
    <w:rsid w:val="002E1BC5"/>
    <w:rsid w:val="002E1C2D"/>
    <w:rsid w:val="002E1CBC"/>
    <w:rsid w:val="002E1D54"/>
    <w:rsid w:val="002E1FD2"/>
    <w:rsid w:val="002E2061"/>
    <w:rsid w:val="002E2141"/>
    <w:rsid w:val="002E22C2"/>
    <w:rsid w:val="002E238C"/>
    <w:rsid w:val="002E2584"/>
    <w:rsid w:val="002E266C"/>
    <w:rsid w:val="002E28FA"/>
    <w:rsid w:val="002E2D40"/>
    <w:rsid w:val="002E2E9B"/>
    <w:rsid w:val="002E3111"/>
    <w:rsid w:val="002E3196"/>
    <w:rsid w:val="002E36A9"/>
    <w:rsid w:val="002E36F7"/>
    <w:rsid w:val="002E38A7"/>
    <w:rsid w:val="002E3A26"/>
    <w:rsid w:val="002E3ABD"/>
    <w:rsid w:val="002E3BC9"/>
    <w:rsid w:val="002E3C0A"/>
    <w:rsid w:val="002E4004"/>
    <w:rsid w:val="002E4039"/>
    <w:rsid w:val="002E40DC"/>
    <w:rsid w:val="002E416B"/>
    <w:rsid w:val="002E432E"/>
    <w:rsid w:val="002E4378"/>
    <w:rsid w:val="002E44BA"/>
    <w:rsid w:val="002E4575"/>
    <w:rsid w:val="002E476D"/>
    <w:rsid w:val="002E47C8"/>
    <w:rsid w:val="002E4B8F"/>
    <w:rsid w:val="002E4C23"/>
    <w:rsid w:val="002E4F7D"/>
    <w:rsid w:val="002E529B"/>
    <w:rsid w:val="002E54A9"/>
    <w:rsid w:val="002E561E"/>
    <w:rsid w:val="002E57B5"/>
    <w:rsid w:val="002E5869"/>
    <w:rsid w:val="002E59FA"/>
    <w:rsid w:val="002E5A41"/>
    <w:rsid w:val="002E5E12"/>
    <w:rsid w:val="002E5F6D"/>
    <w:rsid w:val="002E6040"/>
    <w:rsid w:val="002E60BF"/>
    <w:rsid w:val="002E620A"/>
    <w:rsid w:val="002E6249"/>
    <w:rsid w:val="002E64E6"/>
    <w:rsid w:val="002E6664"/>
    <w:rsid w:val="002E672C"/>
    <w:rsid w:val="002E67F6"/>
    <w:rsid w:val="002E67FE"/>
    <w:rsid w:val="002E68E6"/>
    <w:rsid w:val="002E6AB0"/>
    <w:rsid w:val="002E6AEF"/>
    <w:rsid w:val="002E6AF3"/>
    <w:rsid w:val="002E6C90"/>
    <w:rsid w:val="002E700F"/>
    <w:rsid w:val="002E7161"/>
    <w:rsid w:val="002E7383"/>
    <w:rsid w:val="002E745B"/>
    <w:rsid w:val="002E75B6"/>
    <w:rsid w:val="002E7625"/>
    <w:rsid w:val="002E7A59"/>
    <w:rsid w:val="002E7DAD"/>
    <w:rsid w:val="002E7FBB"/>
    <w:rsid w:val="002F005D"/>
    <w:rsid w:val="002F035D"/>
    <w:rsid w:val="002F03AC"/>
    <w:rsid w:val="002F03C4"/>
    <w:rsid w:val="002F03C9"/>
    <w:rsid w:val="002F0427"/>
    <w:rsid w:val="002F0616"/>
    <w:rsid w:val="002F0760"/>
    <w:rsid w:val="002F09D7"/>
    <w:rsid w:val="002F0B67"/>
    <w:rsid w:val="002F0BB4"/>
    <w:rsid w:val="002F0CF2"/>
    <w:rsid w:val="002F0DBE"/>
    <w:rsid w:val="002F0EA0"/>
    <w:rsid w:val="002F108B"/>
    <w:rsid w:val="002F11B2"/>
    <w:rsid w:val="002F1534"/>
    <w:rsid w:val="002F1632"/>
    <w:rsid w:val="002F164E"/>
    <w:rsid w:val="002F1722"/>
    <w:rsid w:val="002F1B4E"/>
    <w:rsid w:val="002F1D39"/>
    <w:rsid w:val="002F201A"/>
    <w:rsid w:val="002F2050"/>
    <w:rsid w:val="002F2100"/>
    <w:rsid w:val="002F231D"/>
    <w:rsid w:val="002F2384"/>
    <w:rsid w:val="002F2515"/>
    <w:rsid w:val="002F251D"/>
    <w:rsid w:val="002F278B"/>
    <w:rsid w:val="002F2C99"/>
    <w:rsid w:val="002F2D0F"/>
    <w:rsid w:val="002F2D52"/>
    <w:rsid w:val="002F2D59"/>
    <w:rsid w:val="002F3105"/>
    <w:rsid w:val="002F31B7"/>
    <w:rsid w:val="002F329A"/>
    <w:rsid w:val="002F33C6"/>
    <w:rsid w:val="002F35E7"/>
    <w:rsid w:val="002F3700"/>
    <w:rsid w:val="002F3764"/>
    <w:rsid w:val="002F38B1"/>
    <w:rsid w:val="002F38C1"/>
    <w:rsid w:val="002F39DF"/>
    <w:rsid w:val="002F3A37"/>
    <w:rsid w:val="002F3B17"/>
    <w:rsid w:val="002F3C2E"/>
    <w:rsid w:val="002F3CB4"/>
    <w:rsid w:val="002F3D0A"/>
    <w:rsid w:val="002F3F16"/>
    <w:rsid w:val="002F4025"/>
    <w:rsid w:val="002F4404"/>
    <w:rsid w:val="002F45B8"/>
    <w:rsid w:val="002F461D"/>
    <w:rsid w:val="002F46D4"/>
    <w:rsid w:val="002F4A9F"/>
    <w:rsid w:val="002F4B13"/>
    <w:rsid w:val="002F4CF5"/>
    <w:rsid w:val="002F4EF3"/>
    <w:rsid w:val="002F4F9C"/>
    <w:rsid w:val="002F4FAE"/>
    <w:rsid w:val="002F50C8"/>
    <w:rsid w:val="002F5104"/>
    <w:rsid w:val="002F52A9"/>
    <w:rsid w:val="002F53CA"/>
    <w:rsid w:val="002F5401"/>
    <w:rsid w:val="002F55D3"/>
    <w:rsid w:val="002F59C6"/>
    <w:rsid w:val="002F59D6"/>
    <w:rsid w:val="002F5CD5"/>
    <w:rsid w:val="002F6031"/>
    <w:rsid w:val="002F6283"/>
    <w:rsid w:val="002F62A8"/>
    <w:rsid w:val="002F6428"/>
    <w:rsid w:val="002F64EC"/>
    <w:rsid w:val="002F655E"/>
    <w:rsid w:val="002F65F2"/>
    <w:rsid w:val="002F677A"/>
    <w:rsid w:val="002F68DD"/>
    <w:rsid w:val="002F68F5"/>
    <w:rsid w:val="002F697F"/>
    <w:rsid w:val="002F6ADE"/>
    <w:rsid w:val="002F6E79"/>
    <w:rsid w:val="002F6EDA"/>
    <w:rsid w:val="002F6FD9"/>
    <w:rsid w:val="002F72D0"/>
    <w:rsid w:val="002F7335"/>
    <w:rsid w:val="002F7347"/>
    <w:rsid w:val="002F778D"/>
    <w:rsid w:val="002F7904"/>
    <w:rsid w:val="002F7937"/>
    <w:rsid w:val="002F7EAB"/>
    <w:rsid w:val="002F7FB1"/>
    <w:rsid w:val="002F7FB7"/>
    <w:rsid w:val="00300002"/>
    <w:rsid w:val="00300150"/>
    <w:rsid w:val="003002EB"/>
    <w:rsid w:val="003002F4"/>
    <w:rsid w:val="00300685"/>
    <w:rsid w:val="003007F0"/>
    <w:rsid w:val="0030089B"/>
    <w:rsid w:val="00300B11"/>
    <w:rsid w:val="00300B50"/>
    <w:rsid w:val="00300BD4"/>
    <w:rsid w:val="00301257"/>
    <w:rsid w:val="00301536"/>
    <w:rsid w:val="0030158A"/>
    <w:rsid w:val="003015FC"/>
    <w:rsid w:val="003018AE"/>
    <w:rsid w:val="003018F8"/>
    <w:rsid w:val="00301A6A"/>
    <w:rsid w:val="00301B00"/>
    <w:rsid w:val="00301B6C"/>
    <w:rsid w:val="00301B70"/>
    <w:rsid w:val="00301CAE"/>
    <w:rsid w:val="00301D0C"/>
    <w:rsid w:val="00301FE8"/>
    <w:rsid w:val="0030211F"/>
    <w:rsid w:val="00302276"/>
    <w:rsid w:val="0030252D"/>
    <w:rsid w:val="00302641"/>
    <w:rsid w:val="0030267C"/>
    <w:rsid w:val="00302724"/>
    <w:rsid w:val="003027F9"/>
    <w:rsid w:val="00302ACF"/>
    <w:rsid w:val="00302C29"/>
    <w:rsid w:val="00302DFD"/>
    <w:rsid w:val="00303072"/>
    <w:rsid w:val="00303126"/>
    <w:rsid w:val="0030319B"/>
    <w:rsid w:val="00303226"/>
    <w:rsid w:val="003033EF"/>
    <w:rsid w:val="0030379E"/>
    <w:rsid w:val="003037A5"/>
    <w:rsid w:val="003037AF"/>
    <w:rsid w:val="003037F7"/>
    <w:rsid w:val="00303B1E"/>
    <w:rsid w:val="00303B9B"/>
    <w:rsid w:val="00303C18"/>
    <w:rsid w:val="00304415"/>
    <w:rsid w:val="00304794"/>
    <w:rsid w:val="003047CB"/>
    <w:rsid w:val="003048F9"/>
    <w:rsid w:val="00304A22"/>
    <w:rsid w:val="00304B6C"/>
    <w:rsid w:val="003050F6"/>
    <w:rsid w:val="0030563A"/>
    <w:rsid w:val="0030591C"/>
    <w:rsid w:val="00305BF0"/>
    <w:rsid w:val="00305C19"/>
    <w:rsid w:val="00305D9B"/>
    <w:rsid w:val="00305FD7"/>
    <w:rsid w:val="003061BF"/>
    <w:rsid w:val="00306287"/>
    <w:rsid w:val="003062FE"/>
    <w:rsid w:val="0030642C"/>
    <w:rsid w:val="003065F2"/>
    <w:rsid w:val="0030665B"/>
    <w:rsid w:val="003068A5"/>
    <w:rsid w:val="0030691D"/>
    <w:rsid w:val="00306922"/>
    <w:rsid w:val="00306A36"/>
    <w:rsid w:val="00306AB2"/>
    <w:rsid w:val="00306C0F"/>
    <w:rsid w:val="00306E79"/>
    <w:rsid w:val="00306F97"/>
    <w:rsid w:val="00307609"/>
    <w:rsid w:val="00307BA3"/>
    <w:rsid w:val="00307C14"/>
    <w:rsid w:val="00307E87"/>
    <w:rsid w:val="0031001B"/>
    <w:rsid w:val="0031012F"/>
    <w:rsid w:val="003101D7"/>
    <w:rsid w:val="003102C8"/>
    <w:rsid w:val="003109C9"/>
    <w:rsid w:val="00310A8F"/>
    <w:rsid w:val="00310C8A"/>
    <w:rsid w:val="00310D72"/>
    <w:rsid w:val="00311020"/>
    <w:rsid w:val="00311190"/>
    <w:rsid w:val="003112F3"/>
    <w:rsid w:val="0031156A"/>
    <w:rsid w:val="00311587"/>
    <w:rsid w:val="00311DBF"/>
    <w:rsid w:val="0031211A"/>
    <w:rsid w:val="0031215B"/>
    <w:rsid w:val="003122CD"/>
    <w:rsid w:val="0031232B"/>
    <w:rsid w:val="00312846"/>
    <w:rsid w:val="0031288B"/>
    <w:rsid w:val="00312923"/>
    <w:rsid w:val="00312C75"/>
    <w:rsid w:val="00312D3E"/>
    <w:rsid w:val="0031340A"/>
    <w:rsid w:val="00313854"/>
    <w:rsid w:val="00313D9A"/>
    <w:rsid w:val="00313EEA"/>
    <w:rsid w:val="003140BD"/>
    <w:rsid w:val="00314430"/>
    <w:rsid w:val="003148BC"/>
    <w:rsid w:val="003148BD"/>
    <w:rsid w:val="003149F9"/>
    <w:rsid w:val="003151BD"/>
    <w:rsid w:val="003154F4"/>
    <w:rsid w:val="003157B2"/>
    <w:rsid w:val="00315EB6"/>
    <w:rsid w:val="00316010"/>
    <w:rsid w:val="0031611B"/>
    <w:rsid w:val="00316728"/>
    <w:rsid w:val="00316752"/>
    <w:rsid w:val="003167EC"/>
    <w:rsid w:val="00316A23"/>
    <w:rsid w:val="00316B1F"/>
    <w:rsid w:val="00316D6A"/>
    <w:rsid w:val="00316E26"/>
    <w:rsid w:val="00317279"/>
    <w:rsid w:val="0031761A"/>
    <w:rsid w:val="00317632"/>
    <w:rsid w:val="003177FA"/>
    <w:rsid w:val="003178B4"/>
    <w:rsid w:val="00317A1C"/>
    <w:rsid w:val="00317E86"/>
    <w:rsid w:val="00320119"/>
    <w:rsid w:val="0032052F"/>
    <w:rsid w:val="00320585"/>
    <w:rsid w:val="00320645"/>
    <w:rsid w:val="00320648"/>
    <w:rsid w:val="003209FB"/>
    <w:rsid w:val="00320ADD"/>
    <w:rsid w:val="00320CE5"/>
    <w:rsid w:val="00320E38"/>
    <w:rsid w:val="00320E8C"/>
    <w:rsid w:val="00321177"/>
    <w:rsid w:val="003212D8"/>
    <w:rsid w:val="00321508"/>
    <w:rsid w:val="003216BB"/>
    <w:rsid w:val="003217CA"/>
    <w:rsid w:val="0032191B"/>
    <w:rsid w:val="00321BD5"/>
    <w:rsid w:val="00321CAB"/>
    <w:rsid w:val="00321D57"/>
    <w:rsid w:val="00321EC8"/>
    <w:rsid w:val="0032206B"/>
    <w:rsid w:val="003220E2"/>
    <w:rsid w:val="0032241C"/>
    <w:rsid w:val="0032247A"/>
    <w:rsid w:val="0032269F"/>
    <w:rsid w:val="00322704"/>
    <w:rsid w:val="00322D84"/>
    <w:rsid w:val="00323074"/>
    <w:rsid w:val="00323178"/>
    <w:rsid w:val="0032317C"/>
    <w:rsid w:val="00323970"/>
    <w:rsid w:val="00323AF7"/>
    <w:rsid w:val="00323BA3"/>
    <w:rsid w:val="00323BE4"/>
    <w:rsid w:val="00323DAF"/>
    <w:rsid w:val="00323F3A"/>
    <w:rsid w:val="00323F47"/>
    <w:rsid w:val="003240DB"/>
    <w:rsid w:val="00324700"/>
    <w:rsid w:val="003247E0"/>
    <w:rsid w:val="00324A0C"/>
    <w:rsid w:val="00324B34"/>
    <w:rsid w:val="00324BA6"/>
    <w:rsid w:val="0032505D"/>
    <w:rsid w:val="003250DA"/>
    <w:rsid w:val="003251AD"/>
    <w:rsid w:val="003258E4"/>
    <w:rsid w:val="00325B34"/>
    <w:rsid w:val="00325BDC"/>
    <w:rsid w:val="00325D81"/>
    <w:rsid w:val="003261B2"/>
    <w:rsid w:val="00326432"/>
    <w:rsid w:val="00326449"/>
    <w:rsid w:val="003268C7"/>
    <w:rsid w:val="0032697B"/>
    <w:rsid w:val="00326A1E"/>
    <w:rsid w:val="00326B4B"/>
    <w:rsid w:val="00326D25"/>
    <w:rsid w:val="00326DA6"/>
    <w:rsid w:val="00326EE8"/>
    <w:rsid w:val="00326F1D"/>
    <w:rsid w:val="00327430"/>
    <w:rsid w:val="0032776F"/>
    <w:rsid w:val="00327AE5"/>
    <w:rsid w:val="00327BE2"/>
    <w:rsid w:val="00327BFF"/>
    <w:rsid w:val="00327D42"/>
    <w:rsid w:val="00327ED9"/>
    <w:rsid w:val="00327F61"/>
    <w:rsid w:val="003302A7"/>
    <w:rsid w:val="003309D1"/>
    <w:rsid w:val="00330A0A"/>
    <w:rsid w:val="00330CF1"/>
    <w:rsid w:val="00330DBB"/>
    <w:rsid w:val="003310FC"/>
    <w:rsid w:val="003314DD"/>
    <w:rsid w:val="003315A4"/>
    <w:rsid w:val="003315DE"/>
    <w:rsid w:val="0033169A"/>
    <w:rsid w:val="00331896"/>
    <w:rsid w:val="00331B81"/>
    <w:rsid w:val="00331C06"/>
    <w:rsid w:val="00331D0B"/>
    <w:rsid w:val="00331FBE"/>
    <w:rsid w:val="0033206C"/>
    <w:rsid w:val="003320E5"/>
    <w:rsid w:val="0033217D"/>
    <w:rsid w:val="0033227E"/>
    <w:rsid w:val="00332415"/>
    <w:rsid w:val="003324BD"/>
    <w:rsid w:val="003326A1"/>
    <w:rsid w:val="00332794"/>
    <w:rsid w:val="00332BFD"/>
    <w:rsid w:val="00332C7B"/>
    <w:rsid w:val="00332FC4"/>
    <w:rsid w:val="00333459"/>
    <w:rsid w:val="00333618"/>
    <w:rsid w:val="0033376B"/>
    <w:rsid w:val="003337CE"/>
    <w:rsid w:val="00333803"/>
    <w:rsid w:val="0033382C"/>
    <w:rsid w:val="00333909"/>
    <w:rsid w:val="00333C46"/>
    <w:rsid w:val="00333C67"/>
    <w:rsid w:val="00333C9D"/>
    <w:rsid w:val="00333E7B"/>
    <w:rsid w:val="00333FDA"/>
    <w:rsid w:val="00333FFA"/>
    <w:rsid w:val="00334241"/>
    <w:rsid w:val="00334336"/>
    <w:rsid w:val="0033474B"/>
    <w:rsid w:val="003347EE"/>
    <w:rsid w:val="00334801"/>
    <w:rsid w:val="003349DF"/>
    <w:rsid w:val="00334CE8"/>
    <w:rsid w:val="00334CE9"/>
    <w:rsid w:val="00334CFF"/>
    <w:rsid w:val="003353DE"/>
    <w:rsid w:val="00335447"/>
    <w:rsid w:val="003354B5"/>
    <w:rsid w:val="00335A60"/>
    <w:rsid w:val="00335BD6"/>
    <w:rsid w:val="00335E49"/>
    <w:rsid w:val="00335F9F"/>
    <w:rsid w:val="00336038"/>
    <w:rsid w:val="0033604A"/>
    <w:rsid w:val="003363C7"/>
    <w:rsid w:val="003364C0"/>
    <w:rsid w:val="00336763"/>
    <w:rsid w:val="003367A4"/>
    <w:rsid w:val="003367CD"/>
    <w:rsid w:val="003369D8"/>
    <w:rsid w:val="00336A26"/>
    <w:rsid w:val="0033701C"/>
    <w:rsid w:val="0033716B"/>
    <w:rsid w:val="00337660"/>
    <w:rsid w:val="003377C7"/>
    <w:rsid w:val="003378FC"/>
    <w:rsid w:val="00337955"/>
    <w:rsid w:val="003379FA"/>
    <w:rsid w:val="00337B9E"/>
    <w:rsid w:val="00337C7B"/>
    <w:rsid w:val="00337CC2"/>
    <w:rsid w:val="00337DB5"/>
    <w:rsid w:val="00337F5A"/>
    <w:rsid w:val="00337F8D"/>
    <w:rsid w:val="00340112"/>
    <w:rsid w:val="00340193"/>
    <w:rsid w:val="003402A9"/>
    <w:rsid w:val="00340351"/>
    <w:rsid w:val="00340619"/>
    <w:rsid w:val="0034076D"/>
    <w:rsid w:val="0034077B"/>
    <w:rsid w:val="003407BC"/>
    <w:rsid w:val="003408B1"/>
    <w:rsid w:val="003408BF"/>
    <w:rsid w:val="003408DA"/>
    <w:rsid w:val="003408E9"/>
    <w:rsid w:val="00340AA5"/>
    <w:rsid w:val="00340BC4"/>
    <w:rsid w:val="00340F1B"/>
    <w:rsid w:val="00340F64"/>
    <w:rsid w:val="00340F69"/>
    <w:rsid w:val="00340FBD"/>
    <w:rsid w:val="00341118"/>
    <w:rsid w:val="00341232"/>
    <w:rsid w:val="003413B1"/>
    <w:rsid w:val="003414B3"/>
    <w:rsid w:val="003416A3"/>
    <w:rsid w:val="003416DB"/>
    <w:rsid w:val="003416E7"/>
    <w:rsid w:val="003416F1"/>
    <w:rsid w:val="0034197F"/>
    <w:rsid w:val="00341A11"/>
    <w:rsid w:val="00341C6D"/>
    <w:rsid w:val="00341CA8"/>
    <w:rsid w:val="00341F94"/>
    <w:rsid w:val="0034209E"/>
    <w:rsid w:val="003420EF"/>
    <w:rsid w:val="00342235"/>
    <w:rsid w:val="00342632"/>
    <w:rsid w:val="00342697"/>
    <w:rsid w:val="00342C2D"/>
    <w:rsid w:val="00342F59"/>
    <w:rsid w:val="003432A8"/>
    <w:rsid w:val="0034333E"/>
    <w:rsid w:val="003434A3"/>
    <w:rsid w:val="00343566"/>
    <w:rsid w:val="00343C45"/>
    <w:rsid w:val="00343DD7"/>
    <w:rsid w:val="00343E3B"/>
    <w:rsid w:val="00343ECB"/>
    <w:rsid w:val="00344204"/>
    <w:rsid w:val="0034429F"/>
    <w:rsid w:val="0034473B"/>
    <w:rsid w:val="0034492B"/>
    <w:rsid w:val="00344B31"/>
    <w:rsid w:val="00344B7C"/>
    <w:rsid w:val="00344C1B"/>
    <w:rsid w:val="00344DE6"/>
    <w:rsid w:val="00344E71"/>
    <w:rsid w:val="0034507C"/>
    <w:rsid w:val="003451C5"/>
    <w:rsid w:val="00345231"/>
    <w:rsid w:val="0034533B"/>
    <w:rsid w:val="00345438"/>
    <w:rsid w:val="0034557F"/>
    <w:rsid w:val="00345605"/>
    <w:rsid w:val="003456DA"/>
    <w:rsid w:val="00345997"/>
    <w:rsid w:val="00345B49"/>
    <w:rsid w:val="00345C75"/>
    <w:rsid w:val="00345EB0"/>
    <w:rsid w:val="00345F21"/>
    <w:rsid w:val="003460AE"/>
    <w:rsid w:val="003464BA"/>
    <w:rsid w:val="003465F4"/>
    <w:rsid w:val="003468E1"/>
    <w:rsid w:val="00346A62"/>
    <w:rsid w:val="00346FD9"/>
    <w:rsid w:val="003470AF"/>
    <w:rsid w:val="003473C9"/>
    <w:rsid w:val="003478D8"/>
    <w:rsid w:val="00347B98"/>
    <w:rsid w:val="00347C10"/>
    <w:rsid w:val="00347C7D"/>
    <w:rsid w:val="00350069"/>
    <w:rsid w:val="003501D0"/>
    <w:rsid w:val="00350225"/>
    <w:rsid w:val="0035025B"/>
    <w:rsid w:val="0035039A"/>
    <w:rsid w:val="0035053E"/>
    <w:rsid w:val="0035058A"/>
    <w:rsid w:val="003506D5"/>
    <w:rsid w:val="00350842"/>
    <w:rsid w:val="00350AFB"/>
    <w:rsid w:val="00350C82"/>
    <w:rsid w:val="00350CAB"/>
    <w:rsid w:val="00350D80"/>
    <w:rsid w:val="00350E1B"/>
    <w:rsid w:val="00350ED2"/>
    <w:rsid w:val="00350F8D"/>
    <w:rsid w:val="003514F9"/>
    <w:rsid w:val="00351901"/>
    <w:rsid w:val="00351A89"/>
    <w:rsid w:val="00351F14"/>
    <w:rsid w:val="0035215E"/>
    <w:rsid w:val="00352364"/>
    <w:rsid w:val="003526DB"/>
    <w:rsid w:val="003528AA"/>
    <w:rsid w:val="00352966"/>
    <w:rsid w:val="0035299A"/>
    <w:rsid w:val="00352C8F"/>
    <w:rsid w:val="00352E49"/>
    <w:rsid w:val="0035313D"/>
    <w:rsid w:val="003538D2"/>
    <w:rsid w:val="0035398C"/>
    <w:rsid w:val="00353BE2"/>
    <w:rsid w:val="0035407A"/>
    <w:rsid w:val="003541E1"/>
    <w:rsid w:val="003543FA"/>
    <w:rsid w:val="003544DE"/>
    <w:rsid w:val="003547FA"/>
    <w:rsid w:val="00354A9E"/>
    <w:rsid w:val="00354FCE"/>
    <w:rsid w:val="003550B2"/>
    <w:rsid w:val="00355A27"/>
    <w:rsid w:val="00355B92"/>
    <w:rsid w:val="00355E40"/>
    <w:rsid w:val="00355F6A"/>
    <w:rsid w:val="00356258"/>
    <w:rsid w:val="003565A8"/>
    <w:rsid w:val="00356704"/>
    <w:rsid w:val="00356D96"/>
    <w:rsid w:val="00356E65"/>
    <w:rsid w:val="003570DF"/>
    <w:rsid w:val="00357117"/>
    <w:rsid w:val="0035717B"/>
    <w:rsid w:val="003571ED"/>
    <w:rsid w:val="0035741F"/>
    <w:rsid w:val="0035743A"/>
    <w:rsid w:val="003574A8"/>
    <w:rsid w:val="0035770F"/>
    <w:rsid w:val="0035774F"/>
    <w:rsid w:val="00357791"/>
    <w:rsid w:val="003577E8"/>
    <w:rsid w:val="003578A4"/>
    <w:rsid w:val="00357908"/>
    <w:rsid w:val="00357975"/>
    <w:rsid w:val="00357B42"/>
    <w:rsid w:val="00357DB9"/>
    <w:rsid w:val="00357E13"/>
    <w:rsid w:val="00357E91"/>
    <w:rsid w:val="00357F06"/>
    <w:rsid w:val="00357F22"/>
    <w:rsid w:val="0036021C"/>
    <w:rsid w:val="003602A0"/>
    <w:rsid w:val="00360377"/>
    <w:rsid w:val="00360733"/>
    <w:rsid w:val="00360891"/>
    <w:rsid w:val="003609AF"/>
    <w:rsid w:val="00360B85"/>
    <w:rsid w:val="00360C23"/>
    <w:rsid w:val="00360E76"/>
    <w:rsid w:val="0036103E"/>
    <w:rsid w:val="0036115E"/>
    <w:rsid w:val="0036134D"/>
    <w:rsid w:val="00361D04"/>
    <w:rsid w:val="00361F25"/>
    <w:rsid w:val="00362010"/>
    <w:rsid w:val="00362056"/>
    <w:rsid w:val="003621B2"/>
    <w:rsid w:val="003622A9"/>
    <w:rsid w:val="003622CF"/>
    <w:rsid w:val="003623BD"/>
    <w:rsid w:val="00363146"/>
    <w:rsid w:val="00363BBB"/>
    <w:rsid w:val="00363CDA"/>
    <w:rsid w:val="00364025"/>
    <w:rsid w:val="0036402B"/>
    <w:rsid w:val="0036443C"/>
    <w:rsid w:val="00364966"/>
    <w:rsid w:val="00364AB6"/>
    <w:rsid w:val="00364B2F"/>
    <w:rsid w:val="00364BCA"/>
    <w:rsid w:val="00364CEE"/>
    <w:rsid w:val="00364D23"/>
    <w:rsid w:val="00364D26"/>
    <w:rsid w:val="00364D58"/>
    <w:rsid w:val="00365023"/>
    <w:rsid w:val="00365189"/>
    <w:rsid w:val="00365311"/>
    <w:rsid w:val="00365555"/>
    <w:rsid w:val="0036573F"/>
    <w:rsid w:val="003658BA"/>
    <w:rsid w:val="00365974"/>
    <w:rsid w:val="00365C9B"/>
    <w:rsid w:val="00365E49"/>
    <w:rsid w:val="00366525"/>
    <w:rsid w:val="003666AD"/>
    <w:rsid w:val="003666FF"/>
    <w:rsid w:val="00366809"/>
    <w:rsid w:val="00366E56"/>
    <w:rsid w:val="00367022"/>
    <w:rsid w:val="003671CB"/>
    <w:rsid w:val="0036721C"/>
    <w:rsid w:val="003672AA"/>
    <w:rsid w:val="00367418"/>
    <w:rsid w:val="0036742D"/>
    <w:rsid w:val="00367586"/>
    <w:rsid w:val="00367881"/>
    <w:rsid w:val="0036789E"/>
    <w:rsid w:val="00367F6B"/>
    <w:rsid w:val="00367F76"/>
    <w:rsid w:val="0037023D"/>
    <w:rsid w:val="003703B3"/>
    <w:rsid w:val="003703DA"/>
    <w:rsid w:val="003705BF"/>
    <w:rsid w:val="00370A09"/>
    <w:rsid w:val="00370F85"/>
    <w:rsid w:val="00371097"/>
    <w:rsid w:val="00371167"/>
    <w:rsid w:val="003711CE"/>
    <w:rsid w:val="00371204"/>
    <w:rsid w:val="0037138F"/>
    <w:rsid w:val="003713E5"/>
    <w:rsid w:val="003714D1"/>
    <w:rsid w:val="003715BC"/>
    <w:rsid w:val="003716A5"/>
    <w:rsid w:val="003717FE"/>
    <w:rsid w:val="0037187D"/>
    <w:rsid w:val="00371917"/>
    <w:rsid w:val="00371C1E"/>
    <w:rsid w:val="00371C2D"/>
    <w:rsid w:val="003721E0"/>
    <w:rsid w:val="0037226F"/>
    <w:rsid w:val="0037258C"/>
    <w:rsid w:val="0037272C"/>
    <w:rsid w:val="00372923"/>
    <w:rsid w:val="00372A4D"/>
    <w:rsid w:val="00372AB6"/>
    <w:rsid w:val="00372E42"/>
    <w:rsid w:val="003730C9"/>
    <w:rsid w:val="00373199"/>
    <w:rsid w:val="003732D5"/>
    <w:rsid w:val="00373319"/>
    <w:rsid w:val="00373531"/>
    <w:rsid w:val="003735B9"/>
    <w:rsid w:val="00373732"/>
    <w:rsid w:val="003739E5"/>
    <w:rsid w:val="00373B90"/>
    <w:rsid w:val="00373BB1"/>
    <w:rsid w:val="00373CF7"/>
    <w:rsid w:val="0037417D"/>
    <w:rsid w:val="003742EC"/>
    <w:rsid w:val="003748A5"/>
    <w:rsid w:val="003748BC"/>
    <w:rsid w:val="00374925"/>
    <w:rsid w:val="00374F4D"/>
    <w:rsid w:val="003750FA"/>
    <w:rsid w:val="0037520A"/>
    <w:rsid w:val="0037558A"/>
    <w:rsid w:val="00375BD8"/>
    <w:rsid w:val="00375C0E"/>
    <w:rsid w:val="00376128"/>
    <w:rsid w:val="00376652"/>
    <w:rsid w:val="003766F0"/>
    <w:rsid w:val="00376898"/>
    <w:rsid w:val="00376C39"/>
    <w:rsid w:val="00376ECD"/>
    <w:rsid w:val="00376F68"/>
    <w:rsid w:val="00376FB6"/>
    <w:rsid w:val="003770CC"/>
    <w:rsid w:val="00377262"/>
    <w:rsid w:val="00377672"/>
    <w:rsid w:val="0037770A"/>
    <w:rsid w:val="00377934"/>
    <w:rsid w:val="00377DE9"/>
    <w:rsid w:val="00380030"/>
    <w:rsid w:val="00380252"/>
    <w:rsid w:val="003805D1"/>
    <w:rsid w:val="003806AB"/>
    <w:rsid w:val="00380B89"/>
    <w:rsid w:val="00380D69"/>
    <w:rsid w:val="00380F97"/>
    <w:rsid w:val="00381125"/>
    <w:rsid w:val="003811C7"/>
    <w:rsid w:val="00381225"/>
    <w:rsid w:val="00381626"/>
    <w:rsid w:val="003817B4"/>
    <w:rsid w:val="00381A02"/>
    <w:rsid w:val="00381AE2"/>
    <w:rsid w:val="00381B85"/>
    <w:rsid w:val="00381F49"/>
    <w:rsid w:val="00381F64"/>
    <w:rsid w:val="003821C6"/>
    <w:rsid w:val="003821DC"/>
    <w:rsid w:val="00382222"/>
    <w:rsid w:val="003822CC"/>
    <w:rsid w:val="00382526"/>
    <w:rsid w:val="00382599"/>
    <w:rsid w:val="00382613"/>
    <w:rsid w:val="00382672"/>
    <w:rsid w:val="003826D4"/>
    <w:rsid w:val="00382F33"/>
    <w:rsid w:val="003830D1"/>
    <w:rsid w:val="003833EC"/>
    <w:rsid w:val="00383560"/>
    <w:rsid w:val="0038359B"/>
    <w:rsid w:val="0038360E"/>
    <w:rsid w:val="00383A12"/>
    <w:rsid w:val="00383D85"/>
    <w:rsid w:val="00384200"/>
    <w:rsid w:val="003842AA"/>
    <w:rsid w:val="00384512"/>
    <w:rsid w:val="0038485D"/>
    <w:rsid w:val="00384BDB"/>
    <w:rsid w:val="00384D94"/>
    <w:rsid w:val="00384E1E"/>
    <w:rsid w:val="00385292"/>
    <w:rsid w:val="00385346"/>
    <w:rsid w:val="003853AF"/>
    <w:rsid w:val="00385438"/>
    <w:rsid w:val="003856D1"/>
    <w:rsid w:val="00385782"/>
    <w:rsid w:val="0038591E"/>
    <w:rsid w:val="0038594E"/>
    <w:rsid w:val="00385D93"/>
    <w:rsid w:val="00385FB2"/>
    <w:rsid w:val="0038607E"/>
    <w:rsid w:val="003862CD"/>
    <w:rsid w:val="0038644A"/>
    <w:rsid w:val="00386750"/>
    <w:rsid w:val="003867C1"/>
    <w:rsid w:val="00386886"/>
    <w:rsid w:val="003868B2"/>
    <w:rsid w:val="003868FE"/>
    <w:rsid w:val="00386964"/>
    <w:rsid w:val="00386A98"/>
    <w:rsid w:val="00386B0E"/>
    <w:rsid w:val="00386C0F"/>
    <w:rsid w:val="0038709B"/>
    <w:rsid w:val="0038729C"/>
    <w:rsid w:val="003874EA"/>
    <w:rsid w:val="0038767E"/>
    <w:rsid w:val="00387875"/>
    <w:rsid w:val="003878A8"/>
    <w:rsid w:val="0039042B"/>
    <w:rsid w:val="0039051C"/>
    <w:rsid w:val="00390618"/>
    <w:rsid w:val="0039062A"/>
    <w:rsid w:val="00390693"/>
    <w:rsid w:val="00390780"/>
    <w:rsid w:val="00390BF7"/>
    <w:rsid w:val="00390F4D"/>
    <w:rsid w:val="0039114A"/>
    <w:rsid w:val="0039139F"/>
    <w:rsid w:val="003913F2"/>
    <w:rsid w:val="0039142C"/>
    <w:rsid w:val="003914F5"/>
    <w:rsid w:val="00391607"/>
    <w:rsid w:val="00391AC7"/>
    <w:rsid w:val="00391BF8"/>
    <w:rsid w:val="00391C65"/>
    <w:rsid w:val="003921BA"/>
    <w:rsid w:val="003921C5"/>
    <w:rsid w:val="003921CF"/>
    <w:rsid w:val="00392293"/>
    <w:rsid w:val="0039242F"/>
    <w:rsid w:val="00392701"/>
    <w:rsid w:val="00392867"/>
    <w:rsid w:val="00392B5B"/>
    <w:rsid w:val="00392B7A"/>
    <w:rsid w:val="00392B84"/>
    <w:rsid w:val="00392E62"/>
    <w:rsid w:val="00392FBD"/>
    <w:rsid w:val="00393048"/>
    <w:rsid w:val="0039314C"/>
    <w:rsid w:val="0039321B"/>
    <w:rsid w:val="003933A3"/>
    <w:rsid w:val="003933B0"/>
    <w:rsid w:val="0039346C"/>
    <w:rsid w:val="003934E5"/>
    <w:rsid w:val="0039386E"/>
    <w:rsid w:val="00393BBB"/>
    <w:rsid w:val="00393BDD"/>
    <w:rsid w:val="00393C14"/>
    <w:rsid w:val="00393CA4"/>
    <w:rsid w:val="00393FFA"/>
    <w:rsid w:val="003940B2"/>
    <w:rsid w:val="003940BC"/>
    <w:rsid w:val="0039424D"/>
    <w:rsid w:val="00394452"/>
    <w:rsid w:val="00394478"/>
    <w:rsid w:val="00394584"/>
    <w:rsid w:val="00394987"/>
    <w:rsid w:val="00394DC0"/>
    <w:rsid w:val="00394F11"/>
    <w:rsid w:val="003951AC"/>
    <w:rsid w:val="003951F6"/>
    <w:rsid w:val="00395285"/>
    <w:rsid w:val="00395586"/>
    <w:rsid w:val="003957FC"/>
    <w:rsid w:val="00395830"/>
    <w:rsid w:val="0039589B"/>
    <w:rsid w:val="00395B01"/>
    <w:rsid w:val="00395B4F"/>
    <w:rsid w:val="00395BFA"/>
    <w:rsid w:val="00395D3B"/>
    <w:rsid w:val="00395E86"/>
    <w:rsid w:val="00395EA2"/>
    <w:rsid w:val="00395EAD"/>
    <w:rsid w:val="0039603A"/>
    <w:rsid w:val="00396054"/>
    <w:rsid w:val="00396287"/>
    <w:rsid w:val="0039637F"/>
    <w:rsid w:val="003964A9"/>
    <w:rsid w:val="0039658D"/>
    <w:rsid w:val="003966AC"/>
    <w:rsid w:val="00396993"/>
    <w:rsid w:val="003969E7"/>
    <w:rsid w:val="00396AB4"/>
    <w:rsid w:val="00396F55"/>
    <w:rsid w:val="003970A7"/>
    <w:rsid w:val="00397280"/>
    <w:rsid w:val="00397606"/>
    <w:rsid w:val="00397CCA"/>
    <w:rsid w:val="00397DF6"/>
    <w:rsid w:val="00397F65"/>
    <w:rsid w:val="003A00CC"/>
    <w:rsid w:val="003A0320"/>
    <w:rsid w:val="003A03FB"/>
    <w:rsid w:val="003A0439"/>
    <w:rsid w:val="003A0747"/>
    <w:rsid w:val="003A0807"/>
    <w:rsid w:val="003A08FC"/>
    <w:rsid w:val="003A093F"/>
    <w:rsid w:val="003A0A42"/>
    <w:rsid w:val="003A0A48"/>
    <w:rsid w:val="003A0AC5"/>
    <w:rsid w:val="003A0D92"/>
    <w:rsid w:val="003A0EA6"/>
    <w:rsid w:val="003A0FF6"/>
    <w:rsid w:val="003A10D2"/>
    <w:rsid w:val="003A1566"/>
    <w:rsid w:val="003A1610"/>
    <w:rsid w:val="003A17A1"/>
    <w:rsid w:val="003A1906"/>
    <w:rsid w:val="003A1E33"/>
    <w:rsid w:val="003A1E4F"/>
    <w:rsid w:val="003A2049"/>
    <w:rsid w:val="003A23F2"/>
    <w:rsid w:val="003A2413"/>
    <w:rsid w:val="003A2694"/>
    <w:rsid w:val="003A2EE3"/>
    <w:rsid w:val="003A2F9B"/>
    <w:rsid w:val="003A305E"/>
    <w:rsid w:val="003A3079"/>
    <w:rsid w:val="003A320A"/>
    <w:rsid w:val="003A33BA"/>
    <w:rsid w:val="003A3469"/>
    <w:rsid w:val="003A383D"/>
    <w:rsid w:val="003A3842"/>
    <w:rsid w:val="003A3B0E"/>
    <w:rsid w:val="003A3B3B"/>
    <w:rsid w:val="003A3B9E"/>
    <w:rsid w:val="003A40A8"/>
    <w:rsid w:val="003A4276"/>
    <w:rsid w:val="003A4364"/>
    <w:rsid w:val="003A479F"/>
    <w:rsid w:val="003A5036"/>
    <w:rsid w:val="003A508B"/>
    <w:rsid w:val="003A542D"/>
    <w:rsid w:val="003A5913"/>
    <w:rsid w:val="003A5ABE"/>
    <w:rsid w:val="003A5D28"/>
    <w:rsid w:val="003A5E8A"/>
    <w:rsid w:val="003A5EED"/>
    <w:rsid w:val="003A6121"/>
    <w:rsid w:val="003A61DD"/>
    <w:rsid w:val="003A623F"/>
    <w:rsid w:val="003A6247"/>
    <w:rsid w:val="003A64A6"/>
    <w:rsid w:val="003A66A0"/>
    <w:rsid w:val="003A6722"/>
    <w:rsid w:val="003A6965"/>
    <w:rsid w:val="003A6A7D"/>
    <w:rsid w:val="003A6B00"/>
    <w:rsid w:val="003A6FF5"/>
    <w:rsid w:val="003A741C"/>
    <w:rsid w:val="003A755A"/>
    <w:rsid w:val="003A75FC"/>
    <w:rsid w:val="003A78B0"/>
    <w:rsid w:val="003A7AC1"/>
    <w:rsid w:val="003A7C34"/>
    <w:rsid w:val="003A7D56"/>
    <w:rsid w:val="003A7FFE"/>
    <w:rsid w:val="003B0022"/>
    <w:rsid w:val="003B0273"/>
    <w:rsid w:val="003B02CC"/>
    <w:rsid w:val="003B034B"/>
    <w:rsid w:val="003B0446"/>
    <w:rsid w:val="003B06B5"/>
    <w:rsid w:val="003B0C27"/>
    <w:rsid w:val="003B0CAB"/>
    <w:rsid w:val="003B0EC8"/>
    <w:rsid w:val="003B0F03"/>
    <w:rsid w:val="003B110D"/>
    <w:rsid w:val="003B1145"/>
    <w:rsid w:val="003B1205"/>
    <w:rsid w:val="003B1351"/>
    <w:rsid w:val="003B1759"/>
    <w:rsid w:val="003B1981"/>
    <w:rsid w:val="003B1FDB"/>
    <w:rsid w:val="003B204F"/>
    <w:rsid w:val="003B214C"/>
    <w:rsid w:val="003B2202"/>
    <w:rsid w:val="003B2805"/>
    <w:rsid w:val="003B2921"/>
    <w:rsid w:val="003B2995"/>
    <w:rsid w:val="003B2AD0"/>
    <w:rsid w:val="003B2B3E"/>
    <w:rsid w:val="003B2D81"/>
    <w:rsid w:val="003B2D95"/>
    <w:rsid w:val="003B2E0E"/>
    <w:rsid w:val="003B30F8"/>
    <w:rsid w:val="003B3122"/>
    <w:rsid w:val="003B3125"/>
    <w:rsid w:val="003B31B0"/>
    <w:rsid w:val="003B3271"/>
    <w:rsid w:val="003B329D"/>
    <w:rsid w:val="003B3329"/>
    <w:rsid w:val="003B3376"/>
    <w:rsid w:val="003B33B4"/>
    <w:rsid w:val="003B3607"/>
    <w:rsid w:val="003B37E8"/>
    <w:rsid w:val="003B37EE"/>
    <w:rsid w:val="003B3A26"/>
    <w:rsid w:val="003B3AF2"/>
    <w:rsid w:val="003B3C9F"/>
    <w:rsid w:val="003B3E4E"/>
    <w:rsid w:val="003B3F54"/>
    <w:rsid w:val="003B42BF"/>
    <w:rsid w:val="003B4414"/>
    <w:rsid w:val="003B45F0"/>
    <w:rsid w:val="003B45F6"/>
    <w:rsid w:val="003B4C2E"/>
    <w:rsid w:val="003B4CAA"/>
    <w:rsid w:val="003B4F97"/>
    <w:rsid w:val="003B5228"/>
    <w:rsid w:val="003B525A"/>
    <w:rsid w:val="003B55D5"/>
    <w:rsid w:val="003B5BFD"/>
    <w:rsid w:val="003B5C04"/>
    <w:rsid w:val="003B5D59"/>
    <w:rsid w:val="003B5EE1"/>
    <w:rsid w:val="003B6139"/>
    <w:rsid w:val="003B61B4"/>
    <w:rsid w:val="003B632A"/>
    <w:rsid w:val="003B6453"/>
    <w:rsid w:val="003B66F6"/>
    <w:rsid w:val="003B673C"/>
    <w:rsid w:val="003B696B"/>
    <w:rsid w:val="003B6AAB"/>
    <w:rsid w:val="003B6D41"/>
    <w:rsid w:val="003B7237"/>
    <w:rsid w:val="003B73EF"/>
    <w:rsid w:val="003B74A3"/>
    <w:rsid w:val="003B76C1"/>
    <w:rsid w:val="003B77E1"/>
    <w:rsid w:val="003B7B50"/>
    <w:rsid w:val="003B7C50"/>
    <w:rsid w:val="003B7CCD"/>
    <w:rsid w:val="003B7E09"/>
    <w:rsid w:val="003B7EC1"/>
    <w:rsid w:val="003B7FAF"/>
    <w:rsid w:val="003C0218"/>
    <w:rsid w:val="003C0602"/>
    <w:rsid w:val="003C0727"/>
    <w:rsid w:val="003C07C1"/>
    <w:rsid w:val="003C0948"/>
    <w:rsid w:val="003C095A"/>
    <w:rsid w:val="003C0D03"/>
    <w:rsid w:val="003C0D25"/>
    <w:rsid w:val="003C0D69"/>
    <w:rsid w:val="003C120E"/>
    <w:rsid w:val="003C13F0"/>
    <w:rsid w:val="003C1494"/>
    <w:rsid w:val="003C1668"/>
    <w:rsid w:val="003C170F"/>
    <w:rsid w:val="003C18BB"/>
    <w:rsid w:val="003C18CC"/>
    <w:rsid w:val="003C1A32"/>
    <w:rsid w:val="003C1CCB"/>
    <w:rsid w:val="003C1E44"/>
    <w:rsid w:val="003C1F8F"/>
    <w:rsid w:val="003C204C"/>
    <w:rsid w:val="003C231A"/>
    <w:rsid w:val="003C2323"/>
    <w:rsid w:val="003C23F8"/>
    <w:rsid w:val="003C2442"/>
    <w:rsid w:val="003C2566"/>
    <w:rsid w:val="003C2613"/>
    <w:rsid w:val="003C28D4"/>
    <w:rsid w:val="003C2932"/>
    <w:rsid w:val="003C2B3E"/>
    <w:rsid w:val="003C2BA0"/>
    <w:rsid w:val="003C2C2F"/>
    <w:rsid w:val="003C2CFC"/>
    <w:rsid w:val="003C2DB1"/>
    <w:rsid w:val="003C2F8D"/>
    <w:rsid w:val="003C30CF"/>
    <w:rsid w:val="003C32DC"/>
    <w:rsid w:val="003C34F0"/>
    <w:rsid w:val="003C3857"/>
    <w:rsid w:val="003C391E"/>
    <w:rsid w:val="003C3A13"/>
    <w:rsid w:val="003C3B90"/>
    <w:rsid w:val="003C3C31"/>
    <w:rsid w:val="003C3F04"/>
    <w:rsid w:val="003C4431"/>
    <w:rsid w:val="003C4624"/>
    <w:rsid w:val="003C462A"/>
    <w:rsid w:val="003C4744"/>
    <w:rsid w:val="003C4769"/>
    <w:rsid w:val="003C4967"/>
    <w:rsid w:val="003C49E9"/>
    <w:rsid w:val="003C4B4E"/>
    <w:rsid w:val="003C4D02"/>
    <w:rsid w:val="003C4D1A"/>
    <w:rsid w:val="003C4D53"/>
    <w:rsid w:val="003C4E1E"/>
    <w:rsid w:val="003C501E"/>
    <w:rsid w:val="003C51B9"/>
    <w:rsid w:val="003C5566"/>
    <w:rsid w:val="003C5650"/>
    <w:rsid w:val="003C565D"/>
    <w:rsid w:val="003C5980"/>
    <w:rsid w:val="003C5B11"/>
    <w:rsid w:val="003C5B93"/>
    <w:rsid w:val="003C5DB1"/>
    <w:rsid w:val="003C5EE7"/>
    <w:rsid w:val="003C61E8"/>
    <w:rsid w:val="003C62BD"/>
    <w:rsid w:val="003C66EC"/>
    <w:rsid w:val="003C683C"/>
    <w:rsid w:val="003C68E3"/>
    <w:rsid w:val="003C6A26"/>
    <w:rsid w:val="003C6A9A"/>
    <w:rsid w:val="003C6C63"/>
    <w:rsid w:val="003C7450"/>
    <w:rsid w:val="003C78D7"/>
    <w:rsid w:val="003C7B01"/>
    <w:rsid w:val="003C7C43"/>
    <w:rsid w:val="003C7E49"/>
    <w:rsid w:val="003C7ECE"/>
    <w:rsid w:val="003D00A4"/>
    <w:rsid w:val="003D0274"/>
    <w:rsid w:val="003D02E2"/>
    <w:rsid w:val="003D03B3"/>
    <w:rsid w:val="003D0412"/>
    <w:rsid w:val="003D0724"/>
    <w:rsid w:val="003D07DC"/>
    <w:rsid w:val="003D0888"/>
    <w:rsid w:val="003D09FC"/>
    <w:rsid w:val="003D0AB0"/>
    <w:rsid w:val="003D0D38"/>
    <w:rsid w:val="003D0F77"/>
    <w:rsid w:val="003D0FB5"/>
    <w:rsid w:val="003D1377"/>
    <w:rsid w:val="003D1535"/>
    <w:rsid w:val="003D1671"/>
    <w:rsid w:val="003D1808"/>
    <w:rsid w:val="003D19CB"/>
    <w:rsid w:val="003D1BEC"/>
    <w:rsid w:val="003D1CC7"/>
    <w:rsid w:val="003D1D3E"/>
    <w:rsid w:val="003D1EE0"/>
    <w:rsid w:val="003D1F1E"/>
    <w:rsid w:val="003D2175"/>
    <w:rsid w:val="003D21DE"/>
    <w:rsid w:val="003D23BE"/>
    <w:rsid w:val="003D2817"/>
    <w:rsid w:val="003D2925"/>
    <w:rsid w:val="003D29A5"/>
    <w:rsid w:val="003D2B0B"/>
    <w:rsid w:val="003D2ECC"/>
    <w:rsid w:val="003D31B3"/>
    <w:rsid w:val="003D3314"/>
    <w:rsid w:val="003D365F"/>
    <w:rsid w:val="003D36E9"/>
    <w:rsid w:val="003D3754"/>
    <w:rsid w:val="003D3883"/>
    <w:rsid w:val="003D3EAB"/>
    <w:rsid w:val="003D404A"/>
    <w:rsid w:val="003D405A"/>
    <w:rsid w:val="003D4269"/>
    <w:rsid w:val="003D429D"/>
    <w:rsid w:val="003D42ED"/>
    <w:rsid w:val="003D43D1"/>
    <w:rsid w:val="003D442D"/>
    <w:rsid w:val="003D44F4"/>
    <w:rsid w:val="003D461C"/>
    <w:rsid w:val="003D4640"/>
    <w:rsid w:val="003D4653"/>
    <w:rsid w:val="003D4947"/>
    <w:rsid w:val="003D4A07"/>
    <w:rsid w:val="003D51DA"/>
    <w:rsid w:val="003D5519"/>
    <w:rsid w:val="003D565F"/>
    <w:rsid w:val="003D5968"/>
    <w:rsid w:val="003D5BF0"/>
    <w:rsid w:val="003D5C1D"/>
    <w:rsid w:val="003D6162"/>
    <w:rsid w:val="003D61F1"/>
    <w:rsid w:val="003D6209"/>
    <w:rsid w:val="003D63E3"/>
    <w:rsid w:val="003D671B"/>
    <w:rsid w:val="003D67FE"/>
    <w:rsid w:val="003D6A9D"/>
    <w:rsid w:val="003D6CF5"/>
    <w:rsid w:val="003D6D7F"/>
    <w:rsid w:val="003D70D2"/>
    <w:rsid w:val="003D7280"/>
    <w:rsid w:val="003D76DD"/>
    <w:rsid w:val="003D7768"/>
    <w:rsid w:val="003D7CF0"/>
    <w:rsid w:val="003D7EEE"/>
    <w:rsid w:val="003E0074"/>
    <w:rsid w:val="003E02F4"/>
    <w:rsid w:val="003E04C3"/>
    <w:rsid w:val="003E0953"/>
    <w:rsid w:val="003E09B5"/>
    <w:rsid w:val="003E0A88"/>
    <w:rsid w:val="003E0CF8"/>
    <w:rsid w:val="003E0D41"/>
    <w:rsid w:val="003E0D68"/>
    <w:rsid w:val="003E0D97"/>
    <w:rsid w:val="003E0E35"/>
    <w:rsid w:val="003E10AC"/>
    <w:rsid w:val="003E1245"/>
    <w:rsid w:val="003E127B"/>
    <w:rsid w:val="003E12E9"/>
    <w:rsid w:val="003E1305"/>
    <w:rsid w:val="003E1451"/>
    <w:rsid w:val="003E1585"/>
    <w:rsid w:val="003E1660"/>
    <w:rsid w:val="003E167D"/>
    <w:rsid w:val="003E189D"/>
    <w:rsid w:val="003E1A22"/>
    <w:rsid w:val="003E1A3B"/>
    <w:rsid w:val="003E1A9A"/>
    <w:rsid w:val="003E1D19"/>
    <w:rsid w:val="003E1D5E"/>
    <w:rsid w:val="003E1FDF"/>
    <w:rsid w:val="003E21E0"/>
    <w:rsid w:val="003E23D9"/>
    <w:rsid w:val="003E23FF"/>
    <w:rsid w:val="003E2461"/>
    <w:rsid w:val="003E25CD"/>
    <w:rsid w:val="003E287C"/>
    <w:rsid w:val="003E28CA"/>
    <w:rsid w:val="003E2D36"/>
    <w:rsid w:val="003E2DCD"/>
    <w:rsid w:val="003E2F24"/>
    <w:rsid w:val="003E2F32"/>
    <w:rsid w:val="003E3189"/>
    <w:rsid w:val="003E34C7"/>
    <w:rsid w:val="003E354D"/>
    <w:rsid w:val="003E3550"/>
    <w:rsid w:val="003E35FF"/>
    <w:rsid w:val="003E3781"/>
    <w:rsid w:val="003E385E"/>
    <w:rsid w:val="003E3EFE"/>
    <w:rsid w:val="003E4122"/>
    <w:rsid w:val="003E41FE"/>
    <w:rsid w:val="003E428E"/>
    <w:rsid w:val="003E43B5"/>
    <w:rsid w:val="003E4568"/>
    <w:rsid w:val="003E4895"/>
    <w:rsid w:val="003E4AD9"/>
    <w:rsid w:val="003E4B36"/>
    <w:rsid w:val="003E4BF7"/>
    <w:rsid w:val="003E4C15"/>
    <w:rsid w:val="003E4EC6"/>
    <w:rsid w:val="003E5140"/>
    <w:rsid w:val="003E523E"/>
    <w:rsid w:val="003E57D7"/>
    <w:rsid w:val="003E581F"/>
    <w:rsid w:val="003E5A28"/>
    <w:rsid w:val="003E5B20"/>
    <w:rsid w:val="003E5C12"/>
    <w:rsid w:val="003E5EBA"/>
    <w:rsid w:val="003E5F77"/>
    <w:rsid w:val="003E6086"/>
    <w:rsid w:val="003E61E7"/>
    <w:rsid w:val="003E6316"/>
    <w:rsid w:val="003E66CD"/>
    <w:rsid w:val="003E6748"/>
    <w:rsid w:val="003E67DB"/>
    <w:rsid w:val="003E6854"/>
    <w:rsid w:val="003E6954"/>
    <w:rsid w:val="003E69DA"/>
    <w:rsid w:val="003E6BBF"/>
    <w:rsid w:val="003E6CBD"/>
    <w:rsid w:val="003E6E30"/>
    <w:rsid w:val="003E6F0C"/>
    <w:rsid w:val="003E70D3"/>
    <w:rsid w:val="003E724F"/>
    <w:rsid w:val="003E7379"/>
    <w:rsid w:val="003E763E"/>
    <w:rsid w:val="003E785B"/>
    <w:rsid w:val="003E791E"/>
    <w:rsid w:val="003E7AE8"/>
    <w:rsid w:val="003E7B68"/>
    <w:rsid w:val="003E7B88"/>
    <w:rsid w:val="003E7B95"/>
    <w:rsid w:val="003E7F5C"/>
    <w:rsid w:val="003F010C"/>
    <w:rsid w:val="003F03EE"/>
    <w:rsid w:val="003F04AB"/>
    <w:rsid w:val="003F0753"/>
    <w:rsid w:val="003F07CF"/>
    <w:rsid w:val="003F0A3B"/>
    <w:rsid w:val="003F1668"/>
    <w:rsid w:val="003F1878"/>
    <w:rsid w:val="003F1A34"/>
    <w:rsid w:val="003F1D33"/>
    <w:rsid w:val="003F1FF7"/>
    <w:rsid w:val="003F206A"/>
    <w:rsid w:val="003F21B4"/>
    <w:rsid w:val="003F2303"/>
    <w:rsid w:val="003F234E"/>
    <w:rsid w:val="003F2699"/>
    <w:rsid w:val="003F273E"/>
    <w:rsid w:val="003F283B"/>
    <w:rsid w:val="003F2844"/>
    <w:rsid w:val="003F2894"/>
    <w:rsid w:val="003F2958"/>
    <w:rsid w:val="003F2F7D"/>
    <w:rsid w:val="003F313C"/>
    <w:rsid w:val="003F3356"/>
    <w:rsid w:val="003F34A6"/>
    <w:rsid w:val="003F3580"/>
    <w:rsid w:val="003F35F6"/>
    <w:rsid w:val="003F3B61"/>
    <w:rsid w:val="003F3C99"/>
    <w:rsid w:val="003F3E46"/>
    <w:rsid w:val="003F3EC3"/>
    <w:rsid w:val="003F4121"/>
    <w:rsid w:val="003F4312"/>
    <w:rsid w:val="003F432F"/>
    <w:rsid w:val="003F4478"/>
    <w:rsid w:val="003F4554"/>
    <w:rsid w:val="003F47D2"/>
    <w:rsid w:val="003F4BD7"/>
    <w:rsid w:val="003F4C9E"/>
    <w:rsid w:val="003F4F36"/>
    <w:rsid w:val="003F4FB5"/>
    <w:rsid w:val="003F507B"/>
    <w:rsid w:val="003F52AF"/>
    <w:rsid w:val="003F5317"/>
    <w:rsid w:val="003F540B"/>
    <w:rsid w:val="003F543B"/>
    <w:rsid w:val="003F5CD2"/>
    <w:rsid w:val="003F5DFC"/>
    <w:rsid w:val="003F5E07"/>
    <w:rsid w:val="003F5E5F"/>
    <w:rsid w:val="003F5EB2"/>
    <w:rsid w:val="003F623F"/>
    <w:rsid w:val="003F62BB"/>
    <w:rsid w:val="003F6629"/>
    <w:rsid w:val="003F6639"/>
    <w:rsid w:val="003F6806"/>
    <w:rsid w:val="003F68AC"/>
    <w:rsid w:val="003F6908"/>
    <w:rsid w:val="003F6B4F"/>
    <w:rsid w:val="003F6B92"/>
    <w:rsid w:val="003F6DDA"/>
    <w:rsid w:val="003F6F8B"/>
    <w:rsid w:val="003F7023"/>
    <w:rsid w:val="003F72ED"/>
    <w:rsid w:val="003F74CE"/>
    <w:rsid w:val="003F7501"/>
    <w:rsid w:val="003F75D4"/>
    <w:rsid w:val="003F77D8"/>
    <w:rsid w:val="003F78A1"/>
    <w:rsid w:val="003F78DA"/>
    <w:rsid w:val="003F7942"/>
    <w:rsid w:val="003F7B86"/>
    <w:rsid w:val="003F7BE6"/>
    <w:rsid w:val="003F7D74"/>
    <w:rsid w:val="003F7DBC"/>
    <w:rsid w:val="003F7E19"/>
    <w:rsid w:val="004002C0"/>
    <w:rsid w:val="0040067A"/>
    <w:rsid w:val="00400711"/>
    <w:rsid w:val="00400738"/>
    <w:rsid w:val="0040084E"/>
    <w:rsid w:val="00400A1A"/>
    <w:rsid w:val="00400A31"/>
    <w:rsid w:val="00400B34"/>
    <w:rsid w:val="00400BBA"/>
    <w:rsid w:val="00400CCB"/>
    <w:rsid w:val="00400DAF"/>
    <w:rsid w:val="00400DF0"/>
    <w:rsid w:val="00400FD2"/>
    <w:rsid w:val="0040121C"/>
    <w:rsid w:val="00401244"/>
    <w:rsid w:val="004013E5"/>
    <w:rsid w:val="004013F9"/>
    <w:rsid w:val="00401A93"/>
    <w:rsid w:val="00401C4E"/>
    <w:rsid w:val="00401C6F"/>
    <w:rsid w:val="00401CE3"/>
    <w:rsid w:val="00401D54"/>
    <w:rsid w:val="00402133"/>
    <w:rsid w:val="0040217F"/>
    <w:rsid w:val="00402618"/>
    <w:rsid w:val="00402877"/>
    <w:rsid w:val="00402C3F"/>
    <w:rsid w:val="00402F4D"/>
    <w:rsid w:val="0040307A"/>
    <w:rsid w:val="004030A8"/>
    <w:rsid w:val="004030FB"/>
    <w:rsid w:val="004031D5"/>
    <w:rsid w:val="004031DA"/>
    <w:rsid w:val="004031EC"/>
    <w:rsid w:val="00403238"/>
    <w:rsid w:val="00403549"/>
    <w:rsid w:val="0040371D"/>
    <w:rsid w:val="0040398F"/>
    <w:rsid w:val="00403C25"/>
    <w:rsid w:val="0040408A"/>
    <w:rsid w:val="004040BA"/>
    <w:rsid w:val="00404169"/>
    <w:rsid w:val="0040434F"/>
    <w:rsid w:val="00404541"/>
    <w:rsid w:val="0040469E"/>
    <w:rsid w:val="0040483C"/>
    <w:rsid w:val="004048F6"/>
    <w:rsid w:val="00404A27"/>
    <w:rsid w:val="00404E52"/>
    <w:rsid w:val="00404E65"/>
    <w:rsid w:val="00404F35"/>
    <w:rsid w:val="0040529A"/>
    <w:rsid w:val="00405576"/>
    <w:rsid w:val="0040569B"/>
    <w:rsid w:val="00405B93"/>
    <w:rsid w:val="00405BA4"/>
    <w:rsid w:val="00405D57"/>
    <w:rsid w:val="00405EF7"/>
    <w:rsid w:val="00406391"/>
    <w:rsid w:val="00406721"/>
    <w:rsid w:val="00406797"/>
    <w:rsid w:val="00406D25"/>
    <w:rsid w:val="00406E79"/>
    <w:rsid w:val="00406F67"/>
    <w:rsid w:val="004073A1"/>
    <w:rsid w:val="00407419"/>
    <w:rsid w:val="0040741F"/>
    <w:rsid w:val="00407476"/>
    <w:rsid w:val="0040790B"/>
    <w:rsid w:val="004079FD"/>
    <w:rsid w:val="00407A3E"/>
    <w:rsid w:val="00407A62"/>
    <w:rsid w:val="00407ADA"/>
    <w:rsid w:val="00407C12"/>
    <w:rsid w:val="00407E7E"/>
    <w:rsid w:val="00410171"/>
    <w:rsid w:val="004101A2"/>
    <w:rsid w:val="0041037F"/>
    <w:rsid w:val="00410390"/>
    <w:rsid w:val="00410AAF"/>
    <w:rsid w:val="00410B95"/>
    <w:rsid w:val="00410C06"/>
    <w:rsid w:val="00410C53"/>
    <w:rsid w:val="00410D80"/>
    <w:rsid w:val="00411267"/>
    <w:rsid w:val="004114BC"/>
    <w:rsid w:val="0041176F"/>
    <w:rsid w:val="00411F73"/>
    <w:rsid w:val="004122DE"/>
    <w:rsid w:val="004124E2"/>
    <w:rsid w:val="00412683"/>
    <w:rsid w:val="004127E2"/>
    <w:rsid w:val="004129DD"/>
    <w:rsid w:val="00412A4B"/>
    <w:rsid w:val="00412B91"/>
    <w:rsid w:val="00412C65"/>
    <w:rsid w:val="00412E35"/>
    <w:rsid w:val="0041306D"/>
    <w:rsid w:val="00413128"/>
    <w:rsid w:val="004135A6"/>
    <w:rsid w:val="0041372E"/>
    <w:rsid w:val="00413760"/>
    <w:rsid w:val="004137EA"/>
    <w:rsid w:val="00413A63"/>
    <w:rsid w:val="00413B83"/>
    <w:rsid w:val="00414095"/>
    <w:rsid w:val="0041445D"/>
    <w:rsid w:val="004145BA"/>
    <w:rsid w:val="00414724"/>
    <w:rsid w:val="00414856"/>
    <w:rsid w:val="00414C75"/>
    <w:rsid w:val="00414D47"/>
    <w:rsid w:val="00414E01"/>
    <w:rsid w:val="00415052"/>
    <w:rsid w:val="0041529E"/>
    <w:rsid w:val="00415580"/>
    <w:rsid w:val="004155EF"/>
    <w:rsid w:val="004159E1"/>
    <w:rsid w:val="00415D15"/>
    <w:rsid w:val="00415DFE"/>
    <w:rsid w:val="00416142"/>
    <w:rsid w:val="004161D2"/>
    <w:rsid w:val="00416220"/>
    <w:rsid w:val="0041687D"/>
    <w:rsid w:val="004169DB"/>
    <w:rsid w:val="00416A3A"/>
    <w:rsid w:val="00416BC7"/>
    <w:rsid w:val="00416BD8"/>
    <w:rsid w:val="00416CB3"/>
    <w:rsid w:val="00416EF3"/>
    <w:rsid w:val="0041718C"/>
    <w:rsid w:val="004171DB"/>
    <w:rsid w:val="00417201"/>
    <w:rsid w:val="004172A5"/>
    <w:rsid w:val="0041731E"/>
    <w:rsid w:val="00417521"/>
    <w:rsid w:val="004176F6"/>
    <w:rsid w:val="00417740"/>
    <w:rsid w:val="00417843"/>
    <w:rsid w:val="00417919"/>
    <w:rsid w:val="00417A91"/>
    <w:rsid w:val="00417B53"/>
    <w:rsid w:val="0042001A"/>
    <w:rsid w:val="0042005F"/>
    <w:rsid w:val="0042011B"/>
    <w:rsid w:val="00420249"/>
    <w:rsid w:val="004202B8"/>
    <w:rsid w:val="004204EA"/>
    <w:rsid w:val="004207BB"/>
    <w:rsid w:val="00420B0A"/>
    <w:rsid w:val="00420DF3"/>
    <w:rsid w:val="004210F3"/>
    <w:rsid w:val="004213D7"/>
    <w:rsid w:val="004215C4"/>
    <w:rsid w:val="00421908"/>
    <w:rsid w:val="0042196A"/>
    <w:rsid w:val="00421B58"/>
    <w:rsid w:val="00421DAA"/>
    <w:rsid w:val="00421FC2"/>
    <w:rsid w:val="00422154"/>
    <w:rsid w:val="0042251F"/>
    <w:rsid w:val="00422829"/>
    <w:rsid w:val="00422837"/>
    <w:rsid w:val="00422880"/>
    <w:rsid w:val="00422FB9"/>
    <w:rsid w:val="0042309E"/>
    <w:rsid w:val="0042365A"/>
    <w:rsid w:val="00423866"/>
    <w:rsid w:val="00423996"/>
    <w:rsid w:val="004239AA"/>
    <w:rsid w:val="00423A41"/>
    <w:rsid w:val="00423A7A"/>
    <w:rsid w:val="00423ADA"/>
    <w:rsid w:val="00423B0B"/>
    <w:rsid w:val="00423C21"/>
    <w:rsid w:val="00423D5F"/>
    <w:rsid w:val="00423F16"/>
    <w:rsid w:val="004240E9"/>
    <w:rsid w:val="0042425D"/>
    <w:rsid w:val="00424418"/>
    <w:rsid w:val="00424485"/>
    <w:rsid w:val="004244AE"/>
    <w:rsid w:val="00424C6E"/>
    <w:rsid w:val="00424CCE"/>
    <w:rsid w:val="00425040"/>
    <w:rsid w:val="00425286"/>
    <w:rsid w:val="0042546C"/>
    <w:rsid w:val="00425BE3"/>
    <w:rsid w:val="00425ED7"/>
    <w:rsid w:val="00426258"/>
    <w:rsid w:val="0042643A"/>
    <w:rsid w:val="00426507"/>
    <w:rsid w:val="004265F7"/>
    <w:rsid w:val="0042660C"/>
    <w:rsid w:val="0042665C"/>
    <w:rsid w:val="004266A2"/>
    <w:rsid w:val="00426722"/>
    <w:rsid w:val="0042673B"/>
    <w:rsid w:val="004269A0"/>
    <w:rsid w:val="004269D8"/>
    <w:rsid w:val="00426DE5"/>
    <w:rsid w:val="00426E42"/>
    <w:rsid w:val="00426F5C"/>
    <w:rsid w:val="00427025"/>
    <w:rsid w:val="00427231"/>
    <w:rsid w:val="0042732A"/>
    <w:rsid w:val="00427534"/>
    <w:rsid w:val="004279EE"/>
    <w:rsid w:val="00427B90"/>
    <w:rsid w:val="00427B94"/>
    <w:rsid w:val="00427BAE"/>
    <w:rsid w:val="00427FFC"/>
    <w:rsid w:val="0043033B"/>
    <w:rsid w:val="0043044F"/>
    <w:rsid w:val="00430593"/>
    <w:rsid w:val="00430851"/>
    <w:rsid w:val="00430ABF"/>
    <w:rsid w:val="00430E98"/>
    <w:rsid w:val="004310EE"/>
    <w:rsid w:val="004314FF"/>
    <w:rsid w:val="00431548"/>
    <w:rsid w:val="004316D9"/>
    <w:rsid w:val="004319E8"/>
    <w:rsid w:val="00431A8D"/>
    <w:rsid w:val="00431AB9"/>
    <w:rsid w:val="00431AC6"/>
    <w:rsid w:val="00431D83"/>
    <w:rsid w:val="0043202C"/>
    <w:rsid w:val="0043208B"/>
    <w:rsid w:val="0043213F"/>
    <w:rsid w:val="0043231F"/>
    <w:rsid w:val="00432842"/>
    <w:rsid w:val="00432985"/>
    <w:rsid w:val="00432B1D"/>
    <w:rsid w:val="00432BB3"/>
    <w:rsid w:val="00432CFF"/>
    <w:rsid w:val="00432D54"/>
    <w:rsid w:val="00432E69"/>
    <w:rsid w:val="004330D2"/>
    <w:rsid w:val="004335B6"/>
    <w:rsid w:val="004337C3"/>
    <w:rsid w:val="00433803"/>
    <w:rsid w:val="004339D6"/>
    <w:rsid w:val="00433E56"/>
    <w:rsid w:val="00434164"/>
    <w:rsid w:val="00434230"/>
    <w:rsid w:val="00434673"/>
    <w:rsid w:val="004346A6"/>
    <w:rsid w:val="0043489A"/>
    <w:rsid w:val="00434C5F"/>
    <w:rsid w:val="00434D1C"/>
    <w:rsid w:val="004350D8"/>
    <w:rsid w:val="004352A4"/>
    <w:rsid w:val="004352F4"/>
    <w:rsid w:val="0043549B"/>
    <w:rsid w:val="00435637"/>
    <w:rsid w:val="004356B3"/>
    <w:rsid w:val="0043576E"/>
    <w:rsid w:val="00435A1E"/>
    <w:rsid w:val="00435BED"/>
    <w:rsid w:val="0043617C"/>
    <w:rsid w:val="00436258"/>
    <w:rsid w:val="004362E2"/>
    <w:rsid w:val="0043644B"/>
    <w:rsid w:val="0043656A"/>
    <w:rsid w:val="00436645"/>
    <w:rsid w:val="00436797"/>
    <w:rsid w:val="004368F0"/>
    <w:rsid w:val="00436E2D"/>
    <w:rsid w:val="00436ECC"/>
    <w:rsid w:val="004370A8"/>
    <w:rsid w:val="004371E2"/>
    <w:rsid w:val="00437336"/>
    <w:rsid w:val="004373AA"/>
    <w:rsid w:val="0043744B"/>
    <w:rsid w:val="004374D4"/>
    <w:rsid w:val="0043761F"/>
    <w:rsid w:val="00437883"/>
    <w:rsid w:val="00437A71"/>
    <w:rsid w:val="00437B26"/>
    <w:rsid w:val="00437DEA"/>
    <w:rsid w:val="0044017F"/>
    <w:rsid w:val="004403BA"/>
    <w:rsid w:val="004405CE"/>
    <w:rsid w:val="00440899"/>
    <w:rsid w:val="004408C4"/>
    <w:rsid w:val="00440A42"/>
    <w:rsid w:val="00440B1F"/>
    <w:rsid w:val="00440C69"/>
    <w:rsid w:val="0044101C"/>
    <w:rsid w:val="0044101F"/>
    <w:rsid w:val="00441255"/>
    <w:rsid w:val="00441370"/>
    <w:rsid w:val="0044158E"/>
    <w:rsid w:val="004415C1"/>
    <w:rsid w:val="00441EBE"/>
    <w:rsid w:val="00442078"/>
    <w:rsid w:val="00442152"/>
    <w:rsid w:val="004421DB"/>
    <w:rsid w:val="004426CB"/>
    <w:rsid w:val="004427D5"/>
    <w:rsid w:val="00442936"/>
    <w:rsid w:val="0044296E"/>
    <w:rsid w:val="004429AE"/>
    <w:rsid w:val="00442E77"/>
    <w:rsid w:val="00442EC6"/>
    <w:rsid w:val="0044353B"/>
    <w:rsid w:val="004436BB"/>
    <w:rsid w:val="00443727"/>
    <w:rsid w:val="004437C2"/>
    <w:rsid w:val="0044385F"/>
    <w:rsid w:val="004438BA"/>
    <w:rsid w:val="00443AF5"/>
    <w:rsid w:val="00443B5B"/>
    <w:rsid w:val="00443E27"/>
    <w:rsid w:val="00444004"/>
    <w:rsid w:val="0044433A"/>
    <w:rsid w:val="00444585"/>
    <w:rsid w:val="00444A7A"/>
    <w:rsid w:val="00444DB6"/>
    <w:rsid w:val="00444E8C"/>
    <w:rsid w:val="00444EFE"/>
    <w:rsid w:val="00445007"/>
    <w:rsid w:val="00445192"/>
    <w:rsid w:val="004451B4"/>
    <w:rsid w:val="004452A0"/>
    <w:rsid w:val="00445824"/>
    <w:rsid w:val="00445A7B"/>
    <w:rsid w:val="00445D82"/>
    <w:rsid w:val="00446135"/>
    <w:rsid w:val="00446272"/>
    <w:rsid w:val="00446475"/>
    <w:rsid w:val="004465F1"/>
    <w:rsid w:val="00446C24"/>
    <w:rsid w:val="00446EBE"/>
    <w:rsid w:val="0044714A"/>
    <w:rsid w:val="00447367"/>
    <w:rsid w:val="0044770F"/>
    <w:rsid w:val="00447AC9"/>
    <w:rsid w:val="00447C9A"/>
    <w:rsid w:val="00450058"/>
    <w:rsid w:val="00450217"/>
    <w:rsid w:val="004502D8"/>
    <w:rsid w:val="0045032C"/>
    <w:rsid w:val="004503A9"/>
    <w:rsid w:val="00450402"/>
    <w:rsid w:val="0045054A"/>
    <w:rsid w:val="0045072A"/>
    <w:rsid w:val="004507E5"/>
    <w:rsid w:val="00450893"/>
    <w:rsid w:val="00450916"/>
    <w:rsid w:val="00450919"/>
    <w:rsid w:val="0045096F"/>
    <w:rsid w:val="00450CCB"/>
    <w:rsid w:val="00450E12"/>
    <w:rsid w:val="00450E1A"/>
    <w:rsid w:val="00451065"/>
    <w:rsid w:val="00451336"/>
    <w:rsid w:val="004518EC"/>
    <w:rsid w:val="004518F4"/>
    <w:rsid w:val="004519FF"/>
    <w:rsid w:val="00451A0B"/>
    <w:rsid w:val="00451CAB"/>
    <w:rsid w:val="004522FB"/>
    <w:rsid w:val="0045278A"/>
    <w:rsid w:val="004527B0"/>
    <w:rsid w:val="00452817"/>
    <w:rsid w:val="00452962"/>
    <w:rsid w:val="00452FC8"/>
    <w:rsid w:val="00453317"/>
    <w:rsid w:val="00453537"/>
    <w:rsid w:val="0045373A"/>
    <w:rsid w:val="004537E6"/>
    <w:rsid w:val="00453C74"/>
    <w:rsid w:val="004540C0"/>
    <w:rsid w:val="00454440"/>
    <w:rsid w:val="0045492F"/>
    <w:rsid w:val="00454A03"/>
    <w:rsid w:val="00454C0B"/>
    <w:rsid w:val="00454C9C"/>
    <w:rsid w:val="00454E7F"/>
    <w:rsid w:val="00454ED7"/>
    <w:rsid w:val="00454F22"/>
    <w:rsid w:val="00455022"/>
    <w:rsid w:val="00455077"/>
    <w:rsid w:val="00455146"/>
    <w:rsid w:val="0045520F"/>
    <w:rsid w:val="00455422"/>
    <w:rsid w:val="00455639"/>
    <w:rsid w:val="004558DD"/>
    <w:rsid w:val="004559B5"/>
    <w:rsid w:val="00455D6B"/>
    <w:rsid w:val="00455E08"/>
    <w:rsid w:val="00456521"/>
    <w:rsid w:val="00456759"/>
    <w:rsid w:val="00456807"/>
    <w:rsid w:val="0045686D"/>
    <w:rsid w:val="004568F5"/>
    <w:rsid w:val="00456B68"/>
    <w:rsid w:val="00456D96"/>
    <w:rsid w:val="00456E41"/>
    <w:rsid w:val="00456E8F"/>
    <w:rsid w:val="00457540"/>
    <w:rsid w:val="00457563"/>
    <w:rsid w:val="004575DA"/>
    <w:rsid w:val="00457745"/>
    <w:rsid w:val="0045774F"/>
    <w:rsid w:val="004577BD"/>
    <w:rsid w:val="00457B94"/>
    <w:rsid w:val="00457C27"/>
    <w:rsid w:val="00457C2C"/>
    <w:rsid w:val="00457EFC"/>
    <w:rsid w:val="0046000B"/>
    <w:rsid w:val="00460144"/>
    <w:rsid w:val="0046037A"/>
    <w:rsid w:val="00460592"/>
    <w:rsid w:val="004605FE"/>
    <w:rsid w:val="004606FF"/>
    <w:rsid w:val="00460924"/>
    <w:rsid w:val="00460D19"/>
    <w:rsid w:val="00460DB0"/>
    <w:rsid w:val="00460ED0"/>
    <w:rsid w:val="00461016"/>
    <w:rsid w:val="004610C4"/>
    <w:rsid w:val="00461272"/>
    <w:rsid w:val="0046129A"/>
    <w:rsid w:val="0046138F"/>
    <w:rsid w:val="00461827"/>
    <w:rsid w:val="0046188E"/>
    <w:rsid w:val="0046191F"/>
    <w:rsid w:val="00461977"/>
    <w:rsid w:val="00461C9E"/>
    <w:rsid w:val="00461E41"/>
    <w:rsid w:val="00461E6E"/>
    <w:rsid w:val="00461EDD"/>
    <w:rsid w:val="00461FB3"/>
    <w:rsid w:val="00462011"/>
    <w:rsid w:val="0046240D"/>
    <w:rsid w:val="004626C8"/>
    <w:rsid w:val="0046280B"/>
    <w:rsid w:val="0046299D"/>
    <w:rsid w:val="004629BE"/>
    <w:rsid w:val="00462AC6"/>
    <w:rsid w:val="00463557"/>
    <w:rsid w:val="00463853"/>
    <w:rsid w:val="00463971"/>
    <w:rsid w:val="00463A40"/>
    <w:rsid w:val="00463A84"/>
    <w:rsid w:val="00463C55"/>
    <w:rsid w:val="00463D5E"/>
    <w:rsid w:val="00464032"/>
    <w:rsid w:val="004641B7"/>
    <w:rsid w:val="00464239"/>
    <w:rsid w:val="00464492"/>
    <w:rsid w:val="00464660"/>
    <w:rsid w:val="00464862"/>
    <w:rsid w:val="00465327"/>
    <w:rsid w:val="00465365"/>
    <w:rsid w:val="004653B3"/>
    <w:rsid w:val="004654A8"/>
    <w:rsid w:val="0046569E"/>
    <w:rsid w:val="004657B5"/>
    <w:rsid w:val="004657C1"/>
    <w:rsid w:val="00465A40"/>
    <w:rsid w:val="00465B50"/>
    <w:rsid w:val="00465F8E"/>
    <w:rsid w:val="0046618F"/>
    <w:rsid w:val="004661B8"/>
    <w:rsid w:val="0046629D"/>
    <w:rsid w:val="00466352"/>
    <w:rsid w:val="0046685B"/>
    <w:rsid w:val="0046694B"/>
    <w:rsid w:val="00466C53"/>
    <w:rsid w:val="00466C67"/>
    <w:rsid w:val="00466CA3"/>
    <w:rsid w:val="00466E81"/>
    <w:rsid w:val="00466E93"/>
    <w:rsid w:val="00466F72"/>
    <w:rsid w:val="004670A1"/>
    <w:rsid w:val="004670D2"/>
    <w:rsid w:val="004672DA"/>
    <w:rsid w:val="0046736A"/>
    <w:rsid w:val="004674EC"/>
    <w:rsid w:val="004678EC"/>
    <w:rsid w:val="00467A5F"/>
    <w:rsid w:val="004700B4"/>
    <w:rsid w:val="00470138"/>
    <w:rsid w:val="00470159"/>
    <w:rsid w:val="0047021C"/>
    <w:rsid w:val="00470476"/>
    <w:rsid w:val="00470646"/>
    <w:rsid w:val="004709A2"/>
    <w:rsid w:val="004709CB"/>
    <w:rsid w:val="00470ADB"/>
    <w:rsid w:val="00470C42"/>
    <w:rsid w:val="00470F96"/>
    <w:rsid w:val="00471041"/>
    <w:rsid w:val="004712F5"/>
    <w:rsid w:val="00471322"/>
    <w:rsid w:val="004714BF"/>
    <w:rsid w:val="004715DE"/>
    <w:rsid w:val="00471792"/>
    <w:rsid w:val="0047188D"/>
    <w:rsid w:val="00471AFD"/>
    <w:rsid w:val="00471BEB"/>
    <w:rsid w:val="00471C84"/>
    <w:rsid w:val="00472161"/>
    <w:rsid w:val="0047260C"/>
    <w:rsid w:val="00472BEA"/>
    <w:rsid w:val="00472C4F"/>
    <w:rsid w:val="00473102"/>
    <w:rsid w:val="004732BC"/>
    <w:rsid w:val="004733D0"/>
    <w:rsid w:val="004737A7"/>
    <w:rsid w:val="00473ABE"/>
    <w:rsid w:val="00473CF8"/>
    <w:rsid w:val="00473DBC"/>
    <w:rsid w:val="00473F94"/>
    <w:rsid w:val="00474186"/>
    <w:rsid w:val="004741AB"/>
    <w:rsid w:val="00474377"/>
    <w:rsid w:val="00474575"/>
    <w:rsid w:val="00474AA1"/>
    <w:rsid w:val="00474B14"/>
    <w:rsid w:val="00474C99"/>
    <w:rsid w:val="00474E2D"/>
    <w:rsid w:val="0047509E"/>
    <w:rsid w:val="00475484"/>
    <w:rsid w:val="00475CF2"/>
    <w:rsid w:val="00475E4A"/>
    <w:rsid w:val="00475F44"/>
    <w:rsid w:val="00476148"/>
    <w:rsid w:val="0047640F"/>
    <w:rsid w:val="004764AB"/>
    <w:rsid w:val="00476696"/>
    <w:rsid w:val="004767CC"/>
    <w:rsid w:val="004768CB"/>
    <w:rsid w:val="00476A78"/>
    <w:rsid w:val="00476F0C"/>
    <w:rsid w:val="00476F9D"/>
    <w:rsid w:val="00477821"/>
    <w:rsid w:val="00477831"/>
    <w:rsid w:val="00477878"/>
    <w:rsid w:val="00477A84"/>
    <w:rsid w:val="00477AC7"/>
    <w:rsid w:val="00477DC6"/>
    <w:rsid w:val="00477E8B"/>
    <w:rsid w:val="0048018D"/>
    <w:rsid w:val="0048054F"/>
    <w:rsid w:val="004806A8"/>
    <w:rsid w:val="00480834"/>
    <w:rsid w:val="004809C2"/>
    <w:rsid w:val="0048113C"/>
    <w:rsid w:val="00481252"/>
    <w:rsid w:val="004812BE"/>
    <w:rsid w:val="00481360"/>
    <w:rsid w:val="0048144C"/>
    <w:rsid w:val="0048149D"/>
    <w:rsid w:val="00481612"/>
    <w:rsid w:val="00481731"/>
    <w:rsid w:val="00481790"/>
    <w:rsid w:val="0048189A"/>
    <w:rsid w:val="004819EB"/>
    <w:rsid w:val="00481AFF"/>
    <w:rsid w:val="00481CAC"/>
    <w:rsid w:val="00481D29"/>
    <w:rsid w:val="00481F0B"/>
    <w:rsid w:val="004821D2"/>
    <w:rsid w:val="0048285E"/>
    <w:rsid w:val="00482899"/>
    <w:rsid w:val="00482DAB"/>
    <w:rsid w:val="004831B4"/>
    <w:rsid w:val="0048353A"/>
    <w:rsid w:val="004836C5"/>
    <w:rsid w:val="004837C9"/>
    <w:rsid w:val="004838AD"/>
    <w:rsid w:val="004839AF"/>
    <w:rsid w:val="00483D45"/>
    <w:rsid w:val="00483F3A"/>
    <w:rsid w:val="00484087"/>
    <w:rsid w:val="0048438C"/>
    <w:rsid w:val="0048438E"/>
    <w:rsid w:val="00484566"/>
    <w:rsid w:val="004847D3"/>
    <w:rsid w:val="004848E6"/>
    <w:rsid w:val="004849E3"/>
    <w:rsid w:val="00484AFB"/>
    <w:rsid w:val="00484B23"/>
    <w:rsid w:val="00485033"/>
    <w:rsid w:val="004851DA"/>
    <w:rsid w:val="00485233"/>
    <w:rsid w:val="00485472"/>
    <w:rsid w:val="0048552B"/>
    <w:rsid w:val="0048560D"/>
    <w:rsid w:val="0048568C"/>
    <w:rsid w:val="0048599E"/>
    <w:rsid w:val="004859CF"/>
    <w:rsid w:val="00485ADF"/>
    <w:rsid w:val="00485C44"/>
    <w:rsid w:val="00485CBD"/>
    <w:rsid w:val="00485EF2"/>
    <w:rsid w:val="00485FF5"/>
    <w:rsid w:val="004860C3"/>
    <w:rsid w:val="00486355"/>
    <w:rsid w:val="00486503"/>
    <w:rsid w:val="0048650F"/>
    <w:rsid w:val="00486A30"/>
    <w:rsid w:val="00486D19"/>
    <w:rsid w:val="00486DE2"/>
    <w:rsid w:val="00487163"/>
    <w:rsid w:val="004871B2"/>
    <w:rsid w:val="0048729D"/>
    <w:rsid w:val="004874EB"/>
    <w:rsid w:val="0048758E"/>
    <w:rsid w:val="004876FF"/>
    <w:rsid w:val="00487778"/>
    <w:rsid w:val="004878B6"/>
    <w:rsid w:val="00487987"/>
    <w:rsid w:val="00487A9F"/>
    <w:rsid w:val="00487E18"/>
    <w:rsid w:val="004900ED"/>
    <w:rsid w:val="004902FA"/>
    <w:rsid w:val="0049034A"/>
    <w:rsid w:val="004903C6"/>
    <w:rsid w:val="004905BD"/>
    <w:rsid w:val="004905CF"/>
    <w:rsid w:val="0049078B"/>
    <w:rsid w:val="00490B20"/>
    <w:rsid w:val="00490B7E"/>
    <w:rsid w:val="00490D9D"/>
    <w:rsid w:val="0049117E"/>
    <w:rsid w:val="00491226"/>
    <w:rsid w:val="004913FD"/>
    <w:rsid w:val="0049153B"/>
    <w:rsid w:val="004915C6"/>
    <w:rsid w:val="004916B1"/>
    <w:rsid w:val="004916BA"/>
    <w:rsid w:val="004917D6"/>
    <w:rsid w:val="004917F9"/>
    <w:rsid w:val="004918F6"/>
    <w:rsid w:val="00491A87"/>
    <w:rsid w:val="00491D9C"/>
    <w:rsid w:val="0049237D"/>
    <w:rsid w:val="00492491"/>
    <w:rsid w:val="00492CB7"/>
    <w:rsid w:val="00492D74"/>
    <w:rsid w:val="00492DE5"/>
    <w:rsid w:val="0049317B"/>
    <w:rsid w:val="004932CC"/>
    <w:rsid w:val="00493424"/>
    <w:rsid w:val="0049369F"/>
    <w:rsid w:val="004937B0"/>
    <w:rsid w:val="00493882"/>
    <w:rsid w:val="00493E47"/>
    <w:rsid w:val="00493EBC"/>
    <w:rsid w:val="00493F38"/>
    <w:rsid w:val="00493F42"/>
    <w:rsid w:val="00494049"/>
    <w:rsid w:val="00494140"/>
    <w:rsid w:val="004942C5"/>
    <w:rsid w:val="0049459F"/>
    <w:rsid w:val="0049493A"/>
    <w:rsid w:val="00494A68"/>
    <w:rsid w:val="00494BD8"/>
    <w:rsid w:val="0049505F"/>
    <w:rsid w:val="004951C8"/>
    <w:rsid w:val="004953CF"/>
    <w:rsid w:val="004953F2"/>
    <w:rsid w:val="004956CC"/>
    <w:rsid w:val="00495845"/>
    <w:rsid w:val="0049584F"/>
    <w:rsid w:val="00495889"/>
    <w:rsid w:val="00495A82"/>
    <w:rsid w:val="00495AEC"/>
    <w:rsid w:val="00495CDC"/>
    <w:rsid w:val="00495E8D"/>
    <w:rsid w:val="004960B3"/>
    <w:rsid w:val="004960E9"/>
    <w:rsid w:val="00496327"/>
    <w:rsid w:val="00496368"/>
    <w:rsid w:val="0049643E"/>
    <w:rsid w:val="00496441"/>
    <w:rsid w:val="004965ED"/>
    <w:rsid w:val="0049688D"/>
    <w:rsid w:val="004969B8"/>
    <w:rsid w:val="004969E2"/>
    <w:rsid w:val="00496C4F"/>
    <w:rsid w:val="00496C62"/>
    <w:rsid w:val="00496CEC"/>
    <w:rsid w:val="00496D5F"/>
    <w:rsid w:val="00496DA0"/>
    <w:rsid w:val="00497187"/>
    <w:rsid w:val="00497373"/>
    <w:rsid w:val="004974D5"/>
    <w:rsid w:val="00497532"/>
    <w:rsid w:val="00497754"/>
    <w:rsid w:val="00497B29"/>
    <w:rsid w:val="004A0257"/>
    <w:rsid w:val="004A0322"/>
    <w:rsid w:val="004A0416"/>
    <w:rsid w:val="004A045E"/>
    <w:rsid w:val="004A0473"/>
    <w:rsid w:val="004A0544"/>
    <w:rsid w:val="004A07AB"/>
    <w:rsid w:val="004A0B5D"/>
    <w:rsid w:val="004A0B83"/>
    <w:rsid w:val="004A10A5"/>
    <w:rsid w:val="004A12A4"/>
    <w:rsid w:val="004A1406"/>
    <w:rsid w:val="004A1452"/>
    <w:rsid w:val="004A147D"/>
    <w:rsid w:val="004A1668"/>
    <w:rsid w:val="004A1EEF"/>
    <w:rsid w:val="004A1F98"/>
    <w:rsid w:val="004A1FC1"/>
    <w:rsid w:val="004A1FCC"/>
    <w:rsid w:val="004A249F"/>
    <w:rsid w:val="004A26A8"/>
    <w:rsid w:val="004A26CD"/>
    <w:rsid w:val="004A2811"/>
    <w:rsid w:val="004A2A03"/>
    <w:rsid w:val="004A2D60"/>
    <w:rsid w:val="004A2DD2"/>
    <w:rsid w:val="004A2DDE"/>
    <w:rsid w:val="004A2DF5"/>
    <w:rsid w:val="004A304A"/>
    <w:rsid w:val="004A32DE"/>
    <w:rsid w:val="004A33E9"/>
    <w:rsid w:val="004A34C6"/>
    <w:rsid w:val="004A3697"/>
    <w:rsid w:val="004A39A0"/>
    <w:rsid w:val="004A39AA"/>
    <w:rsid w:val="004A3B45"/>
    <w:rsid w:val="004A3B7D"/>
    <w:rsid w:val="004A45AE"/>
    <w:rsid w:val="004A4614"/>
    <w:rsid w:val="004A469B"/>
    <w:rsid w:val="004A4909"/>
    <w:rsid w:val="004A4939"/>
    <w:rsid w:val="004A4BD0"/>
    <w:rsid w:val="004A4DF5"/>
    <w:rsid w:val="004A4F46"/>
    <w:rsid w:val="004A50BB"/>
    <w:rsid w:val="004A51F0"/>
    <w:rsid w:val="004A5596"/>
    <w:rsid w:val="004A56BB"/>
    <w:rsid w:val="004A591C"/>
    <w:rsid w:val="004A5C76"/>
    <w:rsid w:val="004A5D5B"/>
    <w:rsid w:val="004A6820"/>
    <w:rsid w:val="004A6878"/>
    <w:rsid w:val="004A688F"/>
    <w:rsid w:val="004A6BC2"/>
    <w:rsid w:val="004A6D97"/>
    <w:rsid w:val="004A6E53"/>
    <w:rsid w:val="004A6FDF"/>
    <w:rsid w:val="004A74E7"/>
    <w:rsid w:val="004A78BF"/>
    <w:rsid w:val="004A7B48"/>
    <w:rsid w:val="004A7EB8"/>
    <w:rsid w:val="004A7F5F"/>
    <w:rsid w:val="004B02C6"/>
    <w:rsid w:val="004B0307"/>
    <w:rsid w:val="004B07C1"/>
    <w:rsid w:val="004B07C7"/>
    <w:rsid w:val="004B0DF7"/>
    <w:rsid w:val="004B0ED6"/>
    <w:rsid w:val="004B1052"/>
    <w:rsid w:val="004B1419"/>
    <w:rsid w:val="004B186B"/>
    <w:rsid w:val="004B193B"/>
    <w:rsid w:val="004B1A59"/>
    <w:rsid w:val="004B1B2B"/>
    <w:rsid w:val="004B1F32"/>
    <w:rsid w:val="004B2011"/>
    <w:rsid w:val="004B20CE"/>
    <w:rsid w:val="004B2514"/>
    <w:rsid w:val="004B2558"/>
    <w:rsid w:val="004B25D0"/>
    <w:rsid w:val="004B2737"/>
    <w:rsid w:val="004B2CA0"/>
    <w:rsid w:val="004B3303"/>
    <w:rsid w:val="004B367B"/>
    <w:rsid w:val="004B3731"/>
    <w:rsid w:val="004B374C"/>
    <w:rsid w:val="004B3AE4"/>
    <w:rsid w:val="004B3E98"/>
    <w:rsid w:val="004B42EF"/>
    <w:rsid w:val="004B437A"/>
    <w:rsid w:val="004B44C2"/>
    <w:rsid w:val="004B46DE"/>
    <w:rsid w:val="004B46FE"/>
    <w:rsid w:val="004B4747"/>
    <w:rsid w:val="004B4757"/>
    <w:rsid w:val="004B4B32"/>
    <w:rsid w:val="004B4C60"/>
    <w:rsid w:val="004B4D78"/>
    <w:rsid w:val="004B4E32"/>
    <w:rsid w:val="004B4E5C"/>
    <w:rsid w:val="004B501A"/>
    <w:rsid w:val="004B5170"/>
    <w:rsid w:val="004B53C3"/>
    <w:rsid w:val="004B559F"/>
    <w:rsid w:val="004B55BE"/>
    <w:rsid w:val="004B55ED"/>
    <w:rsid w:val="004B57E8"/>
    <w:rsid w:val="004B59EE"/>
    <w:rsid w:val="004B5A73"/>
    <w:rsid w:val="004B5C3D"/>
    <w:rsid w:val="004B5CCF"/>
    <w:rsid w:val="004B61AF"/>
    <w:rsid w:val="004B6346"/>
    <w:rsid w:val="004B64FF"/>
    <w:rsid w:val="004B69E2"/>
    <w:rsid w:val="004B7063"/>
    <w:rsid w:val="004B7211"/>
    <w:rsid w:val="004B72E0"/>
    <w:rsid w:val="004B736A"/>
    <w:rsid w:val="004B73A5"/>
    <w:rsid w:val="004B7505"/>
    <w:rsid w:val="004B77A1"/>
    <w:rsid w:val="004B7868"/>
    <w:rsid w:val="004B7C7C"/>
    <w:rsid w:val="004B7FE9"/>
    <w:rsid w:val="004C0047"/>
    <w:rsid w:val="004C0061"/>
    <w:rsid w:val="004C0166"/>
    <w:rsid w:val="004C02E2"/>
    <w:rsid w:val="004C03D1"/>
    <w:rsid w:val="004C0808"/>
    <w:rsid w:val="004C08D2"/>
    <w:rsid w:val="004C0E56"/>
    <w:rsid w:val="004C0F00"/>
    <w:rsid w:val="004C0F1F"/>
    <w:rsid w:val="004C12E5"/>
    <w:rsid w:val="004C17CF"/>
    <w:rsid w:val="004C18C4"/>
    <w:rsid w:val="004C1964"/>
    <w:rsid w:val="004C1B5A"/>
    <w:rsid w:val="004C1C1C"/>
    <w:rsid w:val="004C1D2C"/>
    <w:rsid w:val="004C1DAA"/>
    <w:rsid w:val="004C1DAC"/>
    <w:rsid w:val="004C1E30"/>
    <w:rsid w:val="004C1F50"/>
    <w:rsid w:val="004C2118"/>
    <w:rsid w:val="004C224F"/>
    <w:rsid w:val="004C22D2"/>
    <w:rsid w:val="004C22F2"/>
    <w:rsid w:val="004C257A"/>
    <w:rsid w:val="004C258A"/>
    <w:rsid w:val="004C25D8"/>
    <w:rsid w:val="004C2644"/>
    <w:rsid w:val="004C287D"/>
    <w:rsid w:val="004C29AE"/>
    <w:rsid w:val="004C2A0E"/>
    <w:rsid w:val="004C2A2D"/>
    <w:rsid w:val="004C2DBE"/>
    <w:rsid w:val="004C2E10"/>
    <w:rsid w:val="004C30D8"/>
    <w:rsid w:val="004C310C"/>
    <w:rsid w:val="004C349A"/>
    <w:rsid w:val="004C34E1"/>
    <w:rsid w:val="004C357F"/>
    <w:rsid w:val="004C36C6"/>
    <w:rsid w:val="004C37BC"/>
    <w:rsid w:val="004C3858"/>
    <w:rsid w:val="004C3875"/>
    <w:rsid w:val="004C3B94"/>
    <w:rsid w:val="004C3FF2"/>
    <w:rsid w:val="004C4145"/>
    <w:rsid w:val="004C44DA"/>
    <w:rsid w:val="004C4572"/>
    <w:rsid w:val="004C45B9"/>
    <w:rsid w:val="004C4A6A"/>
    <w:rsid w:val="004C4C8E"/>
    <w:rsid w:val="004C4D7F"/>
    <w:rsid w:val="004C4ED8"/>
    <w:rsid w:val="004C4EF4"/>
    <w:rsid w:val="004C4F81"/>
    <w:rsid w:val="004C4FDC"/>
    <w:rsid w:val="004C519C"/>
    <w:rsid w:val="004C5282"/>
    <w:rsid w:val="004C5375"/>
    <w:rsid w:val="004C53C6"/>
    <w:rsid w:val="004C54F4"/>
    <w:rsid w:val="004C56D4"/>
    <w:rsid w:val="004C5726"/>
    <w:rsid w:val="004C590F"/>
    <w:rsid w:val="004C5CF3"/>
    <w:rsid w:val="004C5EE6"/>
    <w:rsid w:val="004C5F2F"/>
    <w:rsid w:val="004C611F"/>
    <w:rsid w:val="004C61BB"/>
    <w:rsid w:val="004C64A0"/>
    <w:rsid w:val="004C657E"/>
    <w:rsid w:val="004C673A"/>
    <w:rsid w:val="004C689C"/>
    <w:rsid w:val="004C68AB"/>
    <w:rsid w:val="004C68C8"/>
    <w:rsid w:val="004C6EF9"/>
    <w:rsid w:val="004C7086"/>
    <w:rsid w:val="004C734D"/>
    <w:rsid w:val="004C73C1"/>
    <w:rsid w:val="004C7580"/>
    <w:rsid w:val="004C76F2"/>
    <w:rsid w:val="004C7B94"/>
    <w:rsid w:val="004C7D6E"/>
    <w:rsid w:val="004C7FFE"/>
    <w:rsid w:val="004D0516"/>
    <w:rsid w:val="004D08CB"/>
    <w:rsid w:val="004D097D"/>
    <w:rsid w:val="004D0AC3"/>
    <w:rsid w:val="004D0CDE"/>
    <w:rsid w:val="004D0D1C"/>
    <w:rsid w:val="004D0D9B"/>
    <w:rsid w:val="004D0F7C"/>
    <w:rsid w:val="004D1188"/>
    <w:rsid w:val="004D123B"/>
    <w:rsid w:val="004D166A"/>
    <w:rsid w:val="004D18A2"/>
    <w:rsid w:val="004D1A23"/>
    <w:rsid w:val="004D1AEE"/>
    <w:rsid w:val="004D1BFF"/>
    <w:rsid w:val="004D1C72"/>
    <w:rsid w:val="004D1CED"/>
    <w:rsid w:val="004D1D72"/>
    <w:rsid w:val="004D1D84"/>
    <w:rsid w:val="004D1E3C"/>
    <w:rsid w:val="004D1F63"/>
    <w:rsid w:val="004D1FD5"/>
    <w:rsid w:val="004D2014"/>
    <w:rsid w:val="004D21F5"/>
    <w:rsid w:val="004D2333"/>
    <w:rsid w:val="004D25E7"/>
    <w:rsid w:val="004D2BA9"/>
    <w:rsid w:val="004D2D09"/>
    <w:rsid w:val="004D2F17"/>
    <w:rsid w:val="004D3219"/>
    <w:rsid w:val="004D333A"/>
    <w:rsid w:val="004D35B8"/>
    <w:rsid w:val="004D35E7"/>
    <w:rsid w:val="004D3881"/>
    <w:rsid w:val="004D393E"/>
    <w:rsid w:val="004D3CB2"/>
    <w:rsid w:val="004D3D94"/>
    <w:rsid w:val="004D4131"/>
    <w:rsid w:val="004D445C"/>
    <w:rsid w:val="004D4467"/>
    <w:rsid w:val="004D455B"/>
    <w:rsid w:val="004D4661"/>
    <w:rsid w:val="004D46C9"/>
    <w:rsid w:val="004D46CB"/>
    <w:rsid w:val="004D4EF3"/>
    <w:rsid w:val="004D4F5F"/>
    <w:rsid w:val="004D51F2"/>
    <w:rsid w:val="004D540F"/>
    <w:rsid w:val="004D5723"/>
    <w:rsid w:val="004D57A6"/>
    <w:rsid w:val="004D5C1B"/>
    <w:rsid w:val="004D5D6E"/>
    <w:rsid w:val="004D5F8A"/>
    <w:rsid w:val="004D60F6"/>
    <w:rsid w:val="004D6618"/>
    <w:rsid w:val="004D685B"/>
    <w:rsid w:val="004D68C9"/>
    <w:rsid w:val="004D6AC9"/>
    <w:rsid w:val="004D6C11"/>
    <w:rsid w:val="004D6EE4"/>
    <w:rsid w:val="004D7110"/>
    <w:rsid w:val="004D722F"/>
    <w:rsid w:val="004D7587"/>
    <w:rsid w:val="004D781A"/>
    <w:rsid w:val="004D7AC8"/>
    <w:rsid w:val="004D7EBC"/>
    <w:rsid w:val="004E0250"/>
    <w:rsid w:val="004E0440"/>
    <w:rsid w:val="004E06DA"/>
    <w:rsid w:val="004E0758"/>
    <w:rsid w:val="004E086A"/>
    <w:rsid w:val="004E0906"/>
    <w:rsid w:val="004E0A45"/>
    <w:rsid w:val="004E0E21"/>
    <w:rsid w:val="004E0E7E"/>
    <w:rsid w:val="004E1054"/>
    <w:rsid w:val="004E1411"/>
    <w:rsid w:val="004E164A"/>
    <w:rsid w:val="004E175C"/>
    <w:rsid w:val="004E176F"/>
    <w:rsid w:val="004E18CF"/>
    <w:rsid w:val="004E1D72"/>
    <w:rsid w:val="004E1D98"/>
    <w:rsid w:val="004E1EC3"/>
    <w:rsid w:val="004E1EFE"/>
    <w:rsid w:val="004E202B"/>
    <w:rsid w:val="004E2099"/>
    <w:rsid w:val="004E242F"/>
    <w:rsid w:val="004E2A5D"/>
    <w:rsid w:val="004E2B3A"/>
    <w:rsid w:val="004E2E74"/>
    <w:rsid w:val="004E2E8D"/>
    <w:rsid w:val="004E3477"/>
    <w:rsid w:val="004E34AE"/>
    <w:rsid w:val="004E35BF"/>
    <w:rsid w:val="004E3610"/>
    <w:rsid w:val="004E36CA"/>
    <w:rsid w:val="004E38E9"/>
    <w:rsid w:val="004E3A4C"/>
    <w:rsid w:val="004E3F98"/>
    <w:rsid w:val="004E4157"/>
    <w:rsid w:val="004E41BE"/>
    <w:rsid w:val="004E434D"/>
    <w:rsid w:val="004E4383"/>
    <w:rsid w:val="004E456D"/>
    <w:rsid w:val="004E465B"/>
    <w:rsid w:val="004E49EF"/>
    <w:rsid w:val="004E4A81"/>
    <w:rsid w:val="004E4D47"/>
    <w:rsid w:val="004E4EEF"/>
    <w:rsid w:val="004E4F59"/>
    <w:rsid w:val="004E5009"/>
    <w:rsid w:val="004E5180"/>
    <w:rsid w:val="004E55C8"/>
    <w:rsid w:val="004E5931"/>
    <w:rsid w:val="004E5A1C"/>
    <w:rsid w:val="004E5A7D"/>
    <w:rsid w:val="004E5D00"/>
    <w:rsid w:val="004E5D25"/>
    <w:rsid w:val="004E5EE0"/>
    <w:rsid w:val="004E609A"/>
    <w:rsid w:val="004E6199"/>
    <w:rsid w:val="004E62D9"/>
    <w:rsid w:val="004E646C"/>
    <w:rsid w:val="004E64D8"/>
    <w:rsid w:val="004E6556"/>
    <w:rsid w:val="004E66C5"/>
    <w:rsid w:val="004E68C0"/>
    <w:rsid w:val="004E6961"/>
    <w:rsid w:val="004E6A2C"/>
    <w:rsid w:val="004E6AFB"/>
    <w:rsid w:val="004E6E2F"/>
    <w:rsid w:val="004E6E96"/>
    <w:rsid w:val="004E7063"/>
    <w:rsid w:val="004E7238"/>
    <w:rsid w:val="004E74E0"/>
    <w:rsid w:val="004E780C"/>
    <w:rsid w:val="004E7817"/>
    <w:rsid w:val="004E7940"/>
    <w:rsid w:val="004E797A"/>
    <w:rsid w:val="004E7A5C"/>
    <w:rsid w:val="004E7CD4"/>
    <w:rsid w:val="004E7CF4"/>
    <w:rsid w:val="004E7E6A"/>
    <w:rsid w:val="004E7E75"/>
    <w:rsid w:val="004F002B"/>
    <w:rsid w:val="004F03EE"/>
    <w:rsid w:val="004F05B6"/>
    <w:rsid w:val="004F06A8"/>
    <w:rsid w:val="004F07CC"/>
    <w:rsid w:val="004F087B"/>
    <w:rsid w:val="004F0D76"/>
    <w:rsid w:val="004F1072"/>
    <w:rsid w:val="004F1074"/>
    <w:rsid w:val="004F12D0"/>
    <w:rsid w:val="004F12FD"/>
    <w:rsid w:val="004F14C6"/>
    <w:rsid w:val="004F157F"/>
    <w:rsid w:val="004F19A8"/>
    <w:rsid w:val="004F1B30"/>
    <w:rsid w:val="004F1BC8"/>
    <w:rsid w:val="004F1BCA"/>
    <w:rsid w:val="004F1BE1"/>
    <w:rsid w:val="004F1C2C"/>
    <w:rsid w:val="004F1C47"/>
    <w:rsid w:val="004F1CB1"/>
    <w:rsid w:val="004F1D00"/>
    <w:rsid w:val="004F1E06"/>
    <w:rsid w:val="004F1E2B"/>
    <w:rsid w:val="004F21BD"/>
    <w:rsid w:val="004F2323"/>
    <w:rsid w:val="004F233B"/>
    <w:rsid w:val="004F23B9"/>
    <w:rsid w:val="004F2811"/>
    <w:rsid w:val="004F2A1C"/>
    <w:rsid w:val="004F2B31"/>
    <w:rsid w:val="004F2B97"/>
    <w:rsid w:val="004F2BC0"/>
    <w:rsid w:val="004F2EA2"/>
    <w:rsid w:val="004F2F3E"/>
    <w:rsid w:val="004F31C2"/>
    <w:rsid w:val="004F31D0"/>
    <w:rsid w:val="004F326F"/>
    <w:rsid w:val="004F32EB"/>
    <w:rsid w:val="004F34A6"/>
    <w:rsid w:val="004F3976"/>
    <w:rsid w:val="004F3DC3"/>
    <w:rsid w:val="004F3ED3"/>
    <w:rsid w:val="004F415D"/>
    <w:rsid w:val="004F42D3"/>
    <w:rsid w:val="004F4357"/>
    <w:rsid w:val="004F443C"/>
    <w:rsid w:val="004F4464"/>
    <w:rsid w:val="004F4467"/>
    <w:rsid w:val="004F45AF"/>
    <w:rsid w:val="004F4667"/>
    <w:rsid w:val="004F4708"/>
    <w:rsid w:val="004F4969"/>
    <w:rsid w:val="004F4C7F"/>
    <w:rsid w:val="004F4E6C"/>
    <w:rsid w:val="004F4EF2"/>
    <w:rsid w:val="004F4FFD"/>
    <w:rsid w:val="004F5134"/>
    <w:rsid w:val="004F55BC"/>
    <w:rsid w:val="004F57C0"/>
    <w:rsid w:val="004F5803"/>
    <w:rsid w:val="004F5B27"/>
    <w:rsid w:val="004F5D1E"/>
    <w:rsid w:val="004F5D56"/>
    <w:rsid w:val="004F5D66"/>
    <w:rsid w:val="004F600C"/>
    <w:rsid w:val="004F6030"/>
    <w:rsid w:val="004F60D8"/>
    <w:rsid w:val="004F6198"/>
    <w:rsid w:val="004F630F"/>
    <w:rsid w:val="004F64EC"/>
    <w:rsid w:val="004F67E8"/>
    <w:rsid w:val="004F6837"/>
    <w:rsid w:val="004F6D6C"/>
    <w:rsid w:val="004F6DDB"/>
    <w:rsid w:val="004F6ED1"/>
    <w:rsid w:val="004F736A"/>
    <w:rsid w:val="004F7633"/>
    <w:rsid w:val="004F7A88"/>
    <w:rsid w:val="004F7B0D"/>
    <w:rsid w:val="005000AB"/>
    <w:rsid w:val="005000EB"/>
    <w:rsid w:val="00500216"/>
    <w:rsid w:val="005002FA"/>
    <w:rsid w:val="0050044D"/>
    <w:rsid w:val="00500661"/>
    <w:rsid w:val="005006B5"/>
    <w:rsid w:val="0050071B"/>
    <w:rsid w:val="00500A4E"/>
    <w:rsid w:val="00500A9E"/>
    <w:rsid w:val="00500B82"/>
    <w:rsid w:val="00500C8A"/>
    <w:rsid w:val="00500DC1"/>
    <w:rsid w:val="00500F01"/>
    <w:rsid w:val="00501285"/>
    <w:rsid w:val="00501372"/>
    <w:rsid w:val="005013F2"/>
    <w:rsid w:val="00501486"/>
    <w:rsid w:val="00501580"/>
    <w:rsid w:val="00501612"/>
    <w:rsid w:val="005016F3"/>
    <w:rsid w:val="0050199B"/>
    <w:rsid w:val="00501C48"/>
    <w:rsid w:val="00501D01"/>
    <w:rsid w:val="00501EC3"/>
    <w:rsid w:val="00501F1F"/>
    <w:rsid w:val="0050238D"/>
    <w:rsid w:val="005023D5"/>
    <w:rsid w:val="005023E9"/>
    <w:rsid w:val="005028C7"/>
    <w:rsid w:val="00502A32"/>
    <w:rsid w:val="00502CBB"/>
    <w:rsid w:val="00502E3B"/>
    <w:rsid w:val="0050304F"/>
    <w:rsid w:val="00503154"/>
    <w:rsid w:val="005031F3"/>
    <w:rsid w:val="005032AE"/>
    <w:rsid w:val="00503308"/>
    <w:rsid w:val="005033D1"/>
    <w:rsid w:val="005033E3"/>
    <w:rsid w:val="0050345B"/>
    <w:rsid w:val="0050360C"/>
    <w:rsid w:val="00503771"/>
    <w:rsid w:val="005039EC"/>
    <w:rsid w:val="00503B16"/>
    <w:rsid w:val="00503B23"/>
    <w:rsid w:val="00503FFA"/>
    <w:rsid w:val="0050418A"/>
    <w:rsid w:val="00504AE8"/>
    <w:rsid w:val="00504B30"/>
    <w:rsid w:val="00504BFB"/>
    <w:rsid w:val="00504F84"/>
    <w:rsid w:val="005052A5"/>
    <w:rsid w:val="00505418"/>
    <w:rsid w:val="005055E0"/>
    <w:rsid w:val="0050568E"/>
    <w:rsid w:val="00505A00"/>
    <w:rsid w:val="00505D21"/>
    <w:rsid w:val="00506159"/>
    <w:rsid w:val="005063DF"/>
    <w:rsid w:val="00506462"/>
    <w:rsid w:val="0050657F"/>
    <w:rsid w:val="0050677D"/>
    <w:rsid w:val="005067F8"/>
    <w:rsid w:val="005068A5"/>
    <w:rsid w:val="00506E1E"/>
    <w:rsid w:val="00506EF1"/>
    <w:rsid w:val="00506F0E"/>
    <w:rsid w:val="00507083"/>
    <w:rsid w:val="0050715F"/>
    <w:rsid w:val="005072A1"/>
    <w:rsid w:val="0050750C"/>
    <w:rsid w:val="00507585"/>
    <w:rsid w:val="005076A3"/>
    <w:rsid w:val="00507739"/>
    <w:rsid w:val="00507770"/>
    <w:rsid w:val="00507915"/>
    <w:rsid w:val="00507A4E"/>
    <w:rsid w:val="00507B4E"/>
    <w:rsid w:val="00507B63"/>
    <w:rsid w:val="00507E06"/>
    <w:rsid w:val="00507EC2"/>
    <w:rsid w:val="00507FAA"/>
    <w:rsid w:val="00510424"/>
    <w:rsid w:val="00510667"/>
    <w:rsid w:val="00510805"/>
    <w:rsid w:val="00510AA6"/>
    <w:rsid w:val="00510AE9"/>
    <w:rsid w:val="00510AF3"/>
    <w:rsid w:val="00511123"/>
    <w:rsid w:val="005111DB"/>
    <w:rsid w:val="0051138F"/>
    <w:rsid w:val="00511503"/>
    <w:rsid w:val="00511648"/>
    <w:rsid w:val="00511948"/>
    <w:rsid w:val="005119CB"/>
    <w:rsid w:val="00511A55"/>
    <w:rsid w:val="00511F2C"/>
    <w:rsid w:val="00512430"/>
    <w:rsid w:val="005126BE"/>
    <w:rsid w:val="005127F8"/>
    <w:rsid w:val="00512962"/>
    <w:rsid w:val="00513070"/>
    <w:rsid w:val="00513792"/>
    <w:rsid w:val="0051380B"/>
    <w:rsid w:val="00514077"/>
    <w:rsid w:val="005144C1"/>
    <w:rsid w:val="00514957"/>
    <w:rsid w:val="0051499B"/>
    <w:rsid w:val="00514D6A"/>
    <w:rsid w:val="00514E4C"/>
    <w:rsid w:val="00514E9A"/>
    <w:rsid w:val="00515166"/>
    <w:rsid w:val="005153B0"/>
    <w:rsid w:val="0051545D"/>
    <w:rsid w:val="005154BD"/>
    <w:rsid w:val="005155D4"/>
    <w:rsid w:val="00515739"/>
    <w:rsid w:val="00515839"/>
    <w:rsid w:val="005158FE"/>
    <w:rsid w:val="005159E7"/>
    <w:rsid w:val="005159FD"/>
    <w:rsid w:val="00516307"/>
    <w:rsid w:val="00516380"/>
    <w:rsid w:val="005164CB"/>
    <w:rsid w:val="0051694B"/>
    <w:rsid w:val="0051695A"/>
    <w:rsid w:val="00516C3D"/>
    <w:rsid w:val="00516E12"/>
    <w:rsid w:val="00517063"/>
    <w:rsid w:val="0051710C"/>
    <w:rsid w:val="00517205"/>
    <w:rsid w:val="00517250"/>
    <w:rsid w:val="005174C1"/>
    <w:rsid w:val="00517839"/>
    <w:rsid w:val="00517B23"/>
    <w:rsid w:val="00517FE3"/>
    <w:rsid w:val="00520102"/>
    <w:rsid w:val="00520168"/>
    <w:rsid w:val="005201AD"/>
    <w:rsid w:val="005204BB"/>
    <w:rsid w:val="005205FC"/>
    <w:rsid w:val="005209C9"/>
    <w:rsid w:val="00520FD2"/>
    <w:rsid w:val="00520FD3"/>
    <w:rsid w:val="0052107D"/>
    <w:rsid w:val="005211AB"/>
    <w:rsid w:val="005213C8"/>
    <w:rsid w:val="00521494"/>
    <w:rsid w:val="00521750"/>
    <w:rsid w:val="005217B4"/>
    <w:rsid w:val="00521AFD"/>
    <w:rsid w:val="00521B7E"/>
    <w:rsid w:val="00521C8E"/>
    <w:rsid w:val="00521CBF"/>
    <w:rsid w:val="00521F37"/>
    <w:rsid w:val="0052206C"/>
    <w:rsid w:val="005224B7"/>
    <w:rsid w:val="0052256B"/>
    <w:rsid w:val="005226CB"/>
    <w:rsid w:val="005229F3"/>
    <w:rsid w:val="00522EAF"/>
    <w:rsid w:val="0052304B"/>
    <w:rsid w:val="005231E3"/>
    <w:rsid w:val="00523207"/>
    <w:rsid w:val="0052377C"/>
    <w:rsid w:val="005237B0"/>
    <w:rsid w:val="005237F2"/>
    <w:rsid w:val="00523D9F"/>
    <w:rsid w:val="0052402F"/>
    <w:rsid w:val="0052429F"/>
    <w:rsid w:val="005242A4"/>
    <w:rsid w:val="0052438C"/>
    <w:rsid w:val="005243B9"/>
    <w:rsid w:val="00524412"/>
    <w:rsid w:val="0052449F"/>
    <w:rsid w:val="00524588"/>
    <w:rsid w:val="0052464D"/>
    <w:rsid w:val="00524806"/>
    <w:rsid w:val="005249A8"/>
    <w:rsid w:val="00524C11"/>
    <w:rsid w:val="00524DAA"/>
    <w:rsid w:val="00525043"/>
    <w:rsid w:val="005250EC"/>
    <w:rsid w:val="0052519E"/>
    <w:rsid w:val="005256A5"/>
    <w:rsid w:val="00525702"/>
    <w:rsid w:val="0052575A"/>
    <w:rsid w:val="00525930"/>
    <w:rsid w:val="00525B28"/>
    <w:rsid w:val="00525B9B"/>
    <w:rsid w:val="00525E19"/>
    <w:rsid w:val="00525FB0"/>
    <w:rsid w:val="005260FE"/>
    <w:rsid w:val="00526214"/>
    <w:rsid w:val="005263C3"/>
    <w:rsid w:val="005263F9"/>
    <w:rsid w:val="0052672E"/>
    <w:rsid w:val="00526746"/>
    <w:rsid w:val="0052691F"/>
    <w:rsid w:val="00526968"/>
    <w:rsid w:val="00526992"/>
    <w:rsid w:val="005269C1"/>
    <w:rsid w:val="00526A80"/>
    <w:rsid w:val="00526E6F"/>
    <w:rsid w:val="00526E83"/>
    <w:rsid w:val="00527371"/>
    <w:rsid w:val="00527377"/>
    <w:rsid w:val="00527486"/>
    <w:rsid w:val="00527550"/>
    <w:rsid w:val="00527A28"/>
    <w:rsid w:val="00527A69"/>
    <w:rsid w:val="00527F1B"/>
    <w:rsid w:val="00527F9A"/>
    <w:rsid w:val="005300A1"/>
    <w:rsid w:val="005301C2"/>
    <w:rsid w:val="00530550"/>
    <w:rsid w:val="00530A3F"/>
    <w:rsid w:val="00530AAD"/>
    <w:rsid w:val="00530B53"/>
    <w:rsid w:val="00530BF4"/>
    <w:rsid w:val="00530EFE"/>
    <w:rsid w:val="005315A2"/>
    <w:rsid w:val="005317AB"/>
    <w:rsid w:val="0053187A"/>
    <w:rsid w:val="00531A71"/>
    <w:rsid w:val="00531AB7"/>
    <w:rsid w:val="00531E84"/>
    <w:rsid w:val="005320E8"/>
    <w:rsid w:val="00532323"/>
    <w:rsid w:val="0053251C"/>
    <w:rsid w:val="005329B2"/>
    <w:rsid w:val="00532A51"/>
    <w:rsid w:val="00532B19"/>
    <w:rsid w:val="00532D37"/>
    <w:rsid w:val="00532E16"/>
    <w:rsid w:val="00532E1E"/>
    <w:rsid w:val="00533035"/>
    <w:rsid w:val="005331C2"/>
    <w:rsid w:val="00533312"/>
    <w:rsid w:val="00533594"/>
    <w:rsid w:val="00533853"/>
    <w:rsid w:val="005339EC"/>
    <w:rsid w:val="00533B0F"/>
    <w:rsid w:val="00533B99"/>
    <w:rsid w:val="00533BF2"/>
    <w:rsid w:val="00534081"/>
    <w:rsid w:val="00534111"/>
    <w:rsid w:val="005341AA"/>
    <w:rsid w:val="005341B1"/>
    <w:rsid w:val="0053429A"/>
    <w:rsid w:val="005344D2"/>
    <w:rsid w:val="0053460D"/>
    <w:rsid w:val="0053470B"/>
    <w:rsid w:val="005347E0"/>
    <w:rsid w:val="005349BC"/>
    <w:rsid w:val="00534A00"/>
    <w:rsid w:val="00534A5C"/>
    <w:rsid w:val="00534A64"/>
    <w:rsid w:val="00534E29"/>
    <w:rsid w:val="005350A6"/>
    <w:rsid w:val="005350EC"/>
    <w:rsid w:val="005351C2"/>
    <w:rsid w:val="005351F3"/>
    <w:rsid w:val="0053547A"/>
    <w:rsid w:val="005354A1"/>
    <w:rsid w:val="005354C0"/>
    <w:rsid w:val="0053557C"/>
    <w:rsid w:val="0053576A"/>
    <w:rsid w:val="00535880"/>
    <w:rsid w:val="0053597A"/>
    <w:rsid w:val="00535993"/>
    <w:rsid w:val="005359D7"/>
    <w:rsid w:val="00535ABD"/>
    <w:rsid w:val="00535B33"/>
    <w:rsid w:val="00535EF3"/>
    <w:rsid w:val="00536032"/>
    <w:rsid w:val="0053625C"/>
    <w:rsid w:val="0053636E"/>
    <w:rsid w:val="005363A5"/>
    <w:rsid w:val="005366B8"/>
    <w:rsid w:val="0053671D"/>
    <w:rsid w:val="005368F1"/>
    <w:rsid w:val="005368F2"/>
    <w:rsid w:val="0053694F"/>
    <w:rsid w:val="00536B87"/>
    <w:rsid w:val="00536CC7"/>
    <w:rsid w:val="00537617"/>
    <w:rsid w:val="005376FC"/>
    <w:rsid w:val="00537747"/>
    <w:rsid w:val="0053779D"/>
    <w:rsid w:val="00537860"/>
    <w:rsid w:val="00537874"/>
    <w:rsid w:val="0053788E"/>
    <w:rsid w:val="00537AC9"/>
    <w:rsid w:val="00537CE7"/>
    <w:rsid w:val="00537DFB"/>
    <w:rsid w:val="00537E1C"/>
    <w:rsid w:val="00537E43"/>
    <w:rsid w:val="0054004D"/>
    <w:rsid w:val="005400B7"/>
    <w:rsid w:val="005403B6"/>
    <w:rsid w:val="00540596"/>
    <w:rsid w:val="00540D05"/>
    <w:rsid w:val="00540D5F"/>
    <w:rsid w:val="00540F1C"/>
    <w:rsid w:val="00541020"/>
    <w:rsid w:val="00541048"/>
    <w:rsid w:val="005410F0"/>
    <w:rsid w:val="00541403"/>
    <w:rsid w:val="005414DD"/>
    <w:rsid w:val="005416BC"/>
    <w:rsid w:val="00541731"/>
    <w:rsid w:val="0054187E"/>
    <w:rsid w:val="005421A3"/>
    <w:rsid w:val="00542318"/>
    <w:rsid w:val="0054261C"/>
    <w:rsid w:val="0054273C"/>
    <w:rsid w:val="00542EF3"/>
    <w:rsid w:val="0054308A"/>
    <w:rsid w:val="0054309C"/>
    <w:rsid w:val="005430A3"/>
    <w:rsid w:val="0054314B"/>
    <w:rsid w:val="00543495"/>
    <w:rsid w:val="005437FE"/>
    <w:rsid w:val="005438BC"/>
    <w:rsid w:val="00543941"/>
    <w:rsid w:val="005439B4"/>
    <w:rsid w:val="00543BCA"/>
    <w:rsid w:val="00543BFF"/>
    <w:rsid w:val="00543C67"/>
    <w:rsid w:val="00543F81"/>
    <w:rsid w:val="005440F8"/>
    <w:rsid w:val="00544276"/>
    <w:rsid w:val="005443E1"/>
    <w:rsid w:val="0054460C"/>
    <w:rsid w:val="00544651"/>
    <w:rsid w:val="005446F9"/>
    <w:rsid w:val="0054478D"/>
    <w:rsid w:val="00544862"/>
    <w:rsid w:val="00544884"/>
    <w:rsid w:val="00544B0F"/>
    <w:rsid w:val="00544CEF"/>
    <w:rsid w:val="00544CFD"/>
    <w:rsid w:val="005451C9"/>
    <w:rsid w:val="005451FE"/>
    <w:rsid w:val="005452A9"/>
    <w:rsid w:val="0054540E"/>
    <w:rsid w:val="005454F8"/>
    <w:rsid w:val="005455B6"/>
    <w:rsid w:val="0054568B"/>
    <w:rsid w:val="005456BF"/>
    <w:rsid w:val="0054570A"/>
    <w:rsid w:val="0054571D"/>
    <w:rsid w:val="005459B6"/>
    <w:rsid w:val="00545C18"/>
    <w:rsid w:val="00545DA8"/>
    <w:rsid w:val="00545E26"/>
    <w:rsid w:val="00546477"/>
    <w:rsid w:val="00546484"/>
    <w:rsid w:val="005464AA"/>
    <w:rsid w:val="005464CA"/>
    <w:rsid w:val="005465AB"/>
    <w:rsid w:val="00546991"/>
    <w:rsid w:val="00546E09"/>
    <w:rsid w:val="00547414"/>
    <w:rsid w:val="005474BB"/>
    <w:rsid w:val="005475FF"/>
    <w:rsid w:val="00547690"/>
    <w:rsid w:val="00547771"/>
    <w:rsid w:val="00547780"/>
    <w:rsid w:val="00547883"/>
    <w:rsid w:val="005478F1"/>
    <w:rsid w:val="005479C1"/>
    <w:rsid w:val="00547B32"/>
    <w:rsid w:val="00547BE1"/>
    <w:rsid w:val="00547D37"/>
    <w:rsid w:val="00547DB7"/>
    <w:rsid w:val="00547EAE"/>
    <w:rsid w:val="00550042"/>
    <w:rsid w:val="005502DC"/>
    <w:rsid w:val="005503A9"/>
    <w:rsid w:val="005504DF"/>
    <w:rsid w:val="0055051A"/>
    <w:rsid w:val="00550538"/>
    <w:rsid w:val="00550600"/>
    <w:rsid w:val="0055067D"/>
    <w:rsid w:val="00550B73"/>
    <w:rsid w:val="00550F3B"/>
    <w:rsid w:val="00550FA3"/>
    <w:rsid w:val="005513C2"/>
    <w:rsid w:val="005513EF"/>
    <w:rsid w:val="00551A73"/>
    <w:rsid w:val="0055207A"/>
    <w:rsid w:val="005521B9"/>
    <w:rsid w:val="0055226F"/>
    <w:rsid w:val="00552384"/>
    <w:rsid w:val="00552492"/>
    <w:rsid w:val="005524B7"/>
    <w:rsid w:val="00552550"/>
    <w:rsid w:val="00552594"/>
    <w:rsid w:val="00552656"/>
    <w:rsid w:val="00552A1F"/>
    <w:rsid w:val="00552B47"/>
    <w:rsid w:val="0055302C"/>
    <w:rsid w:val="00553285"/>
    <w:rsid w:val="005535C2"/>
    <w:rsid w:val="005535CE"/>
    <w:rsid w:val="005538B3"/>
    <w:rsid w:val="0055399B"/>
    <w:rsid w:val="00553A46"/>
    <w:rsid w:val="00553ADC"/>
    <w:rsid w:val="00553AF4"/>
    <w:rsid w:val="00553D44"/>
    <w:rsid w:val="00553D88"/>
    <w:rsid w:val="00553D94"/>
    <w:rsid w:val="00553F12"/>
    <w:rsid w:val="005540CA"/>
    <w:rsid w:val="005542AB"/>
    <w:rsid w:val="00554434"/>
    <w:rsid w:val="00554473"/>
    <w:rsid w:val="00554521"/>
    <w:rsid w:val="005546C4"/>
    <w:rsid w:val="00554885"/>
    <w:rsid w:val="00554F0F"/>
    <w:rsid w:val="005550CA"/>
    <w:rsid w:val="00555A0E"/>
    <w:rsid w:val="00555C51"/>
    <w:rsid w:val="00555C58"/>
    <w:rsid w:val="005562F8"/>
    <w:rsid w:val="0055632E"/>
    <w:rsid w:val="005563F3"/>
    <w:rsid w:val="00556926"/>
    <w:rsid w:val="00556A1D"/>
    <w:rsid w:val="00556CA5"/>
    <w:rsid w:val="00556CEF"/>
    <w:rsid w:val="00556CFD"/>
    <w:rsid w:val="00556EEB"/>
    <w:rsid w:val="00556FCD"/>
    <w:rsid w:val="00556FD7"/>
    <w:rsid w:val="00557192"/>
    <w:rsid w:val="00557523"/>
    <w:rsid w:val="00557787"/>
    <w:rsid w:val="0055780C"/>
    <w:rsid w:val="00557AC0"/>
    <w:rsid w:val="00557EA2"/>
    <w:rsid w:val="00557EDA"/>
    <w:rsid w:val="00557F31"/>
    <w:rsid w:val="00560194"/>
    <w:rsid w:val="00560253"/>
    <w:rsid w:val="00560276"/>
    <w:rsid w:val="005602D7"/>
    <w:rsid w:val="00560329"/>
    <w:rsid w:val="00560660"/>
    <w:rsid w:val="00560739"/>
    <w:rsid w:val="005607B7"/>
    <w:rsid w:val="005607B9"/>
    <w:rsid w:val="005608DA"/>
    <w:rsid w:val="005609B4"/>
    <w:rsid w:val="00560BDA"/>
    <w:rsid w:val="00560E95"/>
    <w:rsid w:val="00561034"/>
    <w:rsid w:val="005610EC"/>
    <w:rsid w:val="00561204"/>
    <w:rsid w:val="00561268"/>
    <w:rsid w:val="00561350"/>
    <w:rsid w:val="00561498"/>
    <w:rsid w:val="00561A5C"/>
    <w:rsid w:val="00561B68"/>
    <w:rsid w:val="00561C02"/>
    <w:rsid w:val="00561C20"/>
    <w:rsid w:val="00561E41"/>
    <w:rsid w:val="00561FA0"/>
    <w:rsid w:val="005620DC"/>
    <w:rsid w:val="005624B3"/>
    <w:rsid w:val="00562729"/>
    <w:rsid w:val="005627B4"/>
    <w:rsid w:val="00562848"/>
    <w:rsid w:val="00562928"/>
    <w:rsid w:val="00562BD4"/>
    <w:rsid w:val="00562D00"/>
    <w:rsid w:val="00562D75"/>
    <w:rsid w:val="005632B8"/>
    <w:rsid w:val="0056332F"/>
    <w:rsid w:val="005633D4"/>
    <w:rsid w:val="005633FC"/>
    <w:rsid w:val="00563449"/>
    <w:rsid w:val="0056359D"/>
    <w:rsid w:val="00563796"/>
    <w:rsid w:val="0056380E"/>
    <w:rsid w:val="00563B39"/>
    <w:rsid w:val="00563BC3"/>
    <w:rsid w:val="00563C07"/>
    <w:rsid w:val="00563C98"/>
    <w:rsid w:val="00563D6C"/>
    <w:rsid w:val="00563FD1"/>
    <w:rsid w:val="0056416A"/>
    <w:rsid w:val="00564493"/>
    <w:rsid w:val="00564CED"/>
    <w:rsid w:val="00564E63"/>
    <w:rsid w:val="00565095"/>
    <w:rsid w:val="0056519F"/>
    <w:rsid w:val="00565257"/>
    <w:rsid w:val="00565501"/>
    <w:rsid w:val="0056554E"/>
    <w:rsid w:val="005659B2"/>
    <w:rsid w:val="00565BE9"/>
    <w:rsid w:val="00565FA0"/>
    <w:rsid w:val="00566036"/>
    <w:rsid w:val="005660DA"/>
    <w:rsid w:val="0056616A"/>
    <w:rsid w:val="00566523"/>
    <w:rsid w:val="0056659E"/>
    <w:rsid w:val="005667D9"/>
    <w:rsid w:val="005669E2"/>
    <w:rsid w:val="00566E45"/>
    <w:rsid w:val="00566E48"/>
    <w:rsid w:val="00566F97"/>
    <w:rsid w:val="005670BD"/>
    <w:rsid w:val="005671A2"/>
    <w:rsid w:val="005672D2"/>
    <w:rsid w:val="00567351"/>
    <w:rsid w:val="0056770C"/>
    <w:rsid w:val="00567D4A"/>
    <w:rsid w:val="00567DDF"/>
    <w:rsid w:val="00567EA2"/>
    <w:rsid w:val="00567ED8"/>
    <w:rsid w:val="00570098"/>
    <w:rsid w:val="00570118"/>
    <w:rsid w:val="005706BD"/>
    <w:rsid w:val="00570869"/>
    <w:rsid w:val="00570887"/>
    <w:rsid w:val="0057090B"/>
    <w:rsid w:val="00570998"/>
    <w:rsid w:val="005709A5"/>
    <w:rsid w:val="00570CC3"/>
    <w:rsid w:val="00570CD0"/>
    <w:rsid w:val="00570DE1"/>
    <w:rsid w:val="00570E9F"/>
    <w:rsid w:val="00571292"/>
    <w:rsid w:val="0057140F"/>
    <w:rsid w:val="00571681"/>
    <w:rsid w:val="005717B9"/>
    <w:rsid w:val="0057188B"/>
    <w:rsid w:val="0057195C"/>
    <w:rsid w:val="00571A54"/>
    <w:rsid w:val="005721F4"/>
    <w:rsid w:val="005722E1"/>
    <w:rsid w:val="005722FE"/>
    <w:rsid w:val="0057237A"/>
    <w:rsid w:val="005723EE"/>
    <w:rsid w:val="00572485"/>
    <w:rsid w:val="005724FF"/>
    <w:rsid w:val="0057258D"/>
    <w:rsid w:val="005725CF"/>
    <w:rsid w:val="0057261F"/>
    <w:rsid w:val="0057271E"/>
    <w:rsid w:val="00572785"/>
    <w:rsid w:val="00572BC8"/>
    <w:rsid w:val="00572D96"/>
    <w:rsid w:val="00572E26"/>
    <w:rsid w:val="00572FB4"/>
    <w:rsid w:val="005730E1"/>
    <w:rsid w:val="00573125"/>
    <w:rsid w:val="005731DF"/>
    <w:rsid w:val="00573233"/>
    <w:rsid w:val="005734AE"/>
    <w:rsid w:val="005734C2"/>
    <w:rsid w:val="005735B9"/>
    <w:rsid w:val="00573866"/>
    <w:rsid w:val="005738C1"/>
    <w:rsid w:val="00573914"/>
    <w:rsid w:val="00574004"/>
    <w:rsid w:val="00574251"/>
    <w:rsid w:val="005742DB"/>
    <w:rsid w:val="0057434C"/>
    <w:rsid w:val="0057443D"/>
    <w:rsid w:val="00574CDC"/>
    <w:rsid w:val="00574E67"/>
    <w:rsid w:val="00574F64"/>
    <w:rsid w:val="00575220"/>
    <w:rsid w:val="005752AB"/>
    <w:rsid w:val="00575480"/>
    <w:rsid w:val="005758D7"/>
    <w:rsid w:val="00575A96"/>
    <w:rsid w:val="00575BC6"/>
    <w:rsid w:val="00575DC8"/>
    <w:rsid w:val="005764F1"/>
    <w:rsid w:val="005766F7"/>
    <w:rsid w:val="00576743"/>
    <w:rsid w:val="005767C9"/>
    <w:rsid w:val="00576D1A"/>
    <w:rsid w:val="00576E88"/>
    <w:rsid w:val="00576F51"/>
    <w:rsid w:val="00577038"/>
    <w:rsid w:val="00577101"/>
    <w:rsid w:val="00577206"/>
    <w:rsid w:val="005773CD"/>
    <w:rsid w:val="00577609"/>
    <w:rsid w:val="005777AD"/>
    <w:rsid w:val="005779FB"/>
    <w:rsid w:val="00577A11"/>
    <w:rsid w:val="00577F59"/>
    <w:rsid w:val="00577FB8"/>
    <w:rsid w:val="0058042C"/>
    <w:rsid w:val="00580836"/>
    <w:rsid w:val="00580A31"/>
    <w:rsid w:val="00580DE1"/>
    <w:rsid w:val="0058100C"/>
    <w:rsid w:val="005812F1"/>
    <w:rsid w:val="005813A5"/>
    <w:rsid w:val="00581471"/>
    <w:rsid w:val="005815AD"/>
    <w:rsid w:val="0058168D"/>
    <w:rsid w:val="0058185F"/>
    <w:rsid w:val="00581B44"/>
    <w:rsid w:val="00581BC0"/>
    <w:rsid w:val="00582007"/>
    <w:rsid w:val="005820ED"/>
    <w:rsid w:val="00582146"/>
    <w:rsid w:val="005821BF"/>
    <w:rsid w:val="00582342"/>
    <w:rsid w:val="005823DD"/>
    <w:rsid w:val="00582590"/>
    <w:rsid w:val="005825AD"/>
    <w:rsid w:val="005825CB"/>
    <w:rsid w:val="00582874"/>
    <w:rsid w:val="00582AC7"/>
    <w:rsid w:val="00582B1F"/>
    <w:rsid w:val="00583090"/>
    <w:rsid w:val="0058336F"/>
    <w:rsid w:val="005834E2"/>
    <w:rsid w:val="005835B8"/>
    <w:rsid w:val="0058376C"/>
    <w:rsid w:val="00583771"/>
    <w:rsid w:val="005837B5"/>
    <w:rsid w:val="00583E41"/>
    <w:rsid w:val="00583EB7"/>
    <w:rsid w:val="00583ECD"/>
    <w:rsid w:val="005841A4"/>
    <w:rsid w:val="005846B3"/>
    <w:rsid w:val="005847C8"/>
    <w:rsid w:val="00584825"/>
    <w:rsid w:val="00585586"/>
    <w:rsid w:val="0058561F"/>
    <w:rsid w:val="00585712"/>
    <w:rsid w:val="005857F1"/>
    <w:rsid w:val="0058587D"/>
    <w:rsid w:val="00585880"/>
    <w:rsid w:val="00585B61"/>
    <w:rsid w:val="00585D08"/>
    <w:rsid w:val="00585D99"/>
    <w:rsid w:val="0058657D"/>
    <w:rsid w:val="0058659D"/>
    <w:rsid w:val="005866F4"/>
    <w:rsid w:val="0058687B"/>
    <w:rsid w:val="005868B1"/>
    <w:rsid w:val="0058694F"/>
    <w:rsid w:val="00586952"/>
    <w:rsid w:val="00586997"/>
    <w:rsid w:val="0058704C"/>
    <w:rsid w:val="0058728F"/>
    <w:rsid w:val="0058737B"/>
    <w:rsid w:val="00587382"/>
    <w:rsid w:val="005873C7"/>
    <w:rsid w:val="005874AF"/>
    <w:rsid w:val="00587520"/>
    <w:rsid w:val="005875C0"/>
    <w:rsid w:val="005875E5"/>
    <w:rsid w:val="0058763B"/>
    <w:rsid w:val="005876C1"/>
    <w:rsid w:val="005876C8"/>
    <w:rsid w:val="00587A45"/>
    <w:rsid w:val="00587B86"/>
    <w:rsid w:val="00587C96"/>
    <w:rsid w:val="00587E1C"/>
    <w:rsid w:val="00587F11"/>
    <w:rsid w:val="00587FFC"/>
    <w:rsid w:val="005902CC"/>
    <w:rsid w:val="005902DC"/>
    <w:rsid w:val="005903BE"/>
    <w:rsid w:val="0059044D"/>
    <w:rsid w:val="0059062D"/>
    <w:rsid w:val="005908E6"/>
    <w:rsid w:val="00590974"/>
    <w:rsid w:val="00590BE1"/>
    <w:rsid w:val="00590E2C"/>
    <w:rsid w:val="00590E8E"/>
    <w:rsid w:val="00590FB1"/>
    <w:rsid w:val="005911F6"/>
    <w:rsid w:val="00591646"/>
    <w:rsid w:val="00591C6A"/>
    <w:rsid w:val="00591C71"/>
    <w:rsid w:val="00591D38"/>
    <w:rsid w:val="00591D6D"/>
    <w:rsid w:val="00591E87"/>
    <w:rsid w:val="00591E92"/>
    <w:rsid w:val="00592940"/>
    <w:rsid w:val="00592AE3"/>
    <w:rsid w:val="00592BCD"/>
    <w:rsid w:val="00592C3D"/>
    <w:rsid w:val="00592C69"/>
    <w:rsid w:val="0059332D"/>
    <w:rsid w:val="00593344"/>
    <w:rsid w:val="00593434"/>
    <w:rsid w:val="005934D5"/>
    <w:rsid w:val="0059363E"/>
    <w:rsid w:val="005938DF"/>
    <w:rsid w:val="00593B0F"/>
    <w:rsid w:val="00593C8C"/>
    <w:rsid w:val="00593DF9"/>
    <w:rsid w:val="00593EE6"/>
    <w:rsid w:val="00593F6B"/>
    <w:rsid w:val="0059406C"/>
    <w:rsid w:val="00594361"/>
    <w:rsid w:val="00594486"/>
    <w:rsid w:val="00594617"/>
    <w:rsid w:val="00594685"/>
    <w:rsid w:val="00594776"/>
    <w:rsid w:val="0059479E"/>
    <w:rsid w:val="00594882"/>
    <w:rsid w:val="00594A34"/>
    <w:rsid w:val="00594D70"/>
    <w:rsid w:val="00594EDF"/>
    <w:rsid w:val="00594F26"/>
    <w:rsid w:val="005950BF"/>
    <w:rsid w:val="005951BD"/>
    <w:rsid w:val="005954C8"/>
    <w:rsid w:val="00595502"/>
    <w:rsid w:val="0059564A"/>
    <w:rsid w:val="00595AB4"/>
    <w:rsid w:val="00595AF3"/>
    <w:rsid w:val="00595C4F"/>
    <w:rsid w:val="00595CB6"/>
    <w:rsid w:val="00595E5D"/>
    <w:rsid w:val="00595ED8"/>
    <w:rsid w:val="00595FB2"/>
    <w:rsid w:val="00596512"/>
    <w:rsid w:val="0059676A"/>
    <w:rsid w:val="00596936"/>
    <w:rsid w:val="00596AC2"/>
    <w:rsid w:val="00596BB4"/>
    <w:rsid w:val="00596C03"/>
    <w:rsid w:val="00596E4C"/>
    <w:rsid w:val="00596EE6"/>
    <w:rsid w:val="00597304"/>
    <w:rsid w:val="00597699"/>
    <w:rsid w:val="00597934"/>
    <w:rsid w:val="00597A31"/>
    <w:rsid w:val="00597D78"/>
    <w:rsid w:val="00597E44"/>
    <w:rsid w:val="005A0033"/>
    <w:rsid w:val="005A0406"/>
    <w:rsid w:val="005A09A6"/>
    <w:rsid w:val="005A0A47"/>
    <w:rsid w:val="005A0C55"/>
    <w:rsid w:val="005A0CF6"/>
    <w:rsid w:val="005A0D65"/>
    <w:rsid w:val="005A0E13"/>
    <w:rsid w:val="005A0F01"/>
    <w:rsid w:val="005A1295"/>
    <w:rsid w:val="005A12D7"/>
    <w:rsid w:val="005A12FC"/>
    <w:rsid w:val="005A1408"/>
    <w:rsid w:val="005A14E5"/>
    <w:rsid w:val="005A1725"/>
    <w:rsid w:val="005A1902"/>
    <w:rsid w:val="005A198E"/>
    <w:rsid w:val="005A199C"/>
    <w:rsid w:val="005A1BA5"/>
    <w:rsid w:val="005A1E1C"/>
    <w:rsid w:val="005A1EA0"/>
    <w:rsid w:val="005A2003"/>
    <w:rsid w:val="005A208F"/>
    <w:rsid w:val="005A20FA"/>
    <w:rsid w:val="005A2148"/>
    <w:rsid w:val="005A249B"/>
    <w:rsid w:val="005A2684"/>
    <w:rsid w:val="005A2801"/>
    <w:rsid w:val="005A2D2B"/>
    <w:rsid w:val="005A2D96"/>
    <w:rsid w:val="005A2F52"/>
    <w:rsid w:val="005A2FC9"/>
    <w:rsid w:val="005A2FFD"/>
    <w:rsid w:val="005A30BA"/>
    <w:rsid w:val="005A30DD"/>
    <w:rsid w:val="005A30F6"/>
    <w:rsid w:val="005A3273"/>
    <w:rsid w:val="005A3E0D"/>
    <w:rsid w:val="005A41ED"/>
    <w:rsid w:val="005A4214"/>
    <w:rsid w:val="005A422C"/>
    <w:rsid w:val="005A425E"/>
    <w:rsid w:val="005A4387"/>
    <w:rsid w:val="005A43A4"/>
    <w:rsid w:val="005A43AB"/>
    <w:rsid w:val="005A44B5"/>
    <w:rsid w:val="005A44D6"/>
    <w:rsid w:val="005A458C"/>
    <w:rsid w:val="005A4697"/>
    <w:rsid w:val="005A47C6"/>
    <w:rsid w:val="005A4814"/>
    <w:rsid w:val="005A4973"/>
    <w:rsid w:val="005A4DE5"/>
    <w:rsid w:val="005A4E98"/>
    <w:rsid w:val="005A50DC"/>
    <w:rsid w:val="005A537B"/>
    <w:rsid w:val="005A5985"/>
    <w:rsid w:val="005A5B67"/>
    <w:rsid w:val="005A5BBF"/>
    <w:rsid w:val="005A5DAB"/>
    <w:rsid w:val="005A61E0"/>
    <w:rsid w:val="005A639C"/>
    <w:rsid w:val="005A6786"/>
    <w:rsid w:val="005A67C4"/>
    <w:rsid w:val="005A6CEF"/>
    <w:rsid w:val="005A6E47"/>
    <w:rsid w:val="005A6EDC"/>
    <w:rsid w:val="005A7016"/>
    <w:rsid w:val="005A7219"/>
    <w:rsid w:val="005A76E9"/>
    <w:rsid w:val="005A77FC"/>
    <w:rsid w:val="005A7BE1"/>
    <w:rsid w:val="005A7C93"/>
    <w:rsid w:val="005A7F1B"/>
    <w:rsid w:val="005B0435"/>
    <w:rsid w:val="005B0657"/>
    <w:rsid w:val="005B07ED"/>
    <w:rsid w:val="005B08F3"/>
    <w:rsid w:val="005B0F02"/>
    <w:rsid w:val="005B1011"/>
    <w:rsid w:val="005B106F"/>
    <w:rsid w:val="005B10A5"/>
    <w:rsid w:val="005B19FA"/>
    <w:rsid w:val="005B1A2C"/>
    <w:rsid w:val="005B1CDD"/>
    <w:rsid w:val="005B1DB3"/>
    <w:rsid w:val="005B26F8"/>
    <w:rsid w:val="005B271E"/>
    <w:rsid w:val="005B27B1"/>
    <w:rsid w:val="005B28F9"/>
    <w:rsid w:val="005B2A23"/>
    <w:rsid w:val="005B2A55"/>
    <w:rsid w:val="005B2C4A"/>
    <w:rsid w:val="005B2FA7"/>
    <w:rsid w:val="005B30C6"/>
    <w:rsid w:val="005B3290"/>
    <w:rsid w:val="005B3460"/>
    <w:rsid w:val="005B3521"/>
    <w:rsid w:val="005B35E0"/>
    <w:rsid w:val="005B3D36"/>
    <w:rsid w:val="005B3F8E"/>
    <w:rsid w:val="005B40F9"/>
    <w:rsid w:val="005B447A"/>
    <w:rsid w:val="005B4A4E"/>
    <w:rsid w:val="005B4C5A"/>
    <w:rsid w:val="005B500A"/>
    <w:rsid w:val="005B527B"/>
    <w:rsid w:val="005B55EF"/>
    <w:rsid w:val="005B582F"/>
    <w:rsid w:val="005B5B21"/>
    <w:rsid w:val="005B5B33"/>
    <w:rsid w:val="005B5C28"/>
    <w:rsid w:val="005B5DE2"/>
    <w:rsid w:val="005B5E42"/>
    <w:rsid w:val="005B6204"/>
    <w:rsid w:val="005B6310"/>
    <w:rsid w:val="005B6424"/>
    <w:rsid w:val="005B6438"/>
    <w:rsid w:val="005B6C9A"/>
    <w:rsid w:val="005B6DC9"/>
    <w:rsid w:val="005B6F6E"/>
    <w:rsid w:val="005B6F7D"/>
    <w:rsid w:val="005B71CB"/>
    <w:rsid w:val="005B7276"/>
    <w:rsid w:val="005B74E6"/>
    <w:rsid w:val="005B7A29"/>
    <w:rsid w:val="005B7B4D"/>
    <w:rsid w:val="005B7D88"/>
    <w:rsid w:val="005B7E5C"/>
    <w:rsid w:val="005C05AF"/>
    <w:rsid w:val="005C0667"/>
    <w:rsid w:val="005C0733"/>
    <w:rsid w:val="005C079B"/>
    <w:rsid w:val="005C0805"/>
    <w:rsid w:val="005C0928"/>
    <w:rsid w:val="005C0EEC"/>
    <w:rsid w:val="005C1099"/>
    <w:rsid w:val="005C13D7"/>
    <w:rsid w:val="005C14E7"/>
    <w:rsid w:val="005C158A"/>
    <w:rsid w:val="005C1670"/>
    <w:rsid w:val="005C16B8"/>
    <w:rsid w:val="005C17B0"/>
    <w:rsid w:val="005C1908"/>
    <w:rsid w:val="005C1B5B"/>
    <w:rsid w:val="005C1D59"/>
    <w:rsid w:val="005C1E86"/>
    <w:rsid w:val="005C2254"/>
    <w:rsid w:val="005C2285"/>
    <w:rsid w:val="005C24E9"/>
    <w:rsid w:val="005C26B4"/>
    <w:rsid w:val="005C26C8"/>
    <w:rsid w:val="005C26DC"/>
    <w:rsid w:val="005C27EA"/>
    <w:rsid w:val="005C2A52"/>
    <w:rsid w:val="005C2AD6"/>
    <w:rsid w:val="005C2D8F"/>
    <w:rsid w:val="005C2F3E"/>
    <w:rsid w:val="005C2FA4"/>
    <w:rsid w:val="005C3280"/>
    <w:rsid w:val="005C39D4"/>
    <w:rsid w:val="005C3BEB"/>
    <w:rsid w:val="005C3C0A"/>
    <w:rsid w:val="005C3C82"/>
    <w:rsid w:val="005C3D02"/>
    <w:rsid w:val="005C3D3F"/>
    <w:rsid w:val="005C3EF4"/>
    <w:rsid w:val="005C3F26"/>
    <w:rsid w:val="005C4039"/>
    <w:rsid w:val="005C4322"/>
    <w:rsid w:val="005C449F"/>
    <w:rsid w:val="005C4668"/>
    <w:rsid w:val="005C46D6"/>
    <w:rsid w:val="005C477E"/>
    <w:rsid w:val="005C48AD"/>
    <w:rsid w:val="005C4A73"/>
    <w:rsid w:val="005C4AB7"/>
    <w:rsid w:val="005C4CE2"/>
    <w:rsid w:val="005C4F03"/>
    <w:rsid w:val="005C4F6D"/>
    <w:rsid w:val="005C5066"/>
    <w:rsid w:val="005C53D3"/>
    <w:rsid w:val="005C5482"/>
    <w:rsid w:val="005C5832"/>
    <w:rsid w:val="005C58EE"/>
    <w:rsid w:val="005C5947"/>
    <w:rsid w:val="005C5A4F"/>
    <w:rsid w:val="005C65FA"/>
    <w:rsid w:val="005C6656"/>
    <w:rsid w:val="005C675A"/>
    <w:rsid w:val="005C683C"/>
    <w:rsid w:val="005C688C"/>
    <w:rsid w:val="005C6A2D"/>
    <w:rsid w:val="005C6C0B"/>
    <w:rsid w:val="005C6EAE"/>
    <w:rsid w:val="005C6EDF"/>
    <w:rsid w:val="005C73E2"/>
    <w:rsid w:val="005C7673"/>
    <w:rsid w:val="005C795E"/>
    <w:rsid w:val="005C7B88"/>
    <w:rsid w:val="005C7C03"/>
    <w:rsid w:val="005C7D9E"/>
    <w:rsid w:val="005C7DDC"/>
    <w:rsid w:val="005C7E15"/>
    <w:rsid w:val="005D078D"/>
    <w:rsid w:val="005D079F"/>
    <w:rsid w:val="005D0812"/>
    <w:rsid w:val="005D0AC5"/>
    <w:rsid w:val="005D0DC5"/>
    <w:rsid w:val="005D10E0"/>
    <w:rsid w:val="005D12EF"/>
    <w:rsid w:val="005D1330"/>
    <w:rsid w:val="005D14B4"/>
    <w:rsid w:val="005D14B5"/>
    <w:rsid w:val="005D15E9"/>
    <w:rsid w:val="005D1B32"/>
    <w:rsid w:val="005D1F39"/>
    <w:rsid w:val="005D200A"/>
    <w:rsid w:val="005D2202"/>
    <w:rsid w:val="005D2228"/>
    <w:rsid w:val="005D22A2"/>
    <w:rsid w:val="005D2577"/>
    <w:rsid w:val="005D2726"/>
    <w:rsid w:val="005D2752"/>
    <w:rsid w:val="005D27E6"/>
    <w:rsid w:val="005D294C"/>
    <w:rsid w:val="005D2A4E"/>
    <w:rsid w:val="005D2B80"/>
    <w:rsid w:val="005D2BF1"/>
    <w:rsid w:val="005D2E4B"/>
    <w:rsid w:val="005D2EA9"/>
    <w:rsid w:val="005D3033"/>
    <w:rsid w:val="005D30D8"/>
    <w:rsid w:val="005D332B"/>
    <w:rsid w:val="005D3629"/>
    <w:rsid w:val="005D36B6"/>
    <w:rsid w:val="005D371E"/>
    <w:rsid w:val="005D38CD"/>
    <w:rsid w:val="005D3C14"/>
    <w:rsid w:val="005D3C72"/>
    <w:rsid w:val="005D3DFF"/>
    <w:rsid w:val="005D3EAD"/>
    <w:rsid w:val="005D3ECF"/>
    <w:rsid w:val="005D3F44"/>
    <w:rsid w:val="005D3FCC"/>
    <w:rsid w:val="005D409E"/>
    <w:rsid w:val="005D4134"/>
    <w:rsid w:val="005D43D5"/>
    <w:rsid w:val="005D47EA"/>
    <w:rsid w:val="005D49B2"/>
    <w:rsid w:val="005D4B0D"/>
    <w:rsid w:val="005D5287"/>
    <w:rsid w:val="005D539C"/>
    <w:rsid w:val="005D53E7"/>
    <w:rsid w:val="005D54C4"/>
    <w:rsid w:val="005D5842"/>
    <w:rsid w:val="005D58FE"/>
    <w:rsid w:val="005D5F4E"/>
    <w:rsid w:val="005D6069"/>
    <w:rsid w:val="005D61A5"/>
    <w:rsid w:val="005D63EA"/>
    <w:rsid w:val="005D64E3"/>
    <w:rsid w:val="005D6505"/>
    <w:rsid w:val="005D6617"/>
    <w:rsid w:val="005D6646"/>
    <w:rsid w:val="005D668E"/>
    <w:rsid w:val="005D6897"/>
    <w:rsid w:val="005D68B5"/>
    <w:rsid w:val="005D6F82"/>
    <w:rsid w:val="005D700D"/>
    <w:rsid w:val="005D70D4"/>
    <w:rsid w:val="005D715B"/>
    <w:rsid w:val="005D7179"/>
    <w:rsid w:val="005D754A"/>
    <w:rsid w:val="005D7686"/>
    <w:rsid w:val="005D7AD6"/>
    <w:rsid w:val="005D7B12"/>
    <w:rsid w:val="005D7CD4"/>
    <w:rsid w:val="005D7CEE"/>
    <w:rsid w:val="005D7D26"/>
    <w:rsid w:val="005E02AD"/>
    <w:rsid w:val="005E0538"/>
    <w:rsid w:val="005E0AD7"/>
    <w:rsid w:val="005E0BA4"/>
    <w:rsid w:val="005E1097"/>
    <w:rsid w:val="005E1227"/>
    <w:rsid w:val="005E136D"/>
    <w:rsid w:val="005E1433"/>
    <w:rsid w:val="005E14A4"/>
    <w:rsid w:val="005E15EB"/>
    <w:rsid w:val="005E1838"/>
    <w:rsid w:val="005E1CE6"/>
    <w:rsid w:val="005E1CEB"/>
    <w:rsid w:val="005E1D35"/>
    <w:rsid w:val="005E1DA3"/>
    <w:rsid w:val="005E1DA4"/>
    <w:rsid w:val="005E203F"/>
    <w:rsid w:val="005E21EB"/>
    <w:rsid w:val="005E24E8"/>
    <w:rsid w:val="005E26B1"/>
    <w:rsid w:val="005E26F4"/>
    <w:rsid w:val="005E2CCB"/>
    <w:rsid w:val="005E33D0"/>
    <w:rsid w:val="005E3618"/>
    <w:rsid w:val="005E3828"/>
    <w:rsid w:val="005E387B"/>
    <w:rsid w:val="005E3FE5"/>
    <w:rsid w:val="005E418B"/>
    <w:rsid w:val="005E445D"/>
    <w:rsid w:val="005E44D7"/>
    <w:rsid w:val="005E4592"/>
    <w:rsid w:val="005E49F4"/>
    <w:rsid w:val="005E4A22"/>
    <w:rsid w:val="005E4A6A"/>
    <w:rsid w:val="005E534F"/>
    <w:rsid w:val="005E53E5"/>
    <w:rsid w:val="005E5529"/>
    <w:rsid w:val="005E599A"/>
    <w:rsid w:val="005E5E83"/>
    <w:rsid w:val="005E5FAC"/>
    <w:rsid w:val="005E5FD7"/>
    <w:rsid w:val="005E61B3"/>
    <w:rsid w:val="005E6336"/>
    <w:rsid w:val="005E644F"/>
    <w:rsid w:val="005E649B"/>
    <w:rsid w:val="005E64F6"/>
    <w:rsid w:val="005E685C"/>
    <w:rsid w:val="005E6983"/>
    <w:rsid w:val="005E6AC7"/>
    <w:rsid w:val="005E6B96"/>
    <w:rsid w:val="005E6C15"/>
    <w:rsid w:val="005E6CBA"/>
    <w:rsid w:val="005E6CE9"/>
    <w:rsid w:val="005E6F83"/>
    <w:rsid w:val="005E7003"/>
    <w:rsid w:val="005E71E6"/>
    <w:rsid w:val="005E758A"/>
    <w:rsid w:val="005E7A26"/>
    <w:rsid w:val="005E7A6B"/>
    <w:rsid w:val="005E7C27"/>
    <w:rsid w:val="005E7F0C"/>
    <w:rsid w:val="005E7F45"/>
    <w:rsid w:val="005F03D8"/>
    <w:rsid w:val="005F0494"/>
    <w:rsid w:val="005F062D"/>
    <w:rsid w:val="005F06A9"/>
    <w:rsid w:val="005F06FE"/>
    <w:rsid w:val="005F0D73"/>
    <w:rsid w:val="005F0DB7"/>
    <w:rsid w:val="005F0E44"/>
    <w:rsid w:val="005F1030"/>
    <w:rsid w:val="005F10CA"/>
    <w:rsid w:val="005F12BD"/>
    <w:rsid w:val="005F13F3"/>
    <w:rsid w:val="005F16D2"/>
    <w:rsid w:val="005F1DD4"/>
    <w:rsid w:val="005F1E25"/>
    <w:rsid w:val="005F2135"/>
    <w:rsid w:val="005F215B"/>
    <w:rsid w:val="005F2176"/>
    <w:rsid w:val="005F219F"/>
    <w:rsid w:val="005F21E4"/>
    <w:rsid w:val="005F2367"/>
    <w:rsid w:val="005F24C2"/>
    <w:rsid w:val="005F2761"/>
    <w:rsid w:val="005F287B"/>
    <w:rsid w:val="005F2937"/>
    <w:rsid w:val="005F2CF9"/>
    <w:rsid w:val="005F3128"/>
    <w:rsid w:val="005F31C8"/>
    <w:rsid w:val="005F32AE"/>
    <w:rsid w:val="005F32B8"/>
    <w:rsid w:val="005F36F1"/>
    <w:rsid w:val="005F3D89"/>
    <w:rsid w:val="005F4064"/>
    <w:rsid w:val="005F41E8"/>
    <w:rsid w:val="005F468F"/>
    <w:rsid w:val="005F4A6E"/>
    <w:rsid w:val="005F4B31"/>
    <w:rsid w:val="005F4C16"/>
    <w:rsid w:val="005F5020"/>
    <w:rsid w:val="005F5162"/>
    <w:rsid w:val="005F52CE"/>
    <w:rsid w:val="005F5330"/>
    <w:rsid w:val="005F53A4"/>
    <w:rsid w:val="005F5420"/>
    <w:rsid w:val="005F54E4"/>
    <w:rsid w:val="005F550D"/>
    <w:rsid w:val="005F5745"/>
    <w:rsid w:val="005F5BB1"/>
    <w:rsid w:val="005F5F5E"/>
    <w:rsid w:val="005F6152"/>
    <w:rsid w:val="005F622E"/>
    <w:rsid w:val="005F6690"/>
    <w:rsid w:val="005F674C"/>
    <w:rsid w:val="005F6AE8"/>
    <w:rsid w:val="005F6B30"/>
    <w:rsid w:val="005F6B88"/>
    <w:rsid w:val="005F6D63"/>
    <w:rsid w:val="005F6ED4"/>
    <w:rsid w:val="005F6F75"/>
    <w:rsid w:val="005F6FE7"/>
    <w:rsid w:val="005F7017"/>
    <w:rsid w:val="005F7281"/>
    <w:rsid w:val="005F74ED"/>
    <w:rsid w:val="005F75F4"/>
    <w:rsid w:val="005F798E"/>
    <w:rsid w:val="005F79AC"/>
    <w:rsid w:val="005F7DD4"/>
    <w:rsid w:val="006000E0"/>
    <w:rsid w:val="006000F2"/>
    <w:rsid w:val="00600186"/>
    <w:rsid w:val="0060029A"/>
    <w:rsid w:val="006002FC"/>
    <w:rsid w:val="00600412"/>
    <w:rsid w:val="00600529"/>
    <w:rsid w:val="006005CC"/>
    <w:rsid w:val="006007F2"/>
    <w:rsid w:val="00600837"/>
    <w:rsid w:val="00600F7A"/>
    <w:rsid w:val="00600FC8"/>
    <w:rsid w:val="006010A1"/>
    <w:rsid w:val="006013B6"/>
    <w:rsid w:val="006013E4"/>
    <w:rsid w:val="0060156B"/>
    <w:rsid w:val="0060166A"/>
    <w:rsid w:val="006018DA"/>
    <w:rsid w:val="00602447"/>
    <w:rsid w:val="00602662"/>
    <w:rsid w:val="0060272E"/>
    <w:rsid w:val="00602A5E"/>
    <w:rsid w:val="00602A9F"/>
    <w:rsid w:val="00602B48"/>
    <w:rsid w:val="00602CC8"/>
    <w:rsid w:val="00602E0E"/>
    <w:rsid w:val="00602E88"/>
    <w:rsid w:val="00602F21"/>
    <w:rsid w:val="00602FEC"/>
    <w:rsid w:val="00603075"/>
    <w:rsid w:val="00603090"/>
    <w:rsid w:val="006036CC"/>
    <w:rsid w:val="00603783"/>
    <w:rsid w:val="00603942"/>
    <w:rsid w:val="006039C6"/>
    <w:rsid w:val="00603F42"/>
    <w:rsid w:val="00603FE1"/>
    <w:rsid w:val="00604103"/>
    <w:rsid w:val="0060440C"/>
    <w:rsid w:val="006044BD"/>
    <w:rsid w:val="006044CD"/>
    <w:rsid w:val="00604554"/>
    <w:rsid w:val="00604649"/>
    <w:rsid w:val="006046C8"/>
    <w:rsid w:val="00604A6C"/>
    <w:rsid w:val="00604BDE"/>
    <w:rsid w:val="00604ED0"/>
    <w:rsid w:val="00604FF2"/>
    <w:rsid w:val="00605005"/>
    <w:rsid w:val="0060513F"/>
    <w:rsid w:val="0060577B"/>
    <w:rsid w:val="00605BFE"/>
    <w:rsid w:val="00605EA1"/>
    <w:rsid w:val="00605FC5"/>
    <w:rsid w:val="006060E7"/>
    <w:rsid w:val="00606419"/>
    <w:rsid w:val="00606742"/>
    <w:rsid w:val="006067A8"/>
    <w:rsid w:val="006067F0"/>
    <w:rsid w:val="0060699C"/>
    <w:rsid w:val="00606CA3"/>
    <w:rsid w:val="00606ED2"/>
    <w:rsid w:val="0060709A"/>
    <w:rsid w:val="006070CF"/>
    <w:rsid w:val="00607135"/>
    <w:rsid w:val="00607216"/>
    <w:rsid w:val="006073BB"/>
    <w:rsid w:val="0060740D"/>
    <w:rsid w:val="0060742E"/>
    <w:rsid w:val="006074E8"/>
    <w:rsid w:val="006075AE"/>
    <w:rsid w:val="00607CC2"/>
    <w:rsid w:val="00607CF6"/>
    <w:rsid w:val="00607DE2"/>
    <w:rsid w:val="00607DE5"/>
    <w:rsid w:val="00607E3B"/>
    <w:rsid w:val="00607FA1"/>
    <w:rsid w:val="00610053"/>
    <w:rsid w:val="0061017E"/>
    <w:rsid w:val="006108A7"/>
    <w:rsid w:val="006108C0"/>
    <w:rsid w:val="00610A55"/>
    <w:rsid w:val="00610BCE"/>
    <w:rsid w:val="00610C70"/>
    <w:rsid w:val="00610F1E"/>
    <w:rsid w:val="006110D1"/>
    <w:rsid w:val="006111D1"/>
    <w:rsid w:val="006111F7"/>
    <w:rsid w:val="00611223"/>
    <w:rsid w:val="0061156F"/>
    <w:rsid w:val="006116D5"/>
    <w:rsid w:val="006117ED"/>
    <w:rsid w:val="00611843"/>
    <w:rsid w:val="00611A33"/>
    <w:rsid w:val="00611E49"/>
    <w:rsid w:val="00611EAD"/>
    <w:rsid w:val="00611F5E"/>
    <w:rsid w:val="00611FF8"/>
    <w:rsid w:val="006120A4"/>
    <w:rsid w:val="006120D3"/>
    <w:rsid w:val="006122E1"/>
    <w:rsid w:val="006128CB"/>
    <w:rsid w:val="00612928"/>
    <w:rsid w:val="0061295E"/>
    <w:rsid w:val="00612A15"/>
    <w:rsid w:val="00612B4D"/>
    <w:rsid w:val="00612B6E"/>
    <w:rsid w:val="00612BAB"/>
    <w:rsid w:val="0061316D"/>
    <w:rsid w:val="00613384"/>
    <w:rsid w:val="0061396A"/>
    <w:rsid w:val="006139C7"/>
    <w:rsid w:val="00613CD4"/>
    <w:rsid w:val="00613CEA"/>
    <w:rsid w:val="00613DD2"/>
    <w:rsid w:val="00613FEF"/>
    <w:rsid w:val="0061408B"/>
    <w:rsid w:val="0061419A"/>
    <w:rsid w:val="006143F8"/>
    <w:rsid w:val="0061458B"/>
    <w:rsid w:val="00614996"/>
    <w:rsid w:val="00614DEA"/>
    <w:rsid w:val="0061504E"/>
    <w:rsid w:val="0061536F"/>
    <w:rsid w:val="00615431"/>
    <w:rsid w:val="006156AB"/>
    <w:rsid w:val="006159CA"/>
    <w:rsid w:val="00615A87"/>
    <w:rsid w:val="00615A96"/>
    <w:rsid w:val="00615D88"/>
    <w:rsid w:val="00616042"/>
    <w:rsid w:val="006160D8"/>
    <w:rsid w:val="00616370"/>
    <w:rsid w:val="00616385"/>
    <w:rsid w:val="0061664C"/>
    <w:rsid w:val="0061694A"/>
    <w:rsid w:val="00616E28"/>
    <w:rsid w:val="00616E3C"/>
    <w:rsid w:val="006170E8"/>
    <w:rsid w:val="006171C3"/>
    <w:rsid w:val="006171E7"/>
    <w:rsid w:val="0061770E"/>
    <w:rsid w:val="0061771D"/>
    <w:rsid w:val="00617819"/>
    <w:rsid w:val="00617C0F"/>
    <w:rsid w:val="00617D74"/>
    <w:rsid w:val="00620793"/>
    <w:rsid w:val="006209BC"/>
    <w:rsid w:val="00620A98"/>
    <w:rsid w:val="00620CD4"/>
    <w:rsid w:val="0062103B"/>
    <w:rsid w:val="0062121E"/>
    <w:rsid w:val="0062125D"/>
    <w:rsid w:val="006214BA"/>
    <w:rsid w:val="006216BA"/>
    <w:rsid w:val="00621BE7"/>
    <w:rsid w:val="00621F0F"/>
    <w:rsid w:val="00622204"/>
    <w:rsid w:val="00622205"/>
    <w:rsid w:val="006222E3"/>
    <w:rsid w:val="0062251E"/>
    <w:rsid w:val="006227C4"/>
    <w:rsid w:val="006227D4"/>
    <w:rsid w:val="00622A08"/>
    <w:rsid w:val="00622AC3"/>
    <w:rsid w:val="00623074"/>
    <w:rsid w:val="0062319E"/>
    <w:rsid w:val="00623426"/>
    <w:rsid w:val="00623484"/>
    <w:rsid w:val="006234E2"/>
    <w:rsid w:val="00623954"/>
    <w:rsid w:val="00623C34"/>
    <w:rsid w:val="00623E3F"/>
    <w:rsid w:val="00623FEC"/>
    <w:rsid w:val="00624001"/>
    <w:rsid w:val="00624147"/>
    <w:rsid w:val="006241EE"/>
    <w:rsid w:val="006242E3"/>
    <w:rsid w:val="006243DC"/>
    <w:rsid w:val="0062464A"/>
    <w:rsid w:val="0062468B"/>
    <w:rsid w:val="00624ABE"/>
    <w:rsid w:val="00624CEB"/>
    <w:rsid w:val="00624D76"/>
    <w:rsid w:val="00624EBA"/>
    <w:rsid w:val="00624EBF"/>
    <w:rsid w:val="00624EFE"/>
    <w:rsid w:val="00625036"/>
    <w:rsid w:val="006250C3"/>
    <w:rsid w:val="006251A2"/>
    <w:rsid w:val="006251B5"/>
    <w:rsid w:val="00625585"/>
    <w:rsid w:val="0062566F"/>
    <w:rsid w:val="006256AF"/>
    <w:rsid w:val="006256D1"/>
    <w:rsid w:val="006257E4"/>
    <w:rsid w:val="00625901"/>
    <w:rsid w:val="00625C3F"/>
    <w:rsid w:val="00625C65"/>
    <w:rsid w:val="00625C95"/>
    <w:rsid w:val="00625DDD"/>
    <w:rsid w:val="00625EF1"/>
    <w:rsid w:val="00625F35"/>
    <w:rsid w:val="00625FD5"/>
    <w:rsid w:val="00626179"/>
    <w:rsid w:val="006263B7"/>
    <w:rsid w:val="006267EB"/>
    <w:rsid w:val="0062691F"/>
    <w:rsid w:val="00626A6C"/>
    <w:rsid w:val="00626A76"/>
    <w:rsid w:val="00626EA5"/>
    <w:rsid w:val="00626F60"/>
    <w:rsid w:val="0062713C"/>
    <w:rsid w:val="00627555"/>
    <w:rsid w:val="00627AAB"/>
    <w:rsid w:val="00627D1C"/>
    <w:rsid w:val="00627D9C"/>
    <w:rsid w:val="00627F4F"/>
    <w:rsid w:val="00627F6A"/>
    <w:rsid w:val="00630567"/>
    <w:rsid w:val="0063064E"/>
    <w:rsid w:val="006306D9"/>
    <w:rsid w:val="00630B87"/>
    <w:rsid w:val="00630DB8"/>
    <w:rsid w:val="00630E56"/>
    <w:rsid w:val="00630F74"/>
    <w:rsid w:val="006313D7"/>
    <w:rsid w:val="006314EC"/>
    <w:rsid w:val="0063153C"/>
    <w:rsid w:val="006318F6"/>
    <w:rsid w:val="00631BDC"/>
    <w:rsid w:val="00631F5F"/>
    <w:rsid w:val="006320C4"/>
    <w:rsid w:val="00632184"/>
    <w:rsid w:val="006323F3"/>
    <w:rsid w:val="006324C3"/>
    <w:rsid w:val="006327EC"/>
    <w:rsid w:val="00632BC8"/>
    <w:rsid w:val="00632E06"/>
    <w:rsid w:val="006334C1"/>
    <w:rsid w:val="006336A3"/>
    <w:rsid w:val="006339CD"/>
    <w:rsid w:val="00633C99"/>
    <w:rsid w:val="00633F1F"/>
    <w:rsid w:val="00633FBC"/>
    <w:rsid w:val="00633FC7"/>
    <w:rsid w:val="0063407D"/>
    <w:rsid w:val="00634262"/>
    <w:rsid w:val="00634292"/>
    <w:rsid w:val="006344B8"/>
    <w:rsid w:val="006345AE"/>
    <w:rsid w:val="00634858"/>
    <w:rsid w:val="00634A3C"/>
    <w:rsid w:val="00634A5B"/>
    <w:rsid w:val="00635051"/>
    <w:rsid w:val="00635483"/>
    <w:rsid w:val="0063549B"/>
    <w:rsid w:val="006354E5"/>
    <w:rsid w:val="00635A00"/>
    <w:rsid w:val="00635B15"/>
    <w:rsid w:val="00635C7C"/>
    <w:rsid w:val="00635C81"/>
    <w:rsid w:val="00635E46"/>
    <w:rsid w:val="00635F51"/>
    <w:rsid w:val="00636138"/>
    <w:rsid w:val="006361C1"/>
    <w:rsid w:val="006361CD"/>
    <w:rsid w:val="0063623E"/>
    <w:rsid w:val="0063663B"/>
    <w:rsid w:val="00636661"/>
    <w:rsid w:val="00636773"/>
    <w:rsid w:val="00636AA7"/>
    <w:rsid w:val="00636FA7"/>
    <w:rsid w:val="00637136"/>
    <w:rsid w:val="00637237"/>
    <w:rsid w:val="00637916"/>
    <w:rsid w:val="00637E57"/>
    <w:rsid w:val="00640081"/>
    <w:rsid w:val="00640175"/>
    <w:rsid w:val="00640287"/>
    <w:rsid w:val="006407A8"/>
    <w:rsid w:val="006407DE"/>
    <w:rsid w:val="00640821"/>
    <w:rsid w:val="0064091A"/>
    <w:rsid w:val="00640993"/>
    <w:rsid w:val="00640BDD"/>
    <w:rsid w:val="00640BEA"/>
    <w:rsid w:val="00640EE5"/>
    <w:rsid w:val="0064119E"/>
    <w:rsid w:val="006416DA"/>
    <w:rsid w:val="006418B9"/>
    <w:rsid w:val="00641DAE"/>
    <w:rsid w:val="006424B0"/>
    <w:rsid w:val="00642535"/>
    <w:rsid w:val="0064277B"/>
    <w:rsid w:val="00642A21"/>
    <w:rsid w:val="00642CF6"/>
    <w:rsid w:val="00642D00"/>
    <w:rsid w:val="00642E28"/>
    <w:rsid w:val="00642EDB"/>
    <w:rsid w:val="0064302E"/>
    <w:rsid w:val="006431D3"/>
    <w:rsid w:val="00643600"/>
    <w:rsid w:val="0064370B"/>
    <w:rsid w:val="006437AE"/>
    <w:rsid w:val="00643A56"/>
    <w:rsid w:val="00643A73"/>
    <w:rsid w:val="00643B66"/>
    <w:rsid w:val="00643BE8"/>
    <w:rsid w:val="00643CA5"/>
    <w:rsid w:val="00643CE6"/>
    <w:rsid w:val="0064403E"/>
    <w:rsid w:val="0064408A"/>
    <w:rsid w:val="00644187"/>
    <w:rsid w:val="006444A6"/>
    <w:rsid w:val="006445D3"/>
    <w:rsid w:val="006445DB"/>
    <w:rsid w:val="006449C8"/>
    <w:rsid w:val="00644C32"/>
    <w:rsid w:val="00644D19"/>
    <w:rsid w:val="006451CF"/>
    <w:rsid w:val="00645577"/>
    <w:rsid w:val="00645703"/>
    <w:rsid w:val="006457B0"/>
    <w:rsid w:val="00645844"/>
    <w:rsid w:val="00645A66"/>
    <w:rsid w:val="00645FB8"/>
    <w:rsid w:val="00646129"/>
    <w:rsid w:val="00646460"/>
    <w:rsid w:val="00646649"/>
    <w:rsid w:val="00646670"/>
    <w:rsid w:val="006469DC"/>
    <w:rsid w:val="006469F6"/>
    <w:rsid w:val="00646F3D"/>
    <w:rsid w:val="00646FCF"/>
    <w:rsid w:val="0064703E"/>
    <w:rsid w:val="00647124"/>
    <w:rsid w:val="006472B5"/>
    <w:rsid w:val="00647318"/>
    <w:rsid w:val="00647444"/>
    <w:rsid w:val="00647714"/>
    <w:rsid w:val="0064776D"/>
    <w:rsid w:val="00647944"/>
    <w:rsid w:val="006479BF"/>
    <w:rsid w:val="006500DF"/>
    <w:rsid w:val="006505BB"/>
    <w:rsid w:val="006508CA"/>
    <w:rsid w:val="00650A9A"/>
    <w:rsid w:val="00650BB9"/>
    <w:rsid w:val="00650BF0"/>
    <w:rsid w:val="00650D16"/>
    <w:rsid w:val="00650D6F"/>
    <w:rsid w:val="00650E5B"/>
    <w:rsid w:val="00650EF2"/>
    <w:rsid w:val="00651066"/>
    <w:rsid w:val="00651629"/>
    <w:rsid w:val="00651650"/>
    <w:rsid w:val="00651A04"/>
    <w:rsid w:val="00651E93"/>
    <w:rsid w:val="00651F49"/>
    <w:rsid w:val="00651F73"/>
    <w:rsid w:val="00652079"/>
    <w:rsid w:val="00652179"/>
    <w:rsid w:val="0065244C"/>
    <w:rsid w:val="006526F6"/>
    <w:rsid w:val="006529D4"/>
    <w:rsid w:val="00652E2D"/>
    <w:rsid w:val="006531DE"/>
    <w:rsid w:val="006533A3"/>
    <w:rsid w:val="00653586"/>
    <w:rsid w:val="006537BE"/>
    <w:rsid w:val="0065395E"/>
    <w:rsid w:val="006539F6"/>
    <w:rsid w:val="00653AF0"/>
    <w:rsid w:val="00653B58"/>
    <w:rsid w:val="00653BE1"/>
    <w:rsid w:val="00653D85"/>
    <w:rsid w:val="00654896"/>
    <w:rsid w:val="006549CF"/>
    <w:rsid w:val="00654C09"/>
    <w:rsid w:val="00654C3B"/>
    <w:rsid w:val="00654C51"/>
    <w:rsid w:val="0065533F"/>
    <w:rsid w:val="00655537"/>
    <w:rsid w:val="006556E7"/>
    <w:rsid w:val="006557AB"/>
    <w:rsid w:val="0065591E"/>
    <w:rsid w:val="00655BB5"/>
    <w:rsid w:val="00655BE3"/>
    <w:rsid w:val="00655C5F"/>
    <w:rsid w:val="006560B8"/>
    <w:rsid w:val="006560FF"/>
    <w:rsid w:val="00656252"/>
    <w:rsid w:val="0065658B"/>
    <w:rsid w:val="00656A32"/>
    <w:rsid w:val="00656AB5"/>
    <w:rsid w:val="00656B3A"/>
    <w:rsid w:val="00656C41"/>
    <w:rsid w:val="00656DDB"/>
    <w:rsid w:val="00657562"/>
    <w:rsid w:val="006577CA"/>
    <w:rsid w:val="006577CD"/>
    <w:rsid w:val="006577FE"/>
    <w:rsid w:val="00657AF8"/>
    <w:rsid w:val="00657B18"/>
    <w:rsid w:val="00657BA6"/>
    <w:rsid w:val="00657E17"/>
    <w:rsid w:val="00657ED8"/>
    <w:rsid w:val="00657FD5"/>
    <w:rsid w:val="006600A7"/>
    <w:rsid w:val="00660205"/>
    <w:rsid w:val="00660251"/>
    <w:rsid w:val="00660557"/>
    <w:rsid w:val="006605D7"/>
    <w:rsid w:val="006606E9"/>
    <w:rsid w:val="00660A33"/>
    <w:rsid w:val="00660C4E"/>
    <w:rsid w:val="006611F4"/>
    <w:rsid w:val="00661317"/>
    <w:rsid w:val="006613C0"/>
    <w:rsid w:val="006613EC"/>
    <w:rsid w:val="0066149B"/>
    <w:rsid w:val="00661603"/>
    <w:rsid w:val="006616BA"/>
    <w:rsid w:val="0066176A"/>
    <w:rsid w:val="00661905"/>
    <w:rsid w:val="00661995"/>
    <w:rsid w:val="00661AD5"/>
    <w:rsid w:val="00661C3C"/>
    <w:rsid w:val="00661C6B"/>
    <w:rsid w:val="00661F39"/>
    <w:rsid w:val="00662068"/>
    <w:rsid w:val="0066234E"/>
    <w:rsid w:val="00662362"/>
    <w:rsid w:val="00662A05"/>
    <w:rsid w:val="00662C5F"/>
    <w:rsid w:val="00662CB3"/>
    <w:rsid w:val="00662D58"/>
    <w:rsid w:val="00662E74"/>
    <w:rsid w:val="00662EBD"/>
    <w:rsid w:val="00663030"/>
    <w:rsid w:val="00663710"/>
    <w:rsid w:val="00663C84"/>
    <w:rsid w:val="00664181"/>
    <w:rsid w:val="006641C3"/>
    <w:rsid w:val="00664389"/>
    <w:rsid w:val="006643A3"/>
    <w:rsid w:val="0066447B"/>
    <w:rsid w:val="006646DE"/>
    <w:rsid w:val="0066479B"/>
    <w:rsid w:val="00664AD1"/>
    <w:rsid w:val="00664C45"/>
    <w:rsid w:val="00664E0A"/>
    <w:rsid w:val="00665086"/>
    <w:rsid w:val="0066522F"/>
    <w:rsid w:val="00665347"/>
    <w:rsid w:val="0066556A"/>
    <w:rsid w:val="0066564B"/>
    <w:rsid w:val="0066576D"/>
    <w:rsid w:val="00665C3C"/>
    <w:rsid w:val="00666041"/>
    <w:rsid w:val="00666145"/>
    <w:rsid w:val="00666281"/>
    <w:rsid w:val="006662CA"/>
    <w:rsid w:val="00666372"/>
    <w:rsid w:val="0066637B"/>
    <w:rsid w:val="006663B3"/>
    <w:rsid w:val="00666472"/>
    <w:rsid w:val="006668DE"/>
    <w:rsid w:val="00666976"/>
    <w:rsid w:val="00666B2C"/>
    <w:rsid w:val="00666CC3"/>
    <w:rsid w:val="00667053"/>
    <w:rsid w:val="0066720F"/>
    <w:rsid w:val="006672AD"/>
    <w:rsid w:val="0067002A"/>
    <w:rsid w:val="006702A9"/>
    <w:rsid w:val="0067040D"/>
    <w:rsid w:val="0067063D"/>
    <w:rsid w:val="00670DE5"/>
    <w:rsid w:val="00671005"/>
    <w:rsid w:val="00671036"/>
    <w:rsid w:val="0067110F"/>
    <w:rsid w:val="00671266"/>
    <w:rsid w:val="00671391"/>
    <w:rsid w:val="00671571"/>
    <w:rsid w:val="006716D8"/>
    <w:rsid w:val="006717F3"/>
    <w:rsid w:val="00671D46"/>
    <w:rsid w:val="00671DE1"/>
    <w:rsid w:val="006721B3"/>
    <w:rsid w:val="00672345"/>
    <w:rsid w:val="00672407"/>
    <w:rsid w:val="00672410"/>
    <w:rsid w:val="006724D4"/>
    <w:rsid w:val="00672D5E"/>
    <w:rsid w:val="00672D6B"/>
    <w:rsid w:val="00673099"/>
    <w:rsid w:val="00673230"/>
    <w:rsid w:val="00673372"/>
    <w:rsid w:val="006736C2"/>
    <w:rsid w:val="006736E1"/>
    <w:rsid w:val="00673857"/>
    <w:rsid w:val="00673959"/>
    <w:rsid w:val="00673B67"/>
    <w:rsid w:val="006741F7"/>
    <w:rsid w:val="006742EE"/>
    <w:rsid w:val="00674433"/>
    <w:rsid w:val="0067445C"/>
    <w:rsid w:val="00674689"/>
    <w:rsid w:val="00674936"/>
    <w:rsid w:val="006749C1"/>
    <w:rsid w:val="006749CF"/>
    <w:rsid w:val="00674B6B"/>
    <w:rsid w:val="00674F76"/>
    <w:rsid w:val="006750C0"/>
    <w:rsid w:val="0067539A"/>
    <w:rsid w:val="00675520"/>
    <w:rsid w:val="00675575"/>
    <w:rsid w:val="00675734"/>
    <w:rsid w:val="00675C1C"/>
    <w:rsid w:val="00675E15"/>
    <w:rsid w:val="00675EE2"/>
    <w:rsid w:val="006761B1"/>
    <w:rsid w:val="006765D5"/>
    <w:rsid w:val="006768FB"/>
    <w:rsid w:val="006769BA"/>
    <w:rsid w:val="00676CD8"/>
    <w:rsid w:val="00676E17"/>
    <w:rsid w:val="00677012"/>
    <w:rsid w:val="006770E4"/>
    <w:rsid w:val="00677438"/>
    <w:rsid w:val="00677858"/>
    <w:rsid w:val="00677975"/>
    <w:rsid w:val="0067799A"/>
    <w:rsid w:val="006779DB"/>
    <w:rsid w:val="00677A06"/>
    <w:rsid w:val="00677ABA"/>
    <w:rsid w:val="00677ACB"/>
    <w:rsid w:val="00677EF7"/>
    <w:rsid w:val="00680092"/>
    <w:rsid w:val="006802B4"/>
    <w:rsid w:val="00680B0A"/>
    <w:rsid w:val="00680ED0"/>
    <w:rsid w:val="0068129A"/>
    <w:rsid w:val="006814D7"/>
    <w:rsid w:val="006815B9"/>
    <w:rsid w:val="006815CE"/>
    <w:rsid w:val="006815F9"/>
    <w:rsid w:val="006818B6"/>
    <w:rsid w:val="00681C48"/>
    <w:rsid w:val="00681DE1"/>
    <w:rsid w:val="00681E72"/>
    <w:rsid w:val="00682334"/>
    <w:rsid w:val="00682395"/>
    <w:rsid w:val="0068240D"/>
    <w:rsid w:val="00682687"/>
    <w:rsid w:val="0068299C"/>
    <w:rsid w:val="00682C34"/>
    <w:rsid w:val="00682EBF"/>
    <w:rsid w:val="006835BB"/>
    <w:rsid w:val="0068379B"/>
    <w:rsid w:val="0068405C"/>
    <w:rsid w:val="0068413D"/>
    <w:rsid w:val="0068424E"/>
    <w:rsid w:val="00684257"/>
    <w:rsid w:val="00684795"/>
    <w:rsid w:val="006848CA"/>
    <w:rsid w:val="006849D3"/>
    <w:rsid w:val="00684B8C"/>
    <w:rsid w:val="00684BBA"/>
    <w:rsid w:val="00684BE2"/>
    <w:rsid w:val="00684D0F"/>
    <w:rsid w:val="00684DA1"/>
    <w:rsid w:val="006854E2"/>
    <w:rsid w:val="00685582"/>
    <w:rsid w:val="006857D4"/>
    <w:rsid w:val="00685A94"/>
    <w:rsid w:val="00685BFB"/>
    <w:rsid w:val="00685C1F"/>
    <w:rsid w:val="00685CD8"/>
    <w:rsid w:val="00685D9E"/>
    <w:rsid w:val="00685DA9"/>
    <w:rsid w:val="00685DC1"/>
    <w:rsid w:val="00685E4A"/>
    <w:rsid w:val="00685F30"/>
    <w:rsid w:val="00685F94"/>
    <w:rsid w:val="006861FA"/>
    <w:rsid w:val="00686247"/>
    <w:rsid w:val="0068637B"/>
    <w:rsid w:val="006864F1"/>
    <w:rsid w:val="00686823"/>
    <w:rsid w:val="006868C0"/>
    <w:rsid w:val="00686D8E"/>
    <w:rsid w:val="006870CF"/>
    <w:rsid w:val="00687213"/>
    <w:rsid w:val="0068731B"/>
    <w:rsid w:val="006873EA"/>
    <w:rsid w:val="006876AE"/>
    <w:rsid w:val="00690436"/>
    <w:rsid w:val="00690597"/>
    <w:rsid w:val="006906E3"/>
    <w:rsid w:val="006907C8"/>
    <w:rsid w:val="00690841"/>
    <w:rsid w:val="006908DC"/>
    <w:rsid w:val="00690920"/>
    <w:rsid w:val="00690A2F"/>
    <w:rsid w:val="00691026"/>
    <w:rsid w:val="00691118"/>
    <w:rsid w:val="0069113C"/>
    <w:rsid w:val="00691212"/>
    <w:rsid w:val="00691482"/>
    <w:rsid w:val="00691AA4"/>
    <w:rsid w:val="00691AA6"/>
    <w:rsid w:val="00691B1E"/>
    <w:rsid w:val="00691F3E"/>
    <w:rsid w:val="00691FD9"/>
    <w:rsid w:val="0069205C"/>
    <w:rsid w:val="006920A0"/>
    <w:rsid w:val="006920F6"/>
    <w:rsid w:val="00692255"/>
    <w:rsid w:val="00692475"/>
    <w:rsid w:val="00692693"/>
    <w:rsid w:val="00692B0A"/>
    <w:rsid w:val="00692D78"/>
    <w:rsid w:val="00692E32"/>
    <w:rsid w:val="00692ED2"/>
    <w:rsid w:val="00692F22"/>
    <w:rsid w:val="00693014"/>
    <w:rsid w:val="0069302D"/>
    <w:rsid w:val="00693248"/>
    <w:rsid w:val="00693645"/>
    <w:rsid w:val="00693D87"/>
    <w:rsid w:val="00693DE8"/>
    <w:rsid w:val="00693E97"/>
    <w:rsid w:val="00693F9E"/>
    <w:rsid w:val="00693FD6"/>
    <w:rsid w:val="00694298"/>
    <w:rsid w:val="0069459D"/>
    <w:rsid w:val="00694765"/>
    <w:rsid w:val="00694831"/>
    <w:rsid w:val="00694940"/>
    <w:rsid w:val="00694B8C"/>
    <w:rsid w:val="00694EBB"/>
    <w:rsid w:val="00694FC8"/>
    <w:rsid w:val="0069519E"/>
    <w:rsid w:val="00695230"/>
    <w:rsid w:val="00695592"/>
    <w:rsid w:val="006959C2"/>
    <w:rsid w:val="00695AF1"/>
    <w:rsid w:val="00695CA5"/>
    <w:rsid w:val="00695D16"/>
    <w:rsid w:val="00695E46"/>
    <w:rsid w:val="00695EAA"/>
    <w:rsid w:val="00695FC7"/>
    <w:rsid w:val="00696012"/>
    <w:rsid w:val="0069621E"/>
    <w:rsid w:val="00696578"/>
    <w:rsid w:val="006967C8"/>
    <w:rsid w:val="006967E7"/>
    <w:rsid w:val="00696829"/>
    <w:rsid w:val="00696F8E"/>
    <w:rsid w:val="00697024"/>
    <w:rsid w:val="00697596"/>
    <w:rsid w:val="0069788B"/>
    <w:rsid w:val="00697AAD"/>
    <w:rsid w:val="00697BDE"/>
    <w:rsid w:val="00697C16"/>
    <w:rsid w:val="00697E79"/>
    <w:rsid w:val="006A021A"/>
    <w:rsid w:val="006A0229"/>
    <w:rsid w:val="006A059D"/>
    <w:rsid w:val="006A0CD1"/>
    <w:rsid w:val="006A0F1B"/>
    <w:rsid w:val="006A0FD8"/>
    <w:rsid w:val="006A10D4"/>
    <w:rsid w:val="006A1168"/>
    <w:rsid w:val="006A11EB"/>
    <w:rsid w:val="006A12F5"/>
    <w:rsid w:val="006A1364"/>
    <w:rsid w:val="006A158E"/>
    <w:rsid w:val="006A1599"/>
    <w:rsid w:val="006A167B"/>
    <w:rsid w:val="006A1694"/>
    <w:rsid w:val="006A1776"/>
    <w:rsid w:val="006A18D7"/>
    <w:rsid w:val="006A1902"/>
    <w:rsid w:val="006A1939"/>
    <w:rsid w:val="006A21C8"/>
    <w:rsid w:val="006A21F0"/>
    <w:rsid w:val="006A21F7"/>
    <w:rsid w:val="006A2214"/>
    <w:rsid w:val="006A2256"/>
    <w:rsid w:val="006A226F"/>
    <w:rsid w:val="006A23C1"/>
    <w:rsid w:val="006A246A"/>
    <w:rsid w:val="006A25DB"/>
    <w:rsid w:val="006A2829"/>
    <w:rsid w:val="006A28FF"/>
    <w:rsid w:val="006A2A2B"/>
    <w:rsid w:val="006A2A9B"/>
    <w:rsid w:val="006A2CBD"/>
    <w:rsid w:val="006A2DD9"/>
    <w:rsid w:val="006A3145"/>
    <w:rsid w:val="006A323E"/>
    <w:rsid w:val="006A32B4"/>
    <w:rsid w:val="006A33D1"/>
    <w:rsid w:val="006A37DC"/>
    <w:rsid w:val="006A3871"/>
    <w:rsid w:val="006A3989"/>
    <w:rsid w:val="006A3AB5"/>
    <w:rsid w:val="006A3F24"/>
    <w:rsid w:val="006A40F7"/>
    <w:rsid w:val="006A413C"/>
    <w:rsid w:val="006A4167"/>
    <w:rsid w:val="006A431E"/>
    <w:rsid w:val="006A46C0"/>
    <w:rsid w:val="006A4942"/>
    <w:rsid w:val="006A4980"/>
    <w:rsid w:val="006A4B1B"/>
    <w:rsid w:val="006A4BA5"/>
    <w:rsid w:val="006A515B"/>
    <w:rsid w:val="006A51D1"/>
    <w:rsid w:val="006A52BB"/>
    <w:rsid w:val="006A53D4"/>
    <w:rsid w:val="006A54B9"/>
    <w:rsid w:val="006A5C26"/>
    <w:rsid w:val="006A5D64"/>
    <w:rsid w:val="006A5EFF"/>
    <w:rsid w:val="006A5F98"/>
    <w:rsid w:val="006A60FC"/>
    <w:rsid w:val="006A61C5"/>
    <w:rsid w:val="006A63EA"/>
    <w:rsid w:val="006A646D"/>
    <w:rsid w:val="006A67AB"/>
    <w:rsid w:val="006A6A2D"/>
    <w:rsid w:val="006A6A80"/>
    <w:rsid w:val="006A6B08"/>
    <w:rsid w:val="006A6DF3"/>
    <w:rsid w:val="006A6F45"/>
    <w:rsid w:val="006A6F64"/>
    <w:rsid w:val="006A6FA4"/>
    <w:rsid w:val="006A71E5"/>
    <w:rsid w:val="006A72DC"/>
    <w:rsid w:val="006A764B"/>
    <w:rsid w:val="006A77AB"/>
    <w:rsid w:val="006A77E6"/>
    <w:rsid w:val="006A77F1"/>
    <w:rsid w:val="006A7B7E"/>
    <w:rsid w:val="006A7BDB"/>
    <w:rsid w:val="006B0352"/>
    <w:rsid w:val="006B04BD"/>
    <w:rsid w:val="006B0698"/>
    <w:rsid w:val="006B07B2"/>
    <w:rsid w:val="006B0AE1"/>
    <w:rsid w:val="006B0E93"/>
    <w:rsid w:val="006B14C4"/>
    <w:rsid w:val="006B1926"/>
    <w:rsid w:val="006B1E85"/>
    <w:rsid w:val="006B1F76"/>
    <w:rsid w:val="006B1F7B"/>
    <w:rsid w:val="006B250C"/>
    <w:rsid w:val="006B263A"/>
    <w:rsid w:val="006B2728"/>
    <w:rsid w:val="006B29B6"/>
    <w:rsid w:val="006B29C8"/>
    <w:rsid w:val="006B2C33"/>
    <w:rsid w:val="006B2CAE"/>
    <w:rsid w:val="006B2ECA"/>
    <w:rsid w:val="006B2F20"/>
    <w:rsid w:val="006B383F"/>
    <w:rsid w:val="006B3850"/>
    <w:rsid w:val="006B3942"/>
    <w:rsid w:val="006B3954"/>
    <w:rsid w:val="006B4006"/>
    <w:rsid w:val="006B4126"/>
    <w:rsid w:val="006B4237"/>
    <w:rsid w:val="006B4276"/>
    <w:rsid w:val="006B4532"/>
    <w:rsid w:val="006B4E76"/>
    <w:rsid w:val="006B5063"/>
    <w:rsid w:val="006B5192"/>
    <w:rsid w:val="006B5281"/>
    <w:rsid w:val="006B53F2"/>
    <w:rsid w:val="006B543C"/>
    <w:rsid w:val="006B57F6"/>
    <w:rsid w:val="006B5E3F"/>
    <w:rsid w:val="006B5F7B"/>
    <w:rsid w:val="006B609A"/>
    <w:rsid w:val="006B64A3"/>
    <w:rsid w:val="006B64D3"/>
    <w:rsid w:val="006B6913"/>
    <w:rsid w:val="006B6A04"/>
    <w:rsid w:val="006B6AEB"/>
    <w:rsid w:val="006B6D3B"/>
    <w:rsid w:val="006B6EBF"/>
    <w:rsid w:val="006B7107"/>
    <w:rsid w:val="006B7225"/>
    <w:rsid w:val="006B7347"/>
    <w:rsid w:val="006B74E2"/>
    <w:rsid w:val="006B78AF"/>
    <w:rsid w:val="006B7A9B"/>
    <w:rsid w:val="006B7C2E"/>
    <w:rsid w:val="006B7F78"/>
    <w:rsid w:val="006C01DB"/>
    <w:rsid w:val="006C021F"/>
    <w:rsid w:val="006C0479"/>
    <w:rsid w:val="006C055C"/>
    <w:rsid w:val="006C05A6"/>
    <w:rsid w:val="006C05C2"/>
    <w:rsid w:val="006C08CB"/>
    <w:rsid w:val="006C0FEB"/>
    <w:rsid w:val="006C10E1"/>
    <w:rsid w:val="006C1113"/>
    <w:rsid w:val="006C1216"/>
    <w:rsid w:val="006C127D"/>
    <w:rsid w:val="006C1340"/>
    <w:rsid w:val="006C165F"/>
    <w:rsid w:val="006C17A4"/>
    <w:rsid w:val="006C1929"/>
    <w:rsid w:val="006C1AC9"/>
    <w:rsid w:val="006C1B29"/>
    <w:rsid w:val="006C1BDD"/>
    <w:rsid w:val="006C1E5B"/>
    <w:rsid w:val="006C1F13"/>
    <w:rsid w:val="006C1FCF"/>
    <w:rsid w:val="006C1FE7"/>
    <w:rsid w:val="006C2030"/>
    <w:rsid w:val="006C223C"/>
    <w:rsid w:val="006C23AB"/>
    <w:rsid w:val="006C2615"/>
    <w:rsid w:val="006C278B"/>
    <w:rsid w:val="006C2B46"/>
    <w:rsid w:val="006C2DED"/>
    <w:rsid w:val="006C3214"/>
    <w:rsid w:val="006C3224"/>
    <w:rsid w:val="006C34B9"/>
    <w:rsid w:val="006C3661"/>
    <w:rsid w:val="006C390D"/>
    <w:rsid w:val="006C3A27"/>
    <w:rsid w:val="006C3B5F"/>
    <w:rsid w:val="006C3B6D"/>
    <w:rsid w:val="006C3D5A"/>
    <w:rsid w:val="006C3E15"/>
    <w:rsid w:val="006C3EE6"/>
    <w:rsid w:val="006C3F41"/>
    <w:rsid w:val="006C4136"/>
    <w:rsid w:val="006C415C"/>
    <w:rsid w:val="006C4166"/>
    <w:rsid w:val="006C42C9"/>
    <w:rsid w:val="006C4360"/>
    <w:rsid w:val="006C45F4"/>
    <w:rsid w:val="006C4847"/>
    <w:rsid w:val="006C48BC"/>
    <w:rsid w:val="006C49D1"/>
    <w:rsid w:val="006C4A4C"/>
    <w:rsid w:val="006C4BEB"/>
    <w:rsid w:val="006C4CA4"/>
    <w:rsid w:val="006C5038"/>
    <w:rsid w:val="006C5064"/>
    <w:rsid w:val="006C5148"/>
    <w:rsid w:val="006C55ED"/>
    <w:rsid w:val="006C560E"/>
    <w:rsid w:val="006C563B"/>
    <w:rsid w:val="006C5C83"/>
    <w:rsid w:val="006C5CFE"/>
    <w:rsid w:val="006C5DD8"/>
    <w:rsid w:val="006C5F29"/>
    <w:rsid w:val="006C61AD"/>
    <w:rsid w:val="006C6218"/>
    <w:rsid w:val="006C671C"/>
    <w:rsid w:val="006C67D7"/>
    <w:rsid w:val="006C6C65"/>
    <w:rsid w:val="006C6F0C"/>
    <w:rsid w:val="006C700F"/>
    <w:rsid w:val="006C7075"/>
    <w:rsid w:val="006C7234"/>
    <w:rsid w:val="006C7467"/>
    <w:rsid w:val="006C75F7"/>
    <w:rsid w:val="006C77DA"/>
    <w:rsid w:val="006C7883"/>
    <w:rsid w:val="006C7A4F"/>
    <w:rsid w:val="006C7A78"/>
    <w:rsid w:val="006C7BE7"/>
    <w:rsid w:val="006C7C1E"/>
    <w:rsid w:val="006C7FF1"/>
    <w:rsid w:val="006D002C"/>
    <w:rsid w:val="006D023B"/>
    <w:rsid w:val="006D037E"/>
    <w:rsid w:val="006D0395"/>
    <w:rsid w:val="006D06AF"/>
    <w:rsid w:val="006D06B6"/>
    <w:rsid w:val="006D0777"/>
    <w:rsid w:val="006D0813"/>
    <w:rsid w:val="006D09B1"/>
    <w:rsid w:val="006D0D06"/>
    <w:rsid w:val="006D0D15"/>
    <w:rsid w:val="006D0FB1"/>
    <w:rsid w:val="006D0FBB"/>
    <w:rsid w:val="006D1089"/>
    <w:rsid w:val="006D11AF"/>
    <w:rsid w:val="006D11F3"/>
    <w:rsid w:val="006D12C8"/>
    <w:rsid w:val="006D1564"/>
    <w:rsid w:val="006D16AA"/>
    <w:rsid w:val="006D194D"/>
    <w:rsid w:val="006D19FB"/>
    <w:rsid w:val="006D1A1B"/>
    <w:rsid w:val="006D1C74"/>
    <w:rsid w:val="006D1C7C"/>
    <w:rsid w:val="006D1DB4"/>
    <w:rsid w:val="006D226A"/>
    <w:rsid w:val="006D23F7"/>
    <w:rsid w:val="006D242A"/>
    <w:rsid w:val="006D2596"/>
    <w:rsid w:val="006D2853"/>
    <w:rsid w:val="006D28B3"/>
    <w:rsid w:val="006D2BB8"/>
    <w:rsid w:val="006D2DFF"/>
    <w:rsid w:val="006D3226"/>
    <w:rsid w:val="006D35E8"/>
    <w:rsid w:val="006D3680"/>
    <w:rsid w:val="006D3897"/>
    <w:rsid w:val="006D3934"/>
    <w:rsid w:val="006D3941"/>
    <w:rsid w:val="006D3CC2"/>
    <w:rsid w:val="006D3FC9"/>
    <w:rsid w:val="006D4383"/>
    <w:rsid w:val="006D44FA"/>
    <w:rsid w:val="006D45F9"/>
    <w:rsid w:val="006D473C"/>
    <w:rsid w:val="006D4BC7"/>
    <w:rsid w:val="006D4E02"/>
    <w:rsid w:val="006D500A"/>
    <w:rsid w:val="006D5217"/>
    <w:rsid w:val="006D541B"/>
    <w:rsid w:val="006D55B4"/>
    <w:rsid w:val="006D585C"/>
    <w:rsid w:val="006D5B98"/>
    <w:rsid w:val="006D5BAE"/>
    <w:rsid w:val="006D5C79"/>
    <w:rsid w:val="006D5DED"/>
    <w:rsid w:val="006D5E48"/>
    <w:rsid w:val="006D5E66"/>
    <w:rsid w:val="006D5E6F"/>
    <w:rsid w:val="006D60D7"/>
    <w:rsid w:val="006D6362"/>
    <w:rsid w:val="006D66CB"/>
    <w:rsid w:val="006D6772"/>
    <w:rsid w:val="006D6784"/>
    <w:rsid w:val="006D69CF"/>
    <w:rsid w:val="006D6AAB"/>
    <w:rsid w:val="006D6E0F"/>
    <w:rsid w:val="006D6EC9"/>
    <w:rsid w:val="006D6F23"/>
    <w:rsid w:val="006D7016"/>
    <w:rsid w:val="006D7115"/>
    <w:rsid w:val="006D7329"/>
    <w:rsid w:val="006D73AD"/>
    <w:rsid w:val="006D7584"/>
    <w:rsid w:val="006D785E"/>
    <w:rsid w:val="006D7884"/>
    <w:rsid w:val="006D7B32"/>
    <w:rsid w:val="006D7BC4"/>
    <w:rsid w:val="006D7ED0"/>
    <w:rsid w:val="006D7EED"/>
    <w:rsid w:val="006E0383"/>
    <w:rsid w:val="006E0583"/>
    <w:rsid w:val="006E069F"/>
    <w:rsid w:val="006E0B9E"/>
    <w:rsid w:val="006E0C64"/>
    <w:rsid w:val="006E124F"/>
    <w:rsid w:val="006E14EA"/>
    <w:rsid w:val="006E15FA"/>
    <w:rsid w:val="006E17AA"/>
    <w:rsid w:val="006E1B7E"/>
    <w:rsid w:val="006E1D42"/>
    <w:rsid w:val="006E1DFE"/>
    <w:rsid w:val="006E2059"/>
    <w:rsid w:val="006E2093"/>
    <w:rsid w:val="006E20F5"/>
    <w:rsid w:val="006E241C"/>
    <w:rsid w:val="006E264C"/>
    <w:rsid w:val="006E2956"/>
    <w:rsid w:val="006E2A8E"/>
    <w:rsid w:val="006E2B72"/>
    <w:rsid w:val="006E2C08"/>
    <w:rsid w:val="006E2E27"/>
    <w:rsid w:val="006E3150"/>
    <w:rsid w:val="006E318D"/>
    <w:rsid w:val="006E321F"/>
    <w:rsid w:val="006E3461"/>
    <w:rsid w:val="006E37B3"/>
    <w:rsid w:val="006E38DB"/>
    <w:rsid w:val="006E38F2"/>
    <w:rsid w:val="006E3997"/>
    <w:rsid w:val="006E3B97"/>
    <w:rsid w:val="006E3BEA"/>
    <w:rsid w:val="006E3CC2"/>
    <w:rsid w:val="006E3D70"/>
    <w:rsid w:val="006E404B"/>
    <w:rsid w:val="006E4419"/>
    <w:rsid w:val="006E4897"/>
    <w:rsid w:val="006E4B41"/>
    <w:rsid w:val="006E4BE4"/>
    <w:rsid w:val="006E5156"/>
    <w:rsid w:val="006E518C"/>
    <w:rsid w:val="006E5223"/>
    <w:rsid w:val="006E52EB"/>
    <w:rsid w:val="006E5373"/>
    <w:rsid w:val="006E5617"/>
    <w:rsid w:val="006E564E"/>
    <w:rsid w:val="006E5AA0"/>
    <w:rsid w:val="006E5D8A"/>
    <w:rsid w:val="006E5DEE"/>
    <w:rsid w:val="006E5E37"/>
    <w:rsid w:val="006E5EBE"/>
    <w:rsid w:val="006E615B"/>
    <w:rsid w:val="006E626A"/>
    <w:rsid w:val="006E63F3"/>
    <w:rsid w:val="006E65CB"/>
    <w:rsid w:val="006E65F3"/>
    <w:rsid w:val="006E6A55"/>
    <w:rsid w:val="006E6BCD"/>
    <w:rsid w:val="006E708C"/>
    <w:rsid w:val="006E73CB"/>
    <w:rsid w:val="006E7555"/>
    <w:rsid w:val="006E77F9"/>
    <w:rsid w:val="006E7C53"/>
    <w:rsid w:val="006E7D58"/>
    <w:rsid w:val="006E7FCE"/>
    <w:rsid w:val="006F027F"/>
    <w:rsid w:val="006F048C"/>
    <w:rsid w:val="006F0C34"/>
    <w:rsid w:val="006F0D6A"/>
    <w:rsid w:val="006F0DC8"/>
    <w:rsid w:val="006F0E4F"/>
    <w:rsid w:val="006F0EA3"/>
    <w:rsid w:val="006F1057"/>
    <w:rsid w:val="006F108B"/>
    <w:rsid w:val="006F12FD"/>
    <w:rsid w:val="006F140E"/>
    <w:rsid w:val="006F1816"/>
    <w:rsid w:val="006F183F"/>
    <w:rsid w:val="006F18D4"/>
    <w:rsid w:val="006F1F49"/>
    <w:rsid w:val="006F2026"/>
    <w:rsid w:val="006F22AD"/>
    <w:rsid w:val="006F231D"/>
    <w:rsid w:val="006F2369"/>
    <w:rsid w:val="006F257A"/>
    <w:rsid w:val="006F2ACC"/>
    <w:rsid w:val="006F31B2"/>
    <w:rsid w:val="006F321A"/>
    <w:rsid w:val="006F359F"/>
    <w:rsid w:val="006F3643"/>
    <w:rsid w:val="006F37B1"/>
    <w:rsid w:val="006F3957"/>
    <w:rsid w:val="006F3BE9"/>
    <w:rsid w:val="006F3C53"/>
    <w:rsid w:val="006F3D49"/>
    <w:rsid w:val="006F3FBC"/>
    <w:rsid w:val="006F40E1"/>
    <w:rsid w:val="006F43B3"/>
    <w:rsid w:val="006F43B9"/>
    <w:rsid w:val="006F46F9"/>
    <w:rsid w:val="006F4B04"/>
    <w:rsid w:val="006F4C24"/>
    <w:rsid w:val="006F4EE2"/>
    <w:rsid w:val="006F4EE8"/>
    <w:rsid w:val="006F4F29"/>
    <w:rsid w:val="006F52B5"/>
    <w:rsid w:val="006F5327"/>
    <w:rsid w:val="006F532C"/>
    <w:rsid w:val="006F5578"/>
    <w:rsid w:val="006F55B5"/>
    <w:rsid w:val="006F5649"/>
    <w:rsid w:val="006F56BA"/>
    <w:rsid w:val="006F5AB4"/>
    <w:rsid w:val="006F5D64"/>
    <w:rsid w:val="006F5DC2"/>
    <w:rsid w:val="006F5EA5"/>
    <w:rsid w:val="006F5EAB"/>
    <w:rsid w:val="006F7169"/>
    <w:rsid w:val="006F727F"/>
    <w:rsid w:val="006F7351"/>
    <w:rsid w:val="006F7533"/>
    <w:rsid w:val="006F78A0"/>
    <w:rsid w:val="006F7A28"/>
    <w:rsid w:val="007004AE"/>
    <w:rsid w:val="0070062C"/>
    <w:rsid w:val="007009E1"/>
    <w:rsid w:val="00700A77"/>
    <w:rsid w:val="00700B4A"/>
    <w:rsid w:val="00700DCE"/>
    <w:rsid w:val="00700DFD"/>
    <w:rsid w:val="0070113B"/>
    <w:rsid w:val="00701221"/>
    <w:rsid w:val="0070131B"/>
    <w:rsid w:val="00701656"/>
    <w:rsid w:val="0070198F"/>
    <w:rsid w:val="007019A1"/>
    <w:rsid w:val="00701CBF"/>
    <w:rsid w:val="0070203B"/>
    <w:rsid w:val="00702048"/>
    <w:rsid w:val="0070259D"/>
    <w:rsid w:val="007027D2"/>
    <w:rsid w:val="007027E6"/>
    <w:rsid w:val="00702825"/>
    <w:rsid w:val="00702918"/>
    <w:rsid w:val="00702AA6"/>
    <w:rsid w:val="00702C39"/>
    <w:rsid w:val="00702DDE"/>
    <w:rsid w:val="00702E72"/>
    <w:rsid w:val="00703193"/>
    <w:rsid w:val="007031A8"/>
    <w:rsid w:val="007035E2"/>
    <w:rsid w:val="00703845"/>
    <w:rsid w:val="00703881"/>
    <w:rsid w:val="007038AA"/>
    <w:rsid w:val="00703A2C"/>
    <w:rsid w:val="00703F68"/>
    <w:rsid w:val="00703F7E"/>
    <w:rsid w:val="00704142"/>
    <w:rsid w:val="00704294"/>
    <w:rsid w:val="00704342"/>
    <w:rsid w:val="00704381"/>
    <w:rsid w:val="00704646"/>
    <w:rsid w:val="00704754"/>
    <w:rsid w:val="007047E1"/>
    <w:rsid w:val="00704902"/>
    <w:rsid w:val="00704A70"/>
    <w:rsid w:val="00704F2F"/>
    <w:rsid w:val="00704F94"/>
    <w:rsid w:val="00705111"/>
    <w:rsid w:val="007051B0"/>
    <w:rsid w:val="007051FB"/>
    <w:rsid w:val="00705241"/>
    <w:rsid w:val="00705279"/>
    <w:rsid w:val="0070575E"/>
    <w:rsid w:val="0070582B"/>
    <w:rsid w:val="007058D8"/>
    <w:rsid w:val="007058E5"/>
    <w:rsid w:val="007058E7"/>
    <w:rsid w:val="00705A71"/>
    <w:rsid w:val="00705CFD"/>
    <w:rsid w:val="00705D36"/>
    <w:rsid w:val="00705F1F"/>
    <w:rsid w:val="0070605C"/>
    <w:rsid w:val="0070646C"/>
    <w:rsid w:val="00706824"/>
    <w:rsid w:val="00706AE4"/>
    <w:rsid w:val="00706B34"/>
    <w:rsid w:val="00706BD8"/>
    <w:rsid w:val="00706E53"/>
    <w:rsid w:val="00706FCA"/>
    <w:rsid w:val="007070C1"/>
    <w:rsid w:val="0070722A"/>
    <w:rsid w:val="0070735B"/>
    <w:rsid w:val="00707464"/>
    <w:rsid w:val="007076CF"/>
    <w:rsid w:val="007076E0"/>
    <w:rsid w:val="0070783D"/>
    <w:rsid w:val="00707AFD"/>
    <w:rsid w:val="00707F2C"/>
    <w:rsid w:val="007102DA"/>
    <w:rsid w:val="00710735"/>
    <w:rsid w:val="007107AF"/>
    <w:rsid w:val="0071090A"/>
    <w:rsid w:val="00710959"/>
    <w:rsid w:val="00710E7E"/>
    <w:rsid w:val="00710EF4"/>
    <w:rsid w:val="00710EFE"/>
    <w:rsid w:val="00710F51"/>
    <w:rsid w:val="00711308"/>
    <w:rsid w:val="00711449"/>
    <w:rsid w:val="00711771"/>
    <w:rsid w:val="00711932"/>
    <w:rsid w:val="00711AC0"/>
    <w:rsid w:val="00711C38"/>
    <w:rsid w:val="00712057"/>
    <w:rsid w:val="00712179"/>
    <w:rsid w:val="007121A5"/>
    <w:rsid w:val="007121F0"/>
    <w:rsid w:val="00712339"/>
    <w:rsid w:val="00712674"/>
    <w:rsid w:val="00712772"/>
    <w:rsid w:val="007127BF"/>
    <w:rsid w:val="00712DA5"/>
    <w:rsid w:val="00712EBD"/>
    <w:rsid w:val="00712F0F"/>
    <w:rsid w:val="007130F9"/>
    <w:rsid w:val="007131FE"/>
    <w:rsid w:val="00713387"/>
    <w:rsid w:val="0071343C"/>
    <w:rsid w:val="00713B4D"/>
    <w:rsid w:val="00713F21"/>
    <w:rsid w:val="0071403C"/>
    <w:rsid w:val="00714272"/>
    <w:rsid w:val="007143F9"/>
    <w:rsid w:val="00714543"/>
    <w:rsid w:val="0071480C"/>
    <w:rsid w:val="007149E1"/>
    <w:rsid w:val="00714A63"/>
    <w:rsid w:val="00714C4F"/>
    <w:rsid w:val="007150AE"/>
    <w:rsid w:val="007150EC"/>
    <w:rsid w:val="00715426"/>
    <w:rsid w:val="00715762"/>
    <w:rsid w:val="00715846"/>
    <w:rsid w:val="00715C71"/>
    <w:rsid w:val="00716050"/>
    <w:rsid w:val="0071612A"/>
    <w:rsid w:val="0071630E"/>
    <w:rsid w:val="007163F4"/>
    <w:rsid w:val="00716693"/>
    <w:rsid w:val="007167A3"/>
    <w:rsid w:val="007167AD"/>
    <w:rsid w:val="0071685D"/>
    <w:rsid w:val="0071695C"/>
    <w:rsid w:val="00716B39"/>
    <w:rsid w:val="00716B51"/>
    <w:rsid w:val="00716C12"/>
    <w:rsid w:val="00716D1A"/>
    <w:rsid w:val="00717035"/>
    <w:rsid w:val="00717103"/>
    <w:rsid w:val="00717238"/>
    <w:rsid w:val="007172E2"/>
    <w:rsid w:val="00717494"/>
    <w:rsid w:val="007174F3"/>
    <w:rsid w:val="0071750C"/>
    <w:rsid w:val="007178BE"/>
    <w:rsid w:val="007179D4"/>
    <w:rsid w:val="00717AF1"/>
    <w:rsid w:val="00717BD6"/>
    <w:rsid w:val="00717BFF"/>
    <w:rsid w:val="00720111"/>
    <w:rsid w:val="00720518"/>
    <w:rsid w:val="0072064E"/>
    <w:rsid w:val="007206E3"/>
    <w:rsid w:val="00720ABD"/>
    <w:rsid w:val="00720C1E"/>
    <w:rsid w:val="00720EAD"/>
    <w:rsid w:val="00721313"/>
    <w:rsid w:val="007214F9"/>
    <w:rsid w:val="00721565"/>
    <w:rsid w:val="007215D0"/>
    <w:rsid w:val="00721B0C"/>
    <w:rsid w:val="00721B13"/>
    <w:rsid w:val="00721BB6"/>
    <w:rsid w:val="00721E1D"/>
    <w:rsid w:val="00721E82"/>
    <w:rsid w:val="00721E8E"/>
    <w:rsid w:val="00721EC1"/>
    <w:rsid w:val="00722369"/>
    <w:rsid w:val="00722534"/>
    <w:rsid w:val="007229D6"/>
    <w:rsid w:val="00722BE1"/>
    <w:rsid w:val="00722CA2"/>
    <w:rsid w:val="00722F38"/>
    <w:rsid w:val="00723308"/>
    <w:rsid w:val="00723572"/>
    <w:rsid w:val="00723590"/>
    <w:rsid w:val="00723824"/>
    <w:rsid w:val="00723890"/>
    <w:rsid w:val="0072393B"/>
    <w:rsid w:val="00723BE5"/>
    <w:rsid w:val="00723D12"/>
    <w:rsid w:val="00723F5C"/>
    <w:rsid w:val="007240BB"/>
    <w:rsid w:val="007243D8"/>
    <w:rsid w:val="007243DB"/>
    <w:rsid w:val="00724489"/>
    <w:rsid w:val="007248F8"/>
    <w:rsid w:val="00724EBD"/>
    <w:rsid w:val="00724EE6"/>
    <w:rsid w:val="00725092"/>
    <w:rsid w:val="00725116"/>
    <w:rsid w:val="00725146"/>
    <w:rsid w:val="00725173"/>
    <w:rsid w:val="00725408"/>
    <w:rsid w:val="00725432"/>
    <w:rsid w:val="007257CA"/>
    <w:rsid w:val="00725941"/>
    <w:rsid w:val="00725CB8"/>
    <w:rsid w:val="00725D37"/>
    <w:rsid w:val="00725DC1"/>
    <w:rsid w:val="00726083"/>
    <w:rsid w:val="007263B4"/>
    <w:rsid w:val="00726567"/>
    <w:rsid w:val="007265D8"/>
    <w:rsid w:val="007267F0"/>
    <w:rsid w:val="0072696E"/>
    <w:rsid w:val="0072698E"/>
    <w:rsid w:val="00726A5F"/>
    <w:rsid w:val="00726D55"/>
    <w:rsid w:val="007270FD"/>
    <w:rsid w:val="0072719B"/>
    <w:rsid w:val="007272FB"/>
    <w:rsid w:val="00727482"/>
    <w:rsid w:val="007275C8"/>
    <w:rsid w:val="007276D4"/>
    <w:rsid w:val="00727811"/>
    <w:rsid w:val="00727AE7"/>
    <w:rsid w:val="00727EC0"/>
    <w:rsid w:val="00727FD2"/>
    <w:rsid w:val="00730079"/>
    <w:rsid w:val="0073025B"/>
    <w:rsid w:val="00730397"/>
    <w:rsid w:val="007303A5"/>
    <w:rsid w:val="007307EC"/>
    <w:rsid w:val="007308C9"/>
    <w:rsid w:val="007308E9"/>
    <w:rsid w:val="00730AE9"/>
    <w:rsid w:val="00730BE6"/>
    <w:rsid w:val="00730FEE"/>
    <w:rsid w:val="00731219"/>
    <w:rsid w:val="00731583"/>
    <w:rsid w:val="00731A13"/>
    <w:rsid w:val="00731ACC"/>
    <w:rsid w:val="00731B6F"/>
    <w:rsid w:val="00731B81"/>
    <w:rsid w:val="00731CE1"/>
    <w:rsid w:val="00731ECA"/>
    <w:rsid w:val="00732000"/>
    <w:rsid w:val="00732126"/>
    <w:rsid w:val="007321A8"/>
    <w:rsid w:val="007322E5"/>
    <w:rsid w:val="0073248E"/>
    <w:rsid w:val="007324E4"/>
    <w:rsid w:val="007327BD"/>
    <w:rsid w:val="007327F3"/>
    <w:rsid w:val="00732B8F"/>
    <w:rsid w:val="00732BCA"/>
    <w:rsid w:val="00732CF0"/>
    <w:rsid w:val="00732FD7"/>
    <w:rsid w:val="00733224"/>
    <w:rsid w:val="00733301"/>
    <w:rsid w:val="007334EC"/>
    <w:rsid w:val="00733525"/>
    <w:rsid w:val="00733583"/>
    <w:rsid w:val="00733699"/>
    <w:rsid w:val="00733AF4"/>
    <w:rsid w:val="00733BA1"/>
    <w:rsid w:val="00733C0D"/>
    <w:rsid w:val="00733C34"/>
    <w:rsid w:val="00733C98"/>
    <w:rsid w:val="00733E54"/>
    <w:rsid w:val="0073416F"/>
    <w:rsid w:val="00734383"/>
    <w:rsid w:val="00734442"/>
    <w:rsid w:val="00734492"/>
    <w:rsid w:val="007345E5"/>
    <w:rsid w:val="007349AF"/>
    <w:rsid w:val="00734A54"/>
    <w:rsid w:val="00734C4C"/>
    <w:rsid w:val="00734CC3"/>
    <w:rsid w:val="00734EEC"/>
    <w:rsid w:val="0073511F"/>
    <w:rsid w:val="0073569D"/>
    <w:rsid w:val="007358E7"/>
    <w:rsid w:val="00735D1C"/>
    <w:rsid w:val="00735D99"/>
    <w:rsid w:val="0073641B"/>
    <w:rsid w:val="00736BA2"/>
    <w:rsid w:val="00736BFA"/>
    <w:rsid w:val="007370C1"/>
    <w:rsid w:val="00737429"/>
    <w:rsid w:val="007375CE"/>
    <w:rsid w:val="0073797B"/>
    <w:rsid w:val="00737AE3"/>
    <w:rsid w:val="00737C6F"/>
    <w:rsid w:val="00737CBA"/>
    <w:rsid w:val="00737D7A"/>
    <w:rsid w:val="00737E3D"/>
    <w:rsid w:val="00737E41"/>
    <w:rsid w:val="00737EDF"/>
    <w:rsid w:val="00737F01"/>
    <w:rsid w:val="007400B0"/>
    <w:rsid w:val="00740259"/>
    <w:rsid w:val="0074028B"/>
    <w:rsid w:val="007402BF"/>
    <w:rsid w:val="00740322"/>
    <w:rsid w:val="007405A7"/>
    <w:rsid w:val="0074078A"/>
    <w:rsid w:val="007407CB"/>
    <w:rsid w:val="0074087C"/>
    <w:rsid w:val="00740A9C"/>
    <w:rsid w:val="00740B0F"/>
    <w:rsid w:val="00740C3E"/>
    <w:rsid w:val="00740E28"/>
    <w:rsid w:val="00741108"/>
    <w:rsid w:val="007411B1"/>
    <w:rsid w:val="007411B2"/>
    <w:rsid w:val="00741255"/>
    <w:rsid w:val="0074128D"/>
    <w:rsid w:val="0074146C"/>
    <w:rsid w:val="00741474"/>
    <w:rsid w:val="00741509"/>
    <w:rsid w:val="0074194C"/>
    <w:rsid w:val="00741B33"/>
    <w:rsid w:val="00741ECF"/>
    <w:rsid w:val="007421C4"/>
    <w:rsid w:val="0074246A"/>
    <w:rsid w:val="007426C3"/>
    <w:rsid w:val="007429AF"/>
    <w:rsid w:val="007429FE"/>
    <w:rsid w:val="00742C53"/>
    <w:rsid w:val="00742C94"/>
    <w:rsid w:val="007432DB"/>
    <w:rsid w:val="00743392"/>
    <w:rsid w:val="00743755"/>
    <w:rsid w:val="00743805"/>
    <w:rsid w:val="007439BE"/>
    <w:rsid w:val="00743CE1"/>
    <w:rsid w:val="00743E74"/>
    <w:rsid w:val="00743E8D"/>
    <w:rsid w:val="00743F91"/>
    <w:rsid w:val="00744124"/>
    <w:rsid w:val="00744190"/>
    <w:rsid w:val="0074424D"/>
    <w:rsid w:val="007442E4"/>
    <w:rsid w:val="0074491C"/>
    <w:rsid w:val="00744A74"/>
    <w:rsid w:val="00744BF3"/>
    <w:rsid w:val="00744C3D"/>
    <w:rsid w:val="007450F5"/>
    <w:rsid w:val="0074534D"/>
    <w:rsid w:val="00745647"/>
    <w:rsid w:val="00745708"/>
    <w:rsid w:val="00745CE7"/>
    <w:rsid w:val="00745D88"/>
    <w:rsid w:val="00746262"/>
    <w:rsid w:val="007464DA"/>
    <w:rsid w:val="0074692D"/>
    <w:rsid w:val="007469BD"/>
    <w:rsid w:val="00746A06"/>
    <w:rsid w:val="00746DF1"/>
    <w:rsid w:val="007470BF"/>
    <w:rsid w:val="007470DF"/>
    <w:rsid w:val="00747140"/>
    <w:rsid w:val="00747204"/>
    <w:rsid w:val="00747442"/>
    <w:rsid w:val="007477DE"/>
    <w:rsid w:val="00747894"/>
    <w:rsid w:val="00747A46"/>
    <w:rsid w:val="00747B1A"/>
    <w:rsid w:val="00747FAB"/>
    <w:rsid w:val="0075028F"/>
    <w:rsid w:val="0075061D"/>
    <w:rsid w:val="00750691"/>
    <w:rsid w:val="007506D7"/>
    <w:rsid w:val="00750823"/>
    <w:rsid w:val="00750B17"/>
    <w:rsid w:val="0075112F"/>
    <w:rsid w:val="0075124B"/>
    <w:rsid w:val="007513A3"/>
    <w:rsid w:val="0075171B"/>
    <w:rsid w:val="00751A24"/>
    <w:rsid w:val="00751C04"/>
    <w:rsid w:val="00751C3C"/>
    <w:rsid w:val="00752149"/>
    <w:rsid w:val="007525FD"/>
    <w:rsid w:val="007526F3"/>
    <w:rsid w:val="00752C1F"/>
    <w:rsid w:val="00752D78"/>
    <w:rsid w:val="00752E66"/>
    <w:rsid w:val="0075301C"/>
    <w:rsid w:val="00753023"/>
    <w:rsid w:val="00753398"/>
    <w:rsid w:val="00753A0A"/>
    <w:rsid w:val="00753A80"/>
    <w:rsid w:val="00753D04"/>
    <w:rsid w:val="00753DC0"/>
    <w:rsid w:val="00754294"/>
    <w:rsid w:val="00754299"/>
    <w:rsid w:val="0075435D"/>
    <w:rsid w:val="0075449E"/>
    <w:rsid w:val="00754AB9"/>
    <w:rsid w:val="00754DA3"/>
    <w:rsid w:val="00754E15"/>
    <w:rsid w:val="0075504E"/>
    <w:rsid w:val="007551A4"/>
    <w:rsid w:val="007551CF"/>
    <w:rsid w:val="0075523E"/>
    <w:rsid w:val="007552A1"/>
    <w:rsid w:val="00755347"/>
    <w:rsid w:val="00755348"/>
    <w:rsid w:val="00755529"/>
    <w:rsid w:val="007555DD"/>
    <w:rsid w:val="007558E2"/>
    <w:rsid w:val="00755A6D"/>
    <w:rsid w:val="00755AA8"/>
    <w:rsid w:val="00755C5D"/>
    <w:rsid w:val="00755F44"/>
    <w:rsid w:val="00755FA8"/>
    <w:rsid w:val="007562B8"/>
    <w:rsid w:val="007562C5"/>
    <w:rsid w:val="0075638D"/>
    <w:rsid w:val="007564CA"/>
    <w:rsid w:val="00756666"/>
    <w:rsid w:val="007567DA"/>
    <w:rsid w:val="00756A58"/>
    <w:rsid w:val="00756E4F"/>
    <w:rsid w:val="0075706D"/>
    <w:rsid w:val="007570B2"/>
    <w:rsid w:val="007570C9"/>
    <w:rsid w:val="007571AC"/>
    <w:rsid w:val="00757882"/>
    <w:rsid w:val="00757AE0"/>
    <w:rsid w:val="00757EBD"/>
    <w:rsid w:val="00757F90"/>
    <w:rsid w:val="00760030"/>
    <w:rsid w:val="00760080"/>
    <w:rsid w:val="0076013F"/>
    <w:rsid w:val="0076029B"/>
    <w:rsid w:val="007604E4"/>
    <w:rsid w:val="0076140B"/>
    <w:rsid w:val="00761507"/>
    <w:rsid w:val="007616AD"/>
    <w:rsid w:val="0076182C"/>
    <w:rsid w:val="00761A28"/>
    <w:rsid w:val="00761BC2"/>
    <w:rsid w:val="00761DF3"/>
    <w:rsid w:val="00762194"/>
    <w:rsid w:val="007621C1"/>
    <w:rsid w:val="00762640"/>
    <w:rsid w:val="00762742"/>
    <w:rsid w:val="00762822"/>
    <w:rsid w:val="00762961"/>
    <w:rsid w:val="00762A38"/>
    <w:rsid w:val="00762E9D"/>
    <w:rsid w:val="00763402"/>
    <w:rsid w:val="00763730"/>
    <w:rsid w:val="00763760"/>
    <w:rsid w:val="00763851"/>
    <w:rsid w:val="007638A1"/>
    <w:rsid w:val="00763984"/>
    <w:rsid w:val="00763B03"/>
    <w:rsid w:val="00763CD8"/>
    <w:rsid w:val="0076418B"/>
    <w:rsid w:val="007641F0"/>
    <w:rsid w:val="00764450"/>
    <w:rsid w:val="00764597"/>
    <w:rsid w:val="007649AE"/>
    <w:rsid w:val="00764CF6"/>
    <w:rsid w:val="00764F97"/>
    <w:rsid w:val="00765346"/>
    <w:rsid w:val="0076540A"/>
    <w:rsid w:val="00765563"/>
    <w:rsid w:val="00765BC3"/>
    <w:rsid w:val="00765C52"/>
    <w:rsid w:val="0076601F"/>
    <w:rsid w:val="007661F9"/>
    <w:rsid w:val="007668E1"/>
    <w:rsid w:val="00766FEE"/>
    <w:rsid w:val="007672A3"/>
    <w:rsid w:val="007672F1"/>
    <w:rsid w:val="0076769F"/>
    <w:rsid w:val="00767879"/>
    <w:rsid w:val="00767976"/>
    <w:rsid w:val="00767AE0"/>
    <w:rsid w:val="00767E10"/>
    <w:rsid w:val="00767F8C"/>
    <w:rsid w:val="0077029B"/>
    <w:rsid w:val="007702CE"/>
    <w:rsid w:val="007705BC"/>
    <w:rsid w:val="00770738"/>
    <w:rsid w:val="007708D0"/>
    <w:rsid w:val="00770BE1"/>
    <w:rsid w:val="00770D90"/>
    <w:rsid w:val="00771249"/>
    <w:rsid w:val="007716DC"/>
    <w:rsid w:val="00771914"/>
    <w:rsid w:val="007719A2"/>
    <w:rsid w:val="007719DC"/>
    <w:rsid w:val="00771A50"/>
    <w:rsid w:val="00771AE2"/>
    <w:rsid w:val="00771CF5"/>
    <w:rsid w:val="00771CFD"/>
    <w:rsid w:val="00771E38"/>
    <w:rsid w:val="00771F21"/>
    <w:rsid w:val="00772134"/>
    <w:rsid w:val="00772138"/>
    <w:rsid w:val="007721ED"/>
    <w:rsid w:val="00772201"/>
    <w:rsid w:val="0077220E"/>
    <w:rsid w:val="0077237C"/>
    <w:rsid w:val="0077246F"/>
    <w:rsid w:val="0077267A"/>
    <w:rsid w:val="00772929"/>
    <w:rsid w:val="00772BD1"/>
    <w:rsid w:val="00772F97"/>
    <w:rsid w:val="00772FAF"/>
    <w:rsid w:val="00772FCF"/>
    <w:rsid w:val="007730A2"/>
    <w:rsid w:val="0077332F"/>
    <w:rsid w:val="007733D1"/>
    <w:rsid w:val="0077344A"/>
    <w:rsid w:val="007736D8"/>
    <w:rsid w:val="00773992"/>
    <w:rsid w:val="00773A99"/>
    <w:rsid w:val="00773D0F"/>
    <w:rsid w:val="00773E1E"/>
    <w:rsid w:val="00773E82"/>
    <w:rsid w:val="00773EB0"/>
    <w:rsid w:val="00773F54"/>
    <w:rsid w:val="00773FB8"/>
    <w:rsid w:val="007741C9"/>
    <w:rsid w:val="00774318"/>
    <w:rsid w:val="007743A0"/>
    <w:rsid w:val="007743A9"/>
    <w:rsid w:val="00774419"/>
    <w:rsid w:val="00774599"/>
    <w:rsid w:val="00774869"/>
    <w:rsid w:val="00774983"/>
    <w:rsid w:val="00774A03"/>
    <w:rsid w:val="00774A17"/>
    <w:rsid w:val="00774B98"/>
    <w:rsid w:val="00774D1C"/>
    <w:rsid w:val="00774EFB"/>
    <w:rsid w:val="00774F2F"/>
    <w:rsid w:val="00775268"/>
    <w:rsid w:val="0077531F"/>
    <w:rsid w:val="007757BB"/>
    <w:rsid w:val="00775841"/>
    <w:rsid w:val="0077590A"/>
    <w:rsid w:val="00775AA5"/>
    <w:rsid w:val="00775B46"/>
    <w:rsid w:val="00775C6A"/>
    <w:rsid w:val="00775D3D"/>
    <w:rsid w:val="00775D5B"/>
    <w:rsid w:val="00775E4B"/>
    <w:rsid w:val="0077603E"/>
    <w:rsid w:val="007761B0"/>
    <w:rsid w:val="007762F1"/>
    <w:rsid w:val="0077639F"/>
    <w:rsid w:val="007763DD"/>
    <w:rsid w:val="00776499"/>
    <w:rsid w:val="007764BA"/>
    <w:rsid w:val="00776579"/>
    <w:rsid w:val="007767C3"/>
    <w:rsid w:val="007768AF"/>
    <w:rsid w:val="007768F0"/>
    <w:rsid w:val="00776CDC"/>
    <w:rsid w:val="00776EA6"/>
    <w:rsid w:val="00777058"/>
    <w:rsid w:val="007775FE"/>
    <w:rsid w:val="0077774A"/>
    <w:rsid w:val="00777A5C"/>
    <w:rsid w:val="00777EFC"/>
    <w:rsid w:val="00780157"/>
    <w:rsid w:val="00780171"/>
    <w:rsid w:val="00780198"/>
    <w:rsid w:val="0078120D"/>
    <w:rsid w:val="0078124B"/>
    <w:rsid w:val="0078159B"/>
    <w:rsid w:val="00781676"/>
    <w:rsid w:val="00781735"/>
    <w:rsid w:val="00781745"/>
    <w:rsid w:val="00781989"/>
    <w:rsid w:val="007819A2"/>
    <w:rsid w:val="00781A10"/>
    <w:rsid w:val="00781B3E"/>
    <w:rsid w:val="00781E3C"/>
    <w:rsid w:val="007821FD"/>
    <w:rsid w:val="007823DB"/>
    <w:rsid w:val="00782451"/>
    <w:rsid w:val="007825D3"/>
    <w:rsid w:val="007825E1"/>
    <w:rsid w:val="00782BDF"/>
    <w:rsid w:val="00782CF1"/>
    <w:rsid w:val="00782CF2"/>
    <w:rsid w:val="00782ED5"/>
    <w:rsid w:val="00782FAA"/>
    <w:rsid w:val="007839A7"/>
    <w:rsid w:val="00783AEE"/>
    <w:rsid w:val="00783DA6"/>
    <w:rsid w:val="00783F51"/>
    <w:rsid w:val="00784413"/>
    <w:rsid w:val="007846C6"/>
    <w:rsid w:val="007847DC"/>
    <w:rsid w:val="0078498D"/>
    <w:rsid w:val="00784A53"/>
    <w:rsid w:val="00784B11"/>
    <w:rsid w:val="00784B65"/>
    <w:rsid w:val="00784BE4"/>
    <w:rsid w:val="00784C06"/>
    <w:rsid w:val="00784E32"/>
    <w:rsid w:val="00784FC6"/>
    <w:rsid w:val="00785420"/>
    <w:rsid w:val="00785531"/>
    <w:rsid w:val="00785582"/>
    <w:rsid w:val="007855DA"/>
    <w:rsid w:val="0078575A"/>
    <w:rsid w:val="0078592A"/>
    <w:rsid w:val="00785A1F"/>
    <w:rsid w:val="00785AB3"/>
    <w:rsid w:val="00785BA7"/>
    <w:rsid w:val="00785CBC"/>
    <w:rsid w:val="00785CC6"/>
    <w:rsid w:val="00785EE0"/>
    <w:rsid w:val="00785EE7"/>
    <w:rsid w:val="007860A6"/>
    <w:rsid w:val="007860E3"/>
    <w:rsid w:val="00786152"/>
    <w:rsid w:val="00786185"/>
    <w:rsid w:val="00786221"/>
    <w:rsid w:val="0078628B"/>
    <w:rsid w:val="007867CD"/>
    <w:rsid w:val="00786810"/>
    <w:rsid w:val="0078697F"/>
    <w:rsid w:val="007869FA"/>
    <w:rsid w:val="00786A1C"/>
    <w:rsid w:val="007870E4"/>
    <w:rsid w:val="007871B2"/>
    <w:rsid w:val="007872DA"/>
    <w:rsid w:val="00787327"/>
    <w:rsid w:val="007874D9"/>
    <w:rsid w:val="00787795"/>
    <w:rsid w:val="007879B7"/>
    <w:rsid w:val="00787A04"/>
    <w:rsid w:val="00787E0C"/>
    <w:rsid w:val="007905AB"/>
    <w:rsid w:val="007907A8"/>
    <w:rsid w:val="00790B53"/>
    <w:rsid w:val="00790F9B"/>
    <w:rsid w:val="00791230"/>
    <w:rsid w:val="007913E7"/>
    <w:rsid w:val="007915E5"/>
    <w:rsid w:val="00791799"/>
    <w:rsid w:val="00791803"/>
    <w:rsid w:val="007918A6"/>
    <w:rsid w:val="00791B42"/>
    <w:rsid w:val="00791C62"/>
    <w:rsid w:val="00791C79"/>
    <w:rsid w:val="00791CB7"/>
    <w:rsid w:val="00791D84"/>
    <w:rsid w:val="00791EA6"/>
    <w:rsid w:val="00791F84"/>
    <w:rsid w:val="00791FEC"/>
    <w:rsid w:val="0079204B"/>
    <w:rsid w:val="0079260B"/>
    <w:rsid w:val="00792A0C"/>
    <w:rsid w:val="00792C74"/>
    <w:rsid w:val="00792CAB"/>
    <w:rsid w:val="00792DE8"/>
    <w:rsid w:val="00792E41"/>
    <w:rsid w:val="00792E6C"/>
    <w:rsid w:val="007935B0"/>
    <w:rsid w:val="007935B1"/>
    <w:rsid w:val="0079376D"/>
    <w:rsid w:val="007938DF"/>
    <w:rsid w:val="00793987"/>
    <w:rsid w:val="00793AA5"/>
    <w:rsid w:val="00793CBB"/>
    <w:rsid w:val="00793E52"/>
    <w:rsid w:val="00793E93"/>
    <w:rsid w:val="00793F3E"/>
    <w:rsid w:val="00793F5E"/>
    <w:rsid w:val="00793FB5"/>
    <w:rsid w:val="0079404D"/>
    <w:rsid w:val="007944FB"/>
    <w:rsid w:val="0079465B"/>
    <w:rsid w:val="007947E3"/>
    <w:rsid w:val="00794CF0"/>
    <w:rsid w:val="00794DF1"/>
    <w:rsid w:val="00794E96"/>
    <w:rsid w:val="00794FED"/>
    <w:rsid w:val="00794FEF"/>
    <w:rsid w:val="007950F1"/>
    <w:rsid w:val="0079536B"/>
    <w:rsid w:val="0079544C"/>
    <w:rsid w:val="007955BF"/>
    <w:rsid w:val="007957FF"/>
    <w:rsid w:val="00795AAE"/>
    <w:rsid w:val="00795AD4"/>
    <w:rsid w:val="00795CA7"/>
    <w:rsid w:val="00795CC4"/>
    <w:rsid w:val="00795CD9"/>
    <w:rsid w:val="00795F78"/>
    <w:rsid w:val="00796362"/>
    <w:rsid w:val="00796458"/>
    <w:rsid w:val="0079653A"/>
    <w:rsid w:val="007968CC"/>
    <w:rsid w:val="00796AB5"/>
    <w:rsid w:val="00796BB3"/>
    <w:rsid w:val="00796CD7"/>
    <w:rsid w:val="00796DEA"/>
    <w:rsid w:val="00796F2B"/>
    <w:rsid w:val="00797020"/>
    <w:rsid w:val="007970F8"/>
    <w:rsid w:val="007974DE"/>
    <w:rsid w:val="007976D4"/>
    <w:rsid w:val="007976EA"/>
    <w:rsid w:val="007977EA"/>
    <w:rsid w:val="00797A06"/>
    <w:rsid w:val="00797BBA"/>
    <w:rsid w:val="00797D49"/>
    <w:rsid w:val="007A0128"/>
    <w:rsid w:val="007A0164"/>
    <w:rsid w:val="007A01EE"/>
    <w:rsid w:val="007A021A"/>
    <w:rsid w:val="007A0640"/>
    <w:rsid w:val="007A0706"/>
    <w:rsid w:val="007A07D3"/>
    <w:rsid w:val="007A0C3A"/>
    <w:rsid w:val="007A0C3B"/>
    <w:rsid w:val="007A0E52"/>
    <w:rsid w:val="007A0F22"/>
    <w:rsid w:val="007A153E"/>
    <w:rsid w:val="007A1557"/>
    <w:rsid w:val="007A190A"/>
    <w:rsid w:val="007A191C"/>
    <w:rsid w:val="007A19A2"/>
    <w:rsid w:val="007A1AF7"/>
    <w:rsid w:val="007A1B4C"/>
    <w:rsid w:val="007A242F"/>
    <w:rsid w:val="007A26B4"/>
    <w:rsid w:val="007A2856"/>
    <w:rsid w:val="007A29E0"/>
    <w:rsid w:val="007A2D55"/>
    <w:rsid w:val="007A2DE2"/>
    <w:rsid w:val="007A306A"/>
    <w:rsid w:val="007A30B5"/>
    <w:rsid w:val="007A3218"/>
    <w:rsid w:val="007A32B7"/>
    <w:rsid w:val="007A33A1"/>
    <w:rsid w:val="007A39BD"/>
    <w:rsid w:val="007A3CB1"/>
    <w:rsid w:val="007A3F44"/>
    <w:rsid w:val="007A4195"/>
    <w:rsid w:val="007A42BF"/>
    <w:rsid w:val="007A44E2"/>
    <w:rsid w:val="007A472E"/>
    <w:rsid w:val="007A47AB"/>
    <w:rsid w:val="007A497B"/>
    <w:rsid w:val="007A5472"/>
    <w:rsid w:val="007A57DC"/>
    <w:rsid w:val="007A5928"/>
    <w:rsid w:val="007A5B8D"/>
    <w:rsid w:val="007A5C1E"/>
    <w:rsid w:val="007A5C68"/>
    <w:rsid w:val="007A604F"/>
    <w:rsid w:val="007A6595"/>
    <w:rsid w:val="007A7026"/>
    <w:rsid w:val="007A7145"/>
    <w:rsid w:val="007A71E7"/>
    <w:rsid w:val="007A748E"/>
    <w:rsid w:val="007A7A70"/>
    <w:rsid w:val="007A7B6D"/>
    <w:rsid w:val="007A7B7E"/>
    <w:rsid w:val="007A7BD6"/>
    <w:rsid w:val="007A7CF7"/>
    <w:rsid w:val="007A7D07"/>
    <w:rsid w:val="007B0046"/>
    <w:rsid w:val="007B01F3"/>
    <w:rsid w:val="007B027B"/>
    <w:rsid w:val="007B02DE"/>
    <w:rsid w:val="007B049F"/>
    <w:rsid w:val="007B0753"/>
    <w:rsid w:val="007B0852"/>
    <w:rsid w:val="007B08C8"/>
    <w:rsid w:val="007B0B2F"/>
    <w:rsid w:val="007B0D99"/>
    <w:rsid w:val="007B0F30"/>
    <w:rsid w:val="007B101F"/>
    <w:rsid w:val="007B104A"/>
    <w:rsid w:val="007B108B"/>
    <w:rsid w:val="007B133F"/>
    <w:rsid w:val="007B140F"/>
    <w:rsid w:val="007B1D58"/>
    <w:rsid w:val="007B1F39"/>
    <w:rsid w:val="007B1F90"/>
    <w:rsid w:val="007B2102"/>
    <w:rsid w:val="007B2400"/>
    <w:rsid w:val="007B2418"/>
    <w:rsid w:val="007B273A"/>
    <w:rsid w:val="007B2839"/>
    <w:rsid w:val="007B2A57"/>
    <w:rsid w:val="007B32E0"/>
    <w:rsid w:val="007B3428"/>
    <w:rsid w:val="007B3472"/>
    <w:rsid w:val="007B35D4"/>
    <w:rsid w:val="007B3B35"/>
    <w:rsid w:val="007B3F26"/>
    <w:rsid w:val="007B40E9"/>
    <w:rsid w:val="007B4273"/>
    <w:rsid w:val="007B446D"/>
    <w:rsid w:val="007B45FF"/>
    <w:rsid w:val="007B4667"/>
    <w:rsid w:val="007B4844"/>
    <w:rsid w:val="007B488F"/>
    <w:rsid w:val="007B4A40"/>
    <w:rsid w:val="007B4BAE"/>
    <w:rsid w:val="007B4C66"/>
    <w:rsid w:val="007B4E9C"/>
    <w:rsid w:val="007B51CD"/>
    <w:rsid w:val="007B51EA"/>
    <w:rsid w:val="007B59EC"/>
    <w:rsid w:val="007B5B3C"/>
    <w:rsid w:val="007B5B5F"/>
    <w:rsid w:val="007B5BF2"/>
    <w:rsid w:val="007B5E69"/>
    <w:rsid w:val="007B65D8"/>
    <w:rsid w:val="007B670A"/>
    <w:rsid w:val="007B678B"/>
    <w:rsid w:val="007B6791"/>
    <w:rsid w:val="007B6B06"/>
    <w:rsid w:val="007B6B9D"/>
    <w:rsid w:val="007B73A5"/>
    <w:rsid w:val="007B744C"/>
    <w:rsid w:val="007B7460"/>
    <w:rsid w:val="007B7497"/>
    <w:rsid w:val="007B7667"/>
    <w:rsid w:val="007B7747"/>
    <w:rsid w:val="007B7899"/>
    <w:rsid w:val="007B796F"/>
    <w:rsid w:val="007B7A18"/>
    <w:rsid w:val="007B7DE6"/>
    <w:rsid w:val="007B7E87"/>
    <w:rsid w:val="007B7ECF"/>
    <w:rsid w:val="007B7F09"/>
    <w:rsid w:val="007C02BF"/>
    <w:rsid w:val="007C034C"/>
    <w:rsid w:val="007C04CE"/>
    <w:rsid w:val="007C04E6"/>
    <w:rsid w:val="007C0560"/>
    <w:rsid w:val="007C0E48"/>
    <w:rsid w:val="007C0F40"/>
    <w:rsid w:val="007C0F54"/>
    <w:rsid w:val="007C0F88"/>
    <w:rsid w:val="007C0FA6"/>
    <w:rsid w:val="007C13A4"/>
    <w:rsid w:val="007C13C3"/>
    <w:rsid w:val="007C1415"/>
    <w:rsid w:val="007C14E5"/>
    <w:rsid w:val="007C15EA"/>
    <w:rsid w:val="007C1608"/>
    <w:rsid w:val="007C187D"/>
    <w:rsid w:val="007C1894"/>
    <w:rsid w:val="007C19B4"/>
    <w:rsid w:val="007C1C11"/>
    <w:rsid w:val="007C1E04"/>
    <w:rsid w:val="007C201F"/>
    <w:rsid w:val="007C2358"/>
    <w:rsid w:val="007C2510"/>
    <w:rsid w:val="007C2609"/>
    <w:rsid w:val="007C26F0"/>
    <w:rsid w:val="007C27DA"/>
    <w:rsid w:val="007C2ABB"/>
    <w:rsid w:val="007C2B6D"/>
    <w:rsid w:val="007C2C82"/>
    <w:rsid w:val="007C3436"/>
    <w:rsid w:val="007C347C"/>
    <w:rsid w:val="007C3528"/>
    <w:rsid w:val="007C3735"/>
    <w:rsid w:val="007C398E"/>
    <w:rsid w:val="007C3A13"/>
    <w:rsid w:val="007C3B6B"/>
    <w:rsid w:val="007C3C63"/>
    <w:rsid w:val="007C3C85"/>
    <w:rsid w:val="007C3E77"/>
    <w:rsid w:val="007C4135"/>
    <w:rsid w:val="007C42A9"/>
    <w:rsid w:val="007C4695"/>
    <w:rsid w:val="007C470E"/>
    <w:rsid w:val="007C47EC"/>
    <w:rsid w:val="007C4A30"/>
    <w:rsid w:val="007C4AA4"/>
    <w:rsid w:val="007C4EEE"/>
    <w:rsid w:val="007C4F18"/>
    <w:rsid w:val="007C4FAD"/>
    <w:rsid w:val="007C50F4"/>
    <w:rsid w:val="007C518A"/>
    <w:rsid w:val="007C52B3"/>
    <w:rsid w:val="007C5346"/>
    <w:rsid w:val="007C5445"/>
    <w:rsid w:val="007C54E2"/>
    <w:rsid w:val="007C5554"/>
    <w:rsid w:val="007C5583"/>
    <w:rsid w:val="007C5A2F"/>
    <w:rsid w:val="007C5BB4"/>
    <w:rsid w:val="007C5E13"/>
    <w:rsid w:val="007C6018"/>
    <w:rsid w:val="007C61A3"/>
    <w:rsid w:val="007C654A"/>
    <w:rsid w:val="007C65D3"/>
    <w:rsid w:val="007C66DC"/>
    <w:rsid w:val="007C6722"/>
    <w:rsid w:val="007C6897"/>
    <w:rsid w:val="007C695F"/>
    <w:rsid w:val="007C6A26"/>
    <w:rsid w:val="007C6E5A"/>
    <w:rsid w:val="007C70E4"/>
    <w:rsid w:val="007C713A"/>
    <w:rsid w:val="007C7430"/>
    <w:rsid w:val="007C750A"/>
    <w:rsid w:val="007C75F0"/>
    <w:rsid w:val="007C768C"/>
    <w:rsid w:val="007C77B2"/>
    <w:rsid w:val="007C7AFB"/>
    <w:rsid w:val="007C7B6E"/>
    <w:rsid w:val="007C7C8C"/>
    <w:rsid w:val="007C7EE0"/>
    <w:rsid w:val="007D01A6"/>
    <w:rsid w:val="007D0469"/>
    <w:rsid w:val="007D0A97"/>
    <w:rsid w:val="007D0E9A"/>
    <w:rsid w:val="007D17A8"/>
    <w:rsid w:val="007D20F8"/>
    <w:rsid w:val="007D214A"/>
    <w:rsid w:val="007D255F"/>
    <w:rsid w:val="007D2593"/>
    <w:rsid w:val="007D2A46"/>
    <w:rsid w:val="007D2AE6"/>
    <w:rsid w:val="007D2AED"/>
    <w:rsid w:val="007D2BEC"/>
    <w:rsid w:val="007D2D9F"/>
    <w:rsid w:val="007D2E52"/>
    <w:rsid w:val="007D30F3"/>
    <w:rsid w:val="007D33CA"/>
    <w:rsid w:val="007D366F"/>
    <w:rsid w:val="007D36A4"/>
    <w:rsid w:val="007D36AF"/>
    <w:rsid w:val="007D3782"/>
    <w:rsid w:val="007D38D1"/>
    <w:rsid w:val="007D3A3E"/>
    <w:rsid w:val="007D3AE5"/>
    <w:rsid w:val="007D3DB4"/>
    <w:rsid w:val="007D3E54"/>
    <w:rsid w:val="007D3E58"/>
    <w:rsid w:val="007D3E97"/>
    <w:rsid w:val="007D42AE"/>
    <w:rsid w:val="007D42C5"/>
    <w:rsid w:val="007D4309"/>
    <w:rsid w:val="007D4327"/>
    <w:rsid w:val="007D4397"/>
    <w:rsid w:val="007D442D"/>
    <w:rsid w:val="007D47A6"/>
    <w:rsid w:val="007D47A9"/>
    <w:rsid w:val="007D48EE"/>
    <w:rsid w:val="007D4B2C"/>
    <w:rsid w:val="007D4ED7"/>
    <w:rsid w:val="007D5185"/>
    <w:rsid w:val="007D5229"/>
    <w:rsid w:val="007D5331"/>
    <w:rsid w:val="007D5417"/>
    <w:rsid w:val="007D57DC"/>
    <w:rsid w:val="007D5845"/>
    <w:rsid w:val="007D6226"/>
    <w:rsid w:val="007D657E"/>
    <w:rsid w:val="007D6C0B"/>
    <w:rsid w:val="007D6DA0"/>
    <w:rsid w:val="007D6EC0"/>
    <w:rsid w:val="007D71B0"/>
    <w:rsid w:val="007D739B"/>
    <w:rsid w:val="007D754A"/>
    <w:rsid w:val="007D768A"/>
    <w:rsid w:val="007D788C"/>
    <w:rsid w:val="007D7AFC"/>
    <w:rsid w:val="007D7B8F"/>
    <w:rsid w:val="007D7BA3"/>
    <w:rsid w:val="007D7BFD"/>
    <w:rsid w:val="007D7CF4"/>
    <w:rsid w:val="007D7D8C"/>
    <w:rsid w:val="007E0035"/>
    <w:rsid w:val="007E00D8"/>
    <w:rsid w:val="007E027B"/>
    <w:rsid w:val="007E05EB"/>
    <w:rsid w:val="007E0710"/>
    <w:rsid w:val="007E09F4"/>
    <w:rsid w:val="007E0A0C"/>
    <w:rsid w:val="007E0B8F"/>
    <w:rsid w:val="007E0EB1"/>
    <w:rsid w:val="007E0F83"/>
    <w:rsid w:val="007E1516"/>
    <w:rsid w:val="007E15E0"/>
    <w:rsid w:val="007E15E4"/>
    <w:rsid w:val="007E1721"/>
    <w:rsid w:val="007E1AB3"/>
    <w:rsid w:val="007E1CD7"/>
    <w:rsid w:val="007E1D3B"/>
    <w:rsid w:val="007E1D91"/>
    <w:rsid w:val="007E1F66"/>
    <w:rsid w:val="007E1FCF"/>
    <w:rsid w:val="007E210C"/>
    <w:rsid w:val="007E212B"/>
    <w:rsid w:val="007E21D9"/>
    <w:rsid w:val="007E2543"/>
    <w:rsid w:val="007E2656"/>
    <w:rsid w:val="007E26E2"/>
    <w:rsid w:val="007E29EC"/>
    <w:rsid w:val="007E2E38"/>
    <w:rsid w:val="007E3237"/>
    <w:rsid w:val="007E328C"/>
    <w:rsid w:val="007E33C0"/>
    <w:rsid w:val="007E374C"/>
    <w:rsid w:val="007E3B6E"/>
    <w:rsid w:val="007E3CC0"/>
    <w:rsid w:val="007E3D8D"/>
    <w:rsid w:val="007E3F65"/>
    <w:rsid w:val="007E4508"/>
    <w:rsid w:val="007E4749"/>
    <w:rsid w:val="007E4792"/>
    <w:rsid w:val="007E494F"/>
    <w:rsid w:val="007E4967"/>
    <w:rsid w:val="007E4A1D"/>
    <w:rsid w:val="007E4EB5"/>
    <w:rsid w:val="007E4EE2"/>
    <w:rsid w:val="007E5128"/>
    <w:rsid w:val="007E516A"/>
    <w:rsid w:val="007E5446"/>
    <w:rsid w:val="007E5654"/>
    <w:rsid w:val="007E5804"/>
    <w:rsid w:val="007E5836"/>
    <w:rsid w:val="007E587F"/>
    <w:rsid w:val="007E5B92"/>
    <w:rsid w:val="007E5CA0"/>
    <w:rsid w:val="007E5E43"/>
    <w:rsid w:val="007E60D0"/>
    <w:rsid w:val="007E6121"/>
    <w:rsid w:val="007E6890"/>
    <w:rsid w:val="007E6A4B"/>
    <w:rsid w:val="007E6BB1"/>
    <w:rsid w:val="007E6D70"/>
    <w:rsid w:val="007E72BE"/>
    <w:rsid w:val="007E74BF"/>
    <w:rsid w:val="007E74EB"/>
    <w:rsid w:val="007E7F59"/>
    <w:rsid w:val="007F0187"/>
    <w:rsid w:val="007F021E"/>
    <w:rsid w:val="007F0580"/>
    <w:rsid w:val="007F05DC"/>
    <w:rsid w:val="007F0720"/>
    <w:rsid w:val="007F07C3"/>
    <w:rsid w:val="007F0956"/>
    <w:rsid w:val="007F0ADB"/>
    <w:rsid w:val="007F0C3F"/>
    <w:rsid w:val="007F0C55"/>
    <w:rsid w:val="007F0D46"/>
    <w:rsid w:val="007F0E24"/>
    <w:rsid w:val="007F0FEC"/>
    <w:rsid w:val="007F106A"/>
    <w:rsid w:val="007F12C4"/>
    <w:rsid w:val="007F12F7"/>
    <w:rsid w:val="007F131C"/>
    <w:rsid w:val="007F1748"/>
    <w:rsid w:val="007F183A"/>
    <w:rsid w:val="007F1847"/>
    <w:rsid w:val="007F198F"/>
    <w:rsid w:val="007F19C1"/>
    <w:rsid w:val="007F1ADB"/>
    <w:rsid w:val="007F1CAB"/>
    <w:rsid w:val="007F1E08"/>
    <w:rsid w:val="007F1E0F"/>
    <w:rsid w:val="007F1FFD"/>
    <w:rsid w:val="007F2083"/>
    <w:rsid w:val="007F21AB"/>
    <w:rsid w:val="007F2489"/>
    <w:rsid w:val="007F2502"/>
    <w:rsid w:val="007F253C"/>
    <w:rsid w:val="007F294B"/>
    <w:rsid w:val="007F31C0"/>
    <w:rsid w:val="007F331D"/>
    <w:rsid w:val="007F33D4"/>
    <w:rsid w:val="007F361F"/>
    <w:rsid w:val="007F37CE"/>
    <w:rsid w:val="007F3AB9"/>
    <w:rsid w:val="007F3C67"/>
    <w:rsid w:val="007F3EF5"/>
    <w:rsid w:val="007F4655"/>
    <w:rsid w:val="007F46B1"/>
    <w:rsid w:val="007F4885"/>
    <w:rsid w:val="007F48D6"/>
    <w:rsid w:val="007F4A7B"/>
    <w:rsid w:val="007F4C14"/>
    <w:rsid w:val="007F4C46"/>
    <w:rsid w:val="007F4D54"/>
    <w:rsid w:val="007F50F2"/>
    <w:rsid w:val="007F518F"/>
    <w:rsid w:val="007F523A"/>
    <w:rsid w:val="007F534B"/>
    <w:rsid w:val="007F5505"/>
    <w:rsid w:val="007F5551"/>
    <w:rsid w:val="007F557B"/>
    <w:rsid w:val="007F55C1"/>
    <w:rsid w:val="007F55F9"/>
    <w:rsid w:val="007F569F"/>
    <w:rsid w:val="007F56C4"/>
    <w:rsid w:val="007F57E2"/>
    <w:rsid w:val="007F5C1D"/>
    <w:rsid w:val="007F5C5C"/>
    <w:rsid w:val="007F5E0E"/>
    <w:rsid w:val="007F5E2E"/>
    <w:rsid w:val="007F5F90"/>
    <w:rsid w:val="007F5FF8"/>
    <w:rsid w:val="007F6248"/>
    <w:rsid w:val="007F62CC"/>
    <w:rsid w:val="007F6363"/>
    <w:rsid w:val="007F668E"/>
    <w:rsid w:val="007F6693"/>
    <w:rsid w:val="007F66DE"/>
    <w:rsid w:val="007F670C"/>
    <w:rsid w:val="007F6712"/>
    <w:rsid w:val="007F6747"/>
    <w:rsid w:val="007F6821"/>
    <w:rsid w:val="007F69A7"/>
    <w:rsid w:val="007F6BB5"/>
    <w:rsid w:val="007F70BE"/>
    <w:rsid w:val="007F7150"/>
    <w:rsid w:val="007F72D0"/>
    <w:rsid w:val="007F7672"/>
    <w:rsid w:val="007F77CD"/>
    <w:rsid w:val="007F781A"/>
    <w:rsid w:val="007F78D0"/>
    <w:rsid w:val="007F7906"/>
    <w:rsid w:val="007F7B12"/>
    <w:rsid w:val="007F7D44"/>
    <w:rsid w:val="00800207"/>
    <w:rsid w:val="00800221"/>
    <w:rsid w:val="0080035E"/>
    <w:rsid w:val="00800557"/>
    <w:rsid w:val="00800654"/>
    <w:rsid w:val="00800B40"/>
    <w:rsid w:val="00800F95"/>
    <w:rsid w:val="00800F99"/>
    <w:rsid w:val="00800FC8"/>
    <w:rsid w:val="008010C7"/>
    <w:rsid w:val="008012A5"/>
    <w:rsid w:val="008016D0"/>
    <w:rsid w:val="0080174E"/>
    <w:rsid w:val="00801767"/>
    <w:rsid w:val="00801967"/>
    <w:rsid w:val="0080203F"/>
    <w:rsid w:val="0080218B"/>
    <w:rsid w:val="00802292"/>
    <w:rsid w:val="008023DB"/>
    <w:rsid w:val="008024F2"/>
    <w:rsid w:val="008026F6"/>
    <w:rsid w:val="00802709"/>
    <w:rsid w:val="008029BB"/>
    <w:rsid w:val="00802A94"/>
    <w:rsid w:val="00802B1B"/>
    <w:rsid w:val="00802B8D"/>
    <w:rsid w:val="00802FFF"/>
    <w:rsid w:val="00803092"/>
    <w:rsid w:val="00803365"/>
    <w:rsid w:val="00803549"/>
    <w:rsid w:val="00803597"/>
    <w:rsid w:val="008035DE"/>
    <w:rsid w:val="0080371C"/>
    <w:rsid w:val="008038BA"/>
    <w:rsid w:val="00803BC9"/>
    <w:rsid w:val="00803D27"/>
    <w:rsid w:val="008045FF"/>
    <w:rsid w:val="0080463A"/>
    <w:rsid w:val="00804798"/>
    <w:rsid w:val="008047A4"/>
    <w:rsid w:val="00804AB9"/>
    <w:rsid w:val="00804C33"/>
    <w:rsid w:val="00804C36"/>
    <w:rsid w:val="00804D68"/>
    <w:rsid w:val="00804E49"/>
    <w:rsid w:val="00804F53"/>
    <w:rsid w:val="00804F54"/>
    <w:rsid w:val="00805108"/>
    <w:rsid w:val="0080514C"/>
    <w:rsid w:val="008052EB"/>
    <w:rsid w:val="008053EA"/>
    <w:rsid w:val="0080560B"/>
    <w:rsid w:val="00805B23"/>
    <w:rsid w:val="00805BE1"/>
    <w:rsid w:val="00805F62"/>
    <w:rsid w:val="008060F8"/>
    <w:rsid w:val="0080621D"/>
    <w:rsid w:val="008062CD"/>
    <w:rsid w:val="008063B3"/>
    <w:rsid w:val="0080652C"/>
    <w:rsid w:val="00806599"/>
    <w:rsid w:val="008065AC"/>
    <w:rsid w:val="00806C3C"/>
    <w:rsid w:val="00806D22"/>
    <w:rsid w:val="00806EC6"/>
    <w:rsid w:val="00806FC9"/>
    <w:rsid w:val="008071C9"/>
    <w:rsid w:val="00807381"/>
    <w:rsid w:val="0080767E"/>
    <w:rsid w:val="008079EA"/>
    <w:rsid w:val="00807B00"/>
    <w:rsid w:val="00807B42"/>
    <w:rsid w:val="00807C8A"/>
    <w:rsid w:val="00807CD3"/>
    <w:rsid w:val="00807E5D"/>
    <w:rsid w:val="00807EC7"/>
    <w:rsid w:val="00807EF8"/>
    <w:rsid w:val="00810051"/>
    <w:rsid w:val="008100FB"/>
    <w:rsid w:val="008101CF"/>
    <w:rsid w:val="00810231"/>
    <w:rsid w:val="008102FD"/>
    <w:rsid w:val="00810352"/>
    <w:rsid w:val="008106C8"/>
    <w:rsid w:val="00810903"/>
    <w:rsid w:val="00810930"/>
    <w:rsid w:val="00810AD5"/>
    <w:rsid w:val="00810C62"/>
    <w:rsid w:val="00810D55"/>
    <w:rsid w:val="00810EB4"/>
    <w:rsid w:val="00810EFE"/>
    <w:rsid w:val="00810FEB"/>
    <w:rsid w:val="0081100E"/>
    <w:rsid w:val="00811447"/>
    <w:rsid w:val="00811474"/>
    <w:rsid w:val="00811603"/>
    <w:rsid w:val="00811A7B"/>
    <w:rsid w:val="00811B53"/>
    <w:rsid w:val="00811BBC"/>
    <w:rsid w:val="00811BED"/>
    <w:rsid w:val="00811C6B"/>
    <w:rsid w:val="00811C7C"/>
    <w:rsid w:val="00811F47"/>
    <w:rsid w:val="00812028"/>
    <w:rsid w:val="00812267"/>
    <w:rsid w:val="0081268E"/>
    <w:rsid w:val="0081270F"/>
    <w:rsid w:val="00812A68"/>
    <w:rsid w:val="00812AE5"/>
    <w:rsid w:val="00812B0E"/>
    <w:rsid w:val="008130E7"/>
    <w:rsid w:val="00813616"/>
    <w:rsid w:val="0081406F"/>
    <w:rsid w:val="008141AB"/>
    <w:rsid w:val="008142CA"/>
    <w:rsid w:val="008143B2"/>
    <w:rsid w:val="008144DA"/>
    <w:rsid w:val="008144EA"/>
    <w:rsid w:val="00814519"/>
    <w:rsid w:val="00814F9C"/>
    <w:rsid w:val="0081518F"/>
    <w:rsid w:val="008152E0"/>
    <w:rsid w:val="00815394"/>
    <w:rsid w:val="0081539F"/>
    <w:rsid w:val="008156EF"/>
    <w:rsid w:val="008159A1"/>
    <w:rsid w:val="00815A90"/>
    <w:rsid w:val="00815BDB"/>
    <w:rsid w:val="00815D6F"/>
    <w:rsid w:val="008165EF"/>
    <w:rsid w:val="0081670D"/>
    <w:rsid w:val="00816884"/>
    <w:rsid w:val="00816A23"/>
    <w:rsid w:val="00816D20"/>
    <w:rsid w:val="00816DC4"/>
    <w:rsid w:val="00816F64"/>
    <w:rsid w:val="00817184"/>
    <w:rsid w:val="008171B8"/>
    <w:rsid w:val="008173B5"/>
    <w:rsid w:val="0081754A"/>
    <w:rsid w:val="008178D3"/>
    <w:rsid w:val="00817BB8"/>
    <w:rsid w:val="00817C2B"/>
    <w:rsid w:val="00817D08"/>
    <w:rsid w:val="00817E58"/>
    <w:rsid w:val="00817ED4"/>
    <w:rsid w:val="0082008B"/>
    <w:rsid w:val="0082009C"/>
    <w:rsid w:val="008200E0"/>
    <w:rsid w:val="0082024F"/>
    <w:rsid w:val="008207E7"/>
    <w:rsid w:val="00820D7E"/>
    <w:rsid w:val="008210DF"/>
    <w:rsid w:val="0082169B"/>
    <w:rsid w:val="008217AA"/>
    <w:rsid w:val="00821B6C"/>
    <w:rsid w:val="00821DAB"/>
    <w:rsid w:val="00822002"/>
    <w:rsid w:val="0082215F"/>
    <w:rsid w:val="008222BC"/>
    <w:rsid w:val="0082234C"/>
    <w:rsid w:val="008225B1"/>
    <w:rsid w:val="00822746"/>
    <w:rsid w:val="00822D0A"/>
    <w:rsid w:val="008233A1"/>
    <w:rsid w:val="00823478"/>
    <w:rsid w:val="008234A0"/>
    <w:rsid w:val="00823C8E"/>
    <w:rsid w:val="00823EA0"/>
    <w:rsid w:val="00823ECE"/>
    <w:rsid w:val="008240C3"/>
    <w:rsid w:val="00824223"/>
    <w:rsid w:val="00824258"/>
    <w:rsid w:val="008243AB"/>
    <w:rsid w:val="00824488"/>
    <w:rsid w:val="008249A6"/>
    <w:rsid w:val="00824A25"/>
    <w:rsid w:val="00824AAF"/>
    <w:rsid w:val="00824B2C"/>
    <w:rsid w:val="00824C04"/>
    <w:rsid w:val="00824C9F"/>
    <w:rsid w:val="00824CDF"/>
    <w:rsid w:val="00824DF2"/>
    <w:rsid w:val="00824ED7"/>
    <w:rsid w:val="008250C0"/>
    <w:rsid w:val="008252AF"/>
    <w:rsid w:val="008253FE"/>
    <w:rsid w:val="00825428"/>
    <w:rsid w:val="0082586F"/>
    <w:rsid w:val="00825B3B"/>
    <w:rsid w:val="00825BAA"/>
    <w:rsid w:val="00826082"/>
    <w:rsid w:val="0082618D"/>
    <w:rsid w:val="008261C8"/>
    <w:rsid w:val="008262DB"/>
    <w:rsid w:val="00826403"/>
    <w:rsid w:val="00826498"/>
    <w:rsid w:val="00826862"/>
    <w:rsid w:val="00826A6B"/>
    <w:rsid w:val="00826B24"/>
    <w:rsid w:val="00826D4B"/>
    <w:rsid w:val="00826DC3"/>
    <w:rsid w:val="00826E38"/>
    <w:rsid w:val="008270FD"/>
    <w:rsid w:val="008274C5"/>
    <w:rsid w:val="008274F0"/>
    <w:rsid w:val="00827BF3"/>
    <w:rsid w:val="00827C4F"/>
    <w:rsid w:val="00827EB7"/>
    <w:rsid w:val="00827FCE"/>
    <w:rsid w:val="00827FDA"/>
    <w:rsid w:val="008303F0"/>
    <w:rsid w:val="0083056B"/>
    <w:rsid w:val="00830694"/>
    <w:rsid w:val="00830BCF"/>
    <w:rsid w:val="00830C61"/>
    <w:rsid w:val="00830C7B"/>
    <w:rsid w:val="00830DCE"/>
    <w:rsid w:val="008313E4"/>
    <w:rsid w:val="0083190B"/>
    <w:rsid w:val="00831A8B"/>
    <w:rsid w:val="00831AB2"/>
    <w:rsid w:val="00831B4B"/>
    <w:rsid w:val="00831DFD"/>
    <w:rsid w:val="00831E4D"/>
    <w:rsid w:val="00831EC6"/>
    <w:rsid w:val="00832066"/>
    <w:rsid w:val="00832263"/>
    <w:rsid w:val="008323C9"/>
    <w:rsid w:val="00832944"/>
    <w:rsid w:val="00832A6C"/>
    <w:rsid w:val="00832DDD"/>
    <w:rsid w:val="00832EAB"/>
    <w:rsid w:val="00832EE3"/>
    <w:rsid w:val="00832EE6"/>
    <w:rsid w:val="00832F60"/>
    <w:rsid w:val="00832FBA"/>
    <w:rsid w:val="008330E1"/>
    <w:rsid w:val="00833231"/>
    <w:rsid w:val="00833306"/>
    <w:rsid w:val="00833577"/>
    <w:rsid w:val="00833603"/>
    <w:rsid w:val="00833846"/>
    <w:rsid w:val="008339D4"/>
    <w:rsid w:val="00833A94"/>
    <w:rsid w:val="00833FAD"/>
    <w:rsid w:val="00833FD3"/>
    <w:rsid w:val="00834171"/>
    <w:rsid w:val="008341FF"/>
    <w:rsid w:val="00834277"/>
    <w:rsid w:val="008342B4"/>
    <w:rsid w:val="0083438B"/>
    <w:rsid w:val="00834401"/>
    <w:rsid w:val="00834569"/>
    <w:rsid w:val="008345DF"/>
    <w:rsid w:val="008345F4"/>
    <w:rsid w:val="00834721"/>
    <w:rsid w:val="00834799"/>
    <w:rsid w:val="0083494E"/>
    <w:rsid w:val="00834A93"/>
    <w:rsid w:val="00834A98"/>
    <w:rsid w:val="00834D04"/>
    <w:rsid w:val="00834FCA"/>
    <w:rsid w:val="008350CE"/>
    <w:rsid w:val="0083523C"/>
    <w:rsid w:val="0083551F"/>
    <w:rsid w:val="008358A1"/>
    <w:rsid w:val="00835C13"/>
    <w:rsid w:val="00835C25"/>
    <w:rsid w:val="00835CF0"/>
    <w:rsid w:val="00835CF9"/>
    <w:rsid w:val="00835DA7"/>
    <w:rsid w:val="00835E14"/>
    <w:rsid w:val="008361E4"/>
    <w:rsid w:val="008361FB"/>
    <w:rsid w:val="00836564"/>
    <w:rsid w:val="008367CE"/>
    <w:rsid w:val="00836864"/>
    <w:rsid w:val="00836AE5"/>
    <w:rsid w:val="00836AFA"/>
    <w:rsid w:val="00836B91"/>
    <w:rsid w:val="0083722D"/>
    <w:rsid w:val="0083725D"/>
    <w:rsid w:val="008372F5"/>
    <w:rsid w:val="00837680"/>
    <w:rsid w:val="00837806"/>
    <w:rsid w:val="00837A00"/>
    <w:rsid w:val="00837A8E"/>
    <w:rsid w:val="00837C2F"/>
    <w:rsid w:val="00837F1D"/>
    <w:rsid w:val="008400AE"/>
    <w:rsid w:val="008400F2"/>
    <w:rsid w:val="008402B8"/>
    <w:rsid w:val="0084057B"/>
    <w:rsid w:val="008407FE"/>
    <w:rsid w:val="00840B3C"/>
    <w:rsid w:val="00840D25"/>
    <w:rsid w:val="0084116F"/>
    <w:rsid w:val="008413A1"/>
    <w:rsid w:val="0084162C"/>
    <w:rsid w:val="0084174D"/>
    <w:rsid w:val="00841824"/>
    <w:rsid w:val="0084199C"/>
    <w:rsid w:val="00841A95"/>
    <w:rsid w:val="00841B16"/>
    <w:rsid w:val="00841E6A"/>
    <w:rsid w:val="00842071"/>
    <w:rsid w:val="00842207"/>
    <w:rsid w:val="0084248F"/>
    <w:rsid w:val="0084254C"/>
    <w:rsid w:val="008426A6"/>
    <w:rsid w:val="0084270D"/>
    <w:rsid w:val="0084279D"/>
    <w:rsid w:val="0084286E"/>
    <w:rsid w:val="00842BDA"/>
    <w:rsid w:val="00842CA9"/>
    <w:rsid w:val="00842E66"/>
    <w:rsid w:val="00842ECB"/>
    <w:rsid w:val="008432E7"/>
    <w:rsid w:val="00843934"/>
    <w:rsid w:val="00843B91"/>
    <w:rsid w:val="008440A5"/>
    <w:rsid w:val="008440B2"/>
    <w:rsid w:val="00844305"/>
    <w:rsid w:val="008446CF"/>
    <w:rsid w:val="00844A21"/>
    <w:rsid w:val="00844BC4"/>
    <w:rsid w:val="00844C91"/>
    <w:rsid w:val="008451A6"/>
    <w:rsid w:val="0084527D"/>
    <w:rsid w:val="00845311"/>
    <w:rsid w:val="008453FE"/>
    <w:rsid w:val="00845656"/>
    <w:rsid w:val="008456B1"/>
    <w:rsid w:val="0084584F"/>
    <w:rsid w:val="008458BC"/>
    <w:rsid w:val="00845F38"/>
    <w:rsid w:val="008463B6"/>
    <w:rsid w:val="008466A0"/>
    <w:rsid w:val="008466CC"/>
    <w:rsid w:val="00846701"/>
    <w:rsid w:val="008467E9"/>
    <w:rsid w:val="00846812"/>
    <w:rsid w:val="00846822"/>
    <w:rsid w:val="008469A2"/>
    <w:rsid w:val="00846BA3"/>
    <w:rsid w:val="00846C42"/>
    <w:rsid w:val="008470B2"/>
    <w:rsid w:val="00847189"/>
    <w:rsid w:val="008471FB"/>
    <w:rsid w:val="0084794D"/>
    <w:rsid w:val="00847AF3"/>
    <w:rsid w:val="00847FF7"/>
    <w:rsid w:val="00850037"/>
    <w:rsid w:val="008500A7"/>
    <w:rsid w:val="00850211"/>
    <w:rsid w:val="0085030F"/>
    <w:rsid w:val="008503E2"/>
    <w:rsid w:val="00850444"/>
    <w:rsid w:val="0085077B"/>
    <w:rsid w:val="008509BA"/>
    <w:rsid w:val="00850A5E"/>
    <w:rsid w:val="00850C86"/>
    <w:rsid w:val="00850EAF"/>
    <w:rsid w:val="008514BA"/>
    <w:rsid w:val="008514F8"/>
    <w:rsid w:val="00851798"/>
    <w:rsid w:val="00851898"/>
    <w:rsid w:val="00851D04"/>
    <w:rsid w:val="00851F97"/>
    <w:rsid w:val="00851FCC"/>
    <w:rsid w:val="008520E6"/>
    <w:rsid w:val="008525F6"/>
    <w:rsid w:val="0085268A"/>
    <w:rsid w:val="0085293D"/>
    <w:rsid w:val="00852B1D"/>
    <w:rsid w:val="00852C72"/>
    <w:rsid w:val="00853012"/>
    <w:rsid w:val="008530F7"/>
    <w:rsid w:val="008533E8"/>
    <w:rsid w:val="00853812"/>
    <w:rsid w:val="00853906"/>
    <w:rsid w:val="0085395A"/>
    <w:rsid w:val="00853B15"/>
    <w:rsid w:val="00853BE4"/>
    <w:rsid w:val="00853C95"/>
    <w:rsid w:val="00853E5B"/>
    <w:rsid w:val="0085400D"/>
    <w:rsid w:val="008543BF"/>
    <w:rsid w:val="00854647"/>
    <w:rsid w:val="008547F4"/>
    <w:rsid w:val="00854BAA"/>
    <w:rsid w:val="00854E0F"/>
    <w:rsid w:val="008552C3"/>
    <w:rsid w:val="00855532"/>
    <w:rsid w:val="008556D0"/>
    <w:rsid w:val="0085588F"/>
    <w:rsid w:val="00855988"/>
    <w:rsid w:val="00855C73"/>
    <w:rsid w:val="00855DA7"/>
    <w:rsid w:val="008560D3"/>
    <w:rsid w:val="0085629B"/>
    <w:rsid w:val="008562B4"/>
    <w:rsid w:val="008562D4"/>
    <w:rsid w:val="00856317"/>
    <w:rsid w:val="00856460"/>
    <w:rsid w:val="008568E1"/>
    <w:rsid w:val="00856A5D"/>
    <w:rsid w:val="00856ABF"/>
    <w:rsid w:val="00856C61"/>
    <w:rsid w:val="00856E7E"/>
    <w:rsid w:val="00856F38"/>
    <w:rsid w:val="00857016"/>
    <w:rsid w:val="00857577"/>
    <w:rsid w:val="0085772C"/>
    <w:rsid w:val="00857CF8"/>
    <w:rsid w:val="00857DB2"/>
    <w:rsid w:val="00860128"/>
    <w:rsid w:val="0086029A"/>
    <w:rsid w:val="008603A5"/>
    <w:rsid w:val="008605B7"/>
    <w:rsid w:val="008605B9"/>
    <w:rsid w:val="008606C7"/>
    <w:rsid w:val="00860A10"/>
    <w:rsid w:val="00860A52"/>
    <w:rsid w:val="00860CD0"/>
    <w:rsid w:val="00860F36"/>
    <w:rsid w:val="008611A5"/>
    <w:rsid w:val="008612B7"/>
    <w:rsid w:val="00861373"/>
    <w:rsid w:val="00861793"/>
    <w:rsid w:val="00861960"/>
    <w:rsid w:val="00861AD5"/>
    <w:rsid w:val="00861E2E"/>
    <w:rsid w:val="00861E38"/>
    <w:rsid w:val="0086231C"/>
    <w:rsid w:val="0086253D"/>
    <w:rsid w:val="00862761"/>
    <w:rsid w:val="00862845"/>
    <w:rsid w:val="00862931"/>
    <w:rsid w:val="00862995"/>
    <w:rsid w:val="008629C8"/>
    <w:rsid w:val="00862C58"/>
    <w:rsid w:val="008638FF"/>
    <w:rsid w:val="00863A27"/>
    <w:rsid w:val="00863D0A"/>
    <w:rsid w:val="00863F2A"/>
    <w:rsid w:val="008642DD"/>
    <w:rsid w:val="00864302"/>
    <w:rsid w:val="00864378"/>
    <w:rsid w:val="0086444A"/>
    <w:rsid w:val="008648D3"/>
    <w:rsid w:val="00864E18"/>
    <w:rsid w:val="00864EEB"/>
    <w:rsid w:val="00864F61"/>
    <w:rsid w:val="00864F7F"/>
    <w:rsid w:val="008651D8"/>
    <w:rsid w:val="008655AC"/>
    <w:rsid w:val="008656B7"/>
    <w:rsid w:val="00865929"/>
    <w:rsid w:val="00865D2C"/>
    <w:rsid w:val="00865FAD"/>
    <w:rsid w:val="00866072"/>
    <w:rsid w:val="008664E4"/>
    <w:rsid w:val="00866673"/>
    <w:rsid w:val="00866689"/>
    <w:rsid w:val="0086671A"/>
    <w:rsid w:val="00866877"/>
    <w:rsid w:val="00866AA1"/>
    <w:rsid w:val="00866B09"/>
    <w:rsid w:val="00866F07"/>
    <w:rsid w:val="00866F32"/>
    <w:rsid w:val="00867131"/>
    <w:rsid w:val="0086725B"/>
    <w:rsid w:val="008672EE"/>
    <w:rsid w:val="008672FF"/>
    <w:rsid w:val="00867425"/>
    <w:rsid w:val="008675C0"/>
    <w:rsid w:val="0086773A"/>
    <w:rsid w:val="00867775"/>
    <w:rsid w:val="00867A4B"/>
    <w:rsid w:val="00867AE1"/>
    <w:rsid w:val="00867B37"/>
    <w:rsid w:val="00867BCB"/>
    <w:rsid w:val="00867BCF"/>
    <w:rsid w:val="008704C9"/>
    <w:rsid w:val="008707C3"/>
    <w:rsid w:val="008707F4"/>
    <w:rsid w:val="00870A3E"/>
    <w:rsid w:val="00870B93"/>
    <w:rsid w:val="00870D7C"/>
    <w:rsid w:val="00870F12"/>
    <w:rsid w:val="00871158"/>
    <w:rsid w:val="0087121F"/>
    <w:rsid w:val="00871404"/>
    <w:rsid w:val="00871495"/>
    <w:rsid w:val="0087188A"/>
    <w:rsid w:val="00871911"/>
    <w:rsid w:val="00871B4B"/>
    <w:rsid w:val="00871E46"/>
    <w:rsid w:val="00871FDF"/>
    <w:rsid w:val="008721A0"/>
    <w:rsid w:val="0087251C"/>
    <w:rsid w:val="00872788"/>
    <w:rsid w:val="00872AF7"/>
    <w:rsid w:val="00872BEF"/>
    <w:rsid w:val="00873067"/>
    <w:rsid w:val="00873075"/>
    <w:rsid w:val="0087336C"/>
    <w:rsid w:val="008733B2"/>
    <w:rsid w:val="00873520"/>
    <w:rsid w:val="008735D5"/>
    <w:rsid w:val="008736DF"/>
    <w:rsid w:val="00873815"/>
    <w:rsid w:val="00873A2A"/>
    <w:rsid w:val="00873A80"/>
    <w:rsid w:val="00873BE7"/>
    <w:rsid w:val="00873DEC"/>
    <w:rsid w:val="00873FB5"/>
    <w:rsid w:val="008740EF"/>
    <w:rsid w:val="00874256"/>
    <w:rsid w:val="008743C5"/>
    <w:rsid w:val="008744A4"/>
    <w:rsid w:val="008744C7"/>
    <w:rsid w:val="008746B8"/>
    <w:rsid w:val="008746D7"/>
    <w:rsid w:val="00874824"/>
    <w:rsid w:val="00874A34"/>
    <w:rsid w:val="00874F49"/>
    <w:rsid w:val="008750DF"/>
    <w:rsid w:val="00875118"/>
    <w:rsid w:val="008752BC"/>
    <w:rsid w:val="008758DA"/>
    <w:rsid w:val="00875A4A"/>
    <w:rsid w:val="00875C4B"/>
    <w:rsid w:val="00875CAB"/>
    <w:rsid w:val="00875D90"/>
    <w:rsid w:val="00875DA2"/>
    <w:rsid w:val="00875E56"/>
    <w:rsid w:val="00875E77"/>
    <w:rsid w:val="008760D6"/>
    <w:rsid w:val="00876306"/>
    <w:rsid w:val="00876344"/>
    <w:rsid w:val="008764F4"/>
    <w:rsid w:val="00876569"/>
    <w:rsid w:val="0087667C"/>
    <w:rsid w:val="0087668C"/>
    <w:rsid w:val="0087670C"/>
    <w:rsid w:val="0087671D"/>
    <w:rsid w:val="008767CA"/>
    <w:rsid w:val="0087680D"/>
    <w:rsid w:val="008768C8"/>
    <w:rsid w:val="00876A49"/>
    <w:rsid w:val="00876AD7"/>
    <w:rsid w:val="008770A6"/>
    <w:rsid w:val="00877222"/>
    <w:rsid w:val="00877295"/>
    <w:rsid w:val="008772A3"/>
    <w:rsid w:val="00877415"/>
    <w:rsid w:val="00877879"/>
    <w:rsid w:val="00877B4A"/>
    <w:rsid w:val="00877BC7"/>
    <w:rsid w:val="00877D14"/>
    <w:rsid w:val="00877ECB"/>
    <w:rsid w:val="0088001B"/>
    <w:rsid w:val="00880037"/>
    <w:rsid w:val="008804B8"/>
    <w:rsid w:val="008805B8"/>
    <w:rsid w:val="00880658"/>
    <w:rsid w:val="008808F2"/>
    <w:rsid w:val="008809F6"/>
    <w:rsid w:val="00880BD1"/>
    <w:rsid w:val="00880E1E"/>
    <w:rsid w:val="00880F94"/>
    <w:rsid w:val="008811BC"/>
    <w:rsid w:val="00881746"/>
    <w:rsid w:val="00881909"/>
    <w:rsid w:val="00881AB9"/>
    <w:rsid w:val="00881E6D"/>
    <w:rsid w:val="00882158"/>
    <w:rsid w:val="00882161"/>
    <w:rsid w:val="00882429"/>
    <w:rsid w:val="00882B38"/>
    <w:rsid w:val="00883208"/>
    <w:rsid w:val="008834C3"/>
    <w:rsid w:val="0088367A"/>
    <w:rsid w:val="0088372E"/>
    <w:rsid w:val="0088376D"/>
    <w:rsid w:val="00883988"/>
    <w:rsid w:val="00883EB7"/>
    <w:rsid w:val="00883FB2"/>
    <w:rsid w:val="00884055"/>
    <w:rsid w:val="0088411C"/>
    <w:rsid w:val="008847A9"/>
    <w:rsid w:val="008848DB"/>
    <w:rsid w:val="008849AD"/>
    <w:rsid w:val="00884C4A"/>
    <w:rsid w:val="00884C81"/>
    <w:rsid w:val="00884CC9"/>
    <w:rsid w:val="00884E18"/>
    <w:rsid w:val="00884EB6"/>
    <w:rsid w:val="00884EEE"/>
    <w:rsid w:val="0088503E"/>
    <w:rsid w:val="0088507C"/>
    <w:rsid w:val="008853EF"/>
    <w:rsid w:val="00885476"/>
    <w:rsid w:val="00885691"/>
    <w:rsid w:val="00885B37"/>
    <w:rsid w:val="00885E34"/>
    <w:rsid w:val="00886211"/>
    <w:rsid w:val="008862E5"/>
    <w:rsid w:val="0088651C"/>
    <w:rsid w:val="00886693"/>
    <w:rsid w:val="00886BAA"/>
    <w:rsid w:val="00886D8A"/>
    <w:rsid w:val="00886F4B"/>
    <w:rsid w:val="00887029"/>
    <w:rsid w:val="008870AD"/>
    <w:rsid w:val="0088741F"/>
    <w:rsid w:val="008879D5"/>
    <w:rsid w:val="008900A1"/>
    <w:rsid w:val="008900CC"/>
    <w:rsid w:val="00890170"/>
    <w:rsid w:val="008901BE"/>
    <w:rsid w:val="0089023A"/>
    <w:rsid w:val="008905B2"/>
    <w:rsid w:val="008909E7"/>
    <w:rsid w:val="008909FF"/>
    <w:rsid w:val="00890B10"/>
    <w:rsid w:val="00890D62"/>
    <w:rsid w:val="008911C7"/>
    <w:rsid w:val="00891257"/>
    <w:rsid w:val="008912F6"/>
    <w:rsid w:val="0089139B"/>
    <w:rsid w:val="00891490"/>
    <w:rsid w:val="00891659"/>
    <w:rsid w:val="00891695"/>
    <w:rsid w:val="00891A8E"/>
    <w:rsid w:val="00891B3F"/>
    <w:rsid w:val="00891C5D"/>
    <w:rsid w:val="00891FEA"/>
    <w:rsid w:val="0089227C"/>
    <w:rsid w:val="00892740"/>
    <w:rsid w:val="008929E9"/>
    <w:rsid w:val="00892A91"/>
    <w:rsid w:val="00892A9E"/>
    <w:rsid w:val="00892B2D"/>
    <w:rsid w:val="00892C9A"/>
    <w:rsid w:val="00892EDA"/>
    <w:rsid w:val="00893113"/>
    <w:rsid w:val="00893292"/>
    <w:rsid w:val="008934B5"/>
    <w:rsid w:val="008937C5"/>
    <w:rsid w:val="008939D7"/>
    <w:rsid w:val="00893A0C"/>
    <w:rsid w:val="00893A45"/>
    <w:rsid w:val="00893A79"/>
    <w:rsid w:val="00893E7F"/>
    <w:rsid w:val="008943E1"/>
    <w:rsid w:val="008946BC"/>
    <w:rsid w:val="00894AD1"/>
    <w:rsid w:val="00894D89"/>
    <w:rsid w:val="00894ED5"/>
    <w:rsid w:val="00894F15"/>
    <w:rsid w:val="00895373"/>
    <w:rsid w:val="00895540"/>
    <w:rsid w:val="008956CF"/>
    <w:rsid w:val="00895737"/>
    <w:rsid w:val="00895808"/>
    <w:rsid w:val="00895937"/>
    <w:rsid w:val="008959BC"/>
    <w:rsid w:val="008959BE"/>
    <w:rsid w:val="00895D6F"/>
    <w:rsid w:val="00895DDD"/>
    <w:rsid w:val="00895FB9"/>
    <w:rsid w:val="0089613A"/>
    <w:rsid w:val="0089618C"/>
    <w:rsid w:val="008961A5"/>
    <w:rsid w:val="00896204"/>
    <w:rsid w:val="00896372"/>
    <w:rsid w:val="008964E9"/>
    <w:rsid w:val="0089653E"/>
    <w:rsid w:val="008965A4"/>
    <w:rsid w:val="00896754"/>
    <w:rsid w:val="0089699B"/>
    <w:rsid w:val="00896A75"/>
    <w:rsid w:val="00896D92"/>
    <w:rsid w:val="00896ED1"/>
    <w:rsid w:val="00896FE6"/>
    <w:rsid w:val="0089700B"/>
    <w:rsid w:val="00897548"/>
    <w:rsid w:val="008975E3"/>
    <w:rsid w:val="00897635"/>
    <w:rsid w:val="008977F3"/>
    <w:rsid w:val="00897809"/>
    <w:rsid w:val="00897816"/>
    <w:rsid w:val="008978D3"/>
    <w:rsid w:val="0089793C"/>
    <w:rsid w:val="008A0344"/>
    <w:rsid w:val="008A0A72"/>
    <w:rsid w:val="008A0FF1"/>
    <w:rsid w:val="008A103D"/>
    <w:rsid w:val="008A10D1"/>
    <w:rsid w:val="008A1487"/>
    <w:rsid w:val="008A1564"/>
    <w:rsid w:val="008A15BF"/>
    <w:rsid w:val="008A15D8"/>
    <w:rsid w:val="008A164F"/>
    <w:rsid w:val="008A16A5"/>
    <w:rsid w:val="008A1B0B"/>
    <w:rsid w:val="008A1B8C"/>
    <w:rsid w:val="008A1D37"/>
    <w:rsid w:val="008A1D63"/>
    <w:rsid w:val="008A1DBB"/>
    <w:rsid w:val="008A1F1A"/>
    <w:rsid w:val="008A2055"/>
    <w:rsid w:val="008A22CF"/>
    <w:rsid w:val="008A22DA"/>
    <w:rsid w:val="008A231C"/>
    <w:rsid w:val="008A2444"/>
    <w:rsid w:val="008A251B"/>
    <w:rsid w:val="008A263D"/>
    <w:rsid w:val="008A2676"/>
    <w:rsid w:val="008A2B40"/>
    <w:rsid w:val="008A2C40"/>
    <w:rsid w:val="008A2E14"/>
    <w:rsid w:val="008A31FF"/>
    <w:rsid w:val="008A3379"/>
    <w:rsid w:val="008A3634"/>
    <w:rsid w:val="008A384E"/>
    <w:rsid w:val="008A3B65"/>
    <w:rsid w:val="008A3BAC"/>
    <w:rsid w:val="008A3C06"/>
    <w:rsid w:val="008A3D98"/>
    <w:rsid w:val="008A3EE6"/>
    <w:rsid w:val="008A3F01"/>
    <w:rsid w:val="008A412A"/>
    <w:rsid w:val="008A46D1"/>
    <w:rsid w:val="008A49F2"/>
    <w:rsid w:val="008A4D83"/>
    <w:rsid w:val="008A50D9"/>
    <w:rsid w:val="008A518F"/>
    <w:rsid w:val="008A5217"/>
    <w:rsid w:val="008A5437"/>
    <w:rsid w:val="008A5466"/>
    <w:rsid w:val="008A5926"/>
    <w:rsid w:val="008A59F7"/>
    <w:rsid w:val="008A5A11"/>
    <w:rsid w:val="008A5BCA"/>
    <w:rsid w:val="008A5ED5"/>
    <w:rsid w:val="008A6392"/>
    <w:rsid w:val="008A642D"/>
    <w:rsid w:val="008A6499"/>
    <w:rsid w:val="008A676F"/>
    <w:rsid w:val="008A6A9F"/>
    <w:rsid w:val="008A6B3A"/>
    <w:rsid w:val="008A6C30"/>
    <w:rsid w:val="008A6C4B"/>
    <w:rsid w:val="008A6C67"/>
    <w:rsid w:val="008A71C9"/>
    <w:rsid w:val="008A725C"/>
    <w:rsid w:val="008A74B6"/>
    <w:rsid w:val="008A763E"/>
    <w:rsid w:val="008A7666"/>
    <w:rsid w:val="008A76E1"/>
    <w:rsid w:val="008A7800"/>
    <w:rsid w:val="008A7922"/>
    <w:rsid w:val="008A795C"/>
    <w:rsid w:val="008A7C55"/>
    <w:rsid w:val="008A7E31"/>
    <w:rsid w:val="008B003A"/>
    <w:rsid w:val="008B0412"/>
    <w:rsid w:val="008B09BA"/>
    <w:rsid w:val="008B0F8D"/>
    <w:rsid w:val="008B10DC"/>
    <w:rsid w:val="008B175C"/>
    <w:rsid w:val="008B195A"/>
    <w:rsid w:val="008B1973"/>
    <w:rsid w:val="008B1A04"/>
    <w:rsid w:val="008B1A0E"/>
    <w:rsid w:val="008B1B1D"/>
    <w:rsid w:val="008B1B31"/>
    <w:rsid w:val="008B1B84"/>
    <w:rsid w:val="008B1BFF"/>
    <w:rsid w:val="008B1D0A"/>
    <w:rsid w:val="008B2079"/>
    <w:rsid w:val="008B20B8"/>
    <w:rsid w:val="008B2258"/>
    <w:rsid w:val="008B23EE"/>
    <w:rsid w:val="008B26A1"/>
    <w:rsid w:val="008B29A3"/>
    <w:rsid w:val="008B2ADC"/>
    <w:rsid w:val="008B2BE4"/>
    <w:rsid w:val="008B2CFC"/>
    <w:rsid w:val="008B31DC"/>
    <w:rsid w:val="008B34C1"/>
    <w:rsid w:val="008B3615"/>
    <w:rsid w:val="008B375E"/>
    <w:rsid w:val="008B3768"/>
    <w:rsid w:val="008B3A9E"/>
    <w:rsid w:val="008B3BA9"/>
    <w:rsid w:val="008B3E5C"/>
    <w:rsid w:val="008B3E65"/>
    <w:rsid w:val="008B3EBC"/>
    <w:rsid w:val="008B3EC6"/>
    <w:rsid w:val="008B4280"/>
    <w:rsid w:val="008B4483"/>
    <w:rsid w:val="008B44CF"/>
    <w:rsid w:val="008B459F"/>
    <w:rsid w:val="008B467F"/>
    <w:rsid w:val="008B46A7"/>
    <w:rsid w:val="008B4876"/>
    <w:rsid w:val="008B487E"/>
    <w:rsid w:val="008B4967"/>
    <w:rsid w:val="008B4AC9"/>
    <w:rsid w:val="008B4B0F"/>
    <w:rsid w:val="008B4C39"/>
    <w:rsid w:val="008B4E2D"/>
    <w:rsid w:val="008B4E37"/>
    <w:rsid w:val="008B5085"/>
    <w:rsid w:val="008B5095"/>
    <w:rsid w:val="008B50C8"/>
    <w:rsid w:val="008B522E"/>
    <w:rsid w:val="008B5401"/>
    <w:rsid w:val="008B5517"/>
    <w:rsid w:val="008B5535"/>
    <w:rsid w:val="008B55FE"/>
    <w:rsid w:val="008B5743"/>
    <w:rsid w:val="008B59A6"/>
    <w:rsid w:val="008B5A67"/>
    <w:rsid w:val="008B5A94"/>
    <w:rsid w:val="008B5B2F"/>
    <w:rsid w:val="008B5B51"/>
    <w:rsid w:val="008B5D17"/>
    <w:rsid w:val="008B5D7C"/>
    <w:rsid w:val="008B5EAD"/>
    <w:rsid w:val="008B5FFB"/>
    <w:rsid w:val="008B61C4"/>
    <w:rsid w:val="008B61EE"/>
    <w:rsid w:val="008B64B1"/>
    <w:rsid w:val="008B653E"/>
    <w:rsid w:val="008B662D"/>
    <w:rsid w:val="008B69C1"/>
    <w:rsid w:val="008B69DD"/>
    <w:rsid w:val="008B69F1"/>
    <w:rsid w:val="008B6A01"/>
    <w:rsid w:val="008B6A25"/>
    <w:rsid w:val="008B6B0A"/>
    <w:rsid w:val="008B6C0C"/>
    <w:rsid w:val="008B6C31"/>
    <w:rsid w:val="008B6DF0"/>
    <w:rsid w:val="008B6F26"/>
    <w:rsid w:val="008B7016"/>
    <w:rsid w:val="008B7086"/>
    <w:rsid w:val="008B70B0"/>
    <w:rsid w:val="008B7169"/>
    <w:rsid w:val="008B719B"/>
    <w:rsid w:val="008B71B0"/>
    <w:rsid w:val="008B73B2"/>
    <w:rsid w:val="008B7440"/>
    <w:rsid w:val="008B74F6"/>
    <w:rsid w:val="008B7743"/>
    <w:rsid w:val="008B77F2"/>
    <w:rsid w:val="008B7ABF"/>
    <w:rsid w:val="008C00C0"/>
    <w:rsid w:val="008C0450"/>
    <w:rsid w:val="008C0463"/>
    <w:rsid w:val="008C060E"/>
    <w:rsid w:val="008C09A0"/>
    <w:rsid w:val="008C0D90"/>
    <w:rsid w:val="008C1037"/>
    <w:rsid w:val="008C1086"/>
    <w:rsid w:val="008C1133"/>
    <w:rsid w:val="008C11B5"/>
    <w:rsid w:val="008C1832"/>
    <w:rsid w:val="008C187B"/>
    <w:rsid w:val="008C1AB3"/>
    <w:rsid w:val="008C1B57"/>
    <w:rsid w:val="008C1CCB"/>
    <w:rsid w:val="008C1E53"/>
    <w:rsid w:val="008C1F41"/>
    <w:rsid w:val="008C1FEB"/>
    <w:rsid w:val="008C23E0"/>
    <w:rsid w:val="008C24E2"/>
    <w:rsid w:val="008C26D4"/>
    <w:rsid w:val="008C26F9"/>
    <w:rsid w:val="008C272B"/>
    <w:rsid w:val="008C2732"/>
    <w:rsid w:val="008C289A"/>
    <w:rsid w:val="008C2B2B"/>
    <w:rsid w:val="008C2C3C"/>
    <w:rsid w:val="008C2D75"/>
    <w:rsid w:val="008C2E57"/>
    <w:rsid w:val="008C2FFB"/>
    <w:rsid w:val="008C30D3"/>
    <w:rsid w:val="008C32BD"/>
    <w:rsid w:val="008C35BB"/>
    <w:rsid w:val="008C373E"/>
    <w:rsid w:val="008C3814"/>
    <w:rsid w:val="008C3817"/>
    <w:rsid w:val="008C3BD4"/>
    <w:rsid w:val="008C3BDB"/>
    <w:rsid w:val="008C3C04"/>
    <w:rsid w:val="008C3D2C"/>
    <w:rsid w:val="008C3DA1"/>
    <w:rsid w:val="008C3E84"/>
    <w:rsid w:val="008C3F01"/>
    <w:rsid w:val="008C3F5E"/>
    <w:rsid w:val="008C40C2"/>
    <w:rsid w:val="008C413D"/>
    <w:rsid w:val="008C470D"/>
    <w:rsid w:val="008C4758"/>
    <w:rsid w:val="008C48AF"/>
    <w:rsid w:val="008C4A43"/>
    <w:rsid w:val="008C4A90"/>
    <w:rsid w:val="008C4E2E"/>
    <w:rsid w:val="008C4F8E"/>
    <w:rsid w:val="008C523C"/>
    <w:rsid w:val="008C52A5"/>
    <w:rsid w:val="008C5440"/>
    <w:rsid w:val="008C57AD"/>
    <w:rsid w:val="008C5B67"/>
    <w:rsid w:val="008C5CE4"/>
    <w:rsid w:val="008C5D2A"/>
    <w:rsid w:val="008C5E1E"/>
    <w:rsid w:val="008C60C4"/>
    <w:rsid w:val="008C6599"/>
    <w:rsid w:val="008C6717"/>
    <w:rsid w:val="008C6755"/>
    <w:rsid w:val="008C699D"/>
    <w:rsid w:val="008C69D1"/>
    <w:rsid w:val="008C6A2D"/>
    <w:rsid w:val="008C6C8F"/>
    <w:rsid w:val="008C6C91"/>
    <w:rsid w:val="008C6DF7"/>
    <w:rsid w:val="008C7173"/>
    <w:rsid w:val="008C7320"/>
    <w:rsid w:val="008C739D"/>
    <w:rsid w:val="008C77F7"/>
    <w:rsid w:val="008C783A"/>
    <w:rsid w:val="008C7B86"/>
    <w:rsid w:val="008C7B97"/>
    <w:rsid w:val="008C7C24"/>
    <w:rsid w:val="008C7E0D"/>
    <w:rsid w:val="008C7F7E"/>
    <w:rsid w:val="008D0101"/>
    <w:rsid w:val="008D026C"/>
    <w:rsid w:val="008D0592"/>
    <w:rsid w:val="008D05FA"/>
    <w:rsid w:val="008D07DA"/>
    <w:rsid w:val="008D08A0"/>
    <w:rsid w:val="008D0D0D"/>
    <w:rsid w:val="008D0FF0"/>
    <w:rsid w:val="008D11CD"/>
    <w:rsid w:val="008D154F"/>
    <w:rsid w:val="008D17B5"/>
    <w:rsid w:val="008D1A88"/>
    <w:rsid w:val="008D1D1F"/>
    <w:rsid w:val="008D1D96"/>
    <w:rsid w:val="008D2159"/>
    <w:rsid w:val="008D22AC"/>
    <w:rsid w:val="008D2362"/>
    <w:rsid w:val="008D288A"/>
    <w:rsid w:val="008D28E1"/>
    <w:rsid w:val="008D2BBA"/>
    <w:rsid w:val="008D2D3E"/>
    <w:rsid w:val="008D2D50"/>
    <w:rsid w:val="008D32CF"/>
    <w:rsid w:val="008D37A5"/>
    <w:rsid w:val="008D37B8"/>
    <w:rsid w:val="008D3B5B"/>
    <w:rsid w:val="008D3BA0"/>
    <w:rsid w:val="008D3D17"/>
    <w:rsid w:val="008D3DBE"/>
    <w:rsid w:val="008D3EA6"/>
    <w:rsid w:val="008D3FA3"/>
    <w:rsid w:val="008D408D"/>
    <w:rsid w:val="008D4338"/>
    <w:rsid w:val="008D45A0"/>
    <w:rsid w:val="008D45B7"/>
    <w:rsid w:val="008D4800"/>
    <w:rsid w:val="008D4992"/>
    <w:rsid w:val="008D4A75"/>
    <w:rsid w:val="008D4B76"/>
    <w:rsid w:val="008D4DC4"/>
    <w:rsid w:val="008D5085"/>
    <w:rsid w:val="008D538B"/>
    <w:rsid w:val="008D5657"/>
    <w:rsid w:val="008D56F9"/>
    <w:rsid w:val="008D5A2D"/>
    <w:rsid w:val="008D5D72"/>
    <w:rsid w:val="008D5EDA"/>
    <w:rsid w:val="008D5EE7"/>
    <w:rsid w:val="008D5EF7"/>
    <w:rsid w:val="008D6258"/>
    <w:rsid w:val="008D6336"/>
    <w:rsid w:val="008D63DB"/>
    <w:rsid w:val="008D6629"/>
    <w:rsid w:val="008D66BF"/>
    <w:rsid w:val="008D6880"/>
    <w:rsid w:val="008D6911"/>
    <w:rsid w:val="008D6C74"/>
    <w:rsid w:val="008D6C78"/>
    <w:rsid w:val="008D6FAC"/>
    <w:rsid w:val="008D7135"/>
    <w:rsid w:val="008D7172"/>
    <w:rsid w:val="008D7322"/>
    <w:rsid w:val="008D7429"/>
    <w:rsid w:val="008D742A"/>
    <w:rsid w:val="008D7536"/>
    <w:rsid w:val="008D756A"/>
    <w:rsid w:val="008D7E57"/>
    <w:rsid w:val="008E00CC"/>
    <w:rsid w:val="008E0344"/>
    <w:rsid w:val="008E0415"/>
    <w:rsid w:val="008E086E"/>
    <w:rsid w:val="008E0B5C"/>
    <w:rsid w:val="008E0CA5"/>
    <w:rsid w:val="008E0D70"/>
    <w:rsid w:val="008E0F2E"/>
    <w:rsid w:val="008E104B"/>
    <w:rsid w:val="008E10E5"/>
    <w:rsid w:val="008E1618"/>
    <w:rsid w:val="008E18BF"/>
    <w:rsid w:val="008E193B"/>
    <w:rsid w:val="008E1E3C"/>
    <w:rsid w:val="008E1F07"/>
    <w:rsid w:val="008E2018"/>
    <w:rsid w:val="008E206F"/>
    <w:rsid w:val="008E23F3"/>
    <w:rsid w:val="008E25CE"/>
    <w:rsid w:val="008E2790"/>
    <w:rsid w:val="008E29E4"/>
    <w:rsid w:val="008E2AA7"/>
    <w:rsid w:val="008E2B2E"/>
    <w:rsid w:val="008E2C1E"/>
    <w:rsid w:val="008E356F"/>
    <w:rsid w:val="008E3854"/>
    <w:rsid w:val="008E3D0F"/>
    <w:rsid w:val="008E3D71"/>
    <w:rsid w:val="008E3F67"/>
    <w:rsid w:val="008E40D8"/>
    <w:rsid w:val="008E4128"/>
    <w:rsid w:val="008E4230"/>
    <w:rsid w:val="008E42B4"/>
    <w:rsid w:val="008E43D9"/>
    <w:rsid w:val="008E44C4"/>
    <w:rsid w:val="008E44E9"/>
    <w:rsid w:val="008E467D"/>
    <w:rsid w:val="008E4AB2"/>
    <w:rsid w:val="008E4B1F"/>
    <w:rsid w:val="008E4C95"/>
    <w:rsid w:val="008E503E"/>
    <w:rsid w:val="008E517F"/>
    <w:rsid w:val="008E523B"/>
    <w:rsid w:val="008E5450"/>
    <w:rsid w:val="008E5524"/>
    <w:rsid w:val="008E56FB"/>
    <w:rsid w:val="008E59C8"/>
    <w:rsid w:val="008E5AC4"/>
    <w:rsid w:val="008E5B72"/>
    <w:rsid w:val="008E5B7A"/>
    <w:rsid w:val="008E5BF4"/>
    <w:rsid w:val="008E5CB9"/>
    <w:rsid w:val="008E5E74"/>
    <w:rsid w:val="008E5F69"/>
    <w:rsid w:val="008E627F"/>
    <w:rsid w:val="008E63D2"/>
    <w:rsid w:val="008E6508"/>
    <w:rsid w:val="008E6A60"/>
    <w:rsid w:val="008E6C28"/>
    <w:rsid w:val="008E6C6A"/>
    <w:rsid w:val="008E6D7E"/>
    <w:rsid w:val="008E6DD0"/>
    <w:rsid w:val="008E71D4"/>
    <w:rsid w:val="008E7334"/>
    <w:rsid w:val="008E7805"/>
    <w:rsid w:val="008E785E"/>
    <w:rsid w:val="008E79DA"/>
    <w:rsid w:val="008E7BD2"/>
    <w:rsid w:val="008E7F79"/>
    <w:rsid w:val="008F009B"/>
    <w:rsid w:val="008F0F49"/>
    <w:rsid w:val="008F1131"/>
    <w:rsid w:val="008F1163"/>
    <w:rsid w:val="008F14B3"/>
    <w:rsid w:val="008F1596"/>
    <w:rsid w:val="008F15BE"/>
    <w:rsid w:val="008F162D"/>
    <w:rsid w:val="008F1A95"/>
    <w:rsid w:val="008F1B5C"/>
    <w:rsid w:val="008F1C42"/>
    <w:rsid w:val="008F2072"/>
    <w:rsid w:val="008F244D"/>
    <w:rsid w:val="008F256D"/>
    <w:rsid w:val="008F25FF"/>
    <w:rsid w:val="008F2767"/>
    <w:rsid w:val="008F27B3"/>
    <w:rsid w:val="008F2800"/>
    <w:rsid w:val="008F2973"/>
    <w:rsid w:val="008F29DA"/>
    <w:rsid w:val="008F2BD3"/>
    <w:rsid w:val="008F2BFF"/>
    <w:rsid w:val="008F2D4E"/>
    <w:rsid w:val="008F2E26"/>
    <w:rsid w:val="008F2E7B"/>
    <w:rsid w:val="008F317A"/>
    <w:rsid w:val="008F33EB"/>
    <w:rsid w:val="008F36AB"/>
    <w:rsid w:val="008F3983"/>
    <w:rsid w:val="008F39BF"/>
    <w:rsid w:val="008F3B28"/>
    <w:rsid w:val="008F3B44"/>
    <w:rsid w:val="008F3C8D"/>
    <w:rsid w:val="008F3F8F"/>
    <w:rsid w:val="008F3F90"/>
    <w:rsid w:val="008F40EC"/>
    <w:rsid w:val="008F414A"/>
    <w:rsid w:val="008F43B3"/>
    <w:rsid w:val="008F4503"/>
    <w:rsid w:val="008F452A"/>
    <w:rsid w:val="008F48C2"/>
    <w:rsid w:val="008F4A0E"/>
    <w:rsid w:val="008F4A52"/>
    <w:rsid w:val="008F4A9A"/>
    <w:rsid w:val="008F4B03"/>
    <w:rsid w:val="008F4F48"/>
    <w:rsid w:val="008F51B2"/>
    <w:rsid w:val="008F521A"/>
    <w:rsid w:val="008F5309"/>
    <w:rsid w:val="008F5415"/>
    <w:rsid w:val="008F546C"/>
    <w:rsid w:val="008F564E"/>
    <w:rsid w:val="008F5747"/>
    <w:rsid w:val="008F57BA"/>
    <w:rsid w:val="008F5A7B"/>
    <w:rsid w:val="008F5B11"/>
    <w:rsid w:val="008F5B4F"/>
    <w:rsid w:val="008F5F16"/>
    <w:rsid w:val="008F6677"/>
    <w:rsid w:val="008F66FA"/>
    <w:rsid w:val="008F69A9"/>
    <w:rsid w:val="008F6E05"/>
    <w:rsid w:val="008F6F9F"/>
    <w:rsid w:val="008F6FCB"/>
    <w:rsid w:val="008F746E"/>
    <w:rsid w:val="008F747B"/>
    <w:rsid w:val="008F7602"/>
    <w:rsid w:val="008F77A7"/>
    <w:rsid w:val="008F7930"/>
    <w:rsid w:val="008F7CF0"/>
    <w:rsid w:val="008F7D5C"/>
    <w:rsid w:val="008F7D7B"/>
    <w:rsid w:val="009000B7"/>
    <w:rsid w:val="009004AE"/>
    <w:rsid w:val="009004B7"/>
    <w:rsid w:val="00900878"/>
    <w:rsid w:val="00900BA3"/>
    <w:rsid w:val="00900F38"/>
    <w:rsid w:val="0090108B"/>
    <w:rsid w:val="009011CB"/>
    <w:rsid w:val="00901327"/>
    <w:rsid w:val="009016A3"/>
    <w:rsid w:val="00901706"/>
    <w:rsid w:val="00901754"/>
    <w:rsid w:val="0090190D"/>
    <w:rsid w:val="009019FC"/>
    <w:rsid w:val="00901AA5"/>
    <w:rsid w:val="00901EC7"/>
    <w:rsid w:val="0090226C"/>
    <w:rsid w:val="009023FE"/>
    <w:rsid w:val="009024C5"/>
    <w:rsid w:val="009026F3"/>
    <w:rsid w:val="0090287A"/>
    <w:rsid w:val="00902B83"/>
    <w:rsid w:val="00902C9B"/>
    <w:rsid w:val="00902E88"/>
    <w:rsid w:val="00902E8C"/>
    <w:rsid w:val="00903299"/>
    <w:rsid w:val="00903724"/>
    <w:rsid w:val="00903849"/>
    <w:rsid w:val="00903951"/>
    <w:rsid w:val="00903A10"/>
    <w:rsid w:val="00903A4B"/>
    <w:rsid w:val="00903B59"/>
    <w:rsid w:val="00903CCD"/>
    <w:rsid w:val="00903F89"/>
    <w:rsid w:val="0090423F"/>
    <w:rsid w:val="00904480"/>
    <w:rsid w:val="009044B8"/>
    <w:rsid w:val="009045BF"/>
    <w:rsid w:val="00904735"/>
    <w:rsid w:val="00904790"/>
    <w:rsid w:val="009047E7"/>
    <w:rsid w:val="009048EF"/>
    <w:rsid w:val="00904AAD"/>
    <w:rsid w:val="00904B1A"/>
    <w:rsid w:val="00904C1C"/>
    <w:rsid w:val="00904D55"/>
    <w:rsid w:val="00904E9D"/>
    <w:rsid w:val="00904FDA"/>
    <w:rsid w:val="00905033"/>
    <w:rsid w:val="00905153"/>
    <w:rsid w:val="0090522A"/>
    <w:rsid w:val="009052E7"/>
    <w:rsid w:val="00905564"/>
    <w:rsid w:val="00905827"/>
    <w:rsid w:val="009058FB"/>
    <w:rsid w:val="00905905"/>
    <w:rsid w:val="0090598E"/>
    <w:rsid w:val="00905A22"/>
    <w:rsid w:val="00905AC0"/>
    <w:rsid w:val="00905E78"/>
    <w:rsid w:val="00905F98"/>
    <w:rsid w:val="0090604F"/>
    <w:rsid w:val="009061B3"/>
    <w:rsid w:val="0090650C"/>
    <w:rsid w:val="00906538"/>
    <w:rsid w:val="00906661"/>
    <w:rsid w:val="00906982"/>
    <w:rsid w:val="009069F0"/>
    <w:rsid w:val="009069F5"/>
    <w:rsid w:val="00906AFA"/>
    <w:rsid w:val="00906E2D"/>
    <w:rsid w:val="00906EE8"/>
    <w:rsid w:val="00907046"/>
    <w:rsid w:val="00907475"/>
    <w:rsid w:val="009075AF"/>
    <w:rsid w:val="009075F0"/>
    <w:rsid w:val="0090782B"/>
    <w:rsid w:val="009078E5"/>
    <w:rsid w:val="00907902"/>
    <w:rsid w:val="009079C6"/>
    <w:rsid w:val="00907FB7"/>
    <w:rsid w:val="00910003"/>
    <w:rsid w:val="00910142"/>
    <w:rsid w:val="00910194"/>
    <w:rsid w:val="00910227"/>
    <w:rsid w:val="009102B2"/>
    <w:rsid w:val="009102EE"/>
    <w:rsid w:val="0091135B"/>
    <w:rsid w:val="00911497"/>
    <w:rsid w:val="009114BA"/>
    <w:rsid w:val="0091156F"/>
    <w:rsid w:val="0091168B"/>
    <w:rsid w:val="0091176D"/>
    <w:rsid w:val="00911DDB"/>
    <w:rsid w:val="00911E3E"/>
    <w:rsid w:val="00911E6F"/>
    <w:rsid w:val="00912196"/>
    <w:rsid w:val="00912235"/>
    <w:rsid w:val="009126F7"/>
    <w:rsid w:val="00912722"/>
    <w:rsid w:val="009127D7"/>
    <w:rsid w:val="00912C01"/>
    <w:rsid w:val="00912DEA"/>
    <w:rsid w:val="00912EC4"/>
    <w:rsid w:val="00912EF2"/>
    <w:rsid w:val="00912EF5"/>
    <w:rsid w:val="00912F4D"/>
    <w:rsid w:val="009136A5"/>
    <w:rsid w:val="00913751"/>
    <w:rsid w:val="00913C20"/>
    <w:rsid w:val="00913CE2"/>
    <w:rsid w:val="00913D3F"/>
    <w:rsid w:val="00913DD1"/>
    <w:rsid w:val="00913EA2"/>
    <w:rsid w:val="0091414C"/>
    <w:rsid w:val="009143C4"/>
    <w:rsid w:val="009143D5"/>
    <w:rsid w:val="009144FA"/>
    <w:rsid w:val="0091456D"/>
    <w:rsid w:val="00914836"/>
    <w:rsid w:val="0091489B"/>
    <w:rsid w:val="00914A2E"/>
    <w:rsid w:val="00914ACD"/>
    <w:rsid w:val="00914E2B"/>
    <w:rsid w:val="00914E5E"/>
    <w:rsid w:val="00914ECF"/>
    <w:rsid w:val="00914FF0"/>
    <w:rsid w:val="0091520A"/>
    <w:rsid w:val="00915562"/>
    <w:rsid w:val="00915621"/>
    <w:rsid w:val="0091572C"/>
    <w:rsid w:val="00915ACE"/>
    <w:rsid w:val="00915B4C"/>
    <w:rsid w:val="00915D87"/>
    <w:rsid w:val="00915F45"/>
    <w:rsid w:val="0091610C"/>
    <w:rsid w:val="009161C5"/>
    <w:rsid w:val="00916475"/>
    <w:rsid w:val="00916B2A"/>
    <w:rsid w:val="00916C48"/>
    <w:rsid w:val="00916D40"/>
    <w:rsid w:val="00916FCF"/>
    <w:rsid w:val="009170CB"/>
    <w:rsid w:val="00917275"/>
    <w:rsid w:val="0091733A"/>
    <w:rsid w:val="009173AE"/>
    <w:rsid w:val="00917703"/>
    <w:rsid w:val="009177E1"/>
    <w:rsid w:val="00917C53"/>
    <w:rsid w:val="00917F07"/>
    <w:rsid w:val="00920586"/>
    <w:rsid w:val="0092064F"/>
    <w:rsid w:val="009207CC"/>
    <w:rsid w:val="00920821"/>
    <w:rsid w:val="00920868"/>
    <w:rsid w:val="00920EBF"/>
    <w:rsid w:val="00920F08"/>
    <w:rsid w:val="0092107F"/>
    <w:rsid w:val="009211A4"/>
    <w:rsid w:val="00921308"/>
    <w:rsid w:val="009214EA"/>
    <w:rsid w:val="009214EB"/>
    <w:rsid w:val="00921567"/>
    <w:rsid w:val="009215AD"/>
    <w:rsid w:val="009215F6"/>
    <w:rsid w:val="00921685"/>
    <w:rsid w:val="00921AFB"/>
    <w:rsid w:val="00921B25"/>
    <w:rsid w:val="00921B9D"/>
    <w:rsid w:val="00921C3F"/>
    <w:rsid w:val="00921CC1"/>
    <w:rsid w:val="00921D01"/>
    <w:rsid w:val="00921DC9"/>
    <w:rsid w:val="00921DCC"/>
    <w:rsid w:val="00921E0A"/>
    <w:rsid w:val="00921E0E"/>
    <w:rsid w:val="00922140"/>
    <w:rsid w:val="0092215F"/>
    <w:rsid w:val="00922186"/>
    <w:rsid w:val="0092221B"/>
    <w:rsid w:val="009223FA"/>
    <w:rsid w:val="009225E7"/>
    <w:rsid w:val="009227F8"/>
    <w:rsid w:val="0092281E"/>
    <w:rsid w:val="0092291F"/>
    <w:rsid w:val="00922963"/>
    <w:rsid w:val="009229B7"/>
    <w:rsid w:val="009229E5"/>
    <w:rsid w:val="00923343"/>
    <w:rsid w:val="00923A48"/>
    <w:rsid w:val="00923A49"/>
    <w:rsid w:val="00923B94"/>
    <w:rsid w:val="00923E95"/>
    <w:rsid w:val="00923F2A"/>
    <w:rsid w:val="00923FFE"/>
    <w:rsid w:val="00924137"/>
    <w:rsid w:val="0092427B"/>
    <w:rsid w:val="0092479E"/>
    <w:rsid w:val="00924A25"/>
    <w:rsid w:val="00925171"/>
    <w:rsid w:val="009252A3"/>
    <w:rsid w:val="009255F5"/>
    <w:rsid w:val="0092562A"/>
    <w:rsid w:val="009257DC"/>
    <w:rsid w:val="00925A12"/>
    <w:rsid w:val="00925ADB"/>
    <w:rsid w:val="00925BEE"/>
    <w:rsid w:val="00925E68"/>
    <w:rsid w:val="00925F6E"/>
    <w:rsid w:val="0092602E"/>
    <w:rsid w:val="00926065"/>
    <w:rsid w:val="00926159"/>
    <w:rsid w:val="00926843"/>
    <w:rsid w:val="00926CC6"/>
    <w:rsid w:val="00926CEB"/>
    <w:rsid w:val="00926E7E"/>
    <w:rsid w:val="009271ED"/>
    <w:rsid w:val="00927239"/>
    <w:rsid w:val="00927473"/>
    <w:rsid w:val="009275D4"/>
    <w:rsid w:val="0092761D"/>
    <w:rsid w:val="0092774A"/>
    <w:rsid w:val="00927B58"/>
    <w:rsid w:val="00927DA8"/>
    <w:rsid w:val="00927DCE"/>
    <w:rsid w:val="00927E24"/>
    <w:rsid w:val="0093009E"/>
    <w:rsid w:val="0093020A"/>
    <w:rsid w:val="009302C2"/>
    <w:rsid w:val="0093049B"/>
    <w:rsid w:val="00930663"/>
    <w:rsid w:val="00930788"/>
    <w:rsid w:val="00930805"/>
    <w:rsid w:val="00930D83"/>
    <w:rsid w:val="00930F7C"/>
    <w:rsid w:val="0093128C"/>
    <w:rsid w:val="0093139F"/>
    <w:rsid w:val="009313EE"/>
    <w:rsid w:val="0093162E"/>
    <w:rsid w:val="00931708"/>
    <w:rsid w:val="009317B7"/>
    <w:rsid w:val="0093182D"/>
    <w:rsid w:val="00931C85"/>
    <w:rsid w:val="00931FD3"/>
    <w:rsid w:val="00932144"/>
    <w:rsid w:val="0093255B"/>
    <w:rsid w:val="00932567"/>
    <w:rsid w:val="00932674"/>
    <w:rsid w:val="0093277A"/>
    <w:rsid w:val="009327C2"/>
    <w:rsid w:val="0093283E"/>
    <w:rsid w:val="00932A23"/>
    <w:rsid w:val="00932AC4"/>
    <w:rsid w:val="00932BB5"/>
    <w:rsid w:val="00932C47"/>
    <w:rsid w:val="00932E00"/>
    <w:rsid w:val="00932E5C"/>
    <w:rsid w:val="00933061"/>
    <w:rsid w:val="0093318C"/>
    <w:rsid w:val="00933232"/>
    <w:rsid w:val="0093327B"/>
    <w:rsid w:val="00933536"/>
    <w:rsid w:val="00933809"/>
    <w:rsid w:val="00933A5D"/>
    <w:rsid w:val="00933D17"/>
    <w:rsid w:val="00933DC2"/>
    <w:rsid w:val="00933E1C"/>
    <w:rsid w:val="00933E2C"/>
    <w:rsid w:val="00933F6C"/>
    <w:rsid w:val="00933F9C"/>
    <w:rsid w:val="00934552"/>
    <w:rsid w:val="0093459F"/>
    <w:rsid w:val="0093468F"/>
    <w:rsid w:val="009346FA"/>
    <w:rsid w:val="00934764"/>
    <w:rsid w:val="00934A60"/>
    <w:rsid w:val="00934A8F"/>
    <w:rsid w:val="00934B54"/>
    <w:rsid w:val="0093515F"/>
    <w:rsid w:val="00935440"/>
    <w:rsid w:val="0093560D"/>
    <w:rsid w:val="00935746"/>
    <w:rsid w:val="0093580D"/>
    <w:rsid w:val="00935B8A"/>
    <w:rsid w:val="00935D7B"/>
    <w:rsid w:val="00935D88"/>
    <w:rsid w:val="009362FD"/>
    <w:rsid w:val="0093640B"/>
    <w:rsid w:val="00936477"/>
    <w:rsid w:val="00936478"/>
    <w:rsid w:val="0093665F"/>
    <w:rsid w:val="009366F5"/>
    <w:rsid w:val="00936876"/>
    <w:rsid w:val="009369E3"/>
    <w:rsid w:val="00936A1B"/>
    <w:rsid w:val="00936BC8"/>
    <w:rsid w:val="00936C30"/>
    <w:rsid w:val="0093718E"/>
    <w:rsid w:val="009374C8"/>
    <w:rsid w:val="00937540"/>
    <w:rsid w:val="00940071"/>
    <w:rsid w:val="0094023B"/>
    <w:rsid w:val="009402C3"/>
    <w:rsid w:val="00940589"/>
    <w:rsid w:val="00940787"/>
    <w:rsid w:val="009409C8"/>
    <w:rsid w:val="00940B8E"/>
    <w:rsid w:val="00940D83"/>
    <w:rsid w:val="00940DC1"/>
    <w:rsid w:val="009411B5"/>
    <w:rsid w:val="00941574"/>
    <w:rsid w:val="00941810"/>
    <w:rsid w:val="009418B7"/>
    <w:rsid w:val="00941A04"/>
    <w:rsid w:val="00941A13"/>
    <w:rsid w:val="00941C51"/>
    <w:rsid w:val="00941DB2"/>
    <w:rsid w:val="00941E20"/>
    <w:rsid w:val="00941F51"/>
    <w:rsid w:val="00941F6F"/>
    <w:rsid w:val="00942483"/>
    <w:rsid w:val="009424B6"/>
    <w:rsid w:val="009427DB"/>
    <w:rsid w:val="00942961"/>
    <w:rsid w:val="00942E44"/>
    <w:rsid w:val="00942EAF"/>
    <w:rsid w:val="00943081"/>
    <w:rsid w:val="009430A8"/>
    <w:rsid w:val="009430AB"/>
    <w:rsid w:val="00943286"/>
    <w:rsid w:val="0094333E"/>
    <w:rsid w:val="00943417"/>
    <w:rsid w:val="009434E9"/>
    <w:rsid w:val="00943515"/>
    <w:rsid w:val="0094352A"/>
    <w:rsid w:val="009435EE"/>
    <w:rsid w:val="00943899"/>
    <w:rsid w:val="00943AF3"/>
    <w:rsid w:val="00943C1D"/>
    <w:rsid w:val="00943C30"/>
    <w:rsid w:val="00943CA3"/>
    <w:rsid w:val="00943E5A"/>
    <w:rsid w:val="00944263"/>
    <w:rsid w:val="009443C4"/>
    <w:rsid w:val="0094498E"/>
    <w:rsid w:val="00944BD1"/>
    <w:rsid w:val="00944C02"/>
    <w:rsid w:val="00944CE1"/>
    <w:rsid w:val="00944FD5"/>
    <w:rsid w:val="0094506C"/>
    <w:rsid w:val="00945111"/>
    <w:rsid w:val="00945220"/>
    <w:rsid w:val="0094545E"/>
    <w:rsid w:val="00945504"/>
    <w:rsid w:val="00945730"/>
    <w:rsid w:val="0094591E"/>
    <w:rsid w:val="009459BF"/>
    <w:rsid w:val="00945C7E"/>
    <w:rsid w:val="00945CA3"/>
    <w:rsid w:val="00945D40"/>
    <w:rsid w:val="00945DB5"/>
    <w:rsid w:val="00945DD9"/>
    <w:rsid w:val="00945F0F"/>
    <w:rsid w:val="00946966"/>
    <w:rsid w:val="00946B0B"/>
    <w:rsid w:val="00946B41"/>
    <w:rsid w:val="00946BD9"/>
    <w:rsid w:val="00946D94"/>
    <w:rsid w:val="00946E34"/>
    <w:rsid w:val="00946FAB"/>
    <w:rsid w:val="0094714C"/>
    <w:rsid w:val="00947336"/>
    <w:rsid w:val="00947395"/>
    <w:rsid w:val="0094762D"/>
    <w:rsid w:val="009476BA"/>
    <w:rsid w:val="009479D2"/>
    <w:rsid w:val="00947C23"/>
    <w:rsid w:val="00947DEE"/>
    <w:rsid w:val="009500AB"/>
    <w:rsid w:val="00950121"/>
    <w:rsid w:val="0095027B"/>
    <w:rsid w:val="00950313"/>
    <w:rsid w:val="0095056C"/>
    <w:rsid w:val="0095068A"/>
    <w:rsid w:val="009506A9"/>
    <w:rsid w:val="009508B3"/>
    <w:rsid w:val="00950922"/>
    <w:rsid w:val="00950948"/>
    <w:rsid w:val="00950A26"/>
    <w:rsid w:val="00950C26"/>
    <w:rsid w:val="00950C9E"/>
    <w:rsid w:val="00950DFF"/>
    <w:rsid w:val="00950EF4"/>
    <w:rsid w:val="009513B7"/>
    <w:rsid w:val="00951426"/>
    <w:rsid w:val="00951471"/>
    <w:rsid w:val="00951482"/>
    <w:rsid w:val="00951713"/>
    <w:rsid w:val="00951AB3"/>
    <w:rsid w:val="00951D10"/>
    <w:rsid w:val="00951DA9"/>
    <w:rsid w:val="0095223E"/>
    <w:rsid w:val="0095282A"/>
    <w:rsid w:val="00952AD5"/>
    <w:rsid w:val="00952D90"/>
    <w:rsid w:val="00952DAD"/>
    <w:rsid w:val="0095328E"/>
    <w:rsid w:val="009535EA"/>
    <w:rsid w:val="0095399C"/>
    <w:rsid w:val="00953B17"/>
    <w:rsid w:val="00953B34"/>
    <w:rsid w:val="00953C90"/>
    <w:rsid w:val="00953CB3"/>
    <w:rsid w:val="00953F12"/>
    <w:rsid w:val="00953FCD"/>
    <w:rsid w:val="0095402B"/>
    <w:rsid w:val="009544C5"/>
    <w:rsid w:val="009547AD"/>
    <w:rsid w:val="00954827"/>
    <w:rsid w:val="0095483A"/>
    <w:rsid w:val="00954AF3"/>
    <w:rsid w:val="00954C6B"/>
    <w:rsid w:val="00954CB8"/>
    <w:rsid w:val="00955105"/>
    <w:rsid w:val="00955146"/>
    <w:rsid w:val="0095537B"/>
    <w:rsid w:val="009553F0"/>
    <w:rsid w:val="009556EF"/>
    <w:rsid w:val="009558BB"/>
    <w:rsid w:val="00955C4A"/>
    <w:rsid w:val="00955D4D"/>
    <w:rsid w:val="00955DE3"/>
    <w:rsid w:val="00955F10"/>
    <w:rsid w:val="00955F94"/>
    <w:rsid w:val="009560C4"/>
    <w:rsid w:val="00956145"/>
    <w:rsid w:val="009563C3"/>
    <w:rsid w:val="00956509"/>
    <w:rsid w:val="00956745"/>
    <w:rsid w:val="00956A14"/>
    <w:rsid w:val="00956A1C"/>
    <w:rsid w:val="00956EDF"/>
    <w:rsid w:val="009572A1"/>
    <w:rsid w:val="009572B5"/>
    <w:rsid w:val="0095733C"/>
    <w:rsid w:val="00957889"/>
    <w:rsid w:val="00957A2F"/>
    <w:rsid w:val="00957C50"/>
    <w:rsid w:val="00957F29"/>
    <w:rsid w:val="00960167"/>
    <w:rsid w:val="00960289"/>
    <w:rsid w:val="009603D0"/>
    <w:rsid w:val="009607B2"/>
    <w:rsid w:val="009607DB"/>
    <w:rsid w:val="009608A0"/>
    <w:rsid w:val="00960946"/>
    <w:rsid w:val="00960ACB"/>
    <w:rsid w:val="00960D12"/>
    <w:rsid w:val="00960D9B"/>
    <w:rsid w:val="00960EF0"/>
    <w:rsid w:val="00960F3C"/>
    <w:rsid w:val="00960FDF"/>
    <w:rsid w:val="009617DE"/>
    <w:rsid w:val="0096191C"/>
    <w:rsid w:val="00961D62"/>
    <w:rsid w:val="00962041"/>
    <w:rsid w:val="00962163"/>
    <w:rsid w:val="009622A4"/>
    <w:rsid w:val="009622AD"/>
    <w:rsid w:val="00962598"/>
    <w:rsid w:val="009626A3"/>
    <w:rsid w:val="009626D9"/>
    <w:rsid w:val="00962A61"/>
    <w:rsid w:val="00962B4A"/>
    <w:rsid w:val="00962BAA"/>
    <w:rsid w:val="00962E72"/>
    <w:rsid w:val="00962F9F"/>
    <w:rsid w:val="009632D5"/>
    <w:rsid w:val="0096375B"/>
    <w:rsid w:val="00963B37"/>
    <w:rsid w:val="00963C35"/>
    <w:rsid w:val="00963F98"/>
    <w:rsid w:val="009640B6"/>
    <w:rsid w:val="009640CB"/>
    <w:rsid w:val="00964113"/>
    <w:rsid w:val="00964159"/>
    <w:rsid w:val="009644BC"/>
    <w:rsid w:val="00964508"/>
    <w:rsid w:val="00964654"/>
    <w:rsid w:val="0096479B"/>
    <w:rsid w:val="0096488F"/>
    <w:rsid w:val="009649AD"/>
    <w:rsid w:val="00964FF3"/>
    <w:rsid w:val="009652FD"/>
    <w:rsid w:val="00965536"/>
    <w:rsid w:val="00965ACB"/>
    <w:rsid w:val="00965B9C"/>
    <w:rsid w:val="00965E02"/>
    <w:rsid w:val="00966158"/>
    <w:rsid w:val="00966C00"/>
    <w:rsid w:val="00966F24"/>
    <w:rsid w:val="00966FEE"/>
    <w:rsid w:val="00967124"/>
    <w:rsid w:val="009671F5"/>
    <w:rsid w:val="009677B7"/>
    <w:rsid w:val="00967861"/>
    <w:rsid w:val="009678AF"/>
    <w:rsid w:val="009678E1"/>
    <w:rsid w:val="00967A81"/>
    <w:rsid w:val="00967B5F"/>
    <w:rsid w:val="00967BDF"/>
    <w:rsid w:val="00970268"/>
    <w:rsid w:val="0097068F"/>
    <w:rsid w:val="00970786"/>
    <w:rsid w:val="00970A09"/>
    <w:rsid w:val="00970B7C"/>
    <w:rsid w:val="00970B7F"/>
    <w:rsid w:val="00970BCE"/>
    <w:rsid w:val="00970C0C"/>
    <w:rsid w:val="00970DB7"/>
    <w:rsid w:val="00970DBB"/>
    <w:rsid w:val="00970DFB"/>
    <w:rsid w:val="00970EFA"/>
    <w:rsid w:val="00970FBB"/>
    <w:rsid w:val="00971326"/>
    <w:rsid w:val="0097158C"/>
    <w:rsid w:val="009715B7"/>
    <w:rsid w:val="009717EB"/>
    <w:rsid w:val="00972037"/>
    <w:rsid w:val="0097250F"/>
    <w:rsid w:val="00972540"/>
    <w:rsid w:val="009725AB"/>
    <w:rsid w:val="00972B0C"/>
    <w:rsid w:val="00972D2D"/>
    <w:rsid w:val="00972FD7"/>
    <w:rsid w:val="00973277"/>
    <w:rsid w:val="009733A7"/>
    <w:rsid w:val="00973454"/>
    <w:rsid w:val="009735C9"/>
    <w:rsid w:val="009736EE"/>
    <w:rsid w:val="00973764"/>
    <w:rsid w:val="00973C93"/>
    <w:rsid w:val="0097404C"/>
    <w:rsid w:val="00974089"/>
    <w:rsid w:val="00974B63"/>
    <w:rsid w:val="00974BD0"/>
    <w:rsid w:val="00974C0E"/>
    <w:rsid w:val="00974C29"/>
    <w:rsid w:val="0097505C"/>
    <w:rsid w:val="0097541B"/>
    <w:rsid w:val="00975AAA"/>
    <w:rsid w:val="00975BF4"/>
    <w:rsid w:val="00975C2E"/>
    <w:rsid w:val="00975D59"/>
    <w:rsid w:val="00975FEA"/>
    <w:rsid w:val="00976378"/>
    <w:rsid w:val="009764A0"/>
    <w:rsid w:val="009764E4"/>
    <w:rsid w:val="00976608"/>
    <w:rsid w:val="00976868"/>
    <w:rsid w:val="00976A2E"/>
    <w:rsid w:val="00976C68"/>
    <w:rsid w:val="00976F6E"/>
    <w:rsid w:val="009771BF"/>
    <w:rsid w:val="009772BD"/>
    <w:rsid w:val="009773B3"/>
    <w:rsid w:val="009773C8"/>
    <w:rsid w:val="009773F9"/>
    <w:rsid w:val="009773FA"/>
    <w:rsid w:val="0097775C"/>
    <w:rsid w:val="009777CE"/>
    <w:rsid w:val="0097798F"/>
    <w:rsid w:val="00977A43"/>
    <w:rsid w:val="00977AC2"/>
    <w:rsid w:val="00977C0C"/>
    <w:rsid w:val="00977EC6"/>
    <w:rsid w:val="00977ED0"/>
    <w:rsid w:val="00977F49"/>
    <w:rsid w:val="0098000D"/>
    <w:rsid w:val="009804FA"/>
    <w:rsid w:val="00980609"/>
    <w:rsid w:val="009808D8"/>
    <w:rsid w:val="00980948"/>
    <w:rsid w:val="0098097C"/>
    <w:rsid w:val="00980A3E"/>
    <w:rsid w:val="00980A4A"/>
    <w:rsid w:val="00980BCB"/>
    <w:rsid w:val="00981351"/>
    <w:rsid w:val="00981522"/>
    <w:rsid w:val="009816C3"/>
    <w:rsid w:val="00981920"/>
    <w:rsid w:val="00981952"/>
    <w:rsid w:val="0098199D"/>
    <w:rsid w:val="00981C71"/>
    <w:rsid w:val="00981ECD"/>
    <w:rsid w:val="009823F1"/>
    <w:rsid w:val="009824A2"/>
    <w:rsid w:val="009826D0"/>
    <w:rsid w:val="00982DCE"/>
    <w:rsid w:val="00982E50"/>
    <w:rsid w:val="0098317B"/>
    <w:rsid w:val="009831A9"/>
    <w:rsid w:val="00983205"/>
    <w:rsid w:val="0098327F"/>
    <w:rsid w:val="009833D5"/>
    <w:rsid w:val="00983487"/>
    <w:rsid w:val="009838FA"/>
    <w:rsid w:val="00983A93"/>
    <w:rsid w:val="00983F59"/>
    <w:rsid w:val="009840CE"/>
    <w:rsid w:val="0098412A"/>
    <w:rsid w:val="009842D2"/>
    <w:rsid w:val="009842DF"/>
    <w:rsid w:val="0098431A"/>
    <w:rsid w:val="00984631"/>
    <w:rsid w:val="0098471C"/>
    <w:rsid w:val="009848DA"/>
    <w:rsid w:val="00984A4B"/>
    <w:rsid w:val="00984AA0"/>
    <w:rsid w:val="00984B6F"/>
    <w:rsid w:val="00984F49"/>
    <w:rsid w:val="0098507C"/>
    <w:rsid w:val="009850FA"/>
    <w:rsid w:val="00985100"/>
    <w:rsid w:val="009854CB"/>
    <w:rsid w:val="009855D2"/>
    <w:rsid w:val="00985791"/>
    <w:rsid w:val="009859AC"/>
    <w:rsid w:val="00985AC0"/>
    <w:rsid w:val="00985AFE"/>
    <w:rsid w:val="00985CEE"/>
    <w:rsid w:val="00986066"/>
    <w:rsid w:val="009862E8"/>
    <w:rsid w:val="0098639C"/>
    <w:rsid w:val="009863D9"/>
    <w:rsid w:val="009863DE"/>
    <w:rsid w:val="009863E1"/>
    <w:rsid w:val="0098666D"/>
    <w:rsid w:val="00986864"/>
    <w:rsid w:val="00986936"/>
    <w:rsid w:val="00986A36"/>
    <w:rsid w:val="00986B53"/>
    <w:rsid w:val="00986B76"/>
    <w:rsid w:val="00986DD5"/>
    <w:rsid w:val="00987142"/>
    <w:rsid w:val="0098740A"/>
    <w:rsid w:val="00987534"/>
    <w:rsid w:val="00987614"/>
    <w:rsid w:val="00987702"/>
    <w:rsid w:val="0098779C"/>
    <w:rsid w:val="00987E2B"/>
    <w:rsid w:val="00987E48"/>
    <w:rsid w:val="00987FC5"/>
    <w:rsid w:val="009901A2"/>
    <w:rsid w:val="009903BE"/>
    <w:rsid w:val="009906BF"/>
    <w:rsid w:val="009907F2"/>
    <w:rsid w:val="00990B0A"/>
    <w:rsid w:val="00990E39"/>
    <w:rsid w:val="00991114"/>
    <w:rsid w:val="00991299"/>
    <w:rsid w:val="00991325"/>
    <w:rsid w:val="009913ED"/>
    <w:rsid w:val="009913EF"/>
    <w:rsid w:val="00991800"/>
    <w:rsid w:val="00991A9F"/>
    <w:rsid w:val="00991C43"/>
    <w:rsid w:val="00991CD7"/>
    <w:rsid w:val="00991FE3"/>
    <w:rsid w:val="00992735"/>
    <w:rsid w:val="00992BAC"/>
    <w:rsid w:val="00992C7C"/>
    <w:rsid w:val="00992D4E"/>
    <w:rsid w:val="00992DB6"/>
    <w:rsid w:val="00993004"/>
    <w:rsid w:val="00993056"/>
    <w:rsid w:val="00993400"/>
    <w:rsid w:val="00993562"/>
    <w:rsid w:val="00993728"/>
    <w:rsid w:val="009938E6"/>
    <w:rsid w:val="0099396A"/>
    <w:rsid w:val="009939A3"/>
    <w:rsid w:val="00993AEA"/>
    <w:rsid w:val="00993B3B"/>
    <w:rsid w:val="00993B98"/>
    <w:rsid w:val="00993C29"/>
    <w:rsid w:val="00993D6F"/>
    <w:rsid w:val="00993DDD"/>
    <w:rsid w:val="00993E5E"/>
    <w:rsid w:val="009940A0"/>
    <w:rsid w:val="009943B0"/>
    <w:rsid w:val="0099440C"/>
    <w:rsid w:val="009945DD"/>
    <w:rsid w:val="00994649"/>
    <w:rsid w:val="009946EC"/>
    <w:rsid w:val="009949A9"/>
    <w:rsid w:val="00994A51"/>
    <w:rsid w:val="00994B76"/>
    <w:rsid w:val="00994BD9"/>
    <w:rsid w:val="00994D1B"/>
    <w:rsid w:val="00994FE4"/>
    <w:rsid w:val="009950B7"/>
    <w:rsid w:val="009950CF"/>
    <w:rsid w:val="00995369"/>
    <w:rsid w:val="009954C3"/>
    <w:rsid w:val="0099555F"/>
    <w:rsid w:val="0099559C"/>
    <w:rsid w:val="0099561F"/>
    <w:rsid w:val="00995668"/>
    <w:rsid w:val="00995CEC"/>
    <w:rsid w:val="00995ECC"/>
    <w:rsid w:val="0099602A"/>
    <w:rsid w:val="0099625D"/>
    <w:rsid w:val="009964F7"/>
    <w:rsid w:val="0099650D"/>
    <w:rsid w:val="009969AF"/>
    <w:rsid w:val="00997145"/>
    <w:rsid w:val="00997542"/>
    <w:rsid w:val="0099762E"/>
    <w:rsid w:val="00997691"/>
    <w:rsid w:val="00997C83"/>
    <w:rsid w:val="00997C8A"/>
    <w:rsid w:val="00997CDC"/>
    <w:rsid w:val="00997ED7"/>
    <w:rsid w:val="00997F27"/>
    <w:rsid w:val="00997F40"/>
    <w:rsid w:val="009A01DB"/>
    <w:rsid w:val="009A044A"/>
    <w:rsid w:val="009A0478"/>
    <w:rsid w:val="009A04B5"/>
    <w:rsid w:val="009A059D"/>
    <w:rsid w:val="009A05B5"/>
    <w:rsid w:val="009A0889"/>
    <w:rsid w:val="009A0979"/>
    <w:rsid w:val="009A0D96"/>
    <w:rsid w:val="009A0DD0"/>
    <w:rsid w:val="009A11DD"/>
    <w:rsid w:val="009A1398"/>
    <w:rsid w:val="009A15D5"/>
    <w:rsid w:val="009A17A9"/>
    <w:rsid w:val="009A1874"/>
    <w:rsid w:val="009A1D6D"/>
    <w:rsid w:val="009A1D83"/>
    <w:rsid w:val="009A1E9D"/>
    <w:rsid w:val="009A20C9"/>
    <w:rsid w:val="009A2125"/>
    <w:rsid w:val="009A242D"/>
    <w:rsid w:val="009A25AA"/>
    <w:rsid w:val="009A25D3"/>
    <w:rsid w:val="009A27C9"/>
    <w:rsid w:val="009A288C"/>
    <w:rsid w:val="009A28C2"/>
    <w:rsid w:val="009A2A0A"/>
    <w:rsid w:val="009A2A93"/>
    <w:rsid w:val="009A2B96"/>
    <w:rsid w:val="009A2CFB"/>
    <w:rsid w:val="009A2FB1"/>
    <w:rsid w:val="009A2FC1"/>
    <w:rsid w:val="009A30E9"/>
    <w:rsid w:val="009A3607"/>
    <w:rsid w:val="009A3634"/>
    <w:rsid w:val="009A366F"/>
    <w:rsid w:val="009A3712"/>
    <w:rsid w:val="009A3897"/>
    <w:rsid w:val="009A39F0"/>
    <w:rsid w:val="009A3C08"/>
    <w:rsid w:val="009A3C10"/>
    <w:rsid w:val="009A3D1D"/>
    <w:rsid w:val="009A3DB3"/>
    <w:rsid w:val="009A43F0"/>
    <w:rsid w:val="009A496A"/>
    <w:rsid w:val="009A4C20"/>
    <w:rsid w:val="009A4F49"/>
    <w:rsid w:val="009A54CB"/>
    <w:rsid w:val="009A5556"/>
    <w:rsid w:val="009A5602"/>
    <w:rsid w:val="009A562C"/>
    <w:rsid w:val="009A5A4A"/>
    <w:rsid w:val="009A5BE7"/>
    <w:rsid w:val="009A5E4D"/>
    <w:rsid w:val="009A5E89"/>
    <w:rsid w:val="009A6008"/>
    <w:rsid w:val="009A6275"/>
    <w:rsid w:val="009A629E"/>
    <w:rsid w:val="009A6391"/>
    <w:rsid w:val="009A6655"/>
    <w:rsid w:val="009A6B73"/>
    <w:rsid w:val="009A6DFB"/>
    <w:rsid w:val="009A6F31"/>
    <w:rsid w:val="009A7172"/>
    <w:rsid w:val="009A7205"/>
    <w:rsid w:val="009A7599"/>
    <w:rsid w:val="009A77AC"/>
    <w:rsid w:val="009A78A3"/>
    <w:rsid w:val="009A790F"/>
    <w:rsid w:val="009A7BD7"/>
    <w:rsid w:val="009A7D21"/>
    <w:rsid w:val="009B00E9"/>
    <w:rsid w:val="009B03C3"/>
    <w:rsid w:val="009B04C0"/>
    <w:rsid w:val="009B074F"/>
    <w:rsid w:val="009B081B"/>
    <w:rsid w:val="009B0AC0"/>
    <w:rsid w:val="009B0D8C"/>
    <w:rsid w:val="009B1362"/>
    <w:rsid w:val="009B1629"/>
    <w:rsid w:val="009B1786"/>
    <w:rsid w:val="009B219A"/>
    <w:rsid w:val="009B21A5"/>
    <w:rsid w:val="009B227B"/>
    <w:rsid w:val="009B248D"/>
    <w:rsid w:val="009B2790"/>
    <w:rsid w:val="009B2845"/>
    <w:rsid w:val="009B28BA"/>
    <w:rsid w:val="009B2B91"/>
    <w:rsid w:val="009B2F69"/>
    <w:rsid w:val="009B3030"/>
    <w:rsid w:val="009B30DF"/>
    <w:rsid w:val="009B30FD"/>
    <w:rsid w:val="009B325C"/>
    <w:rsid w:val="009B32B9"/>
    <w:rsid w:val="009B34C9"/>
    <w:rsid w:val="009B3525"/>
    <w:rsid w:val="009B360B"/>
    <w:rsid w:val="009B36F4"/>
    <w:rsid w:val="009B3965"/>
    <w:rsid w:val="009B3A68"/>
    <w:rsid w:val="009B3BD4"/>
    <w:rsid w:val="009B3D49"/>
    <w:rsid w:val="009B41A8"/>
    <w:rsid w:val="009B49B1"/>
    <w:rsid w:val="009B49C8"/>
    <w:rsid w:val="009B4A9D"/>
    <w:rsid w:val="009B4AC8"/>
    <w:rsid w:val="009B5091"/>
    <w:rsid w:val="009B50F7"/>
    <w:rsid w:val="009B5322"/>
    <w:rsid w:val="009B5377"/>
    <w:rsid w:val="009B53F2"/>
    <w:rsid w:val="009B54EB"/>
    <w:rsid w:val="009B5584"/>
    <w:rsid w:val="009B578D"/>
    <w:rsid w:val="009B5819"/>
    <w:rsid w:val="009B5B7D"/>
    <w:rsid w:val="009B5CEA"/>
    <w:rsid w:val="009B5DA8"/>
    <w:rsid w:val="009B5DB0"/>
    <w:rsid w:val="009B5E20"/>
    <w:rsid w:val="009B5FE0"/>
    <w:rsid w:val="009B603D"/>
    <w:rsid w:val="009B65DD"/>
    <w:rsid w:val="009B68D4"/>
    <w:rsid w:val="009B6A2C"/>
    <w:rsid w:val="009B6A7D"/>
    <w:rsid w:val="009B6B64"/>
    <w:rsid w:val="009B7077"/>
    <w:rsid w:val="009B715C"/>
    <w:rsid w:val="009B729C"/>
    <w:rsid w:val="009B7556"/>
    <w:rsid w:val="009B761B"/>
    <w:rsid w:val="009B77E4"/>
    <w:rsid w:val="009C09BB"/>
    <w:rsid w:val="009C0A65"/>
    <w:rsid w:val="009C0AC9"/>
    <w:rsid w:val="009C0B59"/>
    <w:rsid w:val="009C0F32"/>
    <w:rsid w:val="009C10FC"/>
    <w:rsid w:val="009C11DC"/>
    <w:rsid w:val="009C13F3"/>
    <w:rsid w:val="009C162A"/>
    <w:rsid w:val="009C176A"/>
    <w:rsid w:val="009C18BF"/>
    <w:rsid w:val="009C1B19"/>
    <w:rsid w:val="009C1B8C"/>
    <w:rsid w:val="009C1CA0"/>
    <w:rsid w:val="009C1E46"/>
    <w:rsid w:val="009C1FE5"/>
    <w:rsid w:val="009C265B"/>
    <w:rsid w:val="009C285D"/>
    <w:rsid w:val="009C2989"/>
    <w:rsid w:val="009C29BB"/>
    <w:rsid w:val="009C2B52"/>
    <w:rsid w:val="009C2B53"/>
    <w:rsid w:val="009C311D"/>
    <w:rsid w:val="009C31C7"/>
    <w:rsid w:val="009C3366"/>
    <w:rsid w:val="009C3917"/>
    <w:rsid w:val="009C3E0C"/>
    <w:rsid w:val="009C43C1"/>
    <w:rsid w:val="009C44CD"/>
    <w:rsid w:val="009C4519"/>
    <w:rsid w:val="009C4566"/>
    <w:rsid w:val="009C45AD"/>
    <w:rsid w:val="009C4629"/>
    <w:rsid w:val="009C46C3"/>
    <w:rsid w:val="009C48FD"/>
    <w:rsid w:val="009C49C0"/>
    <w:rsid w:val="009C4AFD"/>
    <w:rsid w:val="009C52BF"/>
    <w:rsid w:val="009C5825"/>
    <w:rsid w:val="009C5856"/>
    <w:rsid w:val="009C59C1"/>
    <w:rsid w:val="009C6077"/>
    <w:rsid w:val="009C64B2"/>
    <w:rsid w:val="009C6582"/>
    <w:rsid w:val="009C68E3"/>
    <w:rsid w:val="009C6D43"/>
    <w:rsid w:val="009C6D51"/>
    <w:rsid w:val="009C6EA1"/>
    <w:rsid w:val="009C6F6E"/>
    <w:rsid w:val="009C7073"/>
    <w:rsid w:val="009C70D2"/>
    <w:rsid w:val="009C720B"/>
    <w:rsid w:val="009C75F2"/>
    <w:rsid w:val="009C7701"/>
    <w:rsid w:val="009C77A0"/>
    <w:rsid w:val="009C7E73"/>
    <w:rsid w:val="009C7F1D"/>
    <w:rsid w:val="009C7F72"/>
    <w:rsid w:val="009D0096"/>
    <w:rsid w:val="009D012C"/>
    <w:rsid w:val="009D0199"/>
    <w:rsid w:val="009D01CF"/>
    <w:rsid w:val="009D0947"/>
    <w:rsid w:val="009D09B3"/>
    <w:rsid w:val="009D0A1B"/>
    <w:rsid w:val="009D0B3E"/>
    <w:rsid w:val="009D0C08"/>
    <w:rsid w:val="009D0D28"/>
    <w:rsid w:val="009D0E8E"/>
    <w:rsid w:val="009D0F4E"/>
    <w:rsid w:val="009D1133"/>
    <w:rsid w:val="009D1261"/>
    <w:rsid w:val="009D12D7"/>
    <w:rsid w:val="009D17C1"/>
    <w:rsid w:val="009D1877"/>
    <w:rsid w:val="009D1CB9"/>
    <w:rsid w:val="009D1D13"/>
    <w:rsid w:val="009D2036"/>
    <w:rsid w:val="009D222F"/>
    <w:rsid w:val="009D22B6"/>
    <w:rsid w:val="009D23D1"/>
    <w:rsid w:val="009D25C5"/>
    <w:rsid w:val="009D2AD2"/>
    <w:rsid w:val="009D2B63"/>
    <w:rsid w:val="009D2B8C"/>
    <w:rsid w:val="009D2E64"/>
    <w:rsid w:val="009D2E9E"/>
    <w:rsid w:val="009D3112"/>
    <w:rsid w:val="009D3260"/>
    <w:rsid w:val="009D32EB"/>
    <w:rsid w:val="009D32FE"/>
    <w:rsid w:val="009D34BE"/>
    <w:rsid w:val="009D35C6"/>
    <w:rsid w:val="009D3B59"/>
    <w:rsid w:val="009D3B70"/>
    <w:rsid w:val="009D3CBC"/>
    <w:rsid w:val="009D3EAC"/>
    <w:rsid w:val="009D4063"/>
    <w:rsid w:val="009D41A0"/>
    <w:rsid w:val="009D4456"/>
    <w:rsid w:val="009D4487"/>
    <w:rsid w:val="009D47D3"/>
    <w:rsid w:val="009D47EF"/>
    <w:rsid w:val="009D4C65"/>
    <w:rsid w:val="009D4CDD"/>
    <w:rsid w:val="009D4D36"/>
    <w:rsid w:val="009D4F20"/>
    <w:rsid w:val="009D4FB8"/>
    <w:rsid w:val="009D5045"/>
    <w:rsid w:val="009D5050"/>
    <w:rsid w:val="009D5157"/>
    <w:rsid w:val="009D51EB"/>
    <w:rsid w:val="009D52B6"/>
    <w:rsid w:val="009D5372"/>
    <w:rsid w:val="009D538A"/>
    <w:rsid w:val="009D542F"/>
    <w:rsid w:val="009D552A"/>
    <w:rsid w:val="009D5809"/>
    <w:rsid w:val="009D584D"/>
    <w:rsid w:val="009D5E5E"/>
    <w:rsid w:val="009D6164"/>
    <w:rsid w:val="009D6358"/>
    <w:rsid w:val="009D649B"/>
    <w:rsid w:val="009D66D2"/>
    <w:rsid w:val="009D6738"/>
    <w:rsid w:val="009D67DF"/>
    <w:rsid w:val="009D6A6E"/>
    <w:rsid w:val="009D6B35"/>
    <w:rsid w:val="009D6CA6"/>
    <w:rsid w:val="009D7044"/>
    <w:rsid w:val="009D7112"/>
    <w:rsid w:val="009D71AD"/>
    <w:rsid w:val="009D721A"/>
    <w:rsid w:val="009D743B"/>
    <w:rsid w:val="009D75DB"/>
    <w:rsid w:val="009D76E2"/>
    <w:rsid w:val="009D78F6"/>
    <w:rsid w:val="009D79DC"/>
    <w:rsid w:val="009D7EB9"/>
    <w:rsid w:val="009D7F9F"/>
    <w:rsid w:val="009E01A4"/>
    <w:rsid w:val="009E01BB"/>
    <w:rsid w:val="009E0A14"/>
    <w:rsid w:val="009E0B0F"/>
    <w:rsid w:val="009E0B1A"/>
    <w:rsid w:val="009E0BB0"/>
    <w:rsid w:val="009E0D8C"/>
    <w:rsid w:val="009E11D0"/>
    <w:rsid w:val="009E11F5"/>
    <w:rsid w:val="009E1448"/>
    <w:rsid w:val="009E17F7"/>
    <w:rsid w:val="009E183B"/>
    <w:rsid w:val="009E18B2"/>
    <w:rsid w:val="009E1924"/>
    <w:rsid w:val="009E1A59"/>
    <w:rsid w:val="009E1BAB"/>
    <w:rsid w:val="009E1CC3"/>
    <w:rsid w:val="009E1D9F"/>
    <w:rsid w:val="009E1FFD"/>
    <w:rsid w:val="009E2145"/>
    <w:rsid w:val="009E219D"/>
    <w:rsid w:val="009E21A6"/>
    <w:rsid w:val="009E2703"/>
    <w:rsid w:val="009E2BD4"/>
    <w:rsid w:val="009E2F5F"/>
    <w:rsid w:val="009E31A6"/>
    <w:rsid w:val="009E3B29"/>
    <w:rsid w:val="009E3B46"/>
    <w:rsid w:val="009E3B68"/>
    <w:rsid w:val="009E3BC2"/>
    <w:rsid w:val="009E3F52"/>
    <w:rsid w:val="009E3FEF"/>
    <w:rsid w:val="009E43CE"/>
    <w:rsid w:val="009E4AEA"/>
    <w:rsid w:val="009E4D87"/>
    <w:rsid w:val="009E4E32"/>
    <w:rsid w:val="009E4F72"/>
    <w:rsid w:val="009E50DA"/>
    <w:rsid w:val="009E5111"/>
    <w:rsid w:val="009E53B5"/>
    <w:rsid w:val="009E54D5"/>
    <w:rsid w:val="009E5503"/>
    <w:rsid w:val="009E55C3"/>
    <w:rsid w:val="009E560D"/>
    <w:rsid w:val="009E5A20"/>
    <w:rsid w:val="009E5A87"/>
    <w:rsid w:val="009E5CBA"/>
    <w:rsid w:val="009E6196"/>
    <w:rsid w:val="009E65F5"/>
    <w:rsid w:val="009E668B"/>
    <w:rsid w:val="009E6729"/>
    <w:rsid w:val="009E67FC"/>
    <w:rsid w:val="009E697E"/>
    <w:rsid w:val="009E6CB9"/>
    <w:rsid w:val="009E6F59"/>
    <w:rsid w:val="009E70A8"/>
    <w:rsid w:val="009E7180"/>
    <w:rsid w:val="009E7197"/>
    <w:rsid w:val="009E72B3"/>
    <w:rsid w:val="009E735B"/>
    <w:rsid w:val="009E74FC"/>
    <w:rsid w:val="009E75C0"/>
    <w:rsid w:val="009E770E"/>
    <w:rsid w:val="009E78E0"/>
    <w:rsid w:val="009E7A4F"/>
    <w:rsid w:val="009E7C4C"/>
    <w:rsid w:val="009F021E"/>
    <w:rsid w:val="009F0648"/>
    <w:rsid w:val="009F0731"/>
    <w:rsid w:val="009F09FD"/>
    <w:rsid w:val="009F0ABF"/>
    <w:rsid w:val="009F0CD4"/>
    <w:rsid w:val="009F0D12"/>
    <w:rsid w:val="009F0D21"/>
    <w:rsid w:val="009F0D7C"/>
    <w:rsid w:val="009F0DE4"/>
    <w:rsid w:val="009F0F02"/>
    <w:rsid w:val="009F10BD"/>
    <w:rsid w:val="009F14CC"/>
    <w:rsid w:val="009F159A"/>
    <w:rsid w:val="009F16E6"/>
    <w:rsid w:val="009F17A6"/>
    <w:rsid w:val="009F1855"/>
    <w:rsid w:val="009F19EE"/>
    <w:rsid w:val="009F1B8B"/>
    <w:rsid w:val="009F21A2"/>
    <w:rsid w:val="009F224F"/>
    <w:rsid w:val="009F25D5"/>
    <w:rsid w:val="009F2669"/>
    <w:rsid w:val="009F2711"/>
    <w:rsid w:val="009F279D"/>
    <w:rsid w:val="009F29E4"/>
    <w:rsid w:val="009F2A09"/>
    <w:rsid w:val="009F2A2A"/>
    <w:rsid w:val="009F2C92"/>
    <w:rsid w:val="009F2FED"/>
    <w:rsid w:val="009F301B"/>
    <w:rsid w:val="009F3038"/>
    <w:rsid w:val="009F32CF"/>
    <w:rsid w:val="009F33E6"/>
    <w:rsid w:val="009F362C"/>
    <w:rsid w:val="009F3811"/>
    <w:rsid w:val="009F3885"/>
    <w:rsid w:val="009F3C5D"/>
    <w:rsid w:val="009F3C67"/>
    <w:rsid w:val="009F40AF"/>
    <w:rsid w:val="009F40ED"/>
    <w:rsid w:val="009F42E7"/>
    <w:rsid w:val="009F4345"/>
    <w:rsid w:val="009F44C2"/>
    <w:rsid w:val="009F4507"/>
    <w:rsid w:val="009F46A3"/>
    <w:rsid w:val="009F49E2"/>
    <w:rsid w:val="009F4D9B"/>
    <w:rsid w:val="009F4DD8"/>
    <w:rsid w:val="009F4FE8"/>
    <w:rsid w:val="009F51C1"/>
    <w:rsid w:val="009F5230"/>
    <w:rsid w:val="009F528B"/>
    <w:rsid w:val="009F55B5"/>
    <w:rsid w:val="009F5844"/>
    <w:rsid w:val="009F592D"/>
    <w:rsid w:val="009F59C0"/>
    <w:rsid w:val="009F5E8B"/>
    <w:rsid w:val="009F5F6A"/>
    <w:rsid w:val="009F6222"/>
    <w:rsid w:val="009F62A1"/>
    <w:rsid w:val="009F6301"/>
    <w:rsid w:val="009F6688"/>
    <w:rsid w:val="009F671C"/>
    <w:rsid w:val="009F6798"/>
    <w:rsid w:val="009F67CF"/>
    <w:rsid w:val="009F6924"/>
    <w:rsid w:val="009F6970"/>
    <w:rsid w:val="009F6C45"/>
    <w:rsid w:val="009F6C87"/>
    <w:rsid w:val="009F6C90"/>
    <w:rsid w:val="009F6DCD"/>
    <w:rsid w:val="009F6E89"/>
    <w:rsid w:val="009F6F00"/>
    <w:rsid w:val="009F6F23"/>
    <w:rsid w:val="009F6F3A"/>
    <w:rsid w:val="009F736B"/>
    <w:rsid w:val="009F7663"/>
    <w:rsid w:val="009F76BB"/>
    <w:rsid w:val="009F773D"/>
    <w:rsid w:val="009F77A4"/>
    <w:rsid w:val="009F7BDB"/>
    <w:rsid w:val="009F7C41"/>
    <w:rsid w:val="00A0025F"/>
    <w:rsid w:val="00A00395"/>
    <w:rsid w:val="00A003A2"/>
    <w:rsid w:val="00A0079B"/>
    <w:rsid w:val="00A00980"/>
    <w:rsid w:val="00A00ABB"/>
    <w:rsid w:val="00A00C49"/>
    <w:rsid w:val="00A00C82"/>
    <w:rsid w:val="00A00D48"/>
    <w:rsid w:val="00A00ED0"/>
    <w:rsid w:val="00A010F6"/>
    <w:rsid w:val="00A01209"/>
    <w:rsid w:val="00A01271"/>
    <w:rsid w:val="00A01490"/>
    <w:rsid w:val="00A014CF"/>
    <w:rsid w:val="00A01612"/>
    <w:rsid w:val="00A016E6"/>
    <w:rsid w:val="00A01952"/>
    <w:rsid w:val="00A01B4D"/>
    <w:rsid w:val="00A01EEE"/>
    <w:rsid w:val="00A023E5"/>
    <w:rsid w:val="00A0246B"/>
    <w:rsid w:val="00A025D8"/>
    <w:rsid w:val="00A0261D"/>
    <w:rsid w:val="00A029EF"/>
    <w:rsid w:val="00A029F6"/>
    <w:rsid w:val="00A02DC1"/>
    <w:rsid w:val="00A03001"/>
    <w:rsid w:val="00A03301"/>
    <w:rsid w:val="00A0365F"/>
    <w:rsid w:val="00A03A30"/>
    <w:rsid w:val="00A03AC1"/>
    <w:rsid w:val="00A03C87"/>
    <w:rsid w:val="00A03EE4"/>
    <w:rsid w:val="00A03FC5"/>
    <w:rsid w:val="00A042FA"/>
    <w:rsid w:val="00A044A9"/>
    <w:rsid w:val="00A04504"/>
    <w:rsid w:val="00A0463D"/>
    <w:rsid w:val="00A04697"/>
    <w:rsid w:val="00A046F6"/>
    <w:rsid w:val="00A04E8D"/>
    <w:rsid w:val="00A05370"/>
    <w:rsid w:val="00A053C4"/>
    <w:rsid w:val="00A0588F"/>
    <w:rsid w:val="00A05C3D"/>
    <w:rsid w:val="00A05F0F"/>
    <w:rsid w:val="00A0616D"/>
    <w:rsid w:val="00A06343"/>
    <w:rsid w:val="00A0637D"/>
    <w:rsid w:val="00A0669C"/>
    <w:rsid w:val="00A067FB"/>
    <w:rsid w:val="00A068FD"/>
    <w:rsid w:val="00A06BB8"/>
    <w:rsid w:val="00A06D94"/>
    <w:rsid w:val="00A06E1E"/>
    <w:rsid w:val="00A06F58"/>
    <w:rsid w:val="00A070B6"/>
    <w:rsid w:val="00A07521"/>
    <w:rsid w:val="00A075BA"/>
    <w:rsid w:val="00A0773B"/>
    <w:rsid w:val="00A07830"/>
    <w:rsid w:val="00A0795B"/>
    <w:rsid w:val="00A07F30"/>
    <w:rsid w:val="00A10106"/>
    <w:rsid w:val="00A1019D"/>
    <w:rsid w:val="00A10290"/>
    <w:rsid w:val="00A102E9"/>
    <w:rsid w:val="00A10479"/>
    <w:rsid w:val="00A106CB"/>
    <w:rsid w:val="00A10BC2"/>
    <w:rsid w:val="00A10BF4"/>
    <w:rsid w:val="00A10C80"/>
    <w:rsid w:val="00A10D51"/>
    <w:rsid w:val="00A10D78"/>
    <w:rsid w:val="00A10DE1"/>
    <w:rsid w:val="00A10F5E"/>
    <w:rsid w:val="00A10FCB"/>
    <w:rsid w:val="00A10FCE"/>
    <w:rsid w:val="00A10FD6"/>
    <w:rsid w:val="00A11027"/>
    <w:rsid w:val="00A11439"/>
    <w:rsid w:val="00A11876"/>
    <w:rsid w:val="00A1193D"/>
    <w:rsid w:val="00A11978"/>
    <w:rsid w:val="00A11B06"/>
    <w:rsid w:val="00A11B95"/>
    <w:rsid w:val="00A11DF3"/>
    <w:rsid w:val="00A11E6A"/>
    <w:rsid w:val="00A126F4"/>
    <w:rsid w:val="00A1280F"/>
    <w:rsid w:val="00A128A6"/>
    <w:rsid w:val="00A128C8"/>
    <w:rsid w:val="00A12976"/>
    <w:rsid w:val="00A12B11"/>
    <w:rsid w:val="00A12F7B"/>
    <w:rsid w:val="00A12FC1"/>
    <w:rsid w:val="00A13117"/>
    <w:rsid w:val="00A133DB"/>
    <w:rsid w:val="00A13501"/>
    <w:rsid w:val="00A1357B"/>
    <w:rsid w:val="00A13993"/>
    <w:rsid w:val="00A13AAB"/>
    <w:rsid w:val="00A13D1F"/>
    <w:rsid w:val="00A13D3D"/>
    <w:rsid w:val="00A13D71"/>
    <w:rsid w:val="00A13F42"/>
    <w:rsid w:val="00A140E3"/>
    <w:rsid w:val="00A14277"/>
    <w:rsid w:val="00A145AD"/>
    <w:rsid w:val="00A14642"/>
    <w:rsid w:val="00A1480D"/>
    <w:rsid w:val="00A14892"/>
    <w:rsid w:val="00A14A3E"/>
    <w:rsid w:val="00A14A92"/>
    <w:rsid w:val="00A14CBB"/>
    <w:rsid w:val="00A14D5A"/>
    <w:rsid w:val="00A14E44"/>
    <w:rsid w:val="00A14F84"/>
    <w:rsid w:val="00A15041"/>
    <w:rsid w:val="00A15072"/>
    <w:rsid w:val="00A1522B"/>
    <w:rsid w:val="00A1530C"/>
    <w:rsid w:val="00A1553B"/>
    <w:rsid w:val="00A15699"/>
    <w:rsid w:val="00A157A8"/>
    <w:rsid w:val="00A158F2"/>
    <w:rsid w:val="00A15A45"/>
    <w:rsid w:val="00A15BFB"/>
    <w:rsid w:val="00A15EC3"/>
    <w:rsid w:val="00A15FC9"/>
    <w:rsid w:val="00A162B0"/>
    <w:rsid w:val="00A169FE"/>
    <w:rsid w:val="00A16A6E"/>
    <w:rsid w:val="00A170C6"/>
    <w:rsid w:val="00A17156"/>
    <w:rsid w:val="00A1737E"/>
    <w:rsid w:val="00A177C3"/>
    <w:rsid w:val="00A20055"/>
    <w:rsid w:val="00A201B9"/>
    <w:rsid w:val="00A20482"/>
    <w:rsid w:val="00A2053B"/>
    <w:rsid w:val="00A20760"/>
    <w:rsid w:val="00A207C5"/>
    <w:rsid w:val="00A20A81"/>
    <w:rsid w:val="00A20ADE"/>
    <w:rsid w:val="00A20AEF"/>
    <w:rsid w:val="00A20BB8"/>
    <w:rsid w:val="00A20D5D"/>
    <w:rsid w:val="00A20E09"/>
    <w:rsid w:val="00A21113"/>
    <w:rsid w:val="00A211F2"/>
    <w:rsid w:val="00A21220"/>
    <w:rsid w:val="00A2150A"/>
    <w:rsid w:val="00A216D8"/>
    <w:rsid w:val="00A2175A"/>
    <w:rsid w:val="00A217AA"/>
    <w:rsid w:val="00A21874"/>
    <w:rsid w:val="00A21C58"/>
    <w:rsid w:val="00A22084"/>
    <w:rsid w:val="00A22145"/>
    <w:rsid w:val="00A22686"/>
    <w:rsid w:val="00A22945"/>
    <w:rsid w:val="00A22A41"/>
    <w:rsid w:val="00A22B3E"/>
    <w:rsid w:val="00A22CFE"/>
    <w:rsid w:val="00A22F33"/>
    <w:rsid w:val="00A230B7"/>
    <w:rsid w:val="00A2326E"/>
    <w:rsid w:val="00A2330A"/>
    <w:rsid w:val="00A23513"/>
    <w:rsid w:val="00A2378F"/>
    <w:rsid w:val="00A239EE"/>
    <w:rsid w:val="00A23BDF"/>
    <w:rsid w:val="00A23DFD"/>
    <w:rsid w:val="00A23EDC"/>
    <w:rsid w:val="00A23F11"/>
    <w:rsid w:val="00A240CD"/>
    <w:rsid w:val="00A2460F"/>
    <w:rsid w:val="00A246FB"/>
    <w:rsid w:val="00A247EE"/>
    <w:rsid w:val="00A24C20"/>
    <w:rsid w:val="00A24DEC"/>
    <w:rsid w:val="00A24E4E"/>
    <w:rsid w:val="00A24E4F"/>
    <w:rsid w:val="00A25369"/>
    <w:rsid w:val="00A25389"/>
    <w:rsid w:val="00A254DE"/>
    <w:rsid w:val="00A25508"/>
    <w:rsid w:val="00A25624"/>
    <w:rsid w:val="00A257B9"/>
    <w:rsid w:val="00A259B4"/>
    <w:rsid w:val="00A25A84"/>
    <w:rsid w:val="00A25B2F"/>
    <w:rsid w:val="00A25C56"/>
    <w:rsid w:val="00A25DFD"/>
    <w:rsid w:val="00A25F30"/>
    <w:rsid w:val="00A261A5"/>
    <w:rsid w:val="00A2629D"/>
    <w:rsid w:val="00A26550"/>
    <w:rsid w:val="00A2676C"/>
    <w:rsid w:val="00A2676D"/>
    <w:rsid w:val="00A268AB"/>
    <w:rsid w:val="00A26AEC"/>
    <w:rsid w:val="00A26C10"/>
    <w:rsid w:val="00A27138"/>
    <w:rsid w:val="00A273D9"/>
    <w:rsid w:val="00A274D4"/>
    <w:rsid w:val="00A27508"/>
    <w:rsid w:val="00A27631"/>
    <w:rsid w:val="00A27751"/>
    <w:rsid w:val="00A277DE"/>
    <w:rsid w:val="00A27820"/>
    <w:rsid w:val="00A27E85"/>
    <w:rsid w:val="00A27FD7"/>
    <w:rsid w:val="00A3002F"/>
    <w:rsid w:val="00A3014B"/>
    <w:rsid w:val="00A30439"/>
    <w:rsid w:val="00A3048B"/>
    <w:rsid w:val="00A308B3"/>
    <w:rsid w:val="00A30987"/>
    <w:rsid w:val="00A30A13"/>
    <w:rsid w:val="00A30A35"/>
    <w:rsid w:val="00A30ACF"/>
    <w:rsid w:val="00A30F35"/>
    <w:rsid w:val="00A310DC"/>
    <w:rsid w:val="00A3117E"/>
    <w:rsid w:val="00A315EB"/>
    <w:rsid w:val="00A31746"/>
    <w:rsid w:val="00A31BA5"/>
    <w:rsid w:val="00A31F91"/>
    <w:rsid w:val="00A320F0"/>
    <w:rsid w:val="00A321CB"/>
    <w:rsid w:val="00A32308"/>
    <w:rsid w:val="00A3230F"/>
    <w:rsid w:val="00A32323"/>
    <w:rsid w:val="00A3246F"/>
    <w:rsid w:val="00A32BA0"/>
    <w:rsid w:val="00A32C68"/>
    <w:rsid w:val="00A32CC1"/>
    <w:rsid w:val="00A32D62"/>
    <w:rsid w:val="00A32EE6"/>
    <w:rsid w:val="00A3307F"/>
    <w:rsid w:val="00A330B2"/>
    <w:rsid w:val="00A33642"/>
    <w:rsid w:val="00A33775"/>
    <w:rsid w:val="00A33797"/>
    <w:rsid w:val="00A33B5E"/>
    <w:rsid w:val="00A33D21"/>
    <w:rsid w:val="00A33D87"/>
    <w:rsid w:val="00A340FD"/>
    <w:rsid w:val="00A34118"/>
    <w:rsid w:val="00A34182"/>
    <w:rsid w:val="00A34190"/>
    <w:rsid w:val="00A34231"/>
    <w:rsid w:val="00A34364"/>
    <w:rsid w:val="00A34395"/>
    <w:rsid w:val="00A34450"/>
    <w:rsid w:val="00A34879"/>
    <w:rsid w:val="00A34AD1"/>
    <w:rsid w:val="00A34B6A"/>
    <w:rsid w:val="00A34F37"/>
    <w:rsid w:val="00A34F8E"/>
    <w:rsid w:val="00A3520A"/>
    <w:rsid w:val="00A355F7"/>
    <w:rsid w:val="00A35987"/>
    <w:rsid w:val="00A35C86"/>
    <w:rsid w:val="00A35ED6"/>
    <w:rsid w:val="00A35F0E"/>
    <w:rsid w:val="00A35FC7"/>
    <w:rsid w:val="00A362B8"/>
    <w:rsid w:val="00A3649A"/>
    <w:rsid w:val="00A36C42"/>
    <w:rsid w:val="00A36D09"/>
    <w:rsid w:val="00A36E3E"/>
    <w:rsid w:val="00A37087"/>
    <w:rsid w:val="00A371DE"/>
    <w:rsid w:val="00A372C1"/>
    <w:rsid w:val="00A37406"/>
    <w:rsid w:val="00A37706"/>
    <w:rsid w:val="00A37A6C"/>
    <w:rsid w:val="00A37C5E"/>
    <w:rsid w:val="00A37DB7"/>
    <w:rsid w:val="00A37DD6"/>
    <w:rsid w:val="00A37DEC"/>
    <w:rsid w:val="00A401B3"/>
    <w:rsid w:val="00A405AD"/>
    <w:rsid w:val="00A40D47"/>
    <w:rsid w:val="00A40E60"/>
    <w:rsid w:val="00A41041"/>
    <w:rsid w:val="00A41155"/>
    <w:rsid w:val="00A41188"/>
    <w:rsid w:val="00A412CA"/>
    <w:rsid w:val="00A413FD"/>
    <w:rsid w:val="00A4168E"/>
    <w:rsid w:val="00A4183C"/>
    <w:rsid w:val="00A41B41"/>
    <w:rsid w:val="00A41E78"/>
    <w:rsid w:val="00A41F05"/>
    <w:rsid w:val="00A42403"/>
    <w:rsid w:val="00A4270E"/>
    <w:rsid w:val="00A42A4E"/>
    <w:rsid w:val="00A42A91"/>
    <w:rsid w:val="00A42BDC"/>
    <w:rsid w:val="00A42CB6"/>
    <w:rsid w:val="00A42E61"/>
    <w:rsid w:val="00A42E81"/>
    <w:rsid w:val="00A42E8C"/>
    <w:rsid w:val="00A42FD5"/>
    <w:rsid w:val="00A43177"/>
    <w:rsid w:val="00A43614"/>
    <w:rsid w:val="00A43657"/>
    <w:rsid w:val="00A43946"/>
    <w:rsid w:val="00A439E4"/>
    <w:rsid w:val="00A439F2"/>
    <w:rsid w:val="00A43A98"/>
    <w:rsid w:val="00A43BFC"/>
    <w:rsid w:val="00A43C28"/>
    <w:rsid w:val="00A43CDE"/>
    <w:rsid w:val="00A43EDF"/>
    <w:rsid w:val="00A4408B"/>
    <w:rsid w:val="00A443CC"/>
    <w:rsid w:val="00A4480C"/>
    <w:rsid w:val="00A44994"/>
    <w:rsid w:val="00A44C01"/>
    <w:rsid w:val="00A44C07"/>
    <w:rsid w:val="00A44C33"/>
    <w:rsid w:val="00A4514F"/>
    <w:rsid w:val="00A457D9"/>
    <w:rsid w:val="00A4594B"/>
    <w:rsid w:val="00A459FC"/>
    <w:rsid w:val="00A45A47"/>
    <w:rsid w:val="00A45B88"/>
    <w:rsid w:val="00A45C6C"/>
    <w:rsid w:val="00A45E9F"/>
    <w:rsid w:val="00A45F11"/>
    <w:rsid w:val="00A4629D"/>
    <w:rsid w:val="00A46357"/>
    <w:rsid w:val="00A46526"/>
    <w:rsid w:val="00A4659C"/>
    <w:rsid w:val="00A4664E"/>
    <w:rsid w:val="00A467CD"/>
    <w:rsid w:val="00A4685D"/>
    <w:rsid w:val="00A46DE0"/>
    <w:rsid w:val="00A46EDE"/>
    <w:rsid w:val="00A46F6E"/>
    <w:rsid w:val="00A4706F"/>
    <w:rsid w:val="00A4751A"/>
    <w:rsid w:val="00A4754D"/>
    <w:rsid w:val="00A47591"/>
    <w:rsid w:val="00A47909"/>
    <w:rsid w:val="00A479BA"/>
    <w:rsid w:val="00A479D1"/>
    <w:rsid w:val="00A47CFD"/>
    <w:rsid w:val="00A47D0B"/>
    <w:rsid w:val="00A47DAA"/>
    <w:rsid w:val="00A47E8B"/>
    <w:rsid w:val="00A50002"/>
    <w:rsid w:val="00A5004C"/>
    <w:rsid w:val="00A50094"/>
    <w:rsid w:val="00A5009D"/>
    <w:rsid w:val="00A5073E"/>
    <w:rsid w:val="00A5095F"/>
    <w:rsid w:val="00A509C4"/>
    <w:rsid w:val="00A509D4"/>
    <w:rsid w:val="00A50B80"/>
    <w:rsid w:val="00A50CFB"/>
    <w:rsid w:val="00A50DB7"/>
    <w:rsid w:val="00A50F97"/>
    <w:rsid w:val="00A5119D"/>
    <w:rsid w:val="00A516F1"/>
    <w:rsid w:val="00A51905"/>
    <w:rsid w:val="00A51B69"/>
    <w:rsid w:val="00A51FBF"/>
    <w:rsid w:val="00A52AF0"/>
    <w:rsid w:val="00A52CFE"/>
    <w:rsid w:val="00A52E58"/>
    <w:rsid w:val="00A53006"/>
    <w:rsid w:val="00A530D4"/>
    <w:rsid w:val="00A535CC"/>
    <w:rsid w:val="00A5383C"/>
    <w:rsid w:val="00A538AE"/>
    <w:rsid w:val="00A538D2"/>
    <w:rsid w:val="00A53B55"/>
    <w:rsid w:val="00A53B87"/>
    <w:rsid w:val="00A53C11"/>
    <w:rsid w:val="00A53C28"/>
    <w:rsid w:val="00A53C72"/>
    <w:rsid w:val="00A5448B"/>
    <w:rsid w:val="00A544E2"/>
    <w:rsid w:val="00A544EC"/>
    <w:rsid w:val="00A54641"/>
    <w:rsid w:val="00A5470A"/>
    <w:rsid w:val="00A54754"/>
    <w:rsid w:val="00A54A18"/>
    <w:rsid w:val="00A54A47"/>
    <w:rsid w:val="00A54AC4"/>
    <w:rsid w:val="00A54B1A"/>
    <w:rsid w:val="00A54B2A"/>
    <w:rsid w:val="00A54D97"/>
    <w:rsid w:val="00A54F34"/>
    <w:rsid w:val="00A55075"/>
    <w:rsid w:val="00A55269"/>
    <w:rsid w:val="00A553FC"/>
    <w:rsid w:val="00A55917"/>
    <w:rsid w:val="00A55EF3"/>
    <w:rsid w:val="00A55FF7"/>
    <w:rsid w:val="00A56022"/>
    <w:rsid w:val="00A561A4"/>
    <w:rsid w:val="00A56829"/>
    <w:rsid w:val="00A56C15"/>
    <w:rsid w:val="00A56C37"/>
    <w:rsid w:val="00A56CD0"/>
    <w:rsid w:val="00A56DB0"/>
    <w:rsid w:val="00A57083"/>
    <w:rsid w:val="00A57304"/>
    <w:rsid w:val="00A57679"/>
    <w:rsid w:val="00A577F3"/>
    <w:rsid w:val="00A57B9F"/>
    <w:rsid w:val="00A57CAC"/>
    <w:rsid w:val="00A6014B"/>
    <w:rsid w:val="00A601DB"/>
    <w:rsid w:val="00A602BB"/>
    <w:rsid w:val="00A6071F"/>
    <w:rsid w:val="00A607CF"/>
    <w:rsid w:val="00A608BB"/>
    <w:rsid w:val="00A60973"/>
    <w:rsid w:val="00A61079"/>
    <w:rsid w:val="00A610AD"/>
    <w:rsid w:val="00A614FD"/>
    <w:rsid w:val="00A61593"/>
    <w:rsid w:val="00A61670"/>
    <w:rsid w:val="00A616F0"/>
    <w:rsid w:val="00A61786"/>
    <w:rsid w:val="00A61BB9"/>
    <w:rsid w:val="00A61BCC"/>
    <w:rsid w:val="00A61F10"/>
    <w:rsid w:val="00A62141"/>
    <w:rsid w:val="00A621F7"/>
    <w:rsid w:val="00A623D7"/>
    <w:rsid w:val="00A62404"/>
    <w:rsid w:val="00A6258B"/>
    <w:rsid w:val="00A625A8"/>
    <w:rsid w:val="00A628F9"/>
    <w:rsid w:val="00A62A20"/>
    <w:rsid w:val="00A62CB2"/>
    <w:rsid w:val="00A630BB"/>
    <w:rsid w:val="00A633DB"/>
    <w:rsid w:val="00A63416"/>
    <w:rsid w:val="00A634DA"/>
    <w:rsid w:val="00A635B3"/>
    <w:rsid w:val="00A63652"/>
    <w:rsid w:val="00A6368B"/>
    <w:rsid w:val="00A63741"/>
    <w:rsid w:val="00A64006"/>
    <w:rsid w:val="00A64507"/>
    <w:rsid w:val="00A6474E"/>
    <w:rsid w:val="00A64A5B"/>
    <w:rsid w:val="00A64C85"/>
    <w:rsid w:val="00A64CE8"/>
    <w:rsid w:val="00A651CF"/>
    <w:rsid w:val="00A65343"/>
    <w:rsid w:val="00A65512"/>
    <w:rsid w:val="00A65A76"/>
    <w:rsid w:val="00A65D19"/>
    <w:rsid w:val="00A65F11"/>
    <w:rsid w:val="00A65F7F"/>
    <w:rsid w:val="00A661FA"/>
    <w:rsid w:val="00A66200"/>
    <w:rsid w:val="00A66229"/>
    <w:rsid w:val="00A6628D"/>
    <w:rsid w:val="00A6635D"/>
    <w:rsid w:val="00A66360"/>
    <w:rsid w:val="00A6636E"/>
    <w:rsid w:val="00A667B3"/>
    <w:rsid w:val="00A66ACB"/>
    <w:rsid w:val="00A66B79"/>
    <w:rsid w:val="00A67618"/>
    <w:rsid w:val="00A67770"/>
    <w:rsid w:val="00A67A94"/>
    <w:rsid w:val="00A67C0B"/>
    <w:rsid w:val="00A67CA1"/>
    <w:rsid w:val="00A67E7A"/>
    <w:rsid w:val="00A705C4"/>
    <w:rsid w:val="00A706A1"/>
    <w:rsid w:val="00A7070F"/>
    <w:rsid w:val="00A7081F"/>
    <w:rsid w:val="00A708FE"/>
    <w:rsid w:val="00A70A92"/>
    <w:rsid w:val="00A70F0B"/>
    <w:rsid w:val="00A70F29"/>
    <w:rsid w:val="00A70F4B"/>
    <w:rsid w:val="00A713EB"/>
    <w:rsid w:val="00A7146A"/>
    <w:rsid w:val="00A71516"/>
    <w:rsid w:val="00A71539"/>
    <w:rsid w:val="00A7169D"/>
    <w:rsid w:val="00A71AB2"/>
    <w:rsid w:val="00A729DD"/>
    <w:rsid w:val="00A72B4D"/>
    <w:rsid w:val="00A72BAE"/>
    <w:rsid w:val="00A72F08"/>
    <w:rsid w:val="00A732F0"/>
    <w:rsid w:val="00A733C2"/>
    <w:rsid w:val="00A733E3"/>
    <w:rsid w:val="00A73491"/>
    <w:rsid w:val="00A73800"/>
    <w:rsid w:val="00A738B2"/>
    <w:rsid w:val="00A7393F"/>
    <w:rsid w:val="00A73D21"/>
    <w:rsid w:val="00A73FEC"/>
    <w:rsid w:val="00A7407E"/>
    <w:rsid w:val="00A74248"/>
    <w:rsid w:val="00A7426F"/>
    <w:rsid w:val="00A74B1E"/>
    <w:rsid w:val="00A74E94"/>
    <w:rsid w:val="00A74F9B"/>
    <w:rsid w:val="00A750A9"/>
    <w:rsid w:val="00A751F9"/>
    <w:rsid w:val="00A7523D"/>
    <w:rsid w:val="00A75245"/>
    <w:rsid w:val="00A753A8"/>
    <w:rsid w:val="00A75421"/>
    <w:rsid w:val="00A75533"/>
    <w:rsid w:val="00A755AE"/>
    <w:rsid w:val="00A75840"/>
    <w:rsid w:val="00A759B9"/>
    <w:rsid w:val="00A75AB2"/>
    <w:rsid w:val="00A75ABE"/>
    <w:rsid w:val="00A75D0E"/>
    <w:rsid w:val="00A76486"/>
    <w:rsid w:val="00A76918"/>
    <w:rsid w:val="00A76ACC"/>
    <w:rsid w:val="00A76C23"/>
    <w:rsid w:val="00A76E5B"/>
    <w:rsid w:val="00A77008"/>
    <w:rsid w:val="00A7700B"/>
    <w:rsid w:val="00A771CE"/>
    <w:rsid w:val="00A77216"/>
    <w:rsid w:val="00A77599"/>
    <w:rsid w:val="00A7784A"/>
    <w:rsid w:val="00A801CA"/>
    <w:rsid w:val="00A80980"/>
    <w:rsid w:val="00A80A28"/>
    <w:rsid w:val="00A80C50"/>
    <w:rsid w:val="00A80E21"/>
    <w:rsid w:val="00A80F7C"/>
    <w:rsid w:val="00A811DC"/>
    <w:rsid w:val="00A81360"/>
    <w:rsid w:val="00A81363"/>
    <w:rsid w:val="00A8136C"/>
    <w:rsid w:val="00A814BC"/>
    <w:rsid w:val="00A8180B"/>
    <w:rsid w:val="00A81BBA"/>
    <w:rsid w:val="00A81C3E"/>
    <w:rsid w:val="00A81D51"/>
    <w:rsid w:val="00A824B5"/>
    <w:rsid w:val="00A8251D"/>
    <w:rsid w:val="00A82B9C"/>
    <w:rsid w:val="00A831A1"/>
    <w:rsid w:val="00A831E7"/>
    <w:rsid w:val="00A8324D"/>
    <w:rsid w:val="00A839A0"/>
    <w:rsid w:val="00A83E9F"/>
    <w:rsid w:val="00A84155"/>
    <w:rsid w:val="00A844B1"/>
    <w:rsid w:val="00A8456A"/>
    <w:rsid w:val="00A848ED"/>
    <w:rsid w:val="00A84905"/>
    <w:rsid w:val="00A8497E"/>
    <w:rsid w:val="00A849FF"/>
    <w:rsid w:val="00A84F3E"/>
    <w:rsid w:val="00A85096"/>
    <w:rsid w:val="00A85123"/>
    <w:rsid w:val="00A852D5"/>
    <w:rsid w:val="00A853FC"/>
    <w:rsid w:val="00A8540D"/>
    <w:rsid w:val="00A85557"/>
    <w:rsid w:val="00A85A2E"/>
    <w:rsid w:val="00A85E46"/>
    <w:rsid w:val="00A86399"/>
    <w:rsid w:val="00A865E3"/>
    <w:rsid w:val="00A8662C"/>
    <w:rsid w:val="00A867F3"/>
    <w:rsid w:val="00A86835"/>
    <w:rsid w:val="00A86A22"/>
    <w:rsid w:val="00A86A48"/>
    <w:rsid w:val="00A86B47"/>
    <w:rsid w:val="00A86D5A"/>
    <w:rsid w:val="00A86E9D"/>
    <w:rsid w:val="00A86F79"/>
    <w:rsid w:val="00A87457"/>
    <w:rsid w:val="00A87491"/>
    <w:rsid w:val="00A875C9"/>
    <w:rsid w:val="00A8784A"/>
    <w:rsid w:val="00A87AC2"/>
    <w:rsid w:val="00A87CA9"/>
    <w:rsid w:val="00A87CD9"/>
    <w:rsid w:val="00A87D2F"/>
    <w:rsid w:val="00A87D6A"/>
    <w:rsid w:val="00A87ECF"/>
    <w:rsid w:val="00A900DF"/>
    <w:rsid w:val="00A901DE"/>
    <w:rsid w:val="00A903F6"/>
    <w:rsid w:val="00A90462"/>
    <w:rsid w:val="00A905D5"/>
    <w:rsid w:val="00A9069B"/>
    <w:rsid w:val="00A90869"/>
    <w:rsid w:val="00A90877"/>
    <w:rsid w:val="00A90936"/>
    <w:rsid w:val="00A909AF"/>
    <w:rsid w:val="00A91321"/>
    <w:rsid w:val="00A91608"/>
    <w:rsid w:val="00A9173E"/>
    <w:rsid w:val="00A91985"/>
    <w:rsid w:val="00A91A40"/>
    <w:rsid w:val="00A91B42"/>
    <w:rsid w:val="00A9211B"/>
    <w:rsid w:val="00A92197"/>
    <w:rsid w:val="00A92525"/>
    <w:rsid w:val="00A925B7"/>
    <w:rsid w:val="00A92687"/>
    <w:rsid w:val="00A92C97"/>
    <w:rsid w:val="00A92DB3"/>
    <w:rsid w:val="00A930C1"/>
    <w:rsid w:val="00A9310D"/>
    <w:rsid w:val="00A93583"/>
    <w:rsid w:val="00A935D4"/>
    <w:rsid w:val="00A9367C"/>
    <w:rsid w:val="00A937D7"/>
    <w:rsid w:val="00A938FA"/>
    <w:rsid w:val="00A93978"/>
    <w:rsid w:val="00A939EE"/>
    <w:rsid w:val="00A939FE"/>
    <w:rsid w:val="00A93A58"/>
    <w:rsid w:val="00A93B21"/>
    <w:rsid w:val="00A93B69"/>
    <w:rsid w:val="00A93C67"/>
    <w:rsid w:val="00A93E99"/>
    <w:rsid w:val="00A9401A"/>
    <w:rsid w:val="00A9445E"/>
    <w:rsid w:val="00A9464B"/>
    <w:rsid w:val="00A947C0"/>
    <w:rsid w:val="00A94B01"/>
    <w:rsid w:val="00A94B4C"/>
    <w:rsid w:val="00A94E34"/>
    <w:rsid w:val="00A94E74"/>
    <w:rsid w:val="00A9510C"/>
    <w:rsid w:val="00A952FE"/>
    <w:rsid w:val="00A95403"/>
    <w:rsid w:val="00A95465"/>
    <w:rsid w:val="00A95483"/>
    <w:rsid w:val="00A95509"/>
    <w:rsid w:val="00A95751"/>
    <w:rsid w:val="00A95804"/>
    <w:rsid w:val="00A959F0"/>
    <w:rsid w:val="00A95BE1"/>
    <w:rsid w:val="00A96114"/>
    <w:rsid w:val="00A962E5"/>
    <w:rsid w:val="00A96332"/>
    <w:rsid w:val="00A9639E"/>
    <w:rsid w:val="00A968C4"/>
    <w:rsid w:val="00A969C2"/>
    <w:rsid w:val="00A96A82"/>
    <w:rsid w:val="00A970F8"/>
    <w:rsid w:val="00A970FA"/>
    <w:rsid w:val="00A97686"/>
    <w:rsid w:val="00A976B3"/>
    <w:rsid w:val="00A97762"/>
    <w:rsid w:val="00A97933"/>
    <w:rsid w:val="00A97A1B"/>
    <w:rsid w:val="00A97C17"/>
    <w:rsid w:val="00A97DE6"/>
    <w:rsid w:val="00A97E5D"/>
    <w:rsid w:val="00A97FD7"/>
    <w:rsid w:val="00AA04D4"/>
    <w:rsid w:val="00AA08C8"/>
    <w:rsid w:val="00AA0B6A"/>
    <w:rsid w:val="00AA0C16"/>
    <w:rsid w:val="00AA0C18"/>
    <w:rsid w:val="00AA0C97"/>
    <w:rsid w:val="00AA0FA5"/>
    <w:rsid w:val="00AA1065"/>
    <w:rsid w:val="00AA1274"/>
    <w:rsid w:val="00AA16E2"/>
    <w:rsid w:val="00AA188B"/>
    <w:rsid w:val="00AA1958"/>
    <w:rsid w:val="00AA1A59"/>
    <w:rsid w:val="00AA1C34"/>
    <w:rsid w:val="00AA1C6F"/>
    <w:rsid w:val="00AA2041"/>
    <w:rsid w:val="00AA2284"/>
    <w:rsid w:val="00AA22B2"/>
    <w:rsid w:val="00AA2684"/>
    <w:rsid w:val="00AA2704"/>
    <w:rsid w:val="00AA2A58"/>
    <w:rsid w:val="00AA2A84"/>
    <w:rsid w:val="00AA2B0C"/>
    <w:rsid w:val="00AA2BE8"/>
    <w:rsid w:val="00AA32C2"/>
    <w:rsid w:val="00AA32E5"/>
    <w:rsid w:val="00AA3336"/>
    <w:rsid w:val="00AA3580"/>
    <w:rsid w:val="00AA378D"/>
    <w:rsid w:val="00AA38DF"/>
    <w:rsid w:val="00AA3A94"/>
    <w:rsid w:val="00AA3BFE"/>
    <w:rsid w:val="00AA3DD5"/>
    <w:rsid w:val="00AA4248"/>
    <w:rsid w:val="00AA424E"/>
    <w:rsid w:val="00AA46FB"/>
    <w:rsid w:val="00AA51B1"/>
    <w:rsid w:val="00AA51EE"/>
    <w:rsid w:val="00AA523C"/>
    <w:rsid w:val="00AA5361"/>
    <w:rsid w:val="00AA54C1"/>
    <w:rsid w:val="00AA5869"/>
    <w:rsid w:val="00AA5A43"/>
    <w:rsid w:val="00AA5C36"/>
    <w:rsid w:val="00AA5F6A"/>
    <w:rsid w:val="00AA6169"/>
    <w:rsid w:val="00AA61B3"/>
    <w:rsid w:val="00AA61DC"/>
    <w:rsid w:val="00AA63D4"/>
    <w:rsid w:val="00AA65A7"/>
    <w:rsid w:val="00AA65D5"/>
    <w:rsid w:val="00AA66DB"/>
    <w:rsid w:val="00AA674D"/>
    <w:rsid w:val="00AA6BAC"/>
    <w:rsid w:val="00AA6BFB"/>
    <w:rsid w:val="00AA6C05"/>
    <w:rsid w:val="00AA6E8B"/>
    <w:rsid w:val="00AA6F42"/>
    <w:rsid w:val="00AA7009"/>
    <w:rsid w:val="00AA716E"/>
    <w:rsid w:val="00AA725B"/>
    <w:rsid w:val="00AA72A8"/>
    <w:rsid w:val="00AA7481"/>
    <w:rsid w:val="00AA75FF"/>
    <w:rsid w:val="00AA7642"/>
    <w:rsid w:val="00AA7A2A"/>
    <w:rsid w:val="00AA7BB3"/>
    <w:rsid w:val="00AA7BEE"/>
    <w:rsid w:val="00AA7D1C"/>
    <w:rsid w:val="00AA7D6F"/>
    <w:rsid w:val="00AB0423"/>
    <w:rsid w:val="00AB0428"/>
    <w:rsid w:val="00AB045D"/>
    <w:rsid w:val="00AB0546"/>
    <w:rsid w:val="00AB0649"/>
    <w:rsid w:val="00AB0659"/>
    <w:rsid w:val="00AB091B"/>
    <w:rsid w:val="00AB0990"/>
    <w:rsid w:val="00AB0AAD"/>
    <w:rsid w:val="00AB0B05"/>
    <w:rsid w:val="00AB0E83"/>
    <w:rsid w:val="00AB0E9D"/>
    <w:rsid w:val="00AB1018"/>
    <w:rsid w:val="00AB12EB"/>
    <w:rsid w:val="00AB152A"/>
    <w:rsid w:val="00AB1590"/>
    <w:rsid w:val="00AB1672"/>
    <w:rsid w:val="00AB1888"/>
    <w:rsid w:val="00AB24A0"/>
    <w:rsid w:val="00AB25DE"/>
    <w:rsid w:val="00AB26DE"/>
    <w:rsid w:val="00AB2766"/>
    <w:rsid w:val="00AB2791"/>
    <w:rsid w:val="00AB287D"/>
    <w:rsid w:val="00AB2B76"/>
    <w:rsid w:val="00AB2D45"/>
    <w:rsid w:val="00AB2DF1"/>
    <w:rsid w:val="00AB2F7D"/>
    <w:rsid w:val="00AB3271"/>
    <w:rsid w:val="00AB3312"/>
    <w:rsid w:val="00AB3472"/>
    <w:rsid w:val="00AB34D8"/>
    <w:rsid w:val="00AB3512"/>
    <w:rsid w:val="00AB3695"/>
    <w:rsid w:val="00AB3782"/>
    <w:rsid w:val="00AB37A6"/>
    <w:rsid w:val="00AB3AD9"/>
    <w:rsid w:val="00AB3DCC"/>
    <w:rsid w:val="00AB3E8E"/>
    <w:rsid w:val="00AB401E"/>
    <w:rsid w:val="00AB41ED"/>
    <w:rsid w:val="00AB427C"/>
    <w:rsid w:val="00AB45A3"/>
    <w:rsid w:val="00AB48C0"/>
    <w:rsid w:val="00AB491E"/>
    <w:rsid w:val="00AB4E39"/>
    <w:rsid w:val="00AB507A"/>
    <w:rsid w:val="00AB53C7"/>
    <w:rsid w:val="00AB5900"/>
    <w:rsid w:val="00AB5962"/>
    <w:rsid w:val="00AB5C62"/>
    <w:rsid w:val="00AB5D85"/>
    <w:rsid w:val="00AB5DE1"/>
    <w:rsid w:val="00AB612B"/>
    <w:rsid w:val="00AB624F"/>
    <w:rsid w:val="00AB63C1"/>
    <w:rsid w:val="00AB6413"/>
    <w:rsid w:val="00AB65E5"/>
    <w:rsid w:val="00AB673C"/>
    <w:rsid w:val="00AB67BF"/>
    <w:rsid w:val="00AB6A33"/>
    <w:rsid w:val="00AB6D65"/>
    <w:rsid w:val="00AB6E1A"/>
    <w:rsid w:val="00AB7534"/>
    <w:rsid w:val="00AB78FE"/>
    <w:rsid w:val="00AB79A5"/>
    <w:rsid w:val="00AB7AE4"/>
    <w:rsid w:val="00AB7D3E"/>
    <w:rsid w:val="00AC0177"/>
    <w:rsid w:val="00AC01C2"/>
    <w:rsid w:val="00AC0B6F"/>
    <w:rsid w:val="00AC0C16"/>
    <w:rsid w:val="00AC0CA2"/>
    <w:rsid w:val="00AC0FC5"/>
    <w:rsid w:val="00AC106D"/>
    <w:rsid w:val="00AC10EB"/>
    <w:rsid w:val="00AC1259"/>
    <w:rsid w:val="00AC142B"/>
    <w:rsid w:val="00AC1431"/>
    <w:rsid w:val="00AC1A01"/>
    <w:rsid w:val="00AC2091"/>
    <w:rsid w:val="00AC21B0"/>
    <w:rsid w:val="00AC21BD"/>
    <w:rsid w:val="00AC220C"/>
    <w:rsid w:val="00AC2266"/>
    <w:rsid w:val="00AC2334"/>
    <w:rsid w:val="00AC2848"/>
    <w:rsid w:val="00AC2895"/>
    <w:rsid w:val="00AC28A9"/>
    <w:rsid w:val="00AC3062"/>
    <w:rsid w:val="00AC30C2"/>
    <w:rsid w:val="00AC30E0"/>
    <w:rsid w:val="00AC313F"/>
    <w:rsid w:val="00AC3281"/>
    <w:rsid w:val="00AC32BA"/>
    <w:rsid w:val="00AC38F0"/>
    <w:rsid w:val="00AC3C3A"/>
    <w:rsid w:val="00AC3C9A"/>
    <w:rsid w:val="00AC3DE6"/>
    <w:rsid w:val="00AC41DE"/>
    <w:rsid w:val="00AC42C3"/>
    <w:rsid w:val="00AC4337"/>
    <w:rsid w:val="00AC481F"/>
    <w:rsid w:val="00AC48DF"/>
    <w:rsid w:val="00AC48E9"/>
    <w:rsid w:val="00AC4976"/>
    <w:rsid w:val="00AC49CC"/>
    <w:rsid w:val="00AC4AC6"/>
    <w:rsid w:val="00AC4AF5"/>
    <w:rsid w:val="00AC4D18"/>
    <w:rsid w:val="00AC4F13"/>
    <w:rsid w:val="00AC4FA6"/>
    <w:rsid w:val="00AC503D"/>
    <w:rsid w:val="00AC52AC"/>
    <w:rsid w:val="00AC56DC"/>
    <w:rsid w:val="00AC586C"/>
    <w:rsid w:val="00AC58FA"/>
    <w:rsid w:val="00AC599E"/>
    <w:rsid w:val="00AC5AB4"/>
    <w:rsid w:val="00AC5ADA"/>
    <w:rsid w:val="00AC5FF5"/>
    <w:rsid w:val="00AC6178"/>
    <w:rsid w:val="00AC62A0"/>
    <w:rsid w:val="00AC6393"/>
    <w:rsid w:val="00AC6490"/>
    <w:rsid w:val="00AC6A8E"/>
    <w:rsid w:val="00AC6E00"/>
    <w:rsid w:val="00AC70B1"/>
    <w:rsid w:val="00AC7290"/>
    <w:rsid w:val="00AC742F"/>
    <w:rsid w:val="00AC782B"/>
    <w:rsid w:val="00AC7DAB"/>
    <w:rsid w:val="00AC7EB9"/>
    <w:rsid w:val="00AD00E4"/>
    <w:rsid w:val="00AD02E3"/>
    <w:rsid w:val="00AD0346"/>
    <w:rsid w:val="00AD07A4"/>
    <w:rsid w:val="00AD089B"/>
    <w:rsid w:val="00AD0AF4"/>
    <w:rsid w:val="00AD0C12"/>
    <w:rsid w:val="00AD0CBF"/>
    <w:rsid w:val="00AD0EEC"/>
    <w:rsid w:val="00AD0F30"/>
    <w:rsid w:val="00AD0F66"/>
    <w:rsid w:val="00AD11E8"/>
    <w:rsid w:val="00AD1239"/>
    <w:rsid w:val="00AD1527"/>
    <w:rsid w:val="00AD17E8"/>
    <w:rsid w:val="00AD180E"/>
    <w:rsid w:val="00AD18C3"/>
    <w:rsid w:val="00AD19CB"/>
    <w:rsid w:val="00AD1D6B"/>
    <w:rsid w:val="00AD1D84"/>
    <w:rsid w:val="00AD213B"/>
    <w:rsid w:val="00AD2280"/>
    <w:rsid w:val="00AD269B"/>
    <w:rsid w:val="00AD26EB"/>
    <w:rsid w:val="00AD290C"/>
    <w:rsid w:val="00AD2BAF"/>
    <w:rsid w:val="00AD2F64"/>
    <w:rsid w:val="00AD337D"/>
    <w:rsid w:val="00AD3684"/>
    <w:rsid w:val="00AD3727"/>
    <w:rsid w:val="00AD3CB7"/>
    <w:rsid w:val="00AD3CBC"/>
    <w:rsid w:val="00AD3D55"/>
    <w:rsid w:val="00AD41BF"/>
    <w:rsid w:val="00AD41FD"/>
    <w:rsid w:val="00AD4312"/>
    <w:rsid w:val="00AD457D"/>
    <w:rsid w:val="00AD49C6"/>
    <w:rsid w:val="00AD49D2"/>
    <w:rsid w:val="00AD4B1E"/>
    <w:rsid w:val="00AD4BF3"/>
    <w:rsid w:val="00AD4C81"/>
    <w:rsid w:val="00AD4D31"/>
    <w:rsid w:val="00AD4D3F"/>
    <w:rsid w:val="00AD4E46"/>
    <w:rsid w:val="00AD4EC5"/>
    <w:rsid w:val="00AD5098"/>
    <w:rsid w:val="00AD5303"/>
    <w:rsid w:val="00AD530F"/>
    <w:rsid w:val="00AD536B"/>
    <w:rsid w:val="00AD5417"/>
    <w:rsid w:val="00AD54C5"/>
    <w:rsid w:val="00AD5766"/>
    <w:rsid w:val="00AD5934"/>
    <w:rsid w:val="00AD5B32"/>
    <w:rsid w:val="00AD5E0B"/>
    <w:rsid w:val="00AD5E48"/>
    <w:rsid w:val="00AD627C"/>
    <w:rsid w:val="00AD6778"/>
    <w:rsid w:val="00AD7299"/>
    <w:rsid w:val="00AD73BE"/>
    <w:rsid w:val="00AD74CA"/>
    <w:rsid w:val="00AD74FA"/>
    <w:rsid w:val="00AD7A2A"/>
    <w:rsid w:val="00AD7A40"/>
    <w:rsid w:val="00AD7B49"/>
    <w:rsid w:val="00AD7EF8"/>
    <w:rsid w:val="00AE00A3"/>
    <w:rsid w:val="00AE01FA"/>
    <w:rsid w:val="00AE02C3"/>
    <w:rsid w:val="00AE08BA"/>
    <w:rsid w:val="00AE0924"/>
    <w:rsid w:val="00AE09F1"/>
    <w:rsid w:val="00AE0AEC"/>
    <w:rsid w:val="00AE0CCC"/>
    <w:rsid w:val="00AE0E83"/>
    <w:rsid w:val="00AE122F"/>
    <w:rsid w:val="00AE129B"/>
    <w:rsid w:val="00AE131B"/>
    <w:rsid w:val="00AE1329"/>
    <w:rsid w:val="00AE145E"/>
    <w:rsid w:val="00AE1618"/>
    <w:rsid w:val="00AE162A"/>
    <w:rsid w:val="00AE16B9"/>
    <w:rsid w:val="00AE1A06"/>
    <w:rsid w:val="00AE1A23"/>
    <w:rsid w:val="00AE1CA3"/>
    <w:rsid w:val="00AE1DC7"/>
    <w:rsid w:val="00AE1E32"/>
    <w:rsid w:val="00AE1EAC"/>
    <w:rsid w:val="00AE215C"/>
    <w:rsid w:val="00AE249F"/>
    <w:rsid w:val="00AE26FB"/>
    <w:rsid w:val="00AE28AD"/>
    <w:rsid w:val="00AE294A"/>
    <w:rsid w:val="00AE2B26"/>
    <w:rsid w:val="00AE2FBA"/>
    <w:rsid w:val="00AE30EC"/>
    <w:rsid w:val="00AE3661"/>
    <w:rsid w:val="00AE367F"/>
    <w:rsid w:val="00AE3908"/>
    <w:rsid w:val="00AE39D5"/>
    <w:rsid w:val="00AE3B9C"/>
    <w:rsid w:val="00AE3C5D"/>
    <w:rsid w:val="00AE3D38"/>
    <w:rsid w:val="00AE3E95"/>
    <w:rsid w:val="00AE3ED2"/>
    <w:rsid w:val="00AE46A7"/>
    <w:rsid w:val="00AE47C9"/>
    <w:rsid w:val="00AE48FF"/>
    <w:rsid w:val="00AE4A34"/>
    <w:rsid w:val="00AE4D5D"/>
    <w:rsid w:val="00AE4E5F"/>
    <w:rsid w:val="00AE4F5F"/>
    <w:rsid w:val="00AE5102"/>
    <w:rsid w:val="00AE5183"/>
    <w:rsid w:val="00AE5242"/>
    <w:rsid w:val="00AE529D"/>
    <w:rsid w:val="00AE58A7"/>
    <w:rsid w:val="00AE59E0"/>
    <w:rsid w:val="00AE59E8"/>
    <w:rsid w:val="00AE5CF3"/>
    <w:rsid w:val="00AE5D7B"/>
    <w:rsid w:val="00AE5DA3"/>
    <w:rsid w:val="00AE60C4"/>
    <w:rsid w:val="00AE6101"/>
    <w:rsid w:val="00AE61A7"/>
    <w:rsid w:val="00AE61C6"/>
    <w:rsid w:val="00AE629F"/>
    <w:rsid w:val="00AE6505"/>
    <w:rsid w:val="00AE675D"/>
    <w:rsid w:val="00AE6887"/>
    <w:rsid w:val="00AE6CD2"/>
    <w:rsid w:val="00AE6EC4"/>
    <w:rsid w:val="00AE6F9C"/>
    <w:rsid w:val="00AE6FCB"/>
    <w:rsid w:val="00AE70CF"/>
    <w:rsid w:val="00AE73FD"/>
    <w:rsid w:val="00AE7471"/>
    <w:rsid w:val="00AE75B1"/>
    <w:rsid w:val="00AE788F"/>
    <w:rsid w:val="00AE7C16"/>
    <w:rsid w:val="00AE7C80"/>
    <w:rsid w:val="00AE7D6C"/>
    <w:rsid w:val="00AE7EC1"/>
    <w:rsid w:val="00AE7F6A"/>
    <w:rsid w:val="00AF01F7"/>
    <w:rsid w:val="00AF065D"/>
    <w:rsid w:val="00AF0A08"/>
    <w:rsid w:val="00AF0AE0"/>
    <w:rsid w:val="00AF0BA4"/>
    <w:rsid w:val="00AF0BC8"/>
    <w:rsid w:val="00AF0FD9"/>
    <w:rsid w:val="00AF116C"/>
    <w:rsid w:val="00AF132A"/>
    <w:rsid w:val="00AF165C"/>
    <w:rsid w:val="00AF17FB"/>
    <w:rsid w:val="00AF1868"/>
    <w:rsid w:val="00AF1A26"/>
    <w:rsid w:val="00AF1A36"/>
    <w:rsid w:val="00AF1E4E"/>
    <w:rsid w:val="00AF2002"/>
    <w:rsid w:val="00AF207C"/>
    <w:rsid w:val="00AF20C5"/>
    <w:rsid w:val="00AF22B6"/>
    <w:rsid w:val="00AF28A7"/>
    <w:rsid w:val="00AF28E0"/>
    <w:rsid w:val="00AF2AB0"/>
    <w:rsid w:val="00AF2E60"/>
    <w:rsid w:val="00AF2E91"/>
    <w:rsid w:val="00AF2FCC"/>
    <w:rsid w:val="00AF36E0"/>
    <w:rsid w:val="00AF3928"/>
    <w:rsid w:val="00AF3956"/>
    <w:rsid w:val="00AF444E"/>
    <w:rsid w:val="00AF44AE"/>
    <w:rsid w:val="00AF450A"/>
    <w:rsid w:val="00AF4531"/>
    <w:rsid w:val="00AF457F"/>
    <w:rsid w:val="00AF459A"/>
    <w:rsid w:val="00AF4CBF"/>
    <w:rsid w:val="00AF4DFB"/>
    <w:rsid w:val="00AF50B9"/>
    <w:rsid w:val="00AF5660"/>
    <w:rsid w:val="00AF56AF"/>
    <w:rsid w:val="00AF5A71"/>
    <w:rsid w:val="00AF5AB7"/>
    <w:rsid w:val="00AF5B61"/>
    <w:rsid w:val="00AF5D31"/>
    <w:rsid w:val="00AF5D4F"/>
    <w:rsid w:val="00AF5D82"/>
    <w:rsid w:val="00AF5E87"/>
    <w:rsid w:val="00AF5EC4"/>
    <w:rsid w:val="00AF5EE2"/>
    <w:rsid w:val="00AF6186"/>
    <w:rsid w:val="00AF6376"/>
    <w:rsid w:val="00AF6777"/>
    <w:rsid w:val="00AF6861"/>
    <w:rsid w:val="00AF69FA"/>
    <w:rsid w:val="00AF6BE8"/>
    <w:rsid w:val="00AF6D2D"/>
    <w:rsid w:val="00AF6D65"/>
    <w:rsid w:val="00AF71D3"/>
    <w:rsid w:val="00AF730F"/>
    <w:rsid w:val="00AF738A"/>
    <w:rsid w:val="00AF74B8"/>
    <w:rsid w:val="00AF7596"/>
    <w:rsid w:val="00AF7EC3"/>
    <w:rsid w:val="00B0004A"/>
    <w:rsid w:val="00B000D3"/>
    <w:rsid w:val="00B000E0"/>
    <w:rsid w:val="00B0081B"/>
    <w:rsid w:val="00B00922"/>
    <w:rsid w:val="00B00945"/>
    <w:rsid w:val="00B00B5C"/>
    <w:rsid w:val="00B00D5C"/>
    <w:rsid w:val="00B00E43"/>
    <w:rsid w:val="00B00F3F"/>
    <w:rsid w:val="00B01574"/>
    <w:rsid w:val="00B0157C"/>
    <w:rsid w:val="00B01E5D"/>
    <w:rsid w:val="00B01F41"/>
    <w:rsid w:val="00B01FC0"/>
    <w:rsid w:val="00B022CC"/>
    <w:rsid w:val="00B025C1"/>
    <w:rsid w:val="00B025FF"/>
    <w:rsid w:val="00B02762"/>
    <w:rsid w:val="00B02F68"/>
    <w:rsid w:val="00B02FCF"/>
    <w:rsid w:val="00B0305E"/>
    <w:rsid w:val="00B030AF"/>
    <w:rsid w:val="00B03332"/>
    <w:rsid w:val="00B0345F"/>
    <w:rsid w:val="00B036A2"/>
    <w:rsid w:val="00B03735"/>
    <w:rsid w:val="00B03D1A"/>
    <w:rsid w:val="00B03D3B"/>
    <w:rsid w:val="00B0419F"/>
    <w:rsid w:val="00B04231"/>
    <w:rsid w:val="00B04376"/>
    <w:rsid w:val="00B043B2"/>
    <w:rsid w:val="00B044A2"/>
    <w:rsid w:val="00B048C5"/>
    <w:rsid w:val="00B049CF"/>
    <w:rsid w:val="00B049DC"/>
    <w:rsid w:val="00B04AF3"/>
    <w:rsid w:val="00B04BDA"/>
    <w:rsid w:val="00B04BFE"/>
    <w:rsid w:val="00B04E7D"/>
    <w:rsid w:val="00B0516C"/>
    <w:rsid w:val="00B0520A"/>
    <w:rsid w:val="00B052AC"/>
    <w:rsid w:val="00B054EA"/>
    <w:rsid w:val="00B055CF"/>
    <w:rsid w:val="00B055D1"/>
    <w:rsid w:val="00B056F4"/>
    <w:rsid w:val="00B05A51"/>
    <w:rsid w:val="00B05C86"/>
    <w:rsid w:val="00B060FA"/>
    <w:rsid w:val="00B0620B"/>
    <w:rsid w:val="00B06272"/>
    <w:rsid w:val="00B06417"/>
    <w:rsid w:val="00B0664B"/>
    <w:rsid w:val="00B066EF"/>
    <w:rsid w:val="00B06AFD"/>
    <w:rsid w:val="00B06BE2"/>
    <w:rsid w:val="00B06D42"/>
    <w:rsid w:val="00B06E5E"/>
    <w:rsid w:val="00B06EDA"/>
    <w:rsid w:val="00B0700A"/>
    <w:rsid w:val="00B0701B"/>
    <w:rsid w:val="00B0718D"/>
    <w:rsid w:val="00B07204"/>
    <w:rsid w:val="00B073B3"/>
    <w:rsid w:val="00B073DA"/>
    <w:rsid w:val="00B07852"/>
    <w:rsid w:val="00B0787B"/>
    <w:rsid w:val="00B07F26"/>
    <w:rsid w:val="00B10339"/>
    <w:rsid w:val="00B105A2"/>
    <w:rsid w:val="00B105E2"/>
    <w:rsid w:val="00B10771"/>
    <w:rsid w:val="00B109BC"/>
    <w:rsid w:val="00B10C11"/>
    <w:rsid w:val="00B10D87"/>
    <w:rsid w:val="00B10D94"/>
    <w:rsid w:val="00B10F93"/>
    <w:rsid w:val="00B10FB4"/>
    <w:rsid w:val="00B11248"/>
    <w:rsid w:val="00B1130E"/>
    <w:rsid w:val="00B1161F"/>
    <w:rsid w:val="00B11829"/>
    <w:rsid w:val="00B11C0F"/>
    <w:rsid w:val="00B11FA2"/>
    <w:rsid w:val="00B127CF"/>
    <w:rsid w:val="00B128AF"/>
    <w:rsid w:val="00B12B46"/>
    <w:rsid w:val="00B12C1E"/>
    <w:rsid w:val="00B12C4E"/>
    <w:rsid w:val="00B12D95"/>
    <w:rsid w:val="00B13159"/>
    <w:rsid w:val="00B131B9"/>
    <w:rsid w:val="00B1320B"/>
    <w:rsid w:val="00B1350B"/>
    <w:rsid w:val="00B13DC1"/>
    <w:rsid w:val="00B141FB"/>
    <w:rsid w:val="00B14244"/>
    <w:rsid w:val="00B14270"/>
    <w:rsid w:val="00B144AF"/>
    <w:rsid w:val="00B145F8"/>
    <w:rsid w:val="00B14666"/>
    <w:rsid w:val="00B146C9"/>
    <w:rsid w:val="00B149D8"/>
    <w:rsid w:val="00B14ACC"/>
    <w:rsid w:val="00B14C18"/>
    <w:rsid w:val="00B14C2E"/>
    <w:rsid w:val="00B14C7B"/>
    <w:rsid w:val="00B14D28"/>
    <w:rsid w:val="00B14D38"/>
    <w:rsid w:val="00B14E74"/>
    <w:rsid w:val="00B152D3"/>
    <w:rsid w:val="00B15336"/>
    <w:rsid w:val="00B15555"/>
    <w:rsid w:val="00B158B2"/>
    <w:rsid w:val="00B158E3"/>
    <w:rsid w:val="00B158E6"/>
    <w:rsid w:val="00B1597C"/>
    <w:rsid w:val="00B15B56"/>
    <w:rsid w:val="00B15D63"/>
    <w:rsid w:val="00B15DAD"/>
    <w:rsid w:val="00B161AC"/>
    <w:rsid w:val="00B1633D"/>
    <w:rsid w:val="00B164DE"/>
    <w:rsid w:val="00B1663D"/>
    <w:rsid w:val="00B167E9"/>
    <w:rsid w:val="00B16A1A"/>
    <w:rsid w:val="00B16F0A"/>
    <w:rsid w:val="00B171CA"/>
    <w:rsid w:val="00B171ED"/>
    <w:rsid w:val="00B1720F"/>
    <w:rsid w:val="00B172F6"/>
    <w:rsid w:val="00B173F6"/>
    <w:rsid w:val="00B1742E"/>
    <w:rsid w:val="00B1793E"/>
    <w:rsid w:val="00B17BBB"/>
    <w:rsid w:val="00B17C68"/>
    <w:rsid w:val="00B17E89"/>
    <w:rsid w:val="00B17EBA"/>
    <w:rsid w:val="00B17FA2"/>
    <w:rsid w:val="00B20030"/>
    <w:rsid w:val="00B200F8"/>
    <w:rsid w:val="00B20306"/>
    <w:rsid w:val="00B20398"/>
    <w:rsid w:val="00B2093C"/>
    <w:rsid w:val="00B20BB5"/>
    <w:rsid w:val="00B20F65"/>
    <w:rsid w:val="00B20FA2"/>
    <w:rsid w:val="00B210DC"/>
    <w:rsid w:val="00B214BD"/>
    <w:rsid w:val="00B21522"/>
    <w:rsid w:val="00B21DD3"/>
    <w:rsid w:val="00B21F46"/>
    <w:rsid w:val="00B21F9B"/>
    <w:rsid w:val="00B22013"/>
    <w:rsid w:val="00B2213C"/>
    <w:rsid w:val="00B2214E"/>
    <w:rsid w:val="00B221B8"/>
    <w:rsid w:val="00B221DA"/>
    <w:rsid w:val="00B22209"/>
    <w:rsid w:val="00B22252"/>
    <w:rsid w:val="00B22570"/>
    <w:rsid w:val="00B22686"/>
    <w:rsid w:val="00B226C3"/>
    <w:rsid w:val="00B229B4"/>
    <w:rsid w:val="00B22B3D"/>
    <w:rsid w:val="00B23053"/>
    <w:rsid w:val="00B23400"/>
    <w:rsid w:val="00B23464"/>
    <w:rsid w:val="00B235EE"/>
    <w:rsid w:val="00B23679"/>
    <w:rsid w:val="00B2393E"/>
    <w:rsid w:val="00B23988"/>
    <w:rsid w:val="00B23A30"/>
    <w:rsid w:val="00B23C75"/>
    <w:rsid w:val="00B23CB4"/>
    <w:rsid w:val="00B23F49"/>
    <w:rsid w:val="00B24133"/>
    <w:rsid w:val="00B24652"/>
    <w:rsid w:val="00B246C2"/>
    <w:rsid w:val="00B24729"/>
    <w:rsid w:val="00B247E5"/>
    <w:rsid w:val="00B24A25"/>
    <w:rsid w:val="00B24A8F"/>
    <w:rsid w:val="00B24A96"/>
    <w:rsid w:val="00B24A9C"/>
    <w:rsid w:val="00B24B54"/>
    <w:rsid w:val="00B24B88"/>
    <w:rsid w:val="00B2502D"/>
    <w:rsid w:val="00B254C3"/>
    <w:rsid w:val="00B255FA"/>
    <w:rsid w:val="00B25664"/>
    <w:rsid w:val="00B256A2"/>
    <w:rsid w:val="00B25729"/>
    <w:rsid w:val="00B25AAE"/>
    <w:rsid w:val="00B25AF1"/>
    <w:rsid w:val="00B25C09"/>
    <w:rsid w:val="00B261B1"/>
    <w:rsid w:val="00B26367"/>
    <w:rsid w:val="00B26759"/>
    <w:rsid w:val="00B26B71"/>
    <w:rsid w:val="00B2747C"/>
    <w:rsid w:val="00B278DA"/>
    <w:rsid w:val="00B27D55"/>
    <w:rsid w:val="00B30070"/>
    <w:rsid w:val="00B30129"/>
    <w:rsid w:val="00B303D9"/>
    <w:rsid w:val="00B30451"/>
    <w:rsid w:val="00B30612"/>
    <w:rsid w:val="00B307E1"/>
    <w:rsid w:val="00B309E4"/>
    <w:rsid w:val="00B30A6F"/>
    <w:rsid w:val="00B30B03"/>
    <w:rsid w:val="00B30B58"/>
    <w:rsid w:val="00B31148"/>
    <w:rsid w:val="00B3119C"/>
    <w:rsid w:val="00B31391"/>
    <w:rsid w:val="00B31463"/>
    <w:rsid w:val="00B31528"/>
    <w:rsid w:val="00B315E3"/>
    <w:rsid w:val="00B3169C"/>
    <w:rsid w:val="00B318A6"/>
    <w:rsid w:val="00B31965"/>
    <w:rsid w:val="00B31B57"/>
    <w:rsid w:val="00B31EAC"/>
    <w:rsid w:val="00B31EB2"/>
    <w:rsid w:val="00B31FA9"/>
    <w:rsid w:val="00B31FCB"/>
    <w:rsid w:val="00B323F4"/>
    <w:rsid w:val="00B325E9"/>
    <w:rsid w:val="00B32A0B"/>
    <w:rsid w:val="00B32AB6"/>
    <w:rsid w:val="00B32D7C"/>
    <w:rsid w:val="00B32F1D"/>
    <w:rsid w:val="00B33089"/>
    <w:rsid w:val="00B331DE"/>
    <w:rsid w:val="00B333EB"/>
    <w:rsid w:val="00B3359F"/>
    <w:rsid w:val="00B339AD"/>
    <w:rsid w:val="00B33C81"/>
    <w:rsid w:val="00B33D16"/>
    <w:rsid w:val="00B33DA1"/>
    <w:rsid w:val="00B341A3"/>
    <w:rsid w:val="00B342A8"/>
    <w:rsid w:val="00B342DC"/>
    <w:rsid w:val="00B34311"/>
    <w:rsid w:val="00B3474E"/>
    <w:rsid w:val="00B34A75"/>
    <w:rsid w:val="00B34ADC"/>
    <w:rsid w:val="00B34BDA"/>
    <w:rsid w:val="00B34E4A"/>
    <w:rsid w:val="00B35192"/>
    <w:rsid w:val="00B351D1"/>
    <w:rsid w:val="00B352E9"/>
    <w:rsid w:val="00B354AF"/>
    <w:rsid w:val="00B3556C"/>
    <w:rsid w:val="00B35703"/>
    <w:rsid w:val="00B3577A"/>
    <w:rsid w:val="00B35780"/>
    <w:rsid w:val="00B3585A"/>
    <w:rsid w:val="00B35C38"/>
    <w:rsid w:val="00B35D29"/>
    <w:rsid w:val="00B35F32"/>
    <w:rsid w:val="00B360E2"/>
    <w:rsid w:val="00B36342"/>
    <w:rsid w:val="00B363E6"/>
    <w:rsid w:val="00B36540"/>
    <w:rsid w:val="00B366A0"/>
    <w:rsid w:val="00B366B4"/>
    <w:rsid w:val="00B369A8"/>
    <w:rsid w:val="00B369FB"/>
    <w:rsid w:val="00B36AD3"/>
    <w:rsid w:val="00B36BC4"/>
    <w:rsid w:val="00B36BF5"/>
    <w:rsid w:val="00B36C04"/>
    <w:rsid w:val="00B36C0C"/>
    <w:rsid w:val="00B36E05"/>
    <w:rsid w:val="00B37249"/>
    <w:rsid w:val="00B37626"/>
    <w:rsid w:val="00B376C8"/>
    <w:rsid w:val="00B37729"/>
    <w:rsid w:val="00B377C0"/>
    <w:rsid w:val="00B377F3"/>
    <w:rsid w:val="00B37D84"/>
    <w:rsid w:val="00B40007"/>
    <w:rsid w:val="00B4001D"/>
    <w:rsid w:val="00B40171"/>
    <w:rsid w:val="00B4022B"/>
    <w:rsid w:val="00B4028D"/>
    <w:rsid w:val="00B4065D"/>
    <w:rsid w:val="00B406DA"/>
    <w:rsid w:val="00B409A4"/>
    <w:rsid w:val="00B40D9B"/>
    <w:rsid w:val="00B410D6"/>
    <w:rsid w:val="00B411FF"/>
    <w:rsid w:val="00B415E9"/>
    <w:rsid w:val="00B41732"/>
    <w:rsid w:val="00B41752"/>
    <w:rsid w:val="00B41859"/>
    <w:rsid w:val="00B41A9A"/>
    <w:rsid w:val="00B41B0E"/>
    <w:rsid w:val="00B41B47"/>
    <w:rsid w:val="00B41DC6"/>
    <w:rsid w:val="00B41F26"/>
    <w:rsid w:val="00B42598"/>
    <w:rsid w:val="00B427AF"/>
    <w:rsid w:val="00B42930"/>
    <w:rsid w:val="00B429D6"/>
    <w:rsid w:val="00B42D6D"/>
    <w:rsid w:val="00B42ED4"/>
    <w:rsid w:val="00B4309C"/>
    <w:rsid w:val="00B4329C"/>
    <w:rsid w:val="00B4354B"/>
    <w:rsid w:val="00B43571"/>
    <w:rsid w:val="00B4386B"/>
    <w:rsid w:val="00B43C7E"/>
    <w:rsid w:val="00B43CAA"/>
    <w:rsid w:val="00B43EC3"/>
    <w:rsid w:val="00B43EE3"/>
    <w:rsid w:val="00B43FE6"/>
    <w:rsid w:val="00B44016"/>
    <w:rsid w:val="00B44324"/>
    <w:rsid w:val="00B44350"/>
    <w:rsid w:val="00B44606"/>
    <w:rsid w:val="00B44697"/>
    <w:rsid w:val="00B446BB"/>
    <w:rsid w:val="00B448B3"/>
    <w:rsid w:val="00B44954"/>
    <w:rsid w:val="00B450AD"/>
    <w:rsid w:val="00B452AC"/>
    <w:rsid w:val="00B45318"/>
    <w:rsid w:val="00B455A3"/>
    <w:rsid w:val="00B45A94"/>
    <w:rsid w:val="00B45BA7"/>
    <w:rsid w:val="00B45CA3"/>
    <w:rsid w:val="00B45DC9"/>
    <w:rsid w:val="00B45E00"/>
    <w:rsid w:val="00B45E17"/>
    <w:rsid w:val="00B45F53"/>
    <w:rsid w:val="00B45F88"/>
    <w:rsid w:val="00B4602C"/>
    <w:rsid w:val="00B46051"/>
    <w:rsid w:val="00B46357"/>
    <w:rsid w:val="00B464DC"/>
    <w:rsid w:val="00B46908"/>
    <w:rsid w:val="00B469CB"/>
    <w:rsid w:val="00B46B65"/>
    <w:rsid w:val="00B46D69"/>
    <w:rsid w:val="00B46D72"/>
    <w:rsid w:val="00B46E77"/>
    <w:rsid w:val="00B47098"/>
    <w:rsid w:val="00B47252"/>
    <w:rsid w:val="00B47695"/>
    <w:rsid w:val="00B476D7"/>
    <w:rsid w:val="00B47842"/>
    <w:rsid w:val="00B478C6"/>
    <w:rsid w:val="00B47E9C"/>
    <w:rsid w:val="00B5010C"/>
    <w:rsid w:val="00B50254"/>
    <w:rsid w:val="00B505C6"/>
    <w:rsid w:val="00B505CA"/>
    <w:rsid w:val="00B506DD"/>
    <w:rsid w:val="00B50BB1"/>
    <w:rsid w:val="00B5100C"/>
    <w:rsid w:val="00B510D1"/>
    <w:rsid w:val="00B51559"/>
    <w:rsid w:val="00B5175B"/>
    <w:rsid w:val="00B51939"/>
    <w:rsid w:val="00B51951"/>
    <w:rsid w:val="00B51E1A"/>
    <w:rsid w:val="00B51FEA"/>
    <w:rsid w:val="00B524A8"/>
    <w:rsid w:val="00B5259A"/>
    <w:rsid w:val="00B52688"/>
    <w:rsid w:val="00B52860"/>
    <w:rsid w:val="00B52871"/>
    <w:rsid w:val="00B52883"/>
    <w:rsid w:val="00B53003"/>
    <w:rsid w:val="00B530C9"/>
    <w:rsid w:val="00B53563"/>
    <w:rsid w:val="00B535C5"/>
    <w:rsid w:val="00B53879"/>
    <w:rsid w:val="00B539CD"/>
    <w:rsid w:val="00B53A8D"/>
    <w:rsid w:val="00B53F32"/>
    <w:rsid w:val="00B54093"/>
    <w:rsid w:val="00B5412F"/>
    <w:rsid w:val="00B54426"/>
    <w:rsid w:val="00B544A6"/>
    <w:rsid w:val="00B5464F"/>
    <w:rsid w:val="00B54684"/>
    <w:rsid w:val="00B54724"/>
    <w:rsid w:val="00B5479B"/>
    <w:rsid w:val="00B5487B"/>
    <w:rsid w:val="00B54B1B"/>
    <w:rsid w:val="00B54E26"/>
    <w:rsid w:val="00B55098"/>
    <w:rsid w:val="00B550FC"/>
    <w:rsid w:val="00B551D8"/>
    <w:rsid w:val="00B551FC"/>
    <w:rsid w:val="00B553B8"/>
    <w:rsid w:val="00B55A02"/>
    <w:rsid w:val="00B55BCF"/>
    <w:rsid w:val="00B55C96"/>
    <w:rsid w:val="00B5668A"/>
    <w:rsid w:val="00B566EE"/>
    <w:rsid w:val="00B56755"/>
    <w:rsid w:val="00B56FDD"/>
    <w:rsid w:val="00B56FF7"/>
    <w:rsid w:val="00B57044"/>
    <w:rsid w:val="00B5748A"/>
    <w:rsid w:val="00B57502"/>
    <w:rsid w:val="00B575AC"/>
    <w:rsid w:val="00B578CE"/>
    <w:rsid w:val="00B57949"/>
    <w:rsid w:val="00B57B43"/>
    <w:rsid w:val="00B57BB9"/>
    <w:rsid w:val="00B57D69"/>
    <w:rsid w:val="00B6001F"/>
    <w:rsid w:val="00B60213"/>
    <w:rsid w:val="00B60297"/>
    <w:rsid w:val="00B602D3"/>
    <w:rsid w:val="00B60D22"/>
    <w:rsid w:val="00B60E13"/>
    <w:rsid w:val="00B613F5"/>
    <w:rsid w:val="00B6150D"/>
    <w:rsid w:val="00B615D8"/>
    <w:rsid w:val="00B616A7"/>
    <w:rsid w:val="00B617CA"/>
    <w:rsid w:val="00B61856"/>
    <w:rsid w:val="00B6192C"/>
    <w:rsid w:val="00B61BE1"/>
    <w:rsid w:val="00B61C61"/>
    <w:rsid w:val="00B6215A"/>
    <w:rsid w:val="00B62336"/>
    <w:rsid w:val="00B62424"/>
    <w:rsid w:val="00B62439"/>
    <w:rsid w:val="00B62483"/>
    <w:rsid w:val="00B6255D"/>
    <w:rsid w:val="00B62ADB"/>
    <w:rsid w:val="00B62D5E"/>
    <w:rsid w:val="00B630E1"/>
    <w:rsid w:val="00B63224"/>
    <w:rsid w:val="00B63259"/>
    <w:rsid w:val="00B6325E"/>
    <w:rsid w:val="00B63356"/>
    <w:rsid w:val="00B634A0"/>
    <w:rsid w:val="00B63884"/>
    <w:rsid w:val="00B639E9"/>
    <w:rsid w:val="00B63B65"/>
    <w:rsid w:val="00B63C3A"/>
    <w:rsid w:val="00B63D73"/>
    <w:rsid w:val="00B63F8A"/>
    <w:rsid w:val="00B64132"/>
    <w:rsid w:val="00B641E0"/>
    <w:rsid w:val="00B6423F"/>
    <w:rsid w:val="00B643C4"/>
    <w:rsid w:val="00B644B7"/>
    <w:rsid w:val="00B64B5B"/>
    <w:rsid w:val="00B64B7D"/>
    <w:rsid w:val="00B64DCB"/>
    <w:rsid w:val="00B64E40"/>
    <w:rsid w:val="00B64EC2"/>
    <w:rsid w:val="00B65198"/>
    <w:rsid w:val="00B651B5"/>
    <w:rsid w:val="00B6547E"/>
    <w:rsid w:val="00B654EA"/>
    <w:rsid w:val="00B655A2"/>
    <w:rsid w:val="00B6582C"/>
    <w:rsid w:val="00B65B64"/>
    <w:rsid w:val="00B65C2B"/>
    <w:rsid w:val="00B65DC9"/>
    <w:rsid w:val="00B65DDA"/>
    <w:rsid w:val="00B65F34"/>
    <w:rsid w:val="00B660BE"/>
    <w:rsid w:val="00B66C7C"/>
    <w:rsid w:val="00B66DE5"/>
    <w:rsid w:val="00B66E7A"/>
    <w:rsid w:val="00B670B0"/>
    <w:rsid w:val="00B67511"/>
    <w:rsid w:val="00B678AD"/>
    <w:rsid w:val="00B678B7"/>
    <w:rsid w:val="00B678E1"/>
    <w:rsid w:val="00B6795B"/>
    <w:rsid w:val="00B679AA"/>
    <w:rsid w:val="00B67D9A"/>
    <w:rsid w:val="00B67DEC"/>
    <w:rsid w:val="00B67E02"/>
    <w:rsid w:val="00B70074"/>
    <w:rsid w:val="00B70217"/>
    <w:rsid w:val="00B70425"/>
    <w:rsid w:val="00B7049E"/>
    <w:rsid w:val="00B70520"/>
    <w:rsid w:val="00B705EF"/>
    <w:rsid w:val="00B706DB"/>
    <w:rsid w:val="00B707AB"/>
    <w:rsid w:val="00B7093B"/>
    <w:rsid w:val="00B709C9"/>
    <w:rsid w:val="00B709D6"/>
    <w:rsid w:val="00B70ADE"/>
    <w:rsid w:val="00B70AFB"/>
    <w:rsid w:val="00B70BAC"/>
    <w:rsid w:val="00B70E00"/>
    <w:rsid w:val="00B70F43"/>
    <w:rsid w:val="00B7111B"/>
    <w:rsid w:val="00B7134D"/>
    <w:rsid w:val="00B715F8"/>
    <w:rsid w:val="00B718BA"/>
    <w:rsid w:val="00B71EAD"/>
    <w:rsid w:val="00B71F64"/>
    <w:rsid w:val="00B71FC2"/>
    <w:rsid w:val="00B71FD0"/>
    <w:rsid w:val="00B72006"/>
    <w:rsid w:val="00B72421"/>
    <w:rsid w:val="00B728B1"/>
    <w:rsid w:val="00B7291E"/>
    <w:rsid w:val="00B72A08"/>
    <w:rsid w:val="00B72AA5"/>
    <w:rsid w:val="00B72AC8"/>
    <w:rsid w:val="00B72B44"/>
    <w:rsid w:val="00B72B69"/>
    <w:rsid w:val="00B72BD8"/>
    <w:rsid w:val="00B72EED"/>
    <w:rsid w:val="00B72EFB"/>
    <w:rsid w:val="00B72F76"/>
    <w:rsid w:val="00B72FF5"/>
    <w:rsid w:val="00B7331C"/>
    <w:rsid w:val="00B733C4"/>
    <w:rsid w:val="00B73401"/>
    <w:rsid w:val="00B73419"/>
    <w:rsid w:val="00B734A0"/>
    <w:rsid w:val="00B734F4"/>
    <w:rsid w:val="00B73565"/>
    <w:rsid w:val="00B73720"/>
    <w:rsid w:val="00B73BE5"/>
    <w:rsid w:val="00B73CD4"/>
    <w:rsid w:val="00B73DFF"/>
    <w:rsid w:val="00B73F82"/>
    <w:rsid w:val="00B73FEC"/>
    <w:rsid w:val="00B741ED"/>
    <w:rsid w:val="00B7445D"/>
    <w:rsid w:val="00B7460A"/>
    <w:rsid w:val="00B74629"/>
    <w:rsid w:val="00B748B0"/>
    <w:rsid w:val="00B7491B"/>
    <w:rsid w:val="00B749D2"/>
    <w:rsid w:val="00B74A1A"/>
    <w:rsid w:val="00B74A8D"/>
    <w:rsid w:val="00B74D85"/>
    <w:rsid w:val="00B74E38"/>
    <w:rsid w:val="00B7506A"/>
    <w:rsid w:val="00B75156"/>
    <w:rsid w:val="00B752AD"/>
    <w:rsid w:val="00B7537B"/>
    <w:rsid w:val="00B754C6"/>
    <w:rsid w:val="00B75535"/>
    <w:rsid w:val="00B759CA"/>
    <w:rsid w:val="00B75B76"/>
    <w:rsid w:val="00B75C2F"/>
    <w:rsid w:val="00B75CB4"/>
    <w:rsid w:val="00B75CD2"/>
    <w:rsid w:val="00B75E38"/>
    <w:rsid w:val="00B75F9D"/>
    <w:rsid w:val="00B760E6"/>
    <w:rsid w:val="00B7627E"/>
    <w:rsid w:val="00B762D7"/>
    <w:rsid w:val="00B76330"/>
    <w:rsid w:val="00B7650A"/>
    <w:rsid w:val="00B7650C"/>
    <w:rsid w:val="00B76587"/>
    <w:rsid w:val="00B76616"/>
    <w:rsid w:val="00B76752"/>
    <w:rsid w:val="00B76ADB"/>
    <w:rsid w:val="00B76D62"/>
    <w:rsid w:val="00B76D88"/>
    <w:rsid w:val="00B76DAC"/>
    <w:rsid w:val="00B76EAF"/>
    <w:rsid w:val="00B77006"/>
    <w:rsid w:val="00B771AD"/>
    <w:rsid w:val="00B77203"/>
    <w:rsid w:val="00B77542"/>
    <w:rsid w:val="00B77779"/>
    <w:rsid w:val="00B777E0"/>
    <w:rsid w:val="00B77983"/>
    <w:rsid w:val="00B779DC"/>
    <w:rsid w:val="00B77A71"/>
    <w:rsid w:val="00B77BB4"/>
    <w:rsid w:val="00B77FD9"/>
    <w:rsid w:val="00B8024B"/>
    <w:rsid w:val="00B80486"/>
    <w:rsid w:val="00B805D2"/>
    <w:rsid w:val="00B80722"/>
    <w:rsid w:val="00B8093C"/>
    <w:rsid w:val="00B80A9E"/>
    <w:rsid w:val="00B80BA5"/>
    <w:rsid w:val="00B80BFA"/>
    <w:rsid w:val="00B80CB2"/>
    <w:rsid w:val="00B80D35"/>
    <w:rsid w:val="00B811FA"/>
    <w:rsid w:val="00B81367"/>
    <w:rsid w:val="00B8143B"/>
    <w:rsid w:val="00B81548"/>
    <w:rsid w:val="00B81660"/>
    <w:rsid w:val="00B81871"/>
    <w:rsid w:val="00B81B60"/>
    <w:rsid w:val="00B81E91"/>
    <w:rsid w:val="00B81EAE"/>
    <w:rsid w:val="00B81EBE"/>
    <w:rsid w:val="00B81EC2"/>
    <w:rsid w:val="00B81EF2"/>
    <w:rsid w:val="00B82128"/>
    <w:rsid w:val="00B821DE"/>
    <w:rsid w:val="00B822BE"/>
    <w:rsid w:val="00B823EF"/>
    <w:rsid w:val="00B82508"/>
    <w:rsid w:val="00B82549"/>
    <w:rsid w:val="00B8297D"/>
    <w:rsid w:val="00B82986"/>
    <w:rsid w:val="00B82A46"/>
    <w:rsid w:val="00B82B36"/>
    <w:rsid w:val="00B82CC2"/>
    <w:rsid w:val="00B83492"/>
    <w:rsid w:val="00B834BC"/>
    <w:rsid w:val="00B83521"/>
    <w:rsid w:val="00B83A11"/>
    <w:rsid w:val="00B83A4E"/>
    <w:rsid w:val="00B84069"/>
    <w:rsid w:val="00B84306"/>
    <w:rsid w:val="00B845A2"/>
    <w:rsid w:val="00B845AE"/>
    <w:rsid w:val="00B846A4"/>
    <w:rsid w:val="00B848B6"/>
    <w:rsid w:val="00B84952"/>
    <w:rsid w:val="00B84AFA"/>
    <w:rsid w:val="00B84D13"/>
    <w:rsid w:val="00B84E9B"/>
    <w:rsid w:val="00B851D8"/>
    <w:rsid w:val="00B851F7"/>
    <w:rsid w:val="00B8524C"/>
    <w:rsid w:val="00B8538A"/>
    <w:rsid w:val="00B853BF"/>
    <w:rsid w:val="00B856DE"/>
    <w:rsid w:val="00B858C3"/>
    <w:rsid w:val="00B85B94"/>
    <w:rsid w:val="00B85DF0"/>
    <w:rsid w:val="00B85E3A"/>
    <w:rsid w:val="00B85E50"/>
    <w:rsid w:val="00B85FCA"/>
    <w:rsid w:val="00B85FD0"/>
    <w:rsid w:val="00B86131"/>
    <w:rsid w:val="00B86231"/>
    <w:rsid w:val="00B8633B"/>
    <w:rsid w:val="00B864FC"/>
    <w:rsid w:val="00B865DB"/>
    <w:rsid w:val="00B86780"/>
    <w:rsid w:val="00B86996"/>
    <w:rsid w:val="00B869CB"/>
    <w:rsid w:val="00B86F65"/>
    <w:rsid w:val="00B87004"/>
    <w:rsid w:val="00B87A26"/>
    <w:rsid w:val="00B87AD7"/>
    <w:rsid w:val="00B87B0C"/>
    <w:rsid w:val="00B87CBE"/>
    <w:rsid w:val="00B90022"/>
    <w:rsid w:val="00B90093"/>
    <w:rsid w:val="00B902C6"/>
    <w:rsid w:val="00B90543"/>
    <w:rsid w:val="00B90545"/>
    <w:rsid w:val="00B905FA"/>
    <w:rsid w:val="00B907AF"/>
    <w:rsid w:val="00B90A82"/>
    <w:rsid w:val="00B90B96"/>
    <w:rsid w:val="00B90C67"/>
    <w:rsid w:val="00B90F5C"/>
    <w:rsid w:val="00B91339"/>
    <w:rsid w:val="00B915D4"/>
    <w:rsid w:val="00B91651"/>
    <w:rsid w:val="00B91893"/>
    <w:rsid w:val="00B918CE"/>
    <w:rsid w:val="00B9197E"/>
    <w:rsid w:val="00B91A3A"/>
    <w:rsid w:val="00B91A77"/>
    <w:rsid w:val="00B91DAD"/>
    <w:rsid w:val="00B926B2"/>
    <w:rsid w:val="00B928C0"/>
    <w:rsid w:val="00B929CF"/>
    <w:rsid w:val="00B929EB"/>
    <w:rsid w:val="00B92A4F"/>
    <w:rsid w:val="00B92C26"/>
    <w:rsid w:val="00B92ED8"/>
    <w:rsid w:val="00B93131"/>
    <w:rsid w:val="00B9313A"/>
    <w:rsid w:val="00B93260"/>
    <w:rsid w:val="00B933F7"/>
    <w:rsid w:val="00B9343E"/>
    <w:rsid w:val="00B934DB"/>
    <w:rsid w:val="00B9353D"/>
    <w:rsid w:val="00B93677"/>
    <w:rsid w:val="00B93AB8"/>
    <w:rsid w:val="00B93B67"/>
    <w:rsid w:val="00B93B7D"/>
    <w:rsid w:val="00B93BBB"/>
    <w:rsid w:val="00B94433"/>
    <w:rsid w:val="00B94758"/>
    <w:rsid w:val="00B94924"/>
    <w:rsid w:val="00B94ABD"/>
    <w:rsid w:val="00B94BFA"/>
    <w:rsid w:val="00B94C69"/>
    <w:rsid w:val="00B94E80"/>
    <w:rsid w:val="00B94F90"/>
    <w:rsid w:val="00B95177"/>
    <w:rsid w:val="00B952BF"/>
    <w:rsid w:val="00B952FC"/>
    <w:rsid w:val="00B954F4"/>
    <w:rsid w:val="00B95600"/>
    <w:rsid w:val="00B957AA"/>
    <w:rsid w:val="00B95923"/>
    <w:rsid w:val="00B9594B"/>
    <w:rsid w:val="00B95A59"/>
    <w:rsid w:val="00B95CE8"/>
    <w:rsid w:val="00B95D7E"/>
    <w:rsid w:val="00B95EF8"/>
    <w:rsid w:val="00B9609A"/>
    <w:rsid w:val="00B960DD"/>
    <w:rsid w:val="00B964D2"/>
    <w:rsid w:val="00B96665"/>
    <w:rsid w:val="00B966DE"/>
    <w:rsid w:val="00B96765"/>
    <w:rsid w:val="00B96994"/>
    <w:rsid w:val="00B96E21"/>
    <w:rsid w:val="00B96E3E"/>
    <w:rsid w:val="00B96ED0"/>
    <w:rsid w:val="00B97072"/>
    <w:rsid w:val="00B971CB"/>
    <w:rsid w:val="00B9750E"/>
    <w:rsid w:val="00B97618"/>
    <w:rsid w:val="00B97664"/>
    <w:rsid w:val="00B97795"/>
    <w:rsid w:val="00B9782F"/>
    <w:rsid w:val="00B97998"/>
    <w:rsid w:val="00B97A0B"/>
    <w:rsid w:val="00B97A1D"/>
    <w:rsid w:val="00B97E2B"/>
    <w:rsid w:val="00B97EC3"/>
    <w:rsid w:val="00BA0213"/>
    <w:rsid w:val="00BA0243"/>
    <w:rsid w:val="00BA026D"/>
    <w:rsid w:val="00BA029E"/>
    <w:rsid w:val="00BA03A2"/>
    <w:rsid w:val="00BA03DE"/>
    <w:rsid w:val="00BA07E7"/>
    <w:rsid w:val="00BA0B56"/>
    <w:rsid w:val="00BA0E93"/>
    <w:rsid w:val="00BA0F2F"/>
    <w:rsid w:val="00BA1037"/>
    <w:rsid w:val="00BA1309"/>
    <w:rsid w:val="00BA14AC"/>
    <w:rsid w:val="00BA14DD"/>
    <w:rsid w:val="00BA151B"/>
    <w:rsid w:val="00BA15FC"/>
    <w:rsid w:val="00BA19C6"/>
    <w:rsid w:val="00BA1A06"/>
    <w:rsid w:val="00BA1B80"/>
    <w:rsid w:val="00BA1D5D"/>
    <w:rsid w:val="00BA1F93"/>
    <w:rsid w:val="00BA22D0"/>
    <w:rsid w:val="00BA2483"/>
    <w:rsid w:val="00BA252D"/>
    <w:rsid w:val="00BA2823"/>
    <w:rsid w:val="00BA2B34"/>
    <w:rsid w:val="00BA2C74"/>
    <w:rsid w:val="00BA2C91"/>
    <w:rsid w:val="00BA2D90"/>
    <w:rsid w:val="00BA2E31"/>
    <w:rsid w:val="00BA305E"/>
    <w:rsid w:val="00BA3222"/>
    <w:rsid w:val="00BA34E6"/>
    <w:rsid w:val="00BA363D"/>
    <w:rsid w:val="00BA385F"/>
    <w:rsid w:val="00BA3982"/>
    <w:rsid w:val="00BA3A8D"/>
    <w:rsid w:val="00BA3AE2"/>
    <w:rsid w:val="00BA3CCD"/>
    <w:rsid w:val="00BA3D07"/>
    <w:rsid w:val="00BA3D97"/>
    <w:rsid w:val="00BA410D"/>
    <w:rsid w:val="00BA43A3"/>
    <w:rsid w:val="00BA4877"/>
    <w:rsid w:val="00BA48BE"/>
    <w:rsid w:val="00BA491E"/>
    <w:rsid w:val="00BA49A0"/>
    <w:rsid w:val="00BA49D0"/>
    <w:rsid w:val="00BA4F15"/>
    <w:rsid w:val="00BA5630"/>
    <w:rsid w:val="00BA58D2"/>
    <w:rsid w:val="00BA59EB"/>
    <w:rsid w:val="00BA5BBB"/>
    <w:rsid w:val="00BA5DD1"/>
    <w:rsid w:val="00BA5E5D"/>
    <w:rsid w:val="00BA626B"/>
    <w:rsid w:val="00BA6686"/>
    <w:rsid w:val="00BA682D"/>
    <w:rsid w:val="00BA6B29"/>
    <w:rsid w:val="00BA6D38"/>
    <w:rsid w:val="00BA6DAF"/>
    <w:rsid w:val="00BA6FB9"/>
    <w:rsid w:val="00BA72B4"/>
    <w:rsid w:val="00BA7335"/>
    <w:rsid w:val="00BA76FA"/>
    <w:rsid w:val="00BA789B"/>
    <w:rsid w:val="00BA7952"/>
    <w:rsid w:val="00BA7966"/>
    <w:rsid w:val="00BA7AA3"/>
    <w:rsid w:val="00BB004E"/>
    <w:rsid w:val="00BB06DC"/>
    <w:rsid w:val="00BB090C"/>
    <w:rsid w:val="00BB0916"/>
    <w:rsid w:val="00BB097B"/>
    <w:rsid w:val="00BB0C93"/>
    <w:rsid w:val="00BB0D46"/>
    <w:rsid w:val="00BB0DE8"/>
    <w:rsid w:val="00BB0E6E"/>
    <w:rsid w:val="00BB0FB0"/>
    <w:rsid w:val="00BB0FEE"/>
    <w:rsid w:val="00BB1229"/>
    <w:rsid w:val="00BB12A2"/>
    <w:rsid w:val="00BB1322"/>
    <w:rsid w:val="00BB14AF"/>
    <w:rsid w:val="00BB1516"/>
    <w:rsid w:val="00BB15CD"/>
    <w:rsid w:val="00BB16E1"/>
    <w:rsid w:val="00BB1B6B"/>
    <w:rsid w:val="00BB1C14"/>
    <w:rsid w:val="00BB1C4B"/>
    <w:rsid w:val="00BB1D27"/>
    <w:rsid w:val="00BB1EAB"/>
    <w:rsid w:val="00BB1EE4"/>
    <w:rsid w:val="00BB20BC"/>
    <w:rsid w:val="00BB23A8"/>
    <w:rsid w:val="00BB24CA"/>
    <w:rsid w:val="00BB25B0"/>
    <w:rsid w:val="00BB2941"/>
    <w:rsid w:val="00BB2BE0"/>
    <w:rsid w:val="00BB2BF2"/>
    <w:rsid w:val="00BB2C53"/>
    <w:rsid w:val="00BB30BB"/>
    <w:rsid w:val="00BB3239"/>
    <w:rsid w:val="00BB3640"/>
    <w:rsid w:val="00BB36FF"/>
    <w:rsid w:val="00BB3AEA"/>
    <w:rsid w:val="00BB3C95"/>
    <w:rsid w:val="00BB3E3C"/>
    <w:rsid w:val="00BB40BD"/>
    <w:rsid w:val="00BB4138"/>
    <w:rsid w:val="00BB4258"/>
    <w:rsid w:val="00BB45C9"/>
    <w:rsid w:val="00BB4713"/>
    <w:rsid w:val="00BB4A38"/>
    <w:rsid w:val="00BB4A90"/>
    <w:rsid w:val="00BB4B6B"/>
    <w:rsid w:val="00BB4C9B"/>
    <w:rsid w:val="00BB4D7F"/>
    <w:rsid w:val="00BB4DCE"/>
    <w:rsid w:val="00BB4F32"/>
    <w:rsid w:val="00BB5157"/>
    <w:rsid w:val="00BB5179"/>
    <w:rsid w:val="00BB52A1"/>
    <w:rsid w:val="00BB53A3"/>
    <w:rsid w:val="00BB540F"/>
    <w:rsid w:val="00BB5460"/>
    <w:rsid w:val="00BB5542"/>
    <w:rsid w:val="00BB58FB"/>
    <w:rsid w:val="00BB597C"/>
    <w:rsid w:val="00BB5A91"/>
    <w:rsid w:val="00BB5B81"/>
    <w:rsid w:val="00BB5F25"/>
    <w:rsid w:val="00BB5F7E"/>
    <w:rsid w:val="00BB605A"/>
    <w:rsid w:val="00BB6193"/>
    <w:rsid w:val="00BB6473"/>
    <w:rsid w:val="00BB647C"/>
    <w:rsid w:val="00BB6586"/>
    <w:rsid w:val="00BB6726"/>
    <w:rsid w:val="00BB677C"/>
    <w:rsid w:val="00BB67C3"/>
    <w:rsid w:val="00BB6B87"/>
    <w:rsid w:val="00BB6BC8"/>
    <w:rsid w:val="00BB6C35"/>
    <w:rsid w:val="00BB6D55"/>
    <w:rsid w:val="00BB6D88"/>
    <w:rsid w:val="00BB6F20"/>
    <w:rsid w:val="00BB7240"/>
    <w:rsid w:val="00BB761F"/>
    <w:rsid w:val="00BB763A"/>
    <w:rsid w:val="00BB7738"/>
    <w:rsid w:val="00BB78F7"/>
    <w:rsid w:val="00BB7E15"/>
    <w:rsid w:val="00BB7E26"/>
    <w:rsid w:val="00BB7E7F"/>
    <w:rsid w:val="00BC00E6"/>
    <w:rsid w:val="00BC0606"/>
    <w:rsid w:val="00BC066E"/>
    <w:rsid w:val="00BC0834"/>
    <w:rsid w:val="00BC0911"/>
    <w:rsid w:val="00BC0A9A"/>
    <w:rsid w:val="00BC0CC8"/>
    <w:rsid w:val="00BC0D6E"/>
    <w:rsid w:val="00BC0D92"/>
    <w:rsid w:val="00BC1163"/>
    <w:rsid w:val="00BC147E"/>
    <w:rsid w:val="00BC189B"/>
    <w:rsid w:val="00BC1BDF"/>
    <w:rsid w:val="00BC1C1E"/>
    <w:rsid w:val="00BC1CB5"/>
    <w:rsid w:val="00BC217A"/>
    <w:rsid w:val="00BC2691"/>
    <w:rsid w:val="00BC2809"/>
    <w:rsid w:val="00BC28AC"/>
    <w:rsid w:val="00BC2A73"/>
    <w:rsid w:val="00BC2C1A"/>
    <w:rsid w:val="00BC2F8B"/>
    <w:rsid w:val="00BC3009"/>
    <w:rsid w:val="00BC3108"/>
    <w:rsid w:val="00BC3134"/>
    <w:rsid w:val="00BC3378"/>
    <w:rsid w:val="00BC33BD"/>
    <w:rsid w:val="00BC3712"/>
    <w:rsid w:val="00BC39D3"/>
    <w:rsid w:val="00BC3E56"/>
    <w:rsid w:val="00BC4098"/>
    <w:rsid w:val="00BC409C"/>
    <w:rsid w:val="00BC4274"/>
    <w:rsid w:val="00BC4294"/>
    <w:rsid w:val="00BC44EC"/>
    <w:rsid w:val="00BC4B2A"/>
    <w:rsid w:val="00BC4C52"/>
    <w:rsid w:val="00BC4D3D"/>
    <w:rsid w:val="00BC50A4"/>
    <w:rsid w:val="00BC5314"/>
    <w:rsid w:val="00BC5406"/>
    <w:rsid w:val="00BC548D"/>
    <w:rsid w:val="00BC5604"/>
    <w:rsid w:val="00BC5730"/>
    <w:rsid w:val="00BC57F9"/>
    <w:rsid w:val="00BC59AF"/>
    <w:rsid w:val="00BC5A10"/>
    <w:rsid w:val="00BC5BEA"/>
    <w:rsid w:val="00BC6028"/>
    <w:rsid w:val="00BC6266"/>
    <w:rsid w:val="00BC63A7"/>
    <w:rsid w:val="00BC66D8"/>
    <w:rsid w:val="00BC6C5D"/>
    <w:rsid w:val="00BC6D1E"/>
    <w:rsid w:val="00BC6E04"/>
    <w:rsid w:val="00BC702A"/>
    <w:rsid w:val="00BC7198"/>
    <w:rsid w:val="00BC72D7"/>
    <w:rsid w:val="00BC735D"/>
    <w:rsid w:val="00BC747C"/>
    <w:rsid w:val="00BC7655"/>
    <w:rsid w:val="00BC76D1"/>
    <w:rsid w:val="00BC7828"/>
    <w:rsid w:val="00BC7A5D"/>
    <w:rsid w:val="00BC7DAA"/>
    <w:rsid w:val="00BD001A"/>
    <w:rsid w:val="00BD019F"/>
    <w:rsid w:val="00BD023F"/>
    <w:rsid w:val="00BD03F0"/>
    <w:rsid w:val="00BD0524"/>
    <w:rsid w:val="00BD06A2"/>
    <w:rsid w:val="00BD0855"/>
    <w:rsid w:val="00BD0B2F"/>
    <w:rsid w:val="00BD0C72"/>
    <w:rsid w:val="00BD0CFF"/>
    <w:rsid w:val="00BD0D0A"/>
    <w:rsid w:val="00BD0DA6"/>
    <w:rsid w:val="00BD1000"/>
    <w:rsid w:val="00BD118B"/>
    <w:rsid w:val="00BD119D"/>
    <w:rsid w:val="00BD11CE"/>
    <w:rsid w:val="00BD1207"/>
    <w:rsid w:val="00BD13B1"/>
    <w:rsid w:val="00BD147E"/>
    <w:rsid w:val="00BD14BE"/>
    <w:rsid w:val="00BD197C"/>
    <w:rsid w:val="00BD1B82"/>
    <w:rsid w:val="00BD1BBA"/>
    <w:rsid w:val="00BD1C27"/>
    <w:rsid w:val="00BD1CE3"/>
    <w:rsid w:val="00BD1EDE"/>
    <w:rsid w:val="00BD20BE"/>
    <w:rsid w:val="00BD2329"/>
    <w:rsid w:val="00BD23C8"/>
    <w:rsid w:val="00BD25CD"/>
    <w:rsid w:val="00BD2A23"/>
    <w:rsid w:val="00BD2A4F"/>
    <w:rsid w:val="00BD2B3B"/>
    <w:rsid w:val="00BD2CA4"/>
    <w:rsid w:val="00BD2DED"/>
    <w:rsid w:val="00BD2F0D"/>
    <w:rsid w:val="00BD32F3"/>
    <w:rsid w:val="00BD3313"/>
    <w:rsid w:val="00BD3407"/>
    <w:rsid w:val="00BD34C1"/>
    <w:rsid w:val="00BD35DC"/>
    <w:rsid w:val="00BD37F0"/>
    <w:rsid w:val="00BD381B"/>
    <w:rsid w:val="00BD39F2"/>
    <w:rsid w:val="00BD3A5E"/>
    <w:rsid w:val="00BD4034"/>
    <w:rsid w:val="00BD40FF"/>
    <w:rsid w:val="00BD415A"/>
    <w:rsid w:val="00BD4168"/>
    <w:rsid w:val="00BD421B"/>
    <w:rsid w:val="00BD426F"/>
    <w:rsid w:val="00BD469D"/>
    <w:rsid w:val="00BD4826"/>
    <w:rsid w:val="00BD48A4"/>
    <w:rsid w:val="00BD4ABE"/>
    <w:rsid w:val="00BD4E1E"/>
    <w:rsid w:val="00BD5118"/>
    <w:rsid w:val="00BD51B9"/>
    <w:rsid w:val="00BD51D9"/>
    <w:rsid w:val="00BD556B"/>
    <w:rsid w:val="00BD563D"/>
    <w:rsid w:val="00BD5827"/>
    <w:rsid w:val="00BD5D7D"/>
    <w:rsid w:val="00BD5DCF"/>
    <w:rsid w:val="00BD5E24"/>
    <w:rsid w:val="00BD5FE1"/>
    <w:rsid w:val="00BD64DD"/>
    <w:rsid w:val="00BD64FA"/>
    <w:rsid w:val="00BD6583"/>
    <w:rsid w:val="00BD658C"/>
    <w:rsid w:val="00BD66EA"/>
    <w:rsid w:val="00BD688C"/>
    <w:rsid w:val="00BD6C65"/>
    <w:rsid w:val="00BD6D86"/>
    <w:rsid w:val="00BD6DB8"/>
    <w:rsid w:val="00BD6ECE"/>
    <w:rsid w:val="00BD7022"/>
    <w:rsid w:val="00BD7141"/>
    <w:rsid w:val="00BD71C1"/>
    <w:rsid w:val="00BD7507"/>
    <w:rsid w:val="00BD770C"/>
    <w:rsid w:val="00BD773B"/>
    <w:rsid w:val="00BD77D1"/>
    <w:rsid w:val="00BD7AFF"/>
    <w:rsid w:val="00BD7BF2"/>
    <w:rsid w:val="00BD7C3B"/>
    <w:rsid w:val="00BE0172"/>
    <w:rsid w:val="00BE01E3"/>
    <w:rsid w:val="00BE01F9"/>
    <w:rsid w:val="00BE03BA"/>
    <w:rsid w:val="00BE0B53"/>
    <w:rsid w:val="00BE0C5E"/>
    <w:rsid w:val="00BE0CC3"/>
    <w:rsid w:val="00BE0D21"/>
    <w:rsid w:val="00BE0D70"/>
    <w:rsid w:val="00BE0DC2"/>
    <w:rsid w:val="00BE0DD7"/>
    <w:rsid w:val="00BE14A7"/>
    <w:rsid w:val="00BE170F"/>
    <w:rsid w:val="00BE1970"/>
    <w:rsid w:val="00BE19A0"/>
    <w:rsid w:val="00BE1A97"/>
    <w:rsid w:val="00BE1E27"/>
    <w:rsid w:val="00BE1EAF"/>
    <w:rsid w:val="00BE1F24"/>
    <w:rsid w:val="00BE1F56"/>
    <w:rsid w:val="00BE22A6"/>
    <w:rsid w:val="00BE22DB"/>
    <w:rsid w:val="00BE23C9"/>
    <w:rsid w:val="00BE2488"/>
    <w:rsid w:val="00BE2689"/>
    <w:rsid w:val="00BE2727"/>
    <w:rsid w:val="00BE272D"/>
    <w:rsid w:val="00BE2A5C"/>
    <w:rsid w:val="00BE2D03"/>
    <w:rsid w:val="00BE2EE0"/>
    <w:rsid w:val="00BE2F56"/>
    <w:rsid w:val="00BE3193"/>
    <w:rsid w:val="00BE32C4"/>
    <w:rsid w:val="00BE331B"/>
    <w:rsid w:val="00BE33EE"/>
    <w:rsid w:val="00BE3426"/>
    <w:rsid w:val="00BE344C"/>
    <w:rsid w:val="00BE35EC"/>
    <w:rsid w:val="00BE3720"/>
    <w:rsid w:val="00BE37EA"/>
    <w:rsid w:val="00BE39DF"/>
    <w:rsid w:val="00BE3C64"/>
    <w:rsid w:val="00BE3C8A"/>
    <w:rsid w:val="00BE3D4A"/>
    <w:rsid w:val="00BE3DAC"/>
    <w:rsid w:val="00BE3F47"/>
    <w:rsid w:val="00BE3F90"/>
    <w:rsid w:val="00BE400F"/>
    <w:rsid w:val="00BE4171"/>
    <w:rsid w:val="00BE4B64"/>
    <w:rsid w:val="00BE4DBA"/>
    <w:rsid w:val="00BE4F26"/>
    <w:rsid w:val="00BE5072"/>
    <w:rsid w:val="00BE5412"/>
    <w:rsid w:val="00BE54BC"/>
    <w:rsid w:val="00BE54E3"/>
    <w:rsid w:val="00BE5692"/>
    <w:rsid w:val="00BE57AD"/>
    <w:rsid w:val="00BE5B77"/>
    <w:rsid w:val="00BE62C5"/>
    <w:rsid w:val="00BE6364"/>
    <w:rsid w:val="00BE642C"/>
    <w:rsid w:val="00BE64E5"/>
    <w:rsid w:val="00BE653C"/>
    <w:rsid w:val="00BE6693"/>
    <w:rsid w:val="00BE66C9"/>
    <w:rsid w:val="00BE6B5D"/>
    <w:rsid w:val="00BE6B91"/>
    <w:rsid w:val="00BE6D15"/>
    <w:rsid w:val="00BE6D73"/>
    <w:rsid w:val="00BE6DAF"/>
    <w:rsid w:val="00BE6DB3"/>
    <w:rsid w:val="00BE6EB2"/>
    <w:rsid w:val="00BE6EED"/>
    <w:rsid w:val="00BE70C3"/>
    <w:rsid w:val="00BE7591"/>
    <w:rsid w:val="00BE7801"/>
    <w:rsid w:val="00BE7AC8"/>
    <w:rsid w:val="00BE7BE5"/>
    <w:rsid w:val="00BE7C07"/>
    <w:rsid w:val="00BE7CD4"/>
    <w:rsid w:val="00BE7CFC"/>
    <w:rsid w:val="00BF00CD"/>
    <w:rsid w:val="00BF0280"/>
    <w:rsid w:val="00BF03DD"/>
    <w:rsid w:val="00BF08C6"/>
    <w:rsid w:val="00BF09C1"/>
    <w:rsid w:val="00BF0B74"/>
    <w:rsid w:val="00BF0BA8"/>
    <w:rsid w:val="00BF0BD9"/>
    <w:rsid w:val="00BF0D22"/>
    <w:rsid w:val="00BF0F43"/>
    <w:rsid w:val="00BF0F72"/>
    <w:rsid w:val="00BF12DB"/>
    <w:rsid w:val="00BF134E"/>
    <w:rsid w:val="00BF1536"/>
    <w:rsid w:val="00BF165C"/>
    <w:rsid w:val="00BF1694"/>
    <w:rsid w:val="00BF197F"/>
    <w:rsid w:val="00BF1A4C"/>
    <w:rsid w:val="00BF1DAD"/>
    <w:rsid w:val="00BF24FF"/>
    <w:rsid w:val="00BF2C89"/>
    <w:rsid w:val="00BF2DA3"/>
    <w:rsid w:val="00BF2E85"/>
    <w:rsid w:val="00BF2FA2"/>
    <w:rsid w:val="00BF2FA6"/>
    <w:rsid w:val="00BF340A"/>
    <w:rsid w:val="00BF371C"/>
    <w:rsid w:val="00BF392F"/>
    <w:rsid w:val="00BF3C07"/>
    <w:rsid w:val="00BF3DC8"/>
    <w:rsid w:val="00BF3DF3"/>
    <w:rsid w:val="00BF413D"/>
    <w:rsid w:val="00BF43FC"/>
    <w:rsid w:val="00BF453F"/>
    <w:rsid w:val="00BF4734"/>
    <w:rsid w:val="00BF48AD"/>
    <w:rsid w:val="00BF4C5D"/>
    <w:rsid w:val="00BF4CDA"/>
    <w:rsid w:val="00BF4E0C"/>
    <w:rsid w:val="00BF4FCB"/>
    <w:rsid w:val="00BF5258"/>
    <w:rsid w:val="00BF548E"/>
    <w:rsid w:val="00BF560B"/>
    <w:rsid w:val="00BF584C"/>
    <w:rsid w:val="00BF59C7"/>
    <w:rsid w:val="00BF59E2"/>
    <w:rsid w:val="00BF5B3F"/>
    <w:rsid w:val="00BF5B7B"/>
    <w:rsid w:val="00BF5D42"/>
    <w:rsid w:val="00BF5E69"/>
    <w:rsid w:val="00BF5EC7"/>
    <w:rsid w:val="00BF6049"/>
    <w:rsid w:val="00BF62D5"/>
    <w:rsid w:val="00BF6A25"/>
    <w:rsid w:val="00BF6A79"/>
    <w:rsid w:val="00BF6BB1"/>
    <w:rsid w:val="00BF6DFA"/>
    <w:rsid w:val="00BF6E2D"/>
    <w:rsid w:val="00BF6F1C"/>
    <w:rsid w:val="00BF71D4"/>
    <w:rsid w:val="00BF72F5"/>
    <w:rsid w:val="00BF7383"/>
    <w:rsid w:val="00BF73A7"/>
    <w:rsid w:val="00BF740A"/>
    <w:rsid w:val="00BF78D4"/>
    <w:rsid w:val="00BF7957"/>
    <w:rsid w:val="00BF7A83"/>
    <w:rsid w:val="00BF7B8D"/>
    <w:rsid w:val="00C00102"/>
    <w:rsid w:val="00C00220"/>
    <w:rsid w:val="00C002CE"/>
    <w:rsid w:val="00C00692"/>
    <w:rsid w:val="00C007F7"/>
    <w:rsid w:val="00C00AC6"/>
    <w:rsid w:val="00C00D66"/>
    <w:rsid w:val="00C00DF9"/>
    <w:rsid w:val="00C01134"/>
    <w:rsid w:val="00C01314"/>
    <w:rsid w:val="00C01466"/>
    <w:rsid w:val="00C02181"/>
    <w:rsid w:val="00C0259D"/>
    <w:rsid w:val="00C02C1D"/>
    <w:rsid w:val="00C02DF5"/>
    <w:rsid w:val="00C031C0"/>
    <w:rsid w:val="00C03331"/>
    <w:rsid w:val="00C03535"/>
    <w:rsid w:val="00C038F1"/>
    <w:rsid w:val="00C03983"/>
    <w:rsid w:val="00C03A60"/>
    <w:rsid w:val="00C03CAD"/>
    <w:rsid w:val="00C040B6"/>
    <w:rsid w:val="00C044D1"/>
    <w:rsid w:val="00C044E2"/>
    <w:rsid w:val="00C04DF0"/>
    <w:rsid w:val="00C04E85"/>
    <w:rsid w:val="00C04FCC"/>
    <w:rsid w:val="00C050DB"/>
    <w:rsid w:val="00C0518E"/>
    <w:rsid w:val="00C05549"/>
    <w:rsid w:val="00C05578"/>
    <w:rsid w:val="00C0593C"/>
    <w:rsid w:val="00C05CA8"/>
    <w:rsid w:val="00C05DB9"/>
    <w:rsid w:val="00C05F46"/>
    <w:rsid w:val="00C0631E"/>
    <w:rsid w:val="00C067AB"/>
    <w:rsid w:val="00C067C5"/>
    <w:rsid w:val="00C06B8D"/>
    <w:rsid w:val="00C06E50"/>
    <w:rsid w:val="00C06EA2"/>
    <w:rsid w:val="00C07082"/>
    <w:rsid w:val="00C070F4"/>
    <w:rsid w:val="00C0716A"/>
    <w:rsid w:val="00C07267"/>
    <w:rsid w:val="00C0736D"/>
    <w:rsid w:val="00C0760B"/>
    <w:rsid w:val="00C0761D"/>
    <w:rsid w:val="00C07BE2"/>
    <w:rsid w:val="00C104A5"/>
    <w:rsid w:val="00C10923"/>
    <w:rsid w:val="00C1095A"/>
    <w:rsid w:val="00C10A06"/>
    <w:rsid w:val="00C10CB8"/>
    <w:rsid w:val="00C10E27"/>
    <w:rsid w:val="00C112F6"/>
    <w:rsid w:val="00C1172C"/>
    <w:rsid w:val="00C11759"/>
    <w:rsid w:val="00C11CC4"/>
    <w:rsid w:val="00C11D91"/>
    <w:rsid w:val="00C11EFC"/>
    <w:rsid w:val="00C120E1"/>
    <w:rsid w:val="00C121FE"/>
    <w:rsid w:val="00C12284"/>
    <w:rsid w:val="00C1272F"/>
    <w:rsid w:val="00C12C6E"/>
    <w:rsid w:val="00C12F73"/>
    <w:rsid w:val="00C12FBD"/>
    <w:rsid w:val="00C1305A"/>
    <w:rsid w:val="00C130E4"/>
    <w:rsid w:val="00C13195"/>
    <w:rsid w:val="00C1320A"/>
    <w:rsid w:val="00C132C0"/>
    <w:rsid w:val="00C1339E"/>
    <w:rsid w:val="00C133FC"/>
    <w:rsid w:val="00C134C7"/>
    <w:rsid w:val="00C134DE"/>
    <w:rsid w:val="00C1379B"/>
    <w:rsid w:val="00C13A19"/>
    <w:rsid w:val="00C13C5F"/>
    <w:rsid w:val="00C13D7A"/>
    <w:rsid w:val="00C13EF2"/>
    <w:rsid w:val="00C1409C"/>
    <w:rsid w:val="00C143A2"/>
    <w:rsid w:val="00C1455E"/>
    <w:rsid w:val="00C145CA"/>
    <w:rsid w:val="00C1475A"/>
    <w:rsid w:val="00C147D7"/>
    <w:rsid w:val="00C147E4"/>
    <w:rsid w:val="00C14835"/>
    <w:rsid w:val="00C1486F"/>
    <w:rsid w:val="00C149CE"/>
    <w:rsid w:val="00C14A1A"/>
    <w:rsid w:val="00C14C05"/>
    <w:rsid w:val="00C14CBF"/>
    <w:rsid w:val="00C14E34"/>
    <w:rsid w:val="00C1516D"/>
    <w:rsid w:val="00C152D8"/>
    <w:rsid w:val="00C1554F"/>
    <w:rsid w:val="00C155E2"/>
    <w:rsid w:val="00C1568B"/>
    <w:rsid w:val="00C1575F"/>
    <w:rsid w:val="00C158BE"/>
    <w:rsid w:val="00C15900"/>
    <w:rsid w:val="00C15962"/>
    <w:rsid w:val="00C15BB1"/>
    <w:rsid w:val="00C15C67"/>
    <w:rsid w:val="00C15DB6"/>
    <w:rsid w:val="00C15E2F"/>
    <w:rsid w:val="00C16261"/>
    <w:rsid w:val="00C1626B"/>
    <w:rsid w:val="00C1647C"/>
    <w:rsid w:val="00C16480"/>
    <w:rsid w:val="00C164BF"/>
    <w:rsid w:val="00C166B8"/>
    <w:rsid w:val="00C166DF"/>
    <w:rsid w:val="00C1672C"/>
    <w:rsid w:val="00C16792"/>
    <w:rsid w:val="00C16B4A"/>
    <w:rsid w:val="00C16E42"/>
    <w:rsid w:val="00C16E59"/>
    <w:rsid w:val="00C16F00"/>
    <w:rsid w:val="00C16FEB"/>
    <w:rsid w:val="00C17395"/>
    <w:rsid w:val="00C17706"/>
    <w:rsid w:val="00C17AF9"/>
    <w:rsid w:val="00C17BD1"/>
    <w:rsid w:val="00C17F83"/>
    <w:rsid w:val="00C2028A"/>
    <w:rsid w:val="00C2030D"/>
    <w:rsid w:val="00C20473"/>
    <w:rsid w:val="00C206F7"/>
    <w:rsid w:val="00C2076C"/>
    <w:rsid w:val="00C207F5"/>
    <w:rsid w:val="00C2087A"/>
    <w:rsid w:val="00C20A4E"/>
    <w:rsid w:val="00C20A8E"/>
    <w:rsid w:val="00C20E80"/>
    <w:rsid w:val="00C20EF7"/>
    <w:rsid w:val="00C20F1E"/>
    <w:rsid w:val="00C20F4C"/>
    <w:rsid w:val="00C210D0"/>
    <w:rsid w:val="00C21249"/>
    <w:rsid w:val="00C2148D"/>
    <w:rsid w:val="00C21497"/>
    <w:rsid w:val="00C21627"/>
    <w:rsid w:val="00C218E5"/>
    <w:rsid w:val="00C21AE3"/>
    <w:rsid w:val="00C21DA0"/>
    <w:rsid w:val="00C21E59"/>
    <w:rsid w:val="00C21F38"/>
    <w:rsid w:val="00C21FD9"/>
    <w:rsid w:val="00C223C7"/>
    <w:rsid w:val="00C22A1B"/>
    <w:rsid w:val="00C22ACE"/>
    <w:rsid w:val="00C22C76"/>
    <w:rsid w:val="00C22D0C"/>
    <w:rsid w:val="00C22F67"/>
    <w:rsid w:val="00C231EC"/>
    <w:rsid w:val="00C232C7"/>
    <w:rsid w:val="00C2333B"/>
    <w:rsid w:val="00C2333F"/>
    <w:rsid w:val="00C23340"/>
    <w:rsid w:val="00C23355"/>
    <w:rsid w:val="00C233AC"/>
    <w:rsid w:val="00C2340B"/>
    <w:rsid w:val="00C234E5"/>
    <w:rsid w:val="00C23573"/>
    <w:rsid w:val="00C23612"/>
    <w:rsid w:val="00C236B2"/>
    <w:rsid w:val="00C236CE"/>
    <w:rsid w:val="00C23712"/>
    <w:rsid w:val="00C237D4"/>
    <w:rsid w:val="00C23A6B"/>
    <w:rsid w:val="00C23B28"/>
    <w:rsid w:val="00C23B9D"/>
    <w:rsid w:val="00C23C17"/>
    <w:rsid w:val="00C24055"/>
    <w:rsid w:val="00C24082"/>
    <w:rsid w:val="00C240A7"/>
    <w:rsid w:val="00C24201"/>
    <w:rsid w:val="00C24325"/>
    <w:rsid w:val="00C2458C"/>
    <w:rsid w:val="00C246F8"/>
    <w:rsid w:val="00C248AC"/>
    <w:rsid w:val="00C24AB5"/>
    <w:rsid w:val="00C24B7B"/>
    <w:rsid w:val="00C24F6D"/>
    <w:rsid w:val="00C251E9"/>
    <w:rsid w:val="00C253AA"/>
    <w:rsid w:val="00C254BC"/>
    <w:rsid w:val="00C2595F"/>
    <w:rsid w:val="00C25A12"/>
    <w:rsid w:val="00C25A33"/>
    <w:rsid w:val="00C26344"/>
    <w:rsid w:val="00C26693"/>
    <w:rsid w:val="00C26A52"/>
    <w:rsid w:val="00C26B0B"/>
    <w:rsid w:val="00C26C9E"/>
    <w:rsid w:val="00C26DE8"/>
    <w:rsid w:val="00C26F53"/>
    <w:rsid w:val="00C271D7"/>
    <w:rsid w:val="00C27433"/>
    <w:rsid w:val="00C2788D"/>
    <w:rsid w:val="00C27BC3"/>
    <w:rsid w:val="00C27CC5"/>
    <w:rsid w:val="00C27CF2"/>
    <w:rsid w:val="00C27D10"/>
    <w:rsid w:val="00C27DAB"/>
    <w:rsid w:val="00C27DB5"/>
    <w:rsid w:val="00C27E98"/>
    <w:rsid w:val="00C27EE3"/>
    <w:rsid w:val="00C27FCC"/>
    <w:rsid w:val="00C30149"/>
    <w:rsid w:val="00C30294"/>
    <w:rsid w:val="00C3073F"/>
    <w:rsid w:val="00C30D3F"/>
    <w:rsid w:val="00C30D81"/>
    <w:rsid w:val="00C30E88"/>
    <w:rsid w:val="00C30F20"/>
    <w:rsid w:val="00C30F65"/>
    <w:rsid w:val="00C31507"/>
    <w:rsid w:val="00C3164C"/>
    <w:rsid w:val="00C3167F"/>
    <w:rsid w:val="00C3180B"/>
    <w:rsid w:val="00C3182F"/>
    <w:rsid w:val="00C31924"/>
    <w:rsid w:val="00C31AC3"/>
    <w:rsid w:val="00C31BB9"/>
    <w:rsid w:val="00C31C3B"/>
    <w:rsid w:val="00C31C85"/>
    <w:rsid w:val="00C31E6F"/>
    <w:rsid w:val="00C31EDC"/>
    <w:rsid w:val="00C320F1"/>
    <w:rsid w:val="00C321B9"/>
    <w:rsid w:val="00C325CB"/>
    <w:rsid w:val="00C326A0"/>
    <w:rsid w:val="00C328DB"/>
    <w:rsid w:val="00C32B0B"/>
    <w:rsid w:val="00C32B25"/>
    <w:rsid w:val="00C32B4E"/>
    <w:rsid w:val="00C32B5A"/>
    <w:rsid w:val="00C32E03"/>
    <w:rsid w:val="00C33071"/>
    <w:rsid w:val="00C3315D"/>
    <w:rsid w:val="00C332DD"/>
    <w:rsid w:val="00C333C7"/>
    <w:rsid w:val="00C3349A"/>
    <w:rsid w:val="00C33538"/>
    <w:rsid w:val="00C335A0"/>
    <w:rsid w:val="00C33AEF"/>
    <w:rsid w:val="00C33B7F"/>
    <w:rsid w:val="00C33D57"/>
    <w:rsid w:val="00C33DF2"/>
    <w:rsid w:val="00C3445F"/>
    <w:rsid w:val="00C34549"/>
    <w:rsid w:val="00C3457C"/>
    <w:rsid w:val="00C34670"/>
    <w:rsid w:val="00C346D6"/>
    <w:rsid w:val="00C350D8"/>
    <w:rsid w:val="00C351E7"/>
    <w:rsid w:val="00C35202"/>
    <w:rsid w:val="00C35309"/>
    <w:rsid w:val="00C353F6"/>
    <w:rsid w:val="00C3554F"/>
    <w:rsid w:val="00C35B5B"/>
    <w:rsid w:val="00C35C9D"/>
    <w:rsid w:val="00C35F25"/>
    <w:rsid w:val="00C35FB1"/>
    <w:rsid w:val="00C36403"/>
    <w:rsid w:val="00C3643E"/>
    <w:rsid w:val="00C366B9"/>
    <w:rsid w:val="00C366F9"/>
    <w:rsid w:val="00C367F1"/>
    <w:rsid w:val="00C36835"/>
    <w:rsid w:val="00C36887"/>
    <w:rsid w:val="00C368F3"/>
    <w:rsid w:val="00C36C8A"/>
    <w:rsid w:val="00C36F5C"/>
    <w:rsid w:val="00C371EB"/>
    <w:rsid w:val="00C3766D"/>
    <w:rsid w:val="00C376AA"/>
    <w:rsid w:val="00C376DA"/>
    <w:rsid w:val="00C3799A"/>
    <w:rsid w:val="00C37A1E"/>
    <w:rsid w:val="00C37B88"/>
    <w:rsid w:val="00C37D44"/>
    <w:rsid w:val="00C37E89"/>
    <w:rsid w:val="00C40A41"/>
    <w:rsid w:val="00C40DB7"/>
    <w:rsid w:val="00C40DDC"/>
    <w:rsid w:val="00C40F0A"/>
    <w:rsid w:val="00C410CC"/>
    <w:rsid w:val="00C411A3"/>
    <w:rsid w:val="00C412E3"/>
    <w:rsid w:val="00C41565"/>
    <w:rsid w:val="00C4159A"/>
    <w:rsid w:val="00C415AE"/>
    <w:rsid w:val="00C41821"/>
    <w:rsid w:val="00C418FC"/>
    <w:rsid w:val="00C4193F"/>
    <w:rsid w:val="00C41C56"/>
    <w:rsid w:val="00C41CBC"/>
    <w:rsid w:val="00C41DCC"/>
    <w:rsid w:val="00C41E44"/>
    <w:rsid w:val="00C41EFD"/>
    <w:rsid w:val="00C41FBB"/>
    <w:rsid w:val="00C420A8"/>
    <w:rsid w:val="00C42164"/>
    <w:rsid w:val="00C4224C"/>
    <w:rsid w:val="00C42292"/>
    <w:rsid w:val="00C42722"/>
    <w:rsid w:val="00C42B7E"/>
    <w:rsid w:val="00C43035"/>
    <w:rsid w:val="00C430F7"/>
    <w:rsid w:val="00C43198"/>
    <w:rsid w:val="00C43273"/>
    <w:rsid w:val="00C433A2"/>
    <w:rsid w:val="00C435E1"/>
    <w:rsid w:val="00C4369D"/>
    <w:rsid w:val="00C43734"/>
    <w:rsid w:val="00C4396E"/>
    <w:rsid w:val="00C439D8"/>
    <w:rsid w:val="00C439FD"/>
    <w:rsid w:val="00C43CBB"/>
    <w:rsid w:val="00C43DE9"/>
    <w:rsid w:val="00C43DF1"/>
    <w:rsid w:val="00C43E61"/>
    <w:rsid w:val="00C447D2"/>
    <w:rsid w:val="00C447D8"/>
    <w:rsid w:val="00C44B48"/>
    <w:rsid w:val="00C44C38"/>
    <w:rsid w:val="00C44F15"/>
    <w:rsid w:val="00C4547B"/>
    <w:rsid w:val="00C45521"/>
    <w:rsid w:val="00C455DF"/>
    <w:rsid w:val="00C456E4"/>
    <w:rsid w:val="00C458EC"/>
    <w:rsid w:val="00C45BB0"/>
    <w:rsid w:val="00C45BB2"/>
    <w:rsid w:val="00C45D9B"/>
    <w:rsid w:val="00C45D9C"/>
    <w:rsid w:val="00C46016"/>
    <w:rsid w:val="00C46184"/>
    <w:rsid w:val="00C4645D"/>
    <w:rsid w:val="00C46842"/>
    <w:rsid w:val="00C4691F"/>
    <w:rsid w:val="00C46978"/>
    <w:rsid w:val="00C46BB6"/>
    <w:rsid w:val="00C46F87"/>
    <w:rsid w:val="00C46F9E"/>
    <w:rsid w:val="00C46F9F"/>
    <w:rsid w:val="00C46FDD"/>
    <w:rsid w:val="00C4716E"/>
    <w:rsid w:val="00C4751C"/>
    <w:rsid w:val="00C4767E"/>
    <w:rsid w:val="00C477CD"/>
    <w:rsid w:val="00C47913"/>
    <w:rsid w:val="00C47B9A"/>
    <w:rsid w:val="00C47F78"/>
    <w:rsid w:val="00C50143"/>
    <w:rsid w:val="00C50175"/>
    <w:rsid w:val="00C501DF"/>
    <w:rsid w:val="00C5029B"/>
    <w:rsid w:val="00C50479"/>
    <w:rsid w:val="00C5047B"/>
    <w:rsid w:val="00C50562"/>
    <w:rsid w:val="00C50B33"/>
    <w:rsid w:val="00C50C8D"/>
    <w:rsid w:val="00C50FA4"/>
    <w:rsid w:val="00C51001"/>
    <w:rsid w:val="00C511C2"/>
    <w:rsid w:val="00C512B7"/>
    <w:rsid w:val="00C5169A"/>
    <w:rsid w:val="00C5186E"/>
    <w:rsid w:val="00C51872"/>
    <w:rsid w:val="00C51AA5"/>
    <w:rsid w:val="00C51D75"/>
    <w:rsid w:val="00C51ECB"/>
    <w:rsid w:val="00C51FE2"/>
    <w:rsid w:val="00C5220B"/>
    <w:rsid w:val="00C52251"/>
    <w:rsid w:val="00C522B0"/>
    <w:rsid w:val="00C5239A"/>
    <w:rsid w:val="00C526A1"/>
    <w:rsid w:val="00C52856"/>
    <w:rsid w:val="00C52879"/>
    <w:rsid w:val="00C52A2D"/>
    <w:rsid w:val="00C52A8D"/>
    <w:rsid w:val="00C52BB6"/>
    <w:rsid w:val="00C52E11"/>
    <w:rsid w:val="00C52E23"/>
    <w:rsid w:val="00C52E47"/>
    <w:rsid w:val="00C53031"/>
    <w:rsid w:val="00C53145"/>
    <w:rsid w:val="00C532E1"/>
    <w:rsid w:val="00C53706"/>
    <w:rsid w:val="00C53721"/>
    <w:rsid w:val="00C5393F"/>
    <w:rsid w:val="00C539D0"/>
    <w:rsid w:val="00C53CFF"/>
    <w:rsid w:val="00C5408D"/>
    <w:rsid w:val="00C5410B"/>
    <w:rsid w:val="00C541A9"/>
    <w:rsid w:val="00C54208"/>
    <w:rsid w:val="00C542EA"/>
    <w:rsid w:val="00C54683"/>
    <w:rsid w:val="00C546DE"/>
    <w:rsid w:val="00C547FB"/>
    <w:rsid w:val="00C54829"/>
    <w:rsid w:val="00C5489D"/>
    <w:rsid w:val="00C54922"/>
    <w:rsid w:val="00C5492C"/>
    <w:rsid w:val="00C54C0F"/>
    <w:rsid w:val="00C55032"/>
    <w:rsid w:val="00C55042"/>
    <w:rsid w:val="00C5505A"/>
    <w:rsid w:val="00C55171"/>
    <w:rsid w:val="00C55522"/>
    <w:rsid w:val="00C558FF"/>
    <w:rsid w:val="00C55A10"/>
    <w:rsid w:val="00C55A2F"/>
    <w:rsid w:val="00C55D62"/>
    <w:rsid w:val="00C5611B"/>
    <w:rsid w:val="00C56247"/>
    <w:rsid w:val="00C56423"/>
    <w:rsid w:val="00C56494"/>
    <w:rsid w:val="00C5658B"/>
    <w:rsid w:val="00C5680C"/>
    <w:rsid w:val="00C56B37"/>
    <w:rsid w:val="00C56C11"/>
    <w:rsid w:val="00C56CBF"/>
    <w:rsid w:val="00C56EEF"/>
    <w:rsid w:val="00C5705E"/>
    <w:rsid w:val="00C57060"/>
    <w:rsid w:val="00C571F8"/>
    <w:rsid w:val="00C57469"/>
    <w:rsid w:val="00C5767C"/>
    <w:rsid w:val="00C57C34"/>
    <w:rsid w:val="00C57EA6"/>
    <w:rsid w:val="00C57F48"/>
    <w:rsid w:val="00C6000E"/>
    <w:rsid w:val="00C6026B"/>
    <w:rsid w:val="00C604C3"/>
    <w:rsid w:val="00C6062D"/>
    <w:rsid w:val="00C606B1"/>
    <w:rsid w:val="00C609E8"/>
    <w:rsid w:val="00C60A7B"/>
    <w:rsid w:val="00C60CDE"/>
    <w:rsid w:val="00C60FC0"/>
    <w:rsid w:val="00C6111D"/>
    <w:rsid w:val="00C611D8"/>
    <w:rsid w:val="00C61221"/>
    <w:rsid w:val="00C612F1"/>
    <w:rsid w:val="00C6197E"/>
    <w:rsid w:val="00C61A8B"/>
    <w:rsid w:val="00C61B4D"/>
    <w:rsid w:val="00C62187"/>
    <w:rsid w:val="00C62410"/>
    <w:rsid w:val="00C624AF"/>
    <w:rsid w:val="00C6272D"/>
    <w:rsid w:val="00C6286B"/>
    <w:rsid w:val="00C62918"/>
    <w:rsid w:val="00C629C8"/>
    <w:rsid w:val="00C62A20"/>
    <w:rsid w:val="00C62A7F"/>
    <w:rsid w:val="00C62BC3"/>
    <w:rsid w:val="00C62DAA"/>
    <w:rsid w:val="00C631C1"/>
    <w:rsid w:val="00C63299"/>
    <w:rsid w:val="00C632CE"/>
    <w:rsid w:val="00C63A7C"/>
    <w:rsid w:val="00C63B63"/>
    <w:rsid w:val="00C63C95"/>
    <w:rsid w:val="00C63E71"/>
    <w:rsid w:val="00C63E7D"/>
    <w:rsid w:val="00C63EE8"/>
    <w:rsid w:val="00C6412F"/>
    <w:rsid w:val="00C641A1"/>
    <w:rsid w:val="00C6435A"/>
    <w:rsid w:val="00C64595"/>
    <w:rsid w:val="00C646A1"/>
    <w:rsid w:val="00C64874"/>
    <w:rsid w:val="00C651B7"/>
    <w:rsid w:val="00C65242"/>
    <w:rsid w:val="00C65381"/>
    <w:rsid w:val="00C6546D"/>
    <w:rsid w:val="00C65522"/>
    <w:rsid w:val="00C6560D"/>
    <w:rsid w:val="00C6586E"/>
    <w:rsid w:val="00C6593E"/>
    <w:rsid w:val="00C65B39"/>
    <w:rsid w:val="00C65ECE"/>
    <w:rsid w:val="00C6607E"/>
    <w:rsid w:val="00C66141"/>
    <w:rsid w:val="00C66391"/>
    <w:rsid w:val="00C66479"/>
    <w:rsid w:val="00C66493"/>
    <w:rsid w:val="00C66785"/>
    <w:rsid w:val="00C667F4"/>
    <w:rsid w:val="00C66819"/>
    <w:rsid w:val="00C66A14"/>
    <w:rsid w:val="00C66CB4"/>
    <w:rsid w:val="00C66DFE"/>
    <w:rsid w:val="00C6712C"/>
    <w:rsid w:val="00C67299"/>
    <w:rsid w:val="00C674A7"/>
    <w:rsid w:val="00C67722"/>
    <w:rsid w:val="00C67A0F"/>
    <w:rsid w:val="00C67B9D"/>
    <w:rsid w:val="00C67E32"/>
    <w:rsid w:val="00C70090"/>
    <w:rsid w:val="00C7022C"/>
    <w:rsid w:val="00C703EF"/>
    <w:rsid w:val="00C70A04"/>
    <w:rsid w:val="00C70AE2"/>
    <w:rsid w:val="00C70B99"/>
    <w:rsid w:val="00C70CF5"/>
    <w:rsid w:val="00C7114B"/>
    <w:rsid w:val="00C7115A"/>
    <w:rsid w:val="00C71220"/>
    <w:rsid w:val="00C71476"/>
    <w:rsid w:val="00C71565"/>
    <w:rsid w:val="00C716CC"/>
    <w:rsid w:val="00C71A4A"/>
    <w:rsid w:val="00C71BE6"/>
    <w:rsid w:val="00C72167"/>
    <w:rsid w:val="00C7234F"/>
    <w:rsid w:val="00C72381"/>
    <w:rsid w:val="00C72849"/>
    <w:rsid w:val="00C72877"/>
    <w:rsid w:val="00C72952"/>
    <w:rsid w:val="00C72AAA"/>
    <w:rsid w:val="00C72C65"/>
    <w:rsid w:val="00C72DBC"/>
    <w:rsid w:val="00C72DEA"/>
    <w:rsid w:val="00C731AE"/>
    <w:rsid w:val="00C73205"/>
    <w:rsid w:val="00C73BF6"/>
    <w:rsid w:val="00C73F73"/>
    <w:rsid w:val="00C73FAF"/>
    <w:rsid w:val="00C740F8"/>
    <w:rsid w:val="00C7453A"/>
    <w:rsid w:val="00C745F8"/>
    <w:rsid w:val="00C74774"/>
    <w:rsid w:val="00C748A0"/>
    <w:rsid w:val="00C74936"/>
    <w:rsid w:val="00C74A16"/>
    <w:rsid w:val="00C74B0F"/>
    <w:rsid w:val="00C74CC4"/>
    <w:rsid w:val="00C74DE6"/>
    <w:rsid w:val="00C74FB2"/>
    <w:rsid w:val="00C7507B"/>
    <w:rsid w:val="00C752A4"/>
    <w:rsid w:val="00C7540A"/>
    <w:rsid w:val="00C75430"/>
    <w:rsid w:val="00C75519"/>
    <w:rsid w:val="00C75CA4"/>
    <w:rsid w:val="00C75FCA"/>
    <w:rsid w:val="00C7601C"/>
    <w:rsid w:val="00C76134"/>
    <w:rsid w:val="00C7626C"/>
    <w:rsid w:val="00C762F2"/>
    <w:rsid w:val="00C7657E"/>
    <w:rsid w:val="00C765AD"/>
    <w:rsid w:val="00C769BF"/>
    <w:rsid w:val="00C76F39"/>
    <w:rsid w:val="00C77409"/>
    <w:rsid w:val="00C776F4"/>
    <w:rsid w:val="00C777C4"/>
    <w:rsid w:val="00C77813"/>
    <w:rsid w:val="00C7781A"/>
    <w:rsid w:val="00C77847"/>
    <w:rsid w:val="00C77A10"/>
    <w:rsid w:val="00C77DE9"/>
    <w:rsid w:val="00C77DF7"/>
    <w:rsid w:val="00C77FE4"/>
    <w:rsid w:val="00C80101"/>
    <w:rsid w:val="00C8047E"/>
    <w:rsid w:val="00C807B5"/>
    <w:rsid w:val="00C807CE"/>
    <w:rsid w:val="00C807E1"/>
    <w:rsid w:val="00C80E1D"/>
    <w:rsid w:val="00C80EDF"/>
    <w:rsid w:val="00C80EEF"/>
    <w:rsid w:val="00C80FEC"/>
    <w:rsid w:val="00C81030"/>
    <w:rsid w:val="00C8109C"/>
    <w:rsid w:val="00C81128"/>
    <w:rsid w:val="00C8114D"/>
    <w:rsid w:val="00C8119F"/>
    <w:rsid w:val="00C81539"/>
    <w:rsid w:val="00C8156E"/>
    <w:rsid w:val="00C81654"/>
    <w:rsid w:val="00C816A2"/>
    <w:rsid w:val="00C819B3"/>
    <w:rsid w:val="00C819EA"/>
    <w:rsid w:val="00C81A5F"/>
    <w:rsid w:val="00C81AE9"/>
    <w:rsid w:val="00C81F5B"/>
    <w:rsid w:val="00C8209A"/>
    <w:rsid w:val="00C8212D"/>
    <w:rsid w:val="00C82197"/>
    <w:rsid w:val="00C82599"/>
    <w:rsid w:val="00C8270F"/>
    <w:rsid w:val="00C827FF"/>
    <w:rsid w:val="00C82973"/>
    <w:rsid w:val="00C829E0"/>
    <w:rsid w:val="00C82A6E"/>
    <w:rsid w:val="00C82BC9"/>
    <w:rsid w:val="00C82C84"/>
    <w:rsid w:val="00C82EA2"/>
    <w:rsid w:val="00C82FEE"/>
    <w:rsid w:val="00C830C2"/>
    <w:rsid w:val="00C833BE"/>
    <w:rsid w:val="00C83440"/>
    <w:rsid w:val="00C83570"/>
    <w:rsid w:val="00C83B86"/>
    <w:rsid w:val="00C83BDB"/>
    <w:rsid w:val="00C84076"/>
    <w:rsid w:val="00C843DC"/>
    <w:rsid w:val="00C84418"/>
    <w:rsid w:val="00C84531"/>
    <w:rsid w:val="00C84632"/>
    <w:rsid w:val="00C84AD9"/>
    <w:rsid w:val="00C84B02"/>
    <w:rsid w:val="00C85012"/>
    <w:rsid w:val="00C85478"/>
    <w:rsid w:val="00C854D3"/>
    <w:rsid w:val="00C85527"/>
    <w:rsid w:val="00C85D63"/>
    <w:rsid w:val="00C85F9A"/>
    <w:rsid w:val="00C85FEF"/>
    <w:rsid w:val="00C8610E"/>
    <w:rsid w:val="00C863D8"/>
    <w:rsid w:val="00C86529"/>
    <w:rsid w:val="00C866CB"/>
    <w:rsid w:val="00C867EC"/>
    <w:rsid w:val="00C86870"/>
    <w:rsid w:val="00C8691E"/>
    <w:rsid w:val="00C86B09"/>
    <w:rsid w:val="00C87934"/>
    <w:rsid w:val="00C87B81"/>
    <w:rsid w:val="00C87CB1"/>
    <w:rsid w:val="00C87CD5"/>
    <w:rsid w:val="00C87E7A"/>
    <w:rsid w:val="00C9019C"/>
    <w:rsid w:val="00C90326"/>
    <w:rsid w:val="00C903F1"/>
    <w:rsid w:val="00C904A1"/>
    <w:rsid w:val="00C905CE"/>
    <w:rsid w:val="00C906A6"/>
    <w:rsid w:val="00C906A9"/>
    <w:rsid w:val="00C90773"/>
    <w:rsid w:val="00C908FD"/>
    <w:rsid w:val="00C9096B"/>
    <w:rsid w:val="00C90E1E"/>
    <w:rsid w:val="00C90FD0"/>
    <w:rsid w:val="00C91077"/>
    <w:rsid w:val="00C91280"/>
    <w:rsid w:val="00C912CC"/>
    <w:rsid w:val="00C9132F"/>
    <w:rsid w:val="00C9133D"/>
    <w:rsid w:val="00C917E7"/>
    <w:rsid w:val="00C917EA"/>
    <w:rsid w:val="00C9180F"/>
    <w:rsid w:val="00C9183F"/>
    <w:rsid w:val="00C91A9A"/>
    <w:rsid w:val="00C91AC1"/>
    <w:rsid w:val="00C91B09"/>
    <w:rsid w:val="00C91D52"/>
    <w:rsid w:val="00C9207D"/>
    <w:rsid w:val="00C9228F"/>
    <w:rsid w:val="00C924C4"/>
    <w:rsid w:val="00C926A0"/>
    <w:rsid w:val="00C92BB9"/>
    <w:rsid w:val="00C92C1B"/>
    <w:rsid w:val="00C930F3"/>
    <w:rsid w:val="00C93498"/>
    <w:rsid w:val="00C935CE"/>
    <w:rsid w:val="00C93665"/>
    <w:rsid w:val="00C9366E"/>
    <w:rsid w:val="00C938BF"/>
    <w:rsid w:val="00C93927"/>
    <w:rsid w:val="00C93DA9"/>
    <w:rsid w:val="00C93E74"/>
    <w:rsid w:val="00C93F4C"/>
    <w:rsid w:val="00C94015"/>
    <w:rsid w:val="00C941BA"/>
    <w:rsid w:val="00C9422D"/>
    <w:rsid w:val="00C9424B"/>
    <w:rsid w:val="00C945D8"/>
    <w:rsid w:val="00C946CD"/>
    <w:rsid w:val="00C947AF"/>
    <w:rsid w:val="00C94A78"/>
    <w:rsid w:val="00C94A85"/>
    <w:rsid w:val="00C94AB2"/>
    <w:rsid w:val="00C94C66"/>
    <w:rsid w:val="00C94D20"/>
    <w:rsid w:val="00C95216"/>
    <w:rsid w:val="00C95286"/>
    <w:rsid w:val="00C95287"/>
    <w:rsid w:val="00C9567D"/>
    <w:rsid w:val="00C95863"/>
    <w:rsid w:val="00C95A9F"/>
    <w:rsid w:val="00C95B86"/>
    <w:rsid w:val="00C95EFF"/>
    <w:rsid w:val="00C9606F"/>
    <w:rsid w:val="00C961D9"/>
    <w:rsid w:val="00C96216"/>
    <w:rsid w:val="00C962DD"/>
    <w:rsid w:val="00C964F0"/>
    <w:rsid w:val="00C96549"/>
    <w:rsid w:val="00C9664B"/>
    <w:rsid w:val="00C9693C"/>
    <w:rsid w:val="00C96978"/>
    <w:rsid w:val="00C969BA"/>
    <w:rsid w:val="00C96D9B"/>
    <w:rsid w:val="00C97255"/>
    <w:rsid w:val="00C97305"/>
    <w:rsid w:val="00C973B9"/>
    <w:rsid w:val="00C97570"/>
    <w:rsid w:val="00C9759F"/>
    <w:rsid w:val="00CA00A9"/>
    <w:rsid w:val="00CA04EA"/>
    <w:rsid w:val="00CA069C"/>
    <w:rsid w:val="00CA0705"/>
    <w:rsid w:val="00CA0724"/>
    <w:rsid w:val="00CA0A85"/>
    <w:rsid w:val="00CA0B05"/>
    <w:rsid w:val="00CA0CED"/>
    <w:rsid w:val="00CA15AB"/>
    <w:rsid w:val="00CA18F3"/>
    <w:rsid w:val="00CA1BA1"/>
    <w:rsid w:val="00CA1C42"/>
    <w:rsid w:val="00CA1E0D"/>
    <w:rsid w:val="00CA2036"/>
    <w:rsid w:val="00CA22E6"/>
    <w:rsid w:val="00CA252F"/>
    <w:rsid w:val="00CA2532"/>
    <w:rsid w:val="00CA25A6"/>
    <w:rsid w:val="00CA2908"/>
    <w:rsid w:val="00CA29A9"/>
    <w:rsid w:val="00CA2A8F"/>
    <w:rsid w:val="00CA2C02"/>
    <w:rsid w:val="00CA2FED"/>
    <w:rsid w:val="00CA304A"/>
    <w:rsid w:val="00CA30F8"/>
    <w:rsid w:val="00CA310D"/>
    <w:rsid w:val="00CA31BE"/>
    <w:rsid w:val="00CA335D"/>
    <w:rsid w:val="00CA33BA"/>
    <w:rsid w:val="00CA3529"/>
    <w:rsid w:val="00CA355F"/>
    <w:rsid w:val="00CA359E"/>
    <w:rsid w:val="00CA369E"/>
    <w:rsid w:val="00CA3844"/>
    <w:rsid w:val="00CA3B27"/>
    <w:rsid w:val="00CA3B52"/>
    <w:rsid w:val="00CA3C6E"/>
    <w:rsid w:val="00CA3CB0"/>
    <w:rsid w:val="00CA3FD4"/>
    <w:rsid w:val="00CA3FFC"/>
    <w:rsid w:val="00CA405B"/>
    <w:rsid w:val="00CA4067"/>
    <w:rsid w:val="00CA4296"/>
    <w:rsid w:val="00CA431F"/>
    <w:rsid w:val="00CA435B"/>
    <w:rsid w:val="00CA4625"/>
    <w:rsid w:val="00CA4955"/>
    <w:rsid w:val="00CA49DE"/>
    <w:rsid w:val="00CA4B3B"/>
    <w:rsid w:val="00CA4B88"/>
    <w:rsid w:val="00CA4CED"/>
    <w:rsid w:val="00CA4E89"/>
    <w:rsid w:val="00CA4ED4"/>
    <w:rsid w:val="00CA52B3"/>
    <w:rsid w:val="00CA55E0"/>
    <w:rsid w:val="00CA565A"/>
    <w:rsid w:val="00CA57FB"/>
    <w:rsid w:val="00CA5AD9"/>
    <w:rsid w:val="00CA5BBD"/>
    <w:rsid w:val="00CA5CE5"/>
    <w:rsid w:val="00CA5CF5"/>
    <w:rsid w:val="00CA5E91"/>
    <w:rsid w:val="00CA5F00"/>
    <w:rsid w:val="00CA5FBA"/>
    <w:rsid w:val="00CA60AB"/>
    <w:rsid w:val="00CA615C"/>
    <w:rsid w:val="00CA64FF"/>
    <w:rsid w:val="00CA666D"/>
    <w:rsid w:val="00CA6A3C"/>
    <w:rsid w:val="00CA6C34"/>
    <w:rsid w:val="00CA6C4F"/>
    <w:rsid w:val="00CA6C68"/>
    <w:rsid w:val="00CA7025"/>
    <w:rsid w:val="00CA745A"/>
    <w:rsid w:val="00CA7726"/>
    <w:rsid w:val="00CA77B0"/>
    <w:rsid w:val="00CA78A5"/>
    <w:rsid w:val="00CA79F7"/>
    <w:rsid w:val="00CA7A65"/>
    <w:rsid w:val="00CB018C"/>
    <w:rsid w:val="00CB03D1"/>
    <w:rsid w:val="00CB0C30"/>
    <w:rsid w:val="00CB0E2D"/>
    <w:rsid w:val="00CB13BB"/>
    <w:rsid w:val="00CB1418"/>
    <w:rsid w:val="00CB157E"/>
    <w:rsid w:val="00CB15B6"/>
    <w:rsid w:val="00CB1E69"/>
    <w:rsid w:val="00CB203A"/>
    <w:rsid w:val="00CB22CE"/>
    <w:rsid w:val="00CB22DC"/>
    <w:rsid w:val="00CB23E0"/>
    <w:rsid w:val="00CB2604"/>
    <w:rsid w:val="00CB2AB2"/>
    <w:rsid w:val="00CB2DEE"/>
    <w:rsid w:val="00CB3731"/>
    <w:rsid w:val="00CB388C"/>
    <w:rsid w:val="00CB3AD6"/>
    <w:rsid w:val="00CB3CAA"/>
    <w:rsid w:val="00CB3E21"/>
    <w:rsid w:val="00CB3EF8"/>
    <w:rsid w:val="00CB3FAD"/>
    <w:rsid w:val="00CB4130"/>
    <w:rsid w:val="00CB4168"/>
    <w:rsid w:val="00CB43C4"/>
    <w:rsid w:val="00CB4443"/>
    <w:rsid w:val="00CB456E"/>
    <w:rsid w:val="00CB45A9"/>
    <w:rsid w:val="00CB4723"/>
    <w:rsid w:val="00CB47C0"/>
    <w:rsid w:val="00CB4E64"/>
    <w:rsid w:val="00CB5015"/>
    <w:rsid w:val="00CB5668"/>
    <w:rsid w:val="00CB57A1"/>
    <w:rsid w:val="00CB5864"/>
    <w:rsid w:val="00CB59A0"/>
    <w:rsid w:val="00CB5AAF"/>
    <w:rsid w:val="00CB5C95"/>
    <w:rsid w:val="00CB5E2F"/>
    <w:rsid w:val="00CB5E84"/>
    <w:rsid w:val="00CB6212"/>
    <w:rsid w:val="00CB6335"/>
    <w:rsid w:val="00CB639F"/>
    <w:rsid w:val="00CB63EF"/>
    <w:rsid w:val="00CB6730"/>
    <w:rsid w:val="00CB67E2"/>
    <w:rsid w:val="00CB6880"/>
    <w:rsid w:val="00CB69C3"/>
    <w:rsid w:val="00CB6AD2"/>
    <w:rsid w:val="00CB6DBD"/>
    <w:rsid w:val="00CB6DC9"/>
    <w:rsid w:val="00CB6E76"/>
    <w:rsid w:val="00CB706F"/>
    <w:rsid w:val="00CB71DE"/>
    <w:rsid w:val="00CB77AF"/>
    <w:rsid w:val="00CB79B1"/>
    <w:rsid w:val="00CB7A1F"/>
    <w:rsid w:val="00CB7A47"/>
    <w:rsid w:val="00CB7C18"/>
    <w:rsid w:val="00CB7C7B"/>
    <w:rsid w:val="00CB7D8E"/>
    <w:rsid w:val="00CB7E71"/>
    <w:rsid w:val="00CB7FB3"/>
    <w:rsid w:val="00CB7FBB"/>
    <w:rsid w:val="00CC0068"/>
    <w:rsid w:val="00CC0128"/>
    <w:rsid w:val="00CC02DD"/>
    <w:rsid w:val="00CC0383"/>
    <w:rsid w:val="00CC03F0"/>
    <w:rsid w:val="00CC057A"/>
    <w:rsid w:val="00CC09EC"/>
    <w:rsid w:val="00CC0A90"/>
    <w:rsid w:val="00CC0D5E"/>
    <w:rsid w:val="00CC1071"/>
    <w:rsid w:val="00CC1387"/>
    <w:rsid w:val="00CC1537"/>
    <w:rsid w:val="00CC154B"/>
    <w:rsid w:val="00CC175B"/>
    <w:rsid w:val="00CC187D"/>
    <w:rsid w:val="00CC1A4F"/>
    <w:rsid w:val="00CC1C9F"/>
    <w:rsid w:val="00CC1E52"/>
    <w:rsid w:val="00CC228C"/>
    <w:rsid w:val="00CC265E"/>
    <w:rsid w:val="00CC2D97"/>
    <w:rsid w:val="00CC3164"/>
    <w:rsid w:val="00CC3430"/>
    <w:rsid w:val="00CC3665"/>
    <w:rsid w:val="00CC3666"/>
    <w:rsid w:val="00CC37EF"/>
    <w:rsid w:val="00CC3879"/>
    <w:rsid w:val="00CC40C6"/>
    <w:rsid w:val="00CC410A"/>
    <w:rsid w:val="00CC43A9"/>
    <w:rsid w:val="00CC4D6D"/>
    <w:rsid w:val="00CC4E11"/>
    <w:rsid w:val="00CC4E81"/>
    <w:rsid w:val="00CC4F50"/>
    <w:rsid w:val="00CC5176"/>
    <w:rsid w:val="00CC52EB"/>
    <w:rsid w:val="00CC542F"/>
    <w:rsid w:val="00CC5639"/>
    <w:rsid w:val="00CC5713"/>
    <w:rsid w:val="00CC5C28"/>
    <w:rsid w:val="00CC61BB"/>
    <w:rsid w:val="00CC61FD"/>
    <w:rsid w:val="00CC620E"/>
    <w:rsid w:val="00CC634A"/>
    <w:rsid w:val="00CC65D7"/>
    <w:rsid w:val="00CC679C"/>
    <w:rsid w:val="00CC6820"/>
    <w:rsid w:val="00CC6AC3"/>
    <w:rsid w:val="00CC6C7F"/>
    <w:rsid w:val="00CC6CA1"/>
    <w:rsid w:val="00CC7290"/>
    <w:rsid w:val="00CC72A5"/>
    <w:rsid w:val="00CC7364"/>
    <w:rsid w:val="00CC73CD"/>
    <w:rsid w:val="00CC7405"/>
    <w:rsid w:val="00CC748E"/>
    <w:rsid w:val="00CC74A8"/>
    <w:rsid w:val="00CC7676"/>
    <w:rsid w:val="00CC785C"/>
    <w:rsid w:val="00CC7875"/>
    <w:rsid w:val="00CC7C95"/>
    <w:rsid w:val="00CC7E18"/>
    <w:rsid w:val="00CC7F25"/>
    <w:rsid w:val="00CC7F69"/>
    <w:rsid w:val="00CC7FAB"/>
    <w:rsid w:val="00CD02D1"/>
    <w:rsid w:val="00CD044A"/>
    <w:rsid w:val="00CD0483"/>
    <w:rsid w:val="00CD052F"/>
    <w:rsid w:val="00CD0B0A"/>
    <w:rsid w:val="00CD0EC7"/>
    <w:rsid w:val="00CD10A3"/>
    <w:rsid w:val="00CD110F"/>
    <w:rsid w:val="00CD12B2"/>
    <w:rsid w:val="00CD1360"/>
    <w:rsid w:val="00CD1397"/>
    <w:rsid w:val="00CD13C5"/>
    <w:rsid w:val="00CD19F9"/>
    <w:rsid w:val="00CD1A69"/>
    <w:rsid w:val="00CD1BDD"/>
    <w:rsid w:val="00CD1D03"/>
    <w:rsid w:val="00CD1E54"/>
    <w:rsid w:val="00CD1F42"/>
    <w:rsid w:val="00CD2602"/>
    <w:rsid w:val="00CD2744"/>
    <w:rsid w:val="00CD278B"/>
    <w:rsid w:val="00CD27C6"/>
    <w:rsid w:val="00CD299C"/>
    <w:rsid w:val="00CD3238"/>
    <w:rsid w:val="00CD326B"/>
    <w:rsid w:val="00CD36EE"/>
    <w:rsid w:val="00CD37C8"/>
    <w:rsid w:val="00CD39FC"/>
    <w:rsid w:val="00CD3A03"/>
    <w:rsid w:val="00CD3C29"/>
    <w:rsid w:val="00CD3E04"/>
    <w:rsid w:val="00CD3F8D"/>
    <w:rsid w:val="00CD4240"/>
    <w:rsid w:val="00CD43BE"/>
    <w:rsid w:val="00CD43D9"/>
    <w:rsid w:val="00CD454B"/>
    <w:rsid w:val="00CD4591"/>
    <w:rsid w:val="00CD45FD"/>
    <w:rsid w:val="00CD46E8"/>
    <w:rsid w:val="00CD4764"/>
    <w:rsid w:val="00CD490A"/>
    <w:rsid w:val="00CD4CC9"/>
    <w:rsid w:val="00CD53AB"/>
    <w:rsid w:val="00CD5642"/>
    <w:rsid w:val="00CD58E0"/>
    <w:rsid w:val="00CD5A0A"/>
    <w:rsid w:val="00CD5B0B"/>
    <w:rsid w:val="00CD5C4F"/>
    <w:rsid w:val="00CD5DCC"/>
    <w:rsid w:val="00CD620E"/>
    <w:rsid w:val="00CD6235"/>
    <w:rsid w:val="00CD63D1"/>
    <w:rsid w:val="00CD6412"/>
    <w:rsid w:val="00CD68A3"/>
    <w:rsid w:val="00CD6997"/>
    <w:rsid w:val="00CD6D32"/>
    <w:rsid w:val="00CD6E5A"/>
    <w:rsid w:val="00CD6F13"/>
    <w:rsid w:val="00CD6FB8"/>
    <w:rsid w:val="00CD7219"/>
    <w:rsid w:val="00CD72E6"/>
    <w:rsid w:val="00CD7591"/>
    <w:rsid w:val="00CD78AF"/>
    <w:rsid w:val="00CD7912"/>
    <w:rsid w:val="00CD7A03"/>
    <w:rsid w:val="00CD7BB1"/>
    <w:rsid w:val="00CE0058"/>
    <w:rsid w:val="00CE03A5"/>
    <w:rsid w:val="00CE0476"/>
    <w:rsid w:val="00CE057E"/>
    <w:rsid w:val="00CE05AA"/>
    <w:rsid w:val="00CE1019"/>
    <w:rsid w:val="00CE12D8"/>
    <w:rsid w:val="00CE13FD"/>
    <w:rsid w:val="00CE1800"/>
    <w:rsid w:val="00CE1A19"/>
    <w:rsid w:val="00CE1C39"/>
    <w:rsid w:val="00CE1C57"/>
    <w:rsid w:val="00CE1D26"/>
    <w:rsid w:val="00CE2094"/>
    <w:rsid w:val="00CE22A2"/>
    <w:rsid w:val="00CE22C0"/>
    <w:rsid w:val="00CE2377"/>
    <w:rsid w:val="00CE260A"/>
    <w:rsid w:val="00CE278F"/>
    <w:rsid w:val="00CE29A8"/>
    <w:rsid w:val="00CE2B15"/>
    <w:rsid w:val="00CE2EF0"/>
    <w:rsid w:val="00CE334B"/>
    <w:rsid w:val="00CE3792"/>
    <w:rsid w:val="00CE3878"/>
    <w:rsid w:val="00CE3A1F"/>
    <w:rsid w:val="00CE3BFC"/>
    <w:rsid w:val="00CE3F3C"/>
    <w:rsid w:val="00CE3F94"/>
    <w:rsid w:val="00CE411E"/>
    <w:rsid w:val="00CE4244"/>
    <w:rsid w:val="00CE42E3"/>
    <w:rsid w:val="00CE434B"/>
    <w:rsid w:val="00CE4429"/>
    <w:rsid w:val="00CE4480"/>
    <w:rsid w:val="00CE44A7"/>
    <w:rsid w:val="00CE4577"/>
    <w:rsid w:val="00CE45E9"/>
    <w:rsid w:val="00CE465E"/>
    <w:rsid w:val="00CE4789"/>
    <w:rsid w:val="00CE4A7A"/>
    <w:rsid w:val="00CE4A92"/>
    <w:rsid w:val="00CE4AA4"/>
    <w:rsid w:val="00CE4CB2"/>
    <w:rsid w:val="00CE4CD5"/>
    <w:rsid w:val="00CE4E76"/>
    <w:rsid w:val="00CE5542"/>
    <w:rsid w:val="00CE56BA"/>
    <w:rsid w:val="00CE57DF"/>
    <w:rsid w:val="00CE58F5"/>
    <w:rsid w:val="00CE5A66"/>
    <w:rsid w:val="00CE5D76"/>
    <w:rsid w:val="00CE5F97"/>
    <w:rsid w:val="00CE6021"/>
    <w:rsid w:val="00CE6180"/>
    <w:rsid w:val="00CE627F"/>
    <w:rsid w:val="00CE62B0"/>
    <w:rsid w:val="00CE6322"/>
    <w:rsid w:val="00CE632A"/>
    <w:rsid w:val="00CE63BA"/>
    <w:rsid w:val="00CE63CF"/>
    <w:rsid w:val="00CE648C"/>
    <w:rsid w:val="00CE6538"/>
    <w:rsid w:val="00CE682B"/>
    <w:rsid w:val="00CE68C8"/>
    <w:rsid w:val="00CE6AD4"/>
    <w:rsid w:val="00CE6B23"/>
    <w:rsid w:val="00CE6D3E"/>
    <w:rsid w:val="00CE71DF"/>
    <w:rsid w:val="00CE74B0"/>
    <w:rsid w:val="00CE75A5"/>
    <w:rsid w:val="00CE77BC"/>
    <w:rsid w:val="00CE7A4D"/>
    <w:rsid w:val="00CE7B31"/>
    <w:rsid w:val="00CE7C96"/>
    <w:rsid w:val="00CE7E8F"/>
    <w:rsid w:val="00CF01D1"/>
    <w:rsid w:val="00CF038C"/>
    <w:rsid w:val="00CF07B5"/>
    <w:rsid w:val="00CF0851"/>
    <w:rsid w:val="00CF0A0E"/>
    <w:rsid w:val="00CF0B18"/>
    <w:rsid w:val="00CF0CF7"/>
    <w:rsid w:val="00CF0F7E"/>
    <w:rsid w:val="00CF12C4"/>
    <w:rsid w:val="00CF1430"/>
    <w:rsid w:val="00CF1857"/>
    <w:rsid w:val="00CF219D"/>
    <w:rsid w:val="00CF21B4"/>
    <w:rsid w:val="00CF240E"/>
    <w:rsid w:val="00CF2509"/>
    <w:rsid w:val="00CF2623"/>
    <w:rsid w:val="00CF2F2A"/>
    <w:rsid w:val="00CF301C"/>
    <w:rsid w:val="00CF31F9"/>
    <w:rsid w:val="00CF3256"/>
    <w:rsid w:val="00CF36EB"/>
    <w:rsid w:val="00CF3895"/>
    <w:rsid w:val="00CF3928"/>
    <w:rsid w:val="00CF3952"/>
    <w:rsid w:val="00CF3ABF"/>
    <w:rsid w:val="00CF3CCD"/>
    <w:rsid w:val="00CF3E34"/>
    <w:rsid w:val="00CF4020"/>
    <w:rsid w:val="00CF40ED"/>
    <w:rsid w:val="00CF423A"/>
    <w:rsid w:val="00CF4AC9"/>
    <w:rsid w:val="00CF4F7E"/>
    <w:rsid w:val="00CF51A8"/>
    <w:rsid w:val="00CF5258"/>
    <w:rsid w:val="00CF536F"/>
    <w:rsid w:val="00CF53F2"/>
    <w:rsid w:val="00CF560E"/>
    <w:rsid w:val="00CF5731"/>
    <w:rsid w:val="00CF5822"/>
    <w:rsid w:val="00CF5CC0"/>
    <w:rsid w:val="00CF5EAB"/>
    <w:rsid w:val="00CF60CC"/>
    <w:rsid w:val="00CF6147"/>
    <w:rsid w:val="00CF6A7F"/>
    <w:rsid w:val="00CF6AFA"/>
    <w:rsid w:val="00CF6C09"/>
    <w:rsid w:val="00CF6C2E"/>
    <w:rsid w:val="00CF6E06"/>
    <w:rsid w:val="00CF6E68"/>
    <w:rsid w:val="00CF6F9A"/>
    <w:rsid w:val="00CF7479"/>
    <w:rsid w:val="00CF79B9"/>
    <w:rsid w:val="00CF79CE"/>
    <w:rsid w:val="00CF7A89"/>
    <w:rsid w:val="00CF7F33"/>
    <w:rsid w:val="00D00194"/>
    <w:rsid w:val="00D0026E"/>
    <w:rsid w:val="00D002A4"/>
    <w:rsid w:val="00D00496"/>
    <w:rsid w:val="00D00500"/>
    <w:rsid w:val="00D0051C"/>
    <w:rsid w:val="00D006EB"/>
    <w:rsid w:val="00D00A25"/>
    <w:rsid w:val="00D00D56"/>
    <w:rsid w:val="00D00E06"/>
    <w:rsid w:val="00D00FD1"/>
    <w:rsid w:val="00D01067"/>
    <w:rsid w:val="00D0135F"/>
    <w:rsid w:val="00D01529"/>
    <w:rsid w:val="00D018F9"/>
    <w:rsid w:val="00D01A13"/>
    <w:rsid w:val="00D01B20"/>
    <w:rsid w:val="00D01BF6"/>
    <w:rsid w:val="00D0226E"/>
    <w:rsid w:val="00D02497"/>
    <w:rsid w:val="00D02599"/>
    <w:rsid w:val="00D026E3"/>
    <w:rsid w:val="00D027C5"/>
    <w:rsid w:val="00D02A57"/>
    <w:rsid w:val="00D02B10"/>
    <w:rsid w:val="00D02C59"/>
    <w:rsid w:val="00D02D79"/>
    <w:rsid w:val="00D02FA0"/>
    <w:rsid w:val="00D02FE0"/>
    <w:rsid w:val="00D03326"/>
    <w:rsid w:val="00D03680"/>
    <w:rsid w:val="00D03790"/>
    <w:rsid w:val="00D03797"/>
    <w:rsid w:val="00D03AFE"/>
    <w:rsid w:val="00D03D14"/>
    <w:rsid w:val="00D04033"/>
    <w:rsid w:val="00D04253"/>
    <w:rsid w:val="00D04396"/>
    <w:rsid w:val="00D045FD"/>
    <w:rsid w:val="00D04760"/>
    <w:rsid w:val="00D04781"/>
    <w:rsid w:val="00D047C0"/>
    <w:rsid w:val="00D04893"/>
    <w:rsid w:val="00D0493B"/>
    <w:rsid w:val="00D04B78"/>
    <w:rsid w:val="00D04B8B"/>
    <w:rsid w:val="00D04CA1"/>
    <w:rsid w:val="00D04D33"/>
    <w:rsid w:val="00D04D68"/>
    <w:rsid w:val="00D04FD7"/>
    <w:rsid w:val="00D05013"/>
    <w:rsid w:val="00D0540A"/>
    <w:rsid w:val="00D05823"/>
    <w:rsid w:val="00D05D4C"/>
    <w:rsid w:val="00D05DEB"/>
    <w:rsid w:val="00D05ECF"/>
    <w:rsid w:val="00D05FFF"/>
    <w:rsid w:val="00D06078"/>
    <w:rsid w:val="00D06210"/>
    <w:rsid w:val="00D0628D"/>
    <w:rsid w:val="00D062C6"/>
    <w:rsid w:val="00D064EF"/>
    <w:rsid w:val="00D0686C"/>
    <w:rsid w:val="00D0692C"/>
    <w:rsid w:val="00D06950"/>
    <w:rsid w:val="00D06B4B"/>
    <w:rsid w:val="00D06B86"/>
    <w:rsid w:val="00D06C60"/>
    <w:rsid w:val="00D07030"/>
    <w:rsid w:val="00D071A5"/>
    <w:rsid w:val="00D07364"/>
    <w:rsid w:val="00D073AE"/>
    <w:rsid w:val="00D07492"/>
    <w:rsid w:val="00D0755F"/>
    <w:rsid w:val="00D07611"/>
    <w:rsid w:val="00D0770E"/>
    <w:rsid w:val="00D07A84"/>
    <w:rsid w:val="00D07B5A"/>
    <w:rsid w:val="00D07B5E"/>
    <w:rsid w:val="00D07BBF"/>
    <w:rsid w:val="00D1002C"/>
    <w:rsid w:val="00D1010C"/>
    <w:rsid w:val="00D1023D"/>
    <w:rsid w:val="00D10635"/>
    <w:rsid w:val="00D10779"/>
    <w:rsid w:val="00D109D9"/>
    <w:rsid w:val="00D10C29"/>
    <w:rsid w:val="00D10CE5"/>
    <w:rsid w:val="00D10F23"/>
    <w:rsid w:val="00D10F94"/>
    <w:rsid w:val="00D11059"/>
    <w:rsid w:val="00D111D7"/>
    <w:rsid w:val="00D1124D"/>
    <w:rsid w:val="00D116CE"/>
    <w:rsid w:val="00D116E3"/>
    <w:rsid w:val="00D1170D"/>
    <w:rsid w:val="00D11BA3"/>
    <w:rsid w:val="00D11E3F"/>
    <w:rsid w:val="00D11F6E"/>
    <w:rsid w:val="00D11FDE"/>
    <w:rsid w:val="00D12035"/>
    <w:rsid w:val="00D121CD"/>
    <w:rsid w:val="00D12213"/>
    <w:rsid w:val="00D123B0"/>
    <w:rsid w:val="00D12703"/>
    <w:rsid w:val="00D12920"/>
    <w:rsid w:val="00D12BD9"/>
    <w:rsid w:val="00D12C37"/>
    <w:rsid w:val="00D12C99"/>
    <w:rsid w:val="00D12FBF"/>
    <w:rsid w:val="00D132A8"/>
    <w:rsid w:val="00D133D7"/>
    <w:rsid w:val="00D1353A"/>
    <w:rsid w:val="00D13593"/>
    <w:rsid w:val="00D13AD3"/>
    <w:rsid w:val="00D13D31"/>
    <w:rsid w:val="00D142A1"/>
    <w:rsid w:val="00D143AE"/>
    <w:rsid w:val="00D14494"/>
    <w:rsid w:val="00D145D5"/>
    <w:rsid w:val="00D1478D"/>
    <w:rsid w:val="00D14A18"/>
    <w:rsid w:val="00D14A9F"/>
    <w:rsid w:val="00D14B6E"/>
    <w:rsid w:val="00D14CDC"/>
    <w:rsid w:val="00D14FCB"/>
    <w:rsid w:val="00D1510B"/>
    <w:rsid w:val="00D15182"/>
    <w:rsid w:val="00D153F6"/>
    <w:rsid w:val="00D155C8"/>
    <w:rsid w:val="00D15749"/>
    <w:rsid w:val="00D1590B"/>
    <w:rsid w:val="00D15CB8"/>
    <w:rsid w:val="00D15FD1"/>
    <w:rsid w:val="00D162EE"/>
    <w:rsid w:val="00D164F9"/>
    <w:rsid w:val="00D1665C"/>
    <w:rsid w:val="00D16977"/>
    <w:rsid w:val="00D16B5B"/>
    <w:rsid w:val="00D16C21"/>
    <w:rsid w:val="00D17189"/>
    <w:rsid w:val="00D17296"/>
    <w:rsid w:val="00D175B5"/>
    <w:rsid w:val="00D175FD"/>
    <w:rsid w:val="00D17606"/>
    <w:rsid w:val="00D177CB"/>
    <w:rsid w:val="00D177FF"/>
    <w:rsid w:val="00D17857"/>
    <w:rsid w:val="00D17DB6"/>
    <w:rsid w:val="00D17F98"/>
    <w:rsid w:val="00D204FE"/>
    <w:rsid w:val="00D20852"/>
    <w:rsid w:val="00D2112C"/>
    <w:rsid w:val="00D21629"/>
    <w:rsid w:val="00D21A2E"/>
    <w:rsid w:val="00D21EF4"/>
    <w:rsid w:val="00D22012"/>
    <w:rsid w:val="00D22039"/>
    <w:rsid w:val="00D223FC"/>
    <w:rsid w:val="00D2247A"/>
    <w:rsid w:val="00D22490"/>
    <w:rsid w:val="00D2268B"/>
    <w:rsid w:val="00D2278F"/>
    <w:rsid w:val="00D22790"/>
    <w:rsid w:val="00D22AB3"/>
    <w:rsid w:val="00D22AD3"/>
    <w:rsid w:val="00D22B2D"/>
    <w:rsid w:val="00D22DE6"/>
    <w:rsid w:val="00D22F9A"/>
    <w:rsid w:val="00D23085"/>
    <w:rsid w:val="00D230DE"/>
    <w:rsid w:val="00D23518"/>
    <w:rsid w:val="00D23AEE"/>
    <w:rsid w:val="00D23D4F"/>
    <w:rsid w:val="00D23EB9"/>
    <w:rsid w:val="00D23F07"/>
    <w:rsid w:val="00D240F0"/>
    <w:rsid w:val="00D24108"/>
    <w:rsid w:val="00D2432E"/>
    <w:rsid w:val="00D2462D"/>
    <w:rsid w:val="00D249DA"/>
    <w:rsid w:val="00D24D0E"/>
    <w:rsid w:val="00D24D80"/>
    <w:rsid w:val="00D25035"/>
    <w:rsid w:val="00D25264"/>
    <w:rsid w:val="00D254C8"/>
    <w:rsid w:val="00D2583A"/>
    <w:rsid w:val="00D25C6D"/>
    <w:rsid w:val="00D25C71"/>
    <w:rsid w:val="00D25D28"/>
    <w:rsid w:val="00D25F21"/>
    <w:rsid w:val="00D26716"/>
    <w:rsid w:val="00D267ED"/>
    <w:rsid w:val="00D270F3"/>
    <w:rsid w:val="00D2722F"/>
    <w:rsid w:val="00D27D6A"/>
    <w:rsid w:val="00D300F4"/>
    <w:rsid w:val="00D30369"/>
    <w:rsid w:val="00D30BB5"/>
    <w:rsid w:val="00D30BBC"/>
    <w:rsid w:val="00D30BC7"/>
    <w:rsid w:val="00D30BE9"/>
    <w:rsid w:val="00D30C80"/>
    <w:rsid w:val="00D30D3E"/>
    <w:rsid w:val="00D31260"/>
    <w:rsid w:val="00D31692"/>
    <w:rsid w:val="00D316D8"/>
    <w:rsid w:val="00D31B8D"/>
    <w:rsid w:val="00D31D56"/>
    <w:rsid w:val="00D31EB3"/>
    <w:rsid w:val="00D31F2C"/>
    <w:rsid w:val="00D322B3"/>
    <w:rsid w:val="00D3287C"/>
    <w:rsid w:val="00D329B1"/>
    <w:rsid w:val="00D32D0A"/>
    <w:rsid w:val="00D32E1A"/>
    <w:rsid w:val="00D334D4"/>
    <w:rsid w:val="00D337AF"/>
    <w:rsid w:val="00D3399C"/>
    <w:rsid w:val="00D33A94"/>
    <w:rsid w:val="00D33B67"/>
    <w:rsid w:val="00D33E2E"/>
    <w:rsid w:val="00D33F03"/>
    <w:rsid w:val="00D34004"/>
    <w:rsid w:val="00D34159"/>
    <w:rsid w:val="00D344B3"/>
    <w:rsid w:val="00D3452F"/>
    <w:rsid w:val="00D347E2"/>
    <w:rsid w:val="00D34833"/>
    <w:rsid w:val="00D34DDC"/>
    <w:rsid w:val="00D35429"/>
    <w:rsid w:val="00D35630"/>
    <w:rsid w:val="00D35A34"/>
    <w:rsid w:val="00D35C9C"/>
    <w:rsid w:val="00D35CE4"/>
    <w:rsid w:val="00D35CE8"/>
    <w:rsid w:val="00D35FCD"/>
    <w:rsid w:val="00D362C7"/>
    <w:rsid w:val="00D3632D"/>
    <w:rsid w:val="00D3646C"/>
    <w:rsid w:val="00D36666"/>
    <w:rsid w:val="00D36B0C"/>
    <w:rsid w:val="00D36CDB"/>
    <w:rsid w:val="00D36DE7"/>
    <w:rsid w:val="00D36E5C"/>
    <w:rsid w:val="00D370BD"/>
    <w:rsid w:val="00D3710B"/>
    <w:rsid w:val="00D37383"/>
    <w:rsid w:val="00D3746F"/>
    <w:rsid w:val="00D37822"/>
    <w:rsid w:val="00D37880"/>
    <w:rsid w:val="00D37A8B"/>
    <w:rsid w:val="00D37D32"/>
    <w:rsid w:val="00D37DCE"/>
    <w:rsid w:val="00D400E5"/>
    <w:rsid w:val="00D400EF"/>
    <w:rsid w:val="00D405E9"/>
    <w:rsid w:val="00D405F6"/>
    <w:rsid w:val="00D40A1A"/>
    <w:rsid w:val="00D40ECA"/>
    <w:rsid w:val="00D4160B"/>
    <w:rsid w:val="00D41930"/>
    <w:rsid w:val="00D41AAD"/>
    <w:rsid w:val="00D41BE3"/>
    <w:rsid w:val="00D41D45"/>
    <w:rsid w:val="00D4219F"/>
    <w:rsid w:val="00D4258F"/>
    <w:rsid w:val="00D42A02"/>
    <w:rsid w:val="00D42C57"/>
    <w:rsid w:val="00D42C79"/>
    <w:rsid w:val="00D42FA7"/>
    <w:rsid w:val="00D43491"/>
    <w:rsid w:val="00D43609"/>
    <w:rsid w:val="00D43689"/>
    <w:rsid w:val="00D43782"/>
    <w:rsid w:val="00D43BC6"/>
    <w:rsid w:val="00D43DAC"/>
    <w:rsid w:val="00D43F88"/>
    <w:rsid w:val="00D440FF"/>
    <w:rsid w:val="00D441BB"/>
    <w:rsid w:val="00D443A3"/>
    <w:rsid w:val="00D44474"/>
    <w:rsid w:val="00D44670"/>
    <w:rsid w:val="00D446C2"/>
    <w:rsid w:val="00D44706"/>
    <w:rsid w:val="00D4471C"/>
    <w:rsid w:val="00D447E7"/>
    <w:rsid w:val="00D44912"/>
    <w:rsid w:val="00D44B04"/>
    <w:rsid w:val="00D44B6A"/>
    <w:rsid w:val="00D44B9D"/>
    <w:rsid w:val="00D44BAC"/>
    <w:rsid w:val="00D44D01"/>
    <w:rsid w:val="00D44DEE"/>
    <w:rsid w:val="00D44ED8"/>
    <w:rsid w:val="00D4504A"/>
    <w:rsid w:val="00D45B3B"/>
    <w:rsid w:val="00D45C11"/>
    <w:rsid w:val="00D45C7B"/>
    <w:rsid w:val="00D46005"/>
    <w:rsid w:val="00D4603E"/>
    <w:rsid w:val="00D4606C"/>
    <w:rsid w:val="00D46256"/>
    <w:rsid w:val="00D46416"/>
    <w:rsid w:val="00D4676C"/>
    <w:rsid w:val="00D468CE"/>
    <w:rsid w:val="00D468E4"/>
    <w:rsid w:val="00D46CE4"/>
    <w:rsid w:val="00D474F5"/>
    <w:rsid w:val="00D4786E"/>
    <w:rsid w:val="00D4798B"/>
    <w:rsid w:val="00D47A6B"/>
    <w:rsid w:val="00D47CED"/>
    <w:rsid w:val="00D50204"/>
    <w:rsid w:val="00D50345"/>
    <w:rsid w:val="00D504D7"/>
    <w:rsid w:val="00D50798"/>
    <w:rsid w:val="00D507F2"/>
    <w:rsid w:val="00D50883"/>
    <w:rsid w:val="00D508FB"/>
    <w:rsid w:val="00D50BD1"/>
    <w:rsid w:val="00D51021"/>
    <w:rsid w:val="00D511C6"/>
    <w:rsid w:val="00D5154F"/>
    <w:rsid w:val="00D5164C"/>
    <w:rsid w:val="00D517F2"/>
    <w:rsid w:val="00D51968"/>
    <w:rsid w:val="00D51A55"/>
    <w:rsid w:val="00D51A89"/>
    <w:rsid w:val="00D51B06"/>
    <w:rsid w:val="00D51E95"/>
    <w:rsid w:val="00D51FD6"/>
    <w:rsid w:val="00D52005"/>
    <w:rsid w:val="00D5231C"/>
    <w:rsid w:val="00D52998"/>
    <w:rsid w:val="00D529A0"/>
    <w:rsid w:val="00D529C7"/>
    <w:rsid w:val="00D52A2B"/>
    <w:rsid w:val="00D52A5D"/>
    <w:rsid w:val="00D52AEA"/>
    <w:rsid w:val="00D52B4D"/>
    <w:rsid w:val="00D52F7B"/>
    <w:rsid w:val="00D53195"/>
    <w:rsid w:val="00D53426"/>
    <w:rsid w:val="00D534FA"/>
    <w:rsid w:val="00D5356B"/>
    <w:rsid w:val="00D539F9"/>
    <w:rsid w:val="00D53B07"/>
    <w:rsid w:val="00D53BDF"/>
    <w:rsid w:val="00D53C06"/>
    <w:rsid w:val="00D53CEF"/>
    <w:rsid w:val="00D53D1D"/>
    <w:rsid w:val="00D53D58"/>
    <w:rsid w:val="00D54063"/>
    <w:rsid w:val="00D54218"/>
    <w:rsid w:val="00D5441E"/>
    <w:rsid w:val="00D5457B"/>
    <w:rsid w:val="00D547B1"/>
    <w:rsid w:val="00D54E5D"/>
    <w:rsid w:val="00D5519C"/>
    <w:rsid w:val="00D5556B"/>
    <w:rsid w:val="00D558EE"/>
    <w:rsid w:val="00D55C45"/>
    <w:rsid w:val="00D55E67"/>
    <w:rsid w:val="00D55F08"/>
    <w:rsid w:val="00D55FDF"/>
    <w:rsid w:val="00D56357"/>
    <w:rsid w:val="00D564FE"/>
    <w:rsid w:val="00D566A0"/>
    <w:rsid w:val="00D56A0D"/>
    <w:rsid w:val="00D56F0D"/>
    <w:rsid w:val="00D56FD8"/>
    <w:rsid w:val="00D57913"/>
    <w:rsid w:val="00D57A4E"/>
    <w:rsid w:val="00D57B07"/>
    <w:rsid w:val="00D57EEE"/>
    <w:rsid w:val="00D57EF1"/>
    <w:rsid w:val="00D604E6"/>
    <w:rsid w:val="00D604E8"/>
    <w:rsid w:val="00D607AC"/>
    <w:rsid w:val="00D608DB"/>
    <w:rsid w:val="00D60992"/>
    <w:rsid w:val="00D60D0C"/>
    <w:rsid w:val="00D60E20"/>
    <w:rsid w:val="00D60F47"/>
    <w:rsid w:val="00D6109F"/>
    <w:rsid w:val="00D61260"/>
    <w:rsid w:val="00D61313"/>
    <w:rsid w:val="00D613DD"/>
    <w:rsid w:val="00D614AD"/>
    <w:rsid w:val="00D6184C"/>
    <w:rsid w:val="00D61930"/>
    <w:rsid w:val="00D61B2D"/>
    <w:rsid w:val="00D61CBE"/>
    <w:rsid w:val="00D62108"/>
    <w:rsid w:val="00D621A5"/>
    <w:rsid w:val="00D6241E"/>
    <w:rsid w:val="00D62653"/>
    <w:rsid w:val="00D62718"/>
    <w:rsid w:val="00D62819"/>
    <w:rsid w:val="00D62948"/>
    <w:rsid w:val="00D62A23"/>
    <w:rsid w:val="00D62E07"/>
    <w:rsid w:val="00D62F11"/>
    <w:rsid w:val="00D6306B"/>
    <w:rsid w:val="00D6356D"/>
    <w:rsid w:val="00D6364D"/>
    <w:rsid w:val="00D63992"/>
    <w:rsid w:val="00D63BAF"/>
    <w:rsid w:val="00D63BB4"/>
    <w:rsid w:val="00D63DF9"/>
    <w:rsid w:val="00D63E83"/>
    <w:rsid w:val="00D63ED9"/>
    <w:rsid w:val="00D64341"/>
    <w:rsid w:val="00D643C7"/>
    <w:rsid w:val="00D644AF"/>
    <w:rsid w:val="00D646BA"/>
    <w:rsid w:val="00D649B1"/>
    <w:rsid w:val="00D64CB3"/>
    <w:rsid w:val="00D64EE6"/>
    <w:rsid w:val="00D65604"/>
    <w:rsid w:val="00D65669"/>
    <w:rsid w:val="00D65D37"/>
    <w:rsid w:val="00D66308"/>
    <w:rsid w:val="00D66477"/>
    <w:rsid w:val="00D66535"/>
    <w:rsid w:val="00D665BB"/>
    <w:rsid w:val="00D669DA"/>
    <w:rsid w:val="00D66A22"/>
    <w:rsid w:val="00D66BE3"/>
    <w:rsid w:val="00D66DB5"/>
    <w:rsid w:val="00D66E23"/>
    <w:rsid w:val="00D66F4F"/>
    <w:rsid w:val="00D67059"/>
    <w:rsid w:val="00D6714F"/>
    <w:rsid w:val="00D6729B"/>
    <w:rsid w:val="00D674D8"/>
    <w:rsid w:val="00D67652"/>
    <w:rsid w:val="00D676E4"/>
    <w:rsid w:val="00D67CDF"/>
    <w:rsid w:val="00D67DCD"/>
    <w:rsid w:val="00D67DDB"/>
    <w:rsid w:val="00D70264"/>
    <w:rsid w:val="00D70945"/>
    <w:rsid w:val="00D70F40"/>
    <w:rsid w:val="00D71165"/>
    <w:rsid w:val="00D71228"/>
    <w:rsid w:val="00D712D2"/>
    <w:rsid w:val="00D713A9"/>
    <w:rsid w:val="00D71598"/>
    <w:rsid w:val="00D71698"/>
    <w:rsid w:val="00D71A18"/>
    <w:rsid w:val="00D71C2C"/>
    <w:rsid w:val="00D71E99"/>
    <w:rsid w:val="00D71F35"/>
    <w:rsid w:val="00D723B8"/>
    <w:rsid w:val="00D7274F"/>
    <w:rsid w:val="00D7277B"/>
    <w:rsid w:val="00D72AE1"/>
    <w:rsid w:val="00D72BE3"/>
    <w:rsid w:val="00D72EC3"/>
    <w:rsid w:val="00D73126"/>
    <w:rsid w:val="00D73161"/>
    <w:rsid w:val="00D732AD"/>
    <w:rsid w:val="00D73452"/>
    <w:rsid w:val="00D73458"/>
    <w:rsid w:val="00D736C8"/>
    <w:rsid w:val="00D737AF"/>
    <w:rsid w:val="00D737E2"/>
    <w:rsid w:val="00D73EAA"/>
    <w:rsid w:val="00D73EF8"/>
    <w:rsid w:val="00D73F86"/>
    <w:rsid w:val="00D74298"/>
    <w:rsid w:val="00D74313"/>
    <w:rsid w:val="00D7449E"/>
    <w:rsid w:val="00D744E8"/>
    <w:rsid w:val="00D74646"/>
    <w:rsid w:val="00D74B45"/>
    <w:rsid w:val="00D74DA9"/>
    <w:rsid w:val="00D74F41"/>
    <w:rsid w:val="00D752F3"/>
    <w:rsid w:val="00D75341"/>
    <w:rsid w:val="00D753B2"/>
    <w:rsid w:val="00D75439"/>
    <w:rsid w:val="00D7570C"/>
    <w:rsid w:val="00D759EE"/>
    <w:rsid w:val="00D75AFE"/>
    <w:rsid w:val="00D75B3D"/>
    <w:rsid w:val="00D75BE5"/>
    <w:rsid w:val="00D75C3F"/>
    <w:rsid w:val="00D75E25"/>
    <w:rsid w:val="00D75F5D"/>
    <w:rsid w:val="00D76322"/>
    <w:rsid w:val="00D76673"/>
    <w:rsid w:val="00D766B9"/>
    <w:rsid w:val="00D767CE"/>
    <w:rsid w:val="00D76810"/>
    <w:rsid w:val="00D7698C"/>
    <w:rsid w:val="00D76999"/>
    <w:rsid w:val="00D76AA7"/>
    <w:rsid w:val="00D76AD7"/>
    <w:rsid w:val="00D76B15"/>
    <w:rsid w:val="00D76E72"/>
    <w:rsid w:val="00D76EE1"/>
    <w:rsid w:val="00D77046"/>
    <w:rsid w:val="00D77148"/>
    <w:rsid w:val="00D77204"/>
    <w:rsid w:val="00D776A3"/>
    <w:rsid w:val="00D776EE"/>
    <w:rsid w:val="00D779D5"/>
    <w:rsid w:val="00D77B01"/>
    <w:rsid w:val="00D77CBF"/>
    <w:rsid w:val="00D802DD"/>
    <w:rsid w:val="00D804DB"/>
    <w:rsid w:val="00D80516"/>
    <w:rsid w:val="00D80894"/>
    <w:rsid w:val="00D80932"/>
    <w:rsid w:val="00D80B73"/>
    <w:rsid w:val="00D80DCA"/>
    <w:rsid w:val="00D810C5"/>
    <w:rsid w:val="00D81310"/>
    <w:rsid w:val="00D813F8"/>
    <w:rsid w:val="00D81400"/>
    <w:rsid w:val="00D814D2"/>
    <w:rsid w:val="00D81A91"/>
    <w:rsid w:val="00D81DAF"/>
    <w:rsid w:val="00D81FD6"/>
    <w:rsid w:val="00D820B0"/>
    <w:rsid w:val="00D82470"/>
    <w:rsid w:val="00D8247B"/>
    <w:rsid w:val="00D824C8"/>
    <w:rsid w:val="00D825EB"/>
    <w:rsid w:val="00D82934"/>
    <w:rsid w:val="00D82A5E"/>
    <w:rsid w:val="00D82ECC"/>
    <w:rsid w:val="00D82F4A"/>
    <w:rsid w:val="00D82F5E"/>
    <w:rsid w:val="00D8347A"/>
    <w:rsid w:val="00D834C0"/>
    <w:rsid w:val="00D8387C"/>
    <w:rsid w:val="00D838F8"/>
    <w:rsid w:val="00D83951"/>
    <w:rsid w:val="00D83A62"/>
    <w:rsid w:val="00D83BBC"/>
    <w:rsid w:val="00D83E35"/>
    <w:rsid w:val="00D83E41"/>
    <w:rsid w:val="00D84007"/>
    <w:rsid w:val="00D84203"/>
    <w:rsid w:val="00D84395"/>
    <w:rsid w:val="00D843F8"/>
    <w:rsid w:val="00D844F6"/>
    <w:rsid w:val="00D84518"/>
    <w:rsid w:val="00D846E6"/>
    <w:rsid w:val="00D846F1"/>
    <w:rsid w:val="00D849DF"/>
    <w:rsid w:val="00D84BE6"/>
    <w:rsid w:val="00D850F2"/>
    <w:rsid w:val="00D85192"/>
    <w:rsid w:val="00D851B4"/>
    <w:rsid w:val="00D8522E"/>
    <w:rsid w:val="00D85312"/>
    <w:rsid w:val="00D8544E"/>
    <w:rsid w:val="00D85500"/>
    <w:rsid w:val="00D855FC"/>
    <w:rsid w:val="00D85847"/>
    <w:rsid w:val="00D85936"/>
    <w:rsid w:val="00D859C1"/>
    <w:rsid w:val="00D85BCE"/>
    <w:rsid w:val="00D85C53"/>
    <w:rsid w:val="00D861E5"/>
    <w:rsid w:val="00D8649E"/>
    <w:rsid w:val="00D86524"/>
    <w:rsid w:val="00D8689A"/>
    <w:rsid w:val="00D868E0"/>
    <w:rsid w:val="00D86A82"/>
    <w:rsid w:val="00D86AFC"/>
    <w:rsid w:val="00D86BD1"/>
    <w:rsid w:val="00D86C7B"/>
    <w:rsid w:val="00D86D60"/>
    <w:rsid w:val="00D86E74"/>
    <w:rsid w:val="00D86F40"/>
    <w:rsid w:val="00D8711C"/>
    <w:rsid w:val="00D87192"/>
    <w:rsid w:val="00D8724D"/>
    <w:rsid w:val="00D8732B"/>
    <w:rsid w:val="00D876C7"/>
    <w:rsid w:val="00D87AF2"/>
    <w:rsid w:val="00D87ED6"/>
    <w:rsid w:val="00D87F3A"/>
    <w:rsid w:val="00D87FD4"/>
    <w:rsid w:val="00D90171"/>
    <w:rsid w:val="00D90301"/>
    <w:rsid w:val="00D90EB2"/>
    <w:rsid w:val="00D90F37"/>
    <w:rsid w:val="00D91284"/>
    <w:rsid w:val="00D9128F"/>
    <w:rsid w:val="00D91357"/>
    <w:rsid w:val="00D91790"/>
    <w:rsid w:val="00D91B43"/>
    <w:rsid w:val="00D91DDE"/>
    <w:rsid w:val="00D91FCF"/>
    <w:rsid w:val="00D91FF2"/>
    <w:rsid w:val="00D9211A"/>
    <w:rsid w:val="00D929B7"/>
    <w:rsid w:val="00D92A18"/>
    <w:rsid w:val="00D92FA1"/>
    <w:rsid w:val="00D92FA4"/>
    <w:rsid w:val="00D93020"/>
    <w:rsid w:val="00D93383"/>
    <w:rsid w:val="00D93466"/>
    <w:rsid w:val="00D936CD"/>
    <w:rsid w:val="00D93784"/>
    <w:rsid w:val="00D93831"/>
    <w:rsid w:val="00D939CA"/>
    <w:rsid w:val="00D93B23"/>
    <w:rsid w:val="00D93B49"/>
    <w:rsid w:val="00D93BBF"/>
    <w:rsid w:val="00D93CCB"/>
    <w:rsid w:val="00D93FED"/>
    <w:rsid w:val="00D9405F"/>
    <w:rsid w:val="00D9410A"/>
    <w:rsid w:val="00D94209"/>
    <w:rsid w:val="00D946FB"/>
    <w:rsid w:val="00D94949"/>
    <w:rsid w:val="00D949F0"/>
    <w:rsid w:val="00D94A3E"/>
    <w:rsid w:val="00D94E1E"/>
    <w:rsid w:val="00D94E87"/>
    <w:rsid w:val="00D9516B"/>
    <w:rsid w:val="00D952AE"/>
    <w:rsid w:val="00D953E2"/>
    <w:rsid w:val="00D955B0"/>
    <w:rsid w:val="00D956DA"/>
    <w:rsid w:val="00D959BD"/>
    <w:rsid w:val="00D95AA5"/>
    <w:rsid w:val="00D95AC5"/>
    <w:rsid w:val="00D95DC8"/>
    <w:rsid w:val="00D96300"/>
    <w:rsid w:val="00D96464"/>
    <w:rsid w:val="00D964DA"/>
    <w:rsid w:val="00D96509"/>
    <w:rsid w:val="00D96907"/>
    <w:rsid w:val="00D969BF"/>
    <w:rsid w:val="00D969CE"/>
    <w:rsid w:val="00D96E1F"/>
    <w:rsid w:val="00D96E67"/>
    <w:rsid w:val="00D970B6"/>
    <w:rsid w:val="00D971BC"/>
    <w:rsid w:val="00D971FB"/>
    <w:rsid w:val="00D974CC"/>
    <w:rsid w:val="00D9762B"/>
    <w:rsid w:val="00D97A83"/>
    <w:rsid w:val="00D97B73"/>
    <w:rsid w:val="00D97E19"/>
    <w:rsid w:val="00DA0044"/>
    <w:rsid w:val="00DA02B4"/>
    <w:rsid w:val="00DA03B9"/>
    <w:rsid w:val="00DA046C"/>
    <w:rsid w:val="00DA04E5"/>
    <w:rsid w:val="00DA0595"/>
    <w:rsid w:val="00DA0836"/>
    <w:rsid w:val="00DA0877"/>
    <w:rsid w:val="00DA08CD"/>
    <w:rsid w:val="00DA0A37"/>
    <w:rsid w:val="00DA0AAD"/>
    <w:rsid w:val="00DA0B0F"/>
    <w:rsid w:val="00DA0D52"/>
    <w:rsid w:val="00DA0F6D"/>
    <w:rsid w:val="00DA117D"/>
    <w:rsid w:val="00DA162C"/>
    <w:rsid w:val="00DA16CD"/>
    <w:rsid w:val="00DA1A9E"/>
    <w:rsid w:val="00DA1BA8"/>
    <w:rsid w:val="00DA1BE5"/>
    <w:rsid w:val="00DA1C7B"/>
    <w:rsid w:val="00DA1D63"/>
    <w:rsid w:val="00DA1DF6"/>
    <w:rsid w:val="00DA1FDD"/>
    <w:rsid w:val="00DA245A"/>
    <w:rsid w:val="00DA257B"/>
    <w:rsid w:val="00DA2693"/>
    <w:rsid w:val="00DA2ECE"/>
    <w:rsid w:val="00DA30EF"/>
    <w:rsid w:val="00DA3122"/>
    <w:rsid w:val="00DA3151"/>
    <w:rsid w:val="00DA3319"/>
    <w:rsid w:val="00DA3358"/>
    <w:rsid w:val="00DA33CF"/>
    <w:rsid w:val="00DA3824"/>
    <w:rsid w:val="00DA3FA5"/>
    <w:rsid w:val="00DA40E9"/>
    <w:rsid w:val="00DA455D"/>
    <w:rsid w:val="00DA4966"/>
    <w:rsid w:val="00DA4C45"/>
    <w:rsid w:val="00DA4ED6"/>
    <w:rsid w:val="00DA504C"/>
    <w:rsid w:val="00DA5061"/>
    <w:rsid w:val="00DA551F"/>
    <w:rsid w:val="00DA59A5"/>
    <w:rsid w:val="00DA5A64"/>
    <w:rsid w:val="00DA617D"/>
    <w:rsid w:val="00DA62DF"/>
    <w:rsid w:val="00DA642B"/>
    <w:rsid w:val="00DA6445"/>
    <w:rsid w:val="00DA6790"/>
    <w:rsid w:val="00DA6C5A"/>
    <w:rsid w:val="00DA6DB9"/>
    <w:rsid w:val="00DA6EC1"/>
    <w:rsid w:val="00DA6FDA"/>
    <w:rsid w:val="00DA705C"/>
    <w:rsid w:val="00DA71D9"/>
    <w:rsid w:val="00DA7207"/>
    <w:rsid w:val="00DA75FC"/>
    <w:rsid w:val="00DA765B"/>
    <w:rsid w:val="00DA772E"/>
    <w:rsid w:val="00DA775A"/>
    <w:rsid w:val="00DA787B"/>
    <w:rsid w:val="00DA792B"/>
    <w:rsid w:val="00DA7B4B"/>
    <w:rsid w:val="00DA7BB3"/>
    <w:rsid w:val="00DA7D8A"/>
    <w:rsid w:val="00DA7DA1"/>
    <w:rsid w:val="00DA7EE7"/>
    <w:rsid w:val="00DA7FDD"/>
    <w:rsid w:val="00DB03E0"/>
    <w:rsid w:val="00DB0550"/>
    <w:rsid w:val="00DB056C"/>
    <w:rsid w:val="00DB05B2"/>
    <w:rsid w:val="00DB079F"/>
    <w:rsid w:val="00DB07B0"/>
    <w:rsid w:val="00DB07FD"/>
    <w:rsid w:val="00DB08ED"/>
    <w:rsid w:val="00DB0AB5"/>
    <w:rsid w:val="00DB0C6F"/>
    <w:rsid w:val="00DB0D3A"/>
    <w:rsid w:val="00DB11B8"/>
    <w:rsid w:val="00DB13FD"/>
    <w:rsid w:val="00DB14E1"/>
    <w:rsid w:val="00DB1C2D"/>
    <w:rsid w:val="00DB1CC6"/>
    <w:rsid w:val="00DB1DB9"/>
    <w:rsid w:val="00DB2461"/>
    <w:rsid w:val="00DB2580"/>
    <w:rsid w:val="00DB261E"/>
    <w:rsid w:val="00DB2717"/>
    <w:rsid w:val="00DB291B"/>
    <w:rsid w:val="00DB2A05"/>
    <w:rsid w:val="00DB2AAE"/>
    <w:rsid w:val="00DB2B31"/>
    <w:rsid w:val="00DB2C35"/>
    <w:rsid w:val="00DB2CAA"/>
    <w:rsid w:val="00DB2EFE"/>
    <w:rsid w:val="00DB305F"/>
    <w:rsid w:val="00DB308C"/>
    <w:rsid w:val="00DB366D"/>
    <w:rsid w:val="00DB3AE8"/>
    <w:rsid w:val="00DB3C92"/>
    <w:rsid w:val="00DB3CEF"/>
    <w:rsid w:val="00DB3D80"/>
    <w:rsid w:val="00DB3EEE"/>
    <w:rsid w:val="00DB40E4"/>
    <w:rsid w:val="00DB41C0"/>
    <w:rsid w:val="00DB42C5"/>
    <w:rsid w:val="00DB438D"/>
    <w:rsid w:val="00DB43BC"/>
    <w:rsid w:val="00DB45F4"/>
    <w:rsid w:val="00DB4707"/>
    <w:rsid w:val="00DB4A4C"/>
    <w:rsid w:val="00DB4A56"/>
    <w:rsid w:val="00DB4CAF"/>
    <w:rsid w:val="00DB4E19"/>
    <w:rsid w:val="00DB4E3B"/>
    <w:rsid w:val="00DB4E67"/>
    <w:rsid w:val="00DB4FAC"/>
    <w:rsid w:val="00DB52A0"/>
    <w:rsid w:val="00DB5599"/>
    <w:rsid w:val="00DB57B1"/>
    <w:rsid w:val="00DB5A6B"/>
    <w:rsid w:val="00DB5D92"/>
    <w:rsid w:val="00DB5ED9"/>
    <w:rsid w:val="00DB606F"/>
    <w:rsid w:val="00DB61E9"/>
    <w:rsid w:val="00DB67AA"/>
    <w:rsid w:val="00DB693B"/>
    <w:rsid w:val="00DB6B9D"/>
    <w:rsid w:val="00DB6C31"/>
    <w:rsid w:val="00DB6D42"/>
    <w:rsid w:val="00DB6F22"/>
    <w:rsid w:val="00DB7118"/>
    <w:rsid w:val="00DB711D"/>
    <w:rsid w:val="00DB7214"/>
    <w:rsid w:val="00DB7259"/>
    <w:rsid w:val="00DB753A"/>
    <w:rsid w:val="00DB758A"/>
    <w:rsid w:val="00DB7682"/>
    <w:rsid w:val="00DB7C7E"/>
    <w:rsid w:val="00DB7D50"/>
    <w:rsid w:val="00DB7E82"/>
    <w:rsid w:val="00DC031F"/>
    <w:rsid w:val="00DC057C"/>
    <w:rsid w:val="00DC05C2"/>
    <w:rsid w:val="00DC0793"/>
    <w:rsid w:val="00DC0886"/>
    <w:rsid w:val="00DC0B82"/>
    <w:rsid w:val="00DC0CBE"/>
    <w:rsid w:val="00DC0D10"/>
    <w:rsid w:val="00DC0D1B"/>
    <w:rsid w:val="00DC0E89"/>
    <w:rsid w:val="00DC0F0C"/>
    <w:rsid w:val="00DC1201"/>
    <w:rsid w:val="00DC1303"/>
    <w:rsid w:val="00DC13ED"/>
    <w:rsid w:val="00DC16A6"/>
    <w:rsid w:val="00DC19A2"/>
    <w:rsid w:val="00DC1ACC"/>
    <w:rsid w:val="00DC1AFF"/>
    <w:rsid w:val="00DC1EC8"/>
    <w:rsid w:val="00DC2125"/>
    <w:rsid w:val="00DC21E4"/>
    <w:rsid w:val="00DC2224"/>
    <w:rsid w:val="00DC22C3"/>
    <w:rsid w:val="00DC23BD"/>
    <w:rsid w:val="00DC280E"/>
    <w:rsid w:val="00DC2832"/>
    <w:rsid w:val="00DC29B1"/>
    <w:rsid w:val="00DC2E51"/>
    <w:rsid w:val="00DC2F2C"/>
    <w:rsid w:val="00DC316A"/>
    <w:rsid w:val="00DC33A8"/>
    <w:rsid w:val="00DC35EF"/>
    <w:rsid w:val="00DC3C4B"/>
    <w:rsid w:val="00DC4225"/>
    <w:rsid w:val="00DC42D0"/>
    <w:rsid w:val="00DC4320"/>
    <w:rsid w:val="00DC439A"/>
    <w:rsid w:val="00DC4A8F"/>
    <w:rsid w:val="00DC4DA8"/>
    <w:rsid w:val="00DC5123"/>
    <w:rsid w:val="00DC5223"/>
    <w:rsid w:val="00DC5262"/>
    <w:rsid w:val="00DC547C"/>
    <w:rsid w:val="00DC5522"/>
    <w:rsid w:val="00DC5750"/>
    <w:rsid w:val="00DC582E"/>
    <w:rsid w:val="00DC5E91"/>
    <w:rsid w:val="00DC5EC9"/>
    <w:rsid w:val="00DC61D8"/>
    <w:rsid w:val="00DC67F4"/>
    <w:rsid w:val="00DC6AE8"/>
    <w:rsid w:val="00DC6B7E"/>
    <w:rsid w:val="00DC6BC8"/>
    <w:rsid w:val="00DC705F"/>
    <w:rsid w:val="00DC718E"/>
    <w:rsid w:val="00DC73C5"/>
    <w:rsid w:val="00DC7505"/>
    <w:rsid w:val="00DC751F"/>
    <w:rsid w:val="00DC7678"/>
    <w:rsid w:val="00DC784E"/>
    <w:rsid w:val="00DC7877"/>
    <w:rsid w:val="00DC7A43"/>
    <w:rsid w:val="00DC7EA2"/>
    <w:rsid w:val="00DC7EF0"/>
    <w:rsid w:val="00DC7F96"/>
    <w:rsid w:val="00DD000B"/>
    <w:rsid w:val="00DD0202"/>
    <w:rsid w:val="00DD0B69"/>
    <w:rsid w:val="00DD0E2C"/>
    <w:rsid w:val="00DD100E"/>
    <w:rsid w:val="00DD10B2"/>
    <w:rsid w:val="00DD11AF"/>
    <w:rsid w:val="00DD12D5"/>
    <w:rsid w:val="00DD14F5"/>
    <w:rsid w:val="00DD15B5"/>
    <w:rsid w:val="00DD16EA"/>
    <w:rsid w:val="00DD177A"/>
    <w:rsid w:val="00DD1A74"/>
    <w:rsid w:val="00DD1A96"/>
    <w:rsid w:val="00DD1B43"/>
    <w:rsid w:val="00DD1C78"/>
    <w:rsid w:val="00DD221F"/>
    <w:rsid w:val="00DD2507"/>
    <w:rsid w:val="00DD2511"/>
    <w:rsid w:val="00DD25E2"/>
    <w:rsid w:val="00DD2657"/>
    <w:rsid w:val="00DD290F"/>
    <w:rsid w:val="00DD2B5F"/>
    <w:rsid w:val="00DD2EF1"/>
    <w:rsid w:val="00DD2F36"/>
    <w:rsid w:val="00DD2FF1"/>
    <w:rsid w:val="00DD3008"/>
    <w:rsid w:val="00DD3075"/>
    <w:rsid w:val="00DD30F9"/>
    <w:rsid w:val="00DD34FE"/>
    <w:rsid w:val="00DD35F3"/>
    <w:rsid w:val="00DD3698"/>
    <w:rsid w:val="00DD39AA"/>
    <w:rsid w:val="00DD39CD"/>
    <w:rsid w:val="00DD3B03"/>
    <w:rsid w:val="00DD3CFD"/>
    <w:rsid w:val="00DD3FE4"/>
    <w:rsid w:val="00DD40F6"/>
    <w:rsid w:val="00DD4175"/>
    <w:rsid w:val="00DD4809"/>
    <w:rsid w:val="00DD4AAD"/>
    <w:rsid w:val="00DD4B5C"/>
    <w:rsid w:val="00DD4DE6"/>
    <w:rsid w:val="00DD4FA3"/>
    <w:rsid w:val="00DD51AB"/>
    <w:rsid w:val="00DD5226"/>
    <w:rsid w:val="00DD5500"/>
    <w:rsid w:val="00DD5629"/>
    <w:rsid w:val="00DD579C"/>
    <w:rsid w:val="00DD5B27"/>
    <w:rsid w:val="00DD5C23"/>
    <w:rsid w:val="00DD5DA4"/>
    <w:rsid w:val="00DD5E8A"/>
    <w:rsid w:val="00DD6456"/>
    <w:rsid w:val="00DD64AC"/>
    <w:rsid w:val="00DD6553"/>
    <w:rsid w:val="00DD6613"/>
    <w:rsid w:val="00DD6724"/>
    <w:rsid w:val="00DD69E2"/>
    <w:rsid w:val="00DD6C22"/>
    <w:rsid w:val="00DD6D90"/>
    <w:rsid w:val="00DD6F3D"/>
    <w:rsid w:val="00DD6FBB"/>
    <w:rsid w:val="00DD708F"/>
    <w:rsid w:val="00DD70A6"/>
    <w:rsid w:val="00DD71F9"/>
    <w:rsid w:val="00DD74E9"/>
    <w:rsid w:val="00DD7502"/>
    <w:rsid w:val="00DD75E9"/>
    <w:rsid w:val="00DD76DA"/>
    <w:rsid w:val="00DD7AE1"/>
    <w:rsid w:val="00DD7B24"/>
    <w:rsid w:val="00DD7D11"/>
    <w:rsid w:val="00DE000C"/>
    <w:rsid w:val="00DE016A"/>
    <w:rsid w:val="00DE03C1"/>
    <w:rsid w:val="00DE05E6"/>
    <w:rsid w:val="00DE0610"/>
    <w:rsid w:val="00DE06E2"/>
    <w:rsid w:val="00DE0874"/>
    <w:rsid w:val="00DE0CA2"/>
    <w:rsid w:val="00DE0E16"/>
    <w:rsid w:val="00DE0E38"/>
    <w:rsid w:val="00DE1489"/>
    <w:rsid w:val="00DE16C8"/>
    <w:rsid w:val="00DE184C"/>
    <w:rsid w:val="00DE1858"/>
    <w:rsid w:val="00DE19D0"/>
    <w:rsid w:val="00DE1B48"/>
    <w:rsid w:val="00DE2138"/>
    <w:rsid w:val="00DE2224"/>
    <w:rsid w:val="00DE2349"/>
    <w:rsid w:val="00DE243D"/>
    <w:rsid w:val="00DE26BC"/>
    <w:rsid w:val="00DE28A9"/>
    <w:rsid w:val="00DE2908"/>
    <w:rsid w:val="00DE2959"/>
    <w:rsid w:val="00DE2A1F"/>
    <w:rsid w:val="00DE2BDF"/>
    <w:rsid w:val="00DE2DC9"/>
    <w:rsid w:val="00DE2E24"/>
    <w:rsid w:val="00DE30FA"/>
    <w:rsid w:val="00DE31B8"/>
    <w:rsid w:val="00DE33C8"/>
    <w:rsid w:val="00DE3634"/>
    <w:rsid w:val="00DE37B0"/>
    <w:rsid w:val="00DE3AE1"/>
    <w:rsid w:val="00DE3BD4"/>
    <w:rsid w:val="00DE3CFB"/>
    <w:rsid w:val="00DE4312"/>
    <w:rsid w:val="00DE444F"/>
    <w:rsid w:val="00DE4504"/>
    <w:rsid w:val="00DE4595"/>
    <w:rsid w:val="00DE472B"/>
    <w:rsid w:val="00DE4941"/>
    <w:rsid w:val="00DE49F3"/>
    <w:rsid w:val="00DE4D9F"/>
    <w:rsid w:val="00DE4F7F"/>
    <w:rsid w:val="00DE5410"/>
    <w:rsid w:val="00DE550D"/>
    <w:rsid w:val="00DE56A4"/>
    <w:rsid w:val="00DE5979"/>
    <w:rsid w:val="00DE5A06"/>
    <w:rsid w:val="00DE5B65"/>
    <w:rsid w:val="00DE5C15"/>
    <w:rsid w:val="00DE5F46"/>
    <w:rsid w:val="00DE5F7A"/>
    <w:rsid w:val="00DE60E8"/>
    <w:rsid w:val="00DE632D"/>
    <w:rsid w:val="00DE635F"/>
    <w:rsid w:val="00DE6363"/>
    <w:rsid w:val="00DE639A"/>
    <w:rsid w:val="00DE63BE"/>
    <w:rsid w:val="00DE647E"/>
    <w:rsid w:val="00DE653E"/>
    <w:rsid w:val="00DE671B"/>
    <w:rsid w:val="00DE68BB"/>
    <w:rsid w:val="00DE6B6D"/>
    <w:rsid w:val="00DE6EB6"/>
    <w:rsid w:val="00DE6F25"/>
    <w:rsid w:val="00DE713C"/>
    <w:rsid w:val="00DE762E"/>
    <w:rsid w:val="00DE786E"/>
    <w:rsid w:val="00DE787E"/>
    <w:rsid w:val="00DE796D"/>
    <w:rsid w:val="00DE7A3B"/>
    <w:rsid w:val="00DE7B2A"/>
    <w:rsid w:val="00DE7CC3"/>
    <w:rsid w:val="00DE7CDC"/>
    <w:rsid w:val="00DE7CFA"/>
    <w:rsid w:val="00DE7D0B"/>
    <w:rsid w:val="00DE7ECF"/>
    <w:rsid w:val="00DE7F54"/>
    <w:rsid w:val="00DF0189"/>
    <w:rsid w:val="00DF0235"/>
    <w:rsid w:val="00DF023F"/>
    <w:rsid w:val="00DF031B"/>
    <w:rsid w:val="00DF052D"/>
    <w:rsid w:val="00DF07D2"/>
    <w:rsid w:val="00DF080D"/>
    <w:rsid w:val="00DF08BD"/>
    <w:rsid w:val="00DF08FC"/>
    <w:rsid w:val="00DF0B65"/>
    <w:rsid w:val="00DF0C71"/>
    <w:rsid w:val="00DF0DC4"/>
    <w:rsid w:val="00DF107A"/>
    <w:rsid w:val="00DF1145"/>
    <w:rsid w:val="00DF1242"/>
    <w:rsid w:val="00DF1316"/>
    <w:rsid w:val="00DF13D8"/>
    <w:rsid w:val="00DF17D9"/>
    <w:rsid w:val="00DF1A2A"/>
    <w:rsid w:val="00DF1ACE"/>
    <w:rsid w:val="00DF1AE5"/>
    <w:rsid w:val="00DF1AEE"/>
    <w:rsid w:val="00DF1E4F"/>
    <w:rsid w:val="00DF1E96"/>
    <w:rsid w:val="00DF2097"/>
    <w:rsid w:val="00DF227E"/>
    <w:rsid w:val="00DF235B"/>
    <w:rsid w:val="00DF268D"/>
    <w:rsid w:val="00DF26B3"/>
    <w:rsid w:val="00DF28D1"/>
    <w:rsid w:val="00DF2938"/>
    <w:rsid w:val="00DF29AB"/>
    <w:rsid w:val="00DF2A5F"/>
    <w:rsid w:val="00DF35DC"/>
    <w:rsid w:val="00DF3985"/>
    <w:rsid w:val="00DF39E5"/>
    <w:rsid w:val="00DF3A49"/>
    <w:rsid w:val="00DF3CAF"/>
    <w:rsid w:val="00DF3D0B"/>
    <w:rsid w:val="00DF3DCE"/>
    <w:rsid w:val="00DF3E17"/>
    <w:rsid w:val="00DF4109"/>
    <w:rsid w:val="00DF4580"/>
    <w:rsid w:val="00DF46D5"/>
    <w:rsid w:val="00DF47B0"/>
    <w:rsid w:val="00DF495B"/>
    <w:rsid w:val="00DF498A"/>
    <w:rsid w:val="00DF4DA4"/>
    <w:rsid w:val="00DF4FF1"/>
    <w:rsid w:val="00DF4FFE"/>
    <w:rsid w:val="00DF5187"/>
    <w:rsid w:val="00DF5575"/>
    <w:rsid w:val="00DF5A9B"/>
    <w:rsid w:val="00DF5B29"/>
    <w:rsid w:val="00DF5C17"/>
    <w:rsid w:val="00DF5FE4"/>
    <w:rsid w:val="00DF60D1"/>
    <w:rsid w:val="00DF60DA"/>
    <w:rsid w:val="00DF6104"/>
    <w:rsid w:val="00DF6664"/>
    <w:rsid w:val="00DF671F"/>
    <w:rsid w:val="00DF681A"/>
    <w:rsid w:val="00DF6F40"/>
    <w:rsid w:val="00DF6FEE"/>
    <w:rsid w:val="00DF704A"/>
    <w:rsid w:val="00DF7135"/>
    <w:rsid w:val="00DF7279"/>
    <w:rsid w:val="00DF7937"/>
    <w:rsid w:val="00DF7B3E"/>
    <w:rsid w:val="00DF7BA9"/>
    <w:rsid w:val="00DF7C51"/>
    <w:rsid w:val="00DF7D30"/>
    <w:rsid w:val="00DF7E4C"/>
    <w:rsid w:val="00E0006D"/>
    <w:rsid w:val="00E00095"/>
    <w:rsid w:val="00E00101"/>
    <w:rsid w:val="00E00121"/>
    <w:rsid w:val="00E001F4"/>
    <w:rsid w:val="00E002CE"/>
    <w:rsid w:val="00E00384"/>
    <w:rsid w:val="00E00386"/>
    <w:rsid w:val="00E005F3"/>
    <w:rsid w:val="00E00674"/>
    <w:rsid w:val="00E006F4"/>
    <w:rsid w:val="00E007F3"/>
    <w:rsid w:val="00E008EC"/>
    <w:rsid w:val="00E00974"/>
    <w:rsid w:val="00E00A21"/>
    <w:rsid w:val="00E00A50"/>
    <w:rsid w:val="00E00B30"/>
    <w:rsid w:val="00E00B47"/>
    <w:rsid w:val="00E0138C"/>
    <w:rsid w:val="00E016ED"/>
    <w:rsid w:val="00E01715"/>
    <w:rsid w:val="00E01845"/>
    <w:rsid w:val="00E01899"/>
    <w:rsid w:val="00E01DD6"/>
    <w:rsid w:val="00E0206E"/>
    <w:rsid w:val="00E020BD"/>
    <w:rsid w:val="00E0222D"/>
    <w:rsid w:val="00E02A04"/>
    <w:rsid w:val="00E03125"/>
    <w:rsid w:val="00E0320A"/>
    <w:rsid w:val="00E034B1"/>
    <w:rsid w:val="00E0375E"/>
    <w:rsid w:val="00E03785"/>
    <w:rsid w:val="00E03AC6"/>
    <w:rsid w:val="00E03DC2"/>
    <w:rsid w:val="00E0427A"/>
    <w:rsid w:val="00E04336"/>
    <w:rsid w:val="00E04447"/>
    <w:rsid w:val="00E04535"/>
    <w:rsid w:val="00E0464A"/>
    <w:rsid w:val="00E046C4"/>
    <w:rsid w:val="00E0480B"/>
    <w:rsid w:val="00E0483D"/>
    <w:rsid w:val="00E04A18"/>
    <w:rsid w:val="00E04A2F"/>
    <w:rsid w:val="00E04B77"/>
    <w:rsid w:val="00E04CB2"/>
    <w:rsid w:val="00E04CD0"/>
    <w:rsid w:val="00E04FD2"/>
    <w:rsid w:val="00E05054"/>
    <w:rsid w:val="00E051C8"/>
    <w:rsid w:val="00E053AD"/>
    <w:rsid w:val="00E05458"/>
    <w:rsid w:val="00E055A9"/>
    <w:rsid w:val="00E05852"/>
    <w:rsid w:val="00E0587C"/>
    <w:rsid w:val="00E05B2D"/>
    <w:rsid w:val="00E05B9C"/>
    <w:rsid w:val="00E05DF4"/>
    <w:rsid w:val="00E05E07"/>
    <w:rsid w:val="00E06038"/>
    <w:rsid w:val="00E06146"/>
    <w:rsid w:val="00E065E1"/>
    <w:rsid w:val="00E06D68"/>
    <w:rsid w:val="00E06EDA"/>
    <w:rsid w:val="00E07072"/>
    <w:rsid w:val="00E07256"/>
    <w:rsid w:val="00E0737E"/>
    <w:rsid w:val="00E07491"/>
    <w:rsid w:val="00E07576"/>
    <w:rsid w:val="00E0783A"/>
    <w:rsid w:val="00E0787D"/>
    <w:rsid w:val="00E07992"/>
    <w:rsid w:val="00E07A74"/>
    <w:rsid w:val="00E07D94"/>
    <w:rsid w:val="00E07DE2"/>
    <w:rsid w:val="00E10030"/>
    <w:rsid w:val="00E1012F"/>
    <w:rsid w:val="00E10312"/>
    <w:rsid w:val="00E104EC"/>
    <w:rsid w:val="00E107C4"/>
    <w:rsid w:val="00E109D2"/>
    <w:rsid w:val="00E10CF1"/>
    <w:rsid w:val="00E10FE4"/>
    <w:rsid w:val="00E114D2"/>
    <w:rsid w:val="00E116E2"/>
    <w:rsid w:val="00E11876"/>
    <w:rsid w:val="00E11BDF"/>
    <w:rsid w:val="00E11BE9"/>
    <w:rsid w:val="00E11C49"/>
    <w:rsid w:val="00E1248D"/>
    <w:rsid w:val="00E12824"/>
    <w:rsid w:val="00E12D95"/>
    <w:rsid w:val="00E13393"/>
    <w:rsid w:val="00E1351A"/>
    <w:rsid w:val="00E136D1"/>
    <w:rsid w:val="00E1374A"/>
    <w:rsid w:val="00E138F1"/>
    <w:rsid w:val="00E13D89"/>
    <w:rsid w:val="00E13E26"/>
    <w:rsid w:val="00E14286"/>
    <w:rsid w:val="00E142FF"/>
    <w:rsid w:val="00E1442A"/>
    <w:rsid w:val="00E14441"/>
    <w:rsid w:val="00E144A4"/>
    <w:rsid w:val="00E144EF"/>
    <w:rsid w:val="00E14649"/>
    <w:rsid w:val="00E14679"/>
    <w:rsid w:val="00E14719"/>
    <w:rsid w:val="00E1481A"/>
    <w:rsid w:val="00E14857"/>
    <w:rsid w:val="00E14ADF"/>
    <w:rsid w:val="00E14D38"/>
    <w:rsid w:val="00E14E15"/>
    <w:rsid w:val="00E1501D"/>
    <w:rsid w:val="00E1509C"/>
    <w:rsid w:val="00E15239"/>
    <w:rsid w:val="00E15248"/>
    <w:rsid w:val="00E152B3"/>
    <w:rsid w:val="00E154F8"/>
    <w:rsid w:val="00E15674"/>
    <w:rsid w:val="00E157C3"/>
    <w:rsid w:val="00E158E7"/>
    <w:rsid w:val="00E15A27"/>
    <w:rsid w:val="00E15B91"/>
    <w:rsid w:val="00E15CB2"/>
    <w:rsid w:val="00E15CDC"/>
    <w:rsid w:val="00E15D68"/>
    <w:rsid w:val="00E160D4"/>
    <w:rsid w:val="00E162BC"/>
    <w:rsid w:val="00E162C6"/>
    <w:rsid w:val="00E16438"/>
    <w:rsid w:val="00E167AA"/>
    <w:rsid w:val="00E16840"/>
    <w:rsid w:val="00E16DAA"/>
    <w:rsid w:val="00E16E66"/>
    <w:rsid w:val="00E16E7E"/>
    <w:rsid w:val="00E17071"/>
    <w:rsid w:val="00E170C4"/>
    <w:rsid w:val="00E1770C"/>
    <w:rsid w:val="00E17715"/>
    <w:rsid w:val="00E177CE"/>
    <w:rsid w:val="00E177F0"/>
    <w:rsid w:val="00E178B1"/>
    <w:rsid w:val="00E17A5C"/>
    <w:rsid w:val="00E17AAC"/>
    <w:rsid w:val="00E17D2C"/>
    <w:rsid w:val="00E17F6D"/>
    <w:rsid w:val="00E203DD"/>
    <w:rsid w:val="00E20626"/>
    <w:rsid w:val="00E20738"/>
    <w:rsid w:val="00E20748"/>
    <w:rsid w:val="00E207D0"/>
    <w:rsid w:val="00E20992"/>
    <w:rsid w:val="00E209DF"/>
    <w:rsid w:val="00E20D41"/>
    <w:rsid w:val="00E20DB4"/>
    <w:rsid w:val="00E20E28"/>
    <w:rsid w:val="00E20E55"/>
    <w:rsid w:val="00E21051"/>
    <w:rsid w:val="00E210AB"/>
    <w:rsid w:val="00E2110C"/>
    <w:rsid w:val="00E2126D"/>
    <w:rsid w:val="00E212C9"/>
    <w:rsid w:val="00E2175E"/>
    <w:rsid w:val="00E2177F"/>
    <w:rsid w:val="00E21A99"/>
    <w:rsid w:val="00E21AFA"/>
    <w:rsid w:val="00E21CA7"/>
    <w:rsid w:val="00E21DFC"/>
    <w:rsid w:val="00E21F5C"/>
    <w:rsid w:val="00E221B9"/>
    <w:rsid w:val="00E2266F"/>
    <w:rsid w:val="00E2283C"/>
    <w:rsid w:val="00E228E0"/>
    <w:rsid w:val="00E22A08"/>
    <w:rsid w:val="00E22A25"/>
    <w:rsid w:val="00E22A45"/>
    <w:rsid w:val="00E22CDD"/>
    <w:rsid w:val="00E22E15"/>
    <w:rsid w:val="00E23259"/>
    <w:rsid w:val="00E23310"/>
    <w:rsid w:val="00E2375A"/>
    <w:rsid w:val="00E2377B"/>
    <w:rsid w:val="00E238EF"/>
    <w:rsid w:val="00E239C5"/>
    <w:rsid w:val="00E23A65"/>
    <w:rsid w:val="00E23E2B"/>
    <w:rsid w:val="00E23E5D"/>
    <w:rsid w:val="00E23E67"/>
    <w:rsid w:val="00E23EAB"/>
    <w:rsid w:val="00E23F73"/>
    <w:rsid w:val="00E2410F"/>
    <w:rsid w:val="00E24157"/>
    <w:rsid w:val="00E24675"/>
    <w:rsid w:val="00E24846"/>
    <w:rsid w:val="00E24D11"/>
    <w:rsid w:val="00E24DD1"/>
    <w:rsid w:val="00E24F0C"/>
    <w:rsid w:val="00E2526B"/>
    <w:rsid w:val="00E2537D"/>
    <w:rsid w:val="00E25560"/>
    <w:rsid w:val="00E255A6"/>
    <w:rsid w:val="00E2584F"/>
    <w:rsid w:val="00E25F35"/>
    <w:rsid w:val="00E25F9B"/>
    <w:rsid w:val="00E26010"/>
    <w:rsid w:val="00E26044"/>
    <w:rsid w:val="00E26577"/>
    <w:rsid w:val="00E268FA"/>
    <w:rsid w:val="00E26F39"/>
    <w:rsid w:val="00E27BA9"/>
    <w:rsid w:val="00E27C7A"/>
    <w:rsid w:val="00E27E57"/>
    <w:rsid w:val="00E30111"/>
    <w:rsid w:val="00E303BC"/>
    <w:rsid w:val="00E3068B"/>
    <w:rsid w:val="00E30701"/>
    <w:rsid w:val="00E30FFA"/>
    <w:rsid w:val="00E31249"/>
    <w:rsid w:val="00E31441"/>
    <w:rsid w:val="00E3146F"/>
    <w:rsid w:val="00E3147D"/>
    <w:rsid w:val="00E3164B"/>
    <w:rsid w:val="00E31B48"/>
    <w:rsid w:val="00E31B67"/>
    <w:rsid w:val="00E32116"/>
    <w:rsid w:val="00E3227C"/>
    <w:rsid w:val="00E32347"/>
    <w:rsid w:val="00E3283C"/>
    <w:rsid w:val="00E328DC"/>
    <w:rsid w:val="00E32CC9"/>
    <w:rsid w:val="00E332EE"/>
    <w:rsid w:val="00E333DA"/>
    <w:rsid w:val="00E335AD"/>
    <w:rsid w:val="00E337B4"/>
    <w:rsid w:val="00E338C7"/>
    <w:rsid w:val="00E33B7B"/>
    <w:rsid w:val="00E33B8E"/>
    <w:rsid w:val="00E33C98"/>
    <w:rsid w:val="00E33DC7"/>
    <w:rsid w:val="00E33E43"/>
    <w:rsid w:val="00E345FD"/>
    <w:rsid w:val="00E34769"/>
    <w:rsid w:val="00E347F1"/>
    <w:rsid w:val="00E3480C"/>
    <w:rsid w:val="00E34A54"/>
    <w:rsid w:val="00E34A83"/>
    <w:rsid w:val="00E34B0B"/>
    <w:rsid w:val="00E34CB6"/>
    <w:rsid w:val="00E34E92"/>
    <w:rsid w:val="00E34F0A"/>
    <w:rsid w:val="00E34F24"/>
    <w:rsid w:val="00E35544"/>
    <w:rsid w:val="00E35725"/>
    <w:rsid w:val="00E357B6"/>
    <w:rsid w:val="00E3582F"/>
    <w:rsid w:val="00E359F1"/>
    <w:rsid w:val="00E35A3D"/>
    <w:rsid w:val="00E35B57"/>
    <w:rsid w:val="00E35DBA"/>
    <w:rsid w:val="00E35F26"/>
    <w:rsid w:val="00E361F4"/>
    <w:rsid w:val="00E363FF"/>
    <w:rsid w:val="00E36482"/>
    <w:rsid w:val="00E3667F"/>
    <w:rsid w:val="00E3680B"/>
    <w:rsid w:val="00E36AAD"/>
    <w:rsid w:val="00E36C6C"/>
    <w:rsid w:val="00E36ED9"/>
    <w:rsid w:val="00E37051"/>
    <w:rsid w:val="00E371D0"/>
    <w:rsid w:val="00E37508"/>
    <w:rsid w:val="00E375F4"/>
    <w:rsid w:val="00E37843"/>
    <w:rsid w:val="00E37BF1"/>
    <w:rsid w:val="00E37E31"/>
    <w:rsid w:val="00E37E9B"/>
    <w:rsid w:val="00E40017"/>
    <w:rsid w:val="00E40035"/>
    <w:rsid w:val="00E402E5"/>
    <w:rsid w:val="00E40316"/>
    <w:rsid w:val="00E40457"/>
    <w:rsid w:val="00E406FB"/>
    <w:rsid w:val="00E40C4D"/>
    <w:rsid w:val="00E4113A"/>
    <w:rsid w:val="00E413A3"/>
    <w:rsid w:val="00E41894"/>
    <w:rsid w:val="00E41C26"/>
    <w:rsid w:val="00E41E54"/>
    <w:rsid w:val="00E41F56"/>
    <w:rsid w:val="00E424B9"/>
    <w:rsid w:val="00E42528"/>
    <w:rsid w:val="00E4253D"/>
    <w:rsid w:val="00E426DE"/>
    <w:rsid w:val="00E42989"/>
    <w:rsid w:val="00E42A23"/>
    <w:rsid w:val="00E42B20"/>
    <w:rsid w:val="00E42D02"/>
    <w:rsid w:val="00E42DC7"/>
    <w:rsid w:val="00E42DE7"/>
    <w:rsid w:val="00E42EC9"/>
    <w:rsid w:val="00E430F8"/>
    <w:rsid w:val="00E43105"/>
    <w:rsid w:val="00E4320E"/>
    <w:rsid w:val="00E4331A"/>
    <w:rsid w:val="00E43568"/>
    <w:rsid w:val="00E43625"/>
    <w:rsid w:val="00E437CA"/>
    <w:rsid w:val="00E43C32"/>
    <w:rsid w:val="00E43E21"/>
    <w:rsid w:val="00E43EF1"/>
    <w:rsid w:val="00E43F29"/>
    <w:rsid w:val="00E44506"/>
    <w:rsid w:val="00E4456B"/>
    <w:rsid w:val="00E44625"/>
    <w:rsid w:val="00E4497C"/>
    <w:rsid w:val="00E4499B"/>
    <w:rsid w:val="00E44C17"/>
    <w:rsid w:val="00E44C70"/>
    <w:rsid w:val="00E44DBE"/>
    <w:rsid w:val="00E44EB7"/>
    <w:rsid w:val="00E4557B"/>
    <w:rsid w:val="00E455EB"/>
    <w:rsid w:val="00E45891"/>
    <w:rsid w:val="00E46130"/>
    <w:rsid w:val="00E46175"/>
    <w:rsid w:val="00E46331"/>
    <w:rsid w:val="00E464AA"/>
    <w:rsid w:val="00E466AF"/>
    <w:rsid w:val="00E46898"/>
    <w:rsid w:val="00E46929"/>
    <w:rsid w:val="00E469FD"/>
    <w:rsid w:val="00E46EB0"/>
    <w:rsid w:val="00E470F5"/>
    <w:rsid w:val="00E471D6"/>
    <w:rsid w:val="00E4751D"/>
    <w:rsid w:val="00E4758F"/>
    <w:rsid w:val="00E47873"/>
    <w:rsid w:val="00E479A4"/>
    <w:rsid w:val="00E47E2D"/>
    <w:rsid w:val="00E501B1"/>
    <w:rsid w:val="00E50295"/>
    <w:rsid w:val="00E50320"/>
    <w:rsid w:val="00E50474"/>
    <w:rsid w:val="00E504B0"/>
    <w:rsid w:val="00E5056C"/>
    <w:rsid w:val="00E505B2"/>
    <w:rsid w:val="00E505B6"/>
    <w:rsid w:val="00E50748"/>
    <w:rsid w:val="00E5079F"/>
    <w:rsid w:val="00E507C0"/>
    <w:rsid w:val="00E508A5"/>
    <w:rsid w:val="00E50D04"/>
    <w:rsid w:val="00E50F13"/>
    <w:rsid w:val="00E511C9"/>
    <w:rsid w:val="00E5134C"/>
    <w:rsid w:val="00E51368"/>
    <w:rsid w:val="00E514E8"/>
    <w:rsid w:val="00E5167F"/>
    <w:rsid w:val="00E5186A"/>
    <w:rsid w:val="00E518B8"/>
    <w:rsid w:val="00E51A0E"/>
    <w:rsid w:val="00E51A6E"/>
    <w:rsid w:val="00E51AFF"/>
    <w:rsid w:val="00E51C80"/>
    <w:rsid w:val="00E51D01"/>
    <w:rsid w:val="00E51ED0"/>
    <w:rsid w:val="00E51FAA"/>
    <w:rsid w:val="00E52117"/>
    <w:rsid w:val="00E5219C"/>
    <w:rsid w:val="00E5243C"/>
    <w:rsid w:val="00E52756"/>
    <w:rsid w:val="00E5282A"/>
    <w:rsid w:val="00E52C54"/>
    <w:rsid w:val="00E52C86"/>
    <w:rsid w:val="00E52C9A"/>
    <w:rsid w:val="00E52CD9"/>
    <w:rsid w:val="00E53122"/>
    <w:rsid w:val="00E53427"/>
    <w:rsid w:val="00E5345D"/>
    <w:rsid w:val="00E5347B"/>
    <w:rsid w:val="00E5348D"/>
    <w:rsid w:val="00E53522"/>
    <w:rsid w:val="00E53659"/>
    <w:rsid w:val="00E5366C"/>
    <w:rsid w:val="00E538D0"/>
    <w:rsid w:val="00E53B1A"/>
    <w:rsid w:val="00E53ED3"/>
    <w:rsid w:val="00E53FD9"/>
    <w:rsid w:val="00E541CB"/>
    <w:rsid w:val="00E54468"/>
    <w:rsid w:val="00E545E4"/>
    <w:rsid w:val="00E54701"/>
    <w:rsid w:val="00E54777"/>
    <w:rsid w:val="00E54BE7"/>
    <w:rsid w:val="00E54C4F"/>
    <w:rsid w:val="00E54C62"/>
    <w:rsid w:val="00E54C9E"/>
    <w:rsid w:val="00E54DF4"/>
    <w:rsid w:val="00E54EEE"/>
    <w:rsid w:val="00E54F5B"/>
    <w:rsid w:val="00E54FE7"/>
    <w:rsid w:val="00E550A6"/>
    <w:rsid w:val="00E55268"/>
    <w:rsid w:val="00E553D7"/>
    <w:rsid w:val="00E555EB"/>
    <w:rsid w:val="00E5576D"/>
    <w:rsid w:val="00E558BA"/>
    <w:rsid w:val="00E55981"/>
    <w:rsid w:val="00E5599F"/>
    <w:rsid w:val="00E55A80"/>
    <w:rsid w:val="00E55D6B"/>
    <w:rsid w:val="00E55F60"/>
    <w:rsid w:val="00E5653B"/>
    <w:rsid w:val="00E56598"/>
    <w:rsid w:val="00E56616"/>
    <w:rsid w:val="00E56878"/>
    <w:rsid w:val="00E568C4"/>
    <w:rsid w:val="00E56BCA"/>
    <w:rsid w:val="00E56C0D"/>
    <w:rsid w:val="00E56FC1"/>
    <w:rsid w:val="00E571BA"/>
    <w:rsid w:val="00E571D4"/>
    <w:rsid w:val="00E5746C"/>
    <w:rsid w:val="00E57487"/>
    <w:rsid w:val="00E57594"/>
    <w:rsid w:val="00E577A2"/>
    <w:rsid w:val="00E57A3D"/>
    <w:rsid w:val="00E57A57"/>
    <w:rsid w:val="00E57B54"/>
    <w:rsid w:val="00E57C03"/>
    <w:rsid w:val="00E57CF4"/>
    <w:rsid w:val="00E57D65"/>
    <w:rsid w:val="00E57D6D"/>
    <w:rsid w:val="00E57EFF"/>
    <w:rsid w:val="00E60072"/>
    <w:rsid w:val="00E602A7"/>
    <w:rsid w:val="00E60814"/>
    <w:rsid w:val="00E60B4F"/>
    <w:rsid w:val="00E60CC7"/>
    <w:rsid w:val="00E60FA8"/>
    <w:rsid w:val="00E61099"/>
    <w:rsid w:val="00E6116B"/>
    <w:rsid w:val="00E61236"/>
    <w:rsid w:val="00E612B7"/>
    <w:rsid w:val="00E6139D"/>
    <w:rsid w:val="00E61447"/>
    <w:rsid w:val="00E61502"/>
    <w:rsid w:val="00E6186F"/>
    <w:rsid w:val="00E619DC"/>
    <w:rsid w:val="00E61B0D"/>
    <w:rsid w:val="00E61DA8"/>
    <w:rsid w:val="00E61FA4"/>
    <w:rsid w:val="00E61FE0"/>
    <w:rsid w:val="00E620EE"/>
    <w:rsid w:val="00E6212C"/>
    <w:rsid w:val="00E622B7"/>
    <w:rsid w:val="00E62720"/>
    <w:rsid w:val="00E628CE"/>
    <w:rsid w:val="00E62977"/>
    <w:rsid w:val="00E62C25"/>
    <w:rsid w:val="00E62C2B"/>
    <w:rsid w:val="00E62C62"/>
    <w:rsid w:val="00E62F37"/>
    <w:rsid w:val="00E62F63"/>
    <w:rsid w:val="00E630A8"/>
    <w:rsid w:val="00E635EA"/>
    <w:rsid w:val="00E63619"/>
    <w:rsid w:val="00E638F7"/>
    <w:rsid w:val="00E63BA4"/>
    <w:rsid w:val="00E63CA5"/>
    <w:rsid w:val="00E63DA9"/>
    <w:rsid w:val="00E642F9"/>
    <w:rsid w:val="00E647D8"/>
    <w:rsid w:val="00E64A07"/>
    <w:rsid w:val="00E64A74"/>
    <w:rsid w:val="00E64ADF"/>
    <w:rsid w:val="00E64B16"/>
    <w:rsid w:val="00E64B67"/>
    <w:rsid w:val="00E64BB2"/>
    <w:rsid w:val="00E64BE0"/>
    <w:rsid w:val="00E651B9"/>
    <w:rsid w:val="00E6521C"/>
    <w:rsid w:val="00E6551A"/>
    <w:rsid w:val="00E657F5"/>
    <w:rsid w:val="00E6580B"/>
    <w:rsid w:val="00E65B65"/>
    <w:rsid w:val="00E65C68"/>
    <w:rsid w:val="00E65C6C"/>
    <w:rsid w:val="00E65C8C"/>
    <w:rsid w:val="00E65C9E"/>
    <w:rsid w:val="00E65D30"/>
    <w:rsid w:val="00E65F7D"/>
    <w:rsid w:val="00E66142"/>
    <w:rsid w:val="00E663EA"/>
    <w:rsid w:val="00E666BD"/>
    <w:rsid w:val="00E667F7"/>
    <w:rsid w:val="00E6680C"/>
    <w:rsid w:val="00E6682F"/>
    <w:rsid w:val="00E668C8"/>
    <w:rsid w:val="00E66D5A"/>
    <w:rsid w:val="00E66E6C"/>
    <w:rsid w:val="00E66F68"/>
    <w:rsid w:val="00E670CC"/>
    <w:rsid w:val="00E671DE"/>
    <w:rsid w:val="00E671F2"/>
    <w:rsid w:val="00E674FB"/>
    <w:rsid w:val="00E6756B"/>
    <w:rsid w:val="00E675ED"/>
    <w:rsid w:val="00E6765B"/>
    <w:rsid w:val="00E6779F"/>
    <w:rsid w:val="00E6782F"/>
    <w:rsid w:val="00E67834"/>
    <w:rsid w:val="00E67922"/>
    <w:rsid w:val="00E67CF5"/>
    <w:rsid w:val="00E67F7F"/>
    <w:rsid w:val="00E700BF"/>
    <w:rsid w:val="00E700E3"/>
    <w:rsid w:val="00E702E5"/>
    <w:rsid w:val="00E70451"/>
    <w:rsid w:val="00E705A3"/>
    <w:rsid w:val="00E70603"/>
    <w:rsid w:val="00E7071C"/>
    <w:rsid w:val="00E70918"/>
    <w:rsid w:val="00E70ADA"/>
    <w:rsid w:val="00E70C79"/>
    <w:rsid w:val="00E70D3A"/>
    <w:rsid w:val="00E70ECE"/>
    <w:rsid w:val="00E71486"/>
    <w:rsid w:val="00E71527"/>
    <w:rsid w:val="00E715D9"/>
    <w:rsid w:val="00E71912"/>
    <w:rsid w:val="00E71DC0"/>
    <w:rsid w:val="00E71FE8"/>
    <w:rsid w:val="00E72014"/>
    <w:rsid w:val="00E72252"/>
    <w:rsid w:val="00E72413"/>
    <w:rsid w:val="00E7246B"/>
    <w:rsid w:val="00E72754"/>
    <w:rsid w:val="00E72C55"/>
    <w:rsid w:val="00E72CA3"/>
    <w:rsid w:val="00E72D67"/>
    <w:rsid w:val="00E72E32"/>
    <w:rsid w:val="00E72EE0"/>
    <w:rsid w:val="00E72EF9"/>
    <w:rsid w:val="00E73203"/>
    <w:rsid w:val="00E7340B"/>
    <w:rsid w:val="00E73431"/>
    <w:rsid w:val="00E73745"/>
    <w:rsid w:val="00E73B1F"/>
    <w:rsid w:val="00E73CE9"/>
    <w:rsid w:val="00E73DB4"/>
    <w:rsid w:val="00E73E00"/>
    <w:rsid w:val="00E73EE2"/>
    <w:rsid w:val="00E740BB"/>
    <w:rsid w:val="00E7460D"/>
    <w:rsid w:val="00E746E0"/>
    <w:rsid w:val="00E74717"/>
    <w:rsid w:val="00E74786"/>
    <w:rsid w:val="00E748C6"/>
    <w:rsid w:val="00E74C41"/>
    <w:rsid w:val="00E75049"/>
    <w:rsid w:val="00E750C7"/>
    <w:rsid w:val="00E75110"/>
    <w:rsid w:val="00E75543"/>
    <w:rsid w:val="00E75DC6"/>
    <w:rsid w:val="00E75E0E"/>
    <w:rsid w:val="00E75E64"/>
    <w:rsid w:val="00E75E92"/>
    <w:rsid w:val="00E75FA7"/>
    <w:rsid w:val="00E76265"/>
    <w:rsid w:val="00E76360"/>
    <w:rsid w:val="00E76367"/>
    <w:rsid w:val="00E76761"/>
    <w:rsid w:val="00E76D5F"/>
    <w:rsid w:val="00E76DE8"/>
    <w:rsid w:val="00E77271"/>
    <w:rsid w:val="00E7749E"/>
    <w:rsid w:val="00E777BB"/>
    <w:rsid w:val="00E77A18"/>
    <w:rsid w:val="00E77A6D"/>
    <w:rsid w:val="00E77D0F"/>
    <w:rsid w:val="00E77D94"/>
    <w:rsid w:val="00E77DA1"/>
    <w:rsid w:val="00E77DDA"/>
    <w:rsid w:val="00E803C1"/>
    <w:rsid w:val="00E808D0"/>
    <w:rsid w:val="00E808D5"/>
    <w:rsid w:val="00E80991"/>
    <w:rsid w:val="00E80A28"/>
    <w:rsid w:val="00E80B11"/>
    <w:rsid w:val="00E80CE1"/>
    <w:rsid w:val="00E80ED7"/>
    <w:rsid w:val="00E80FF7"/>
    <w:rsid w:val="00E810FC"/>
    <w:rsid w:val="00E8127F"/>
    <w:rsid w:val="00E81365"/>
    <w:rsid w:val="00E81530"/>
    <w:rsid w:val="00E81575"/>
    <w:rsid w:val="00E815C9"/>
    <w:rsid w:val="00E81889"/>
    <w:rsid w:val="00E818F1"/>
    <w:rsid w:val="00E81B2D"/>
    <w:rsid w:val="00E81B8D"/>
    <w:rsid w:val="00E81D86"/>
    <w:rsid w:val="00E81EBA"/>
    <w:rsid w:val="00E81F20"/>
    <w:rsid w:val="00E82009"/>
    <w:rsid w:val="00E820AA"/>
    <w:rsid w:val="00E8214C"/>
    <w:rsid w:val="00E8223F"/>
    <w:rsid w:val="00E82274"/>
    <w:rsid w:val="00E823B9"/>
    <w:rsid w:val="00E824E8"/>
    <w:rsid w:val="00E82516"/>
    <w:rsid w:val="00E82582"/>
    <w:rsid w:val="00E825F9"/>
    <w:rsid w:val="00E82931"/>
    <w:rsid w:val="00E829E6"/>
    <w:rsid w:val="00E82BF4"/>
    <w:rsid w:val="00E82C69"/>
    <w:rsid w:val="00E82E19"/>
    <w:rsid w:val="00E82F56"/>
    <w:rsid w:val="00E82FDB"/>
    <w:rsid w:val="00E831BD"/>
    <w:rsid w:val="00E8325B"/>
    <w:rsid w:val="00E83356"/>
    <w:rsid w:val="00E83569"/>
    <w:rsid w:val="00E83617"/>
    <w:rsid w:val="00E83680"/>
    <w:rsid w:val="00E83C81"/>
    <w:rsid w:val="00E83E35"/>
    <w:rsid w:val="00E84377"/>
    <w:rsid w:val="00E8438A"/>
    <w:rsid w:val="00E84557"/>
    <w:rsid w:val="00E84648"/>
    <w:rsid w:val="00E8473C"/>
    <w:rsid w:val="00E84CE5"/>
    <w:rsid w:val="00E84D1E"/>
    <w:rsid w:val="00E84E7A"/>
    <w:rsid w:val="00E84EE9"/>
    <w:rsid w:val="00E84FF8"/>
    <w:rsid w:val="00E852AB"/>
    <w:rsid w:val="00E853E4"/>
    <w:rsid w:val="00E85587"/>
    <w:rsid w:val="00E85741"/>
    <w:rsid w:val="00E858BE"/>
    <w:rsid w:val="00E85B49"/>
    <w:rsid w:val="00E85C6D"/>
    <w:rsid w:val="00E85E9B"/>
    <w:rsid w:val="00E86111"/>
    <w:rsid w:val="00E8646E"/>
    <w:rsid w:val="00E86680"/>
    <w:rsid w:val="00E8689B"/>
    <w:rsid w:val="00E86997"/>
    <w:rsid w:val="00E86A1A"/>
    <w:rsid w:val="00E86B96"/>
    <w:rsid w:val="00E86F53"/>
    <w:rsid w:val="00E86F74"/>
    <w:rsid w:val="00E87118"/>
    <w:rsid w:val="00E87223"/>
    <w:rsid w:val="00E87492"/>
    <w:rsid w:val="00E875C7"/>
    <w:rsid w:val="00E875D0"/>
    <w:rsid w:val="00E876A5"/>
    <w:rsid w:val="00E877AD"/>
    <w:rsid w:val="00E87CDC"/>
    <w:rsid w:val="00E87D50"/>
    <w:rsid w:val="00E87E64"/>
    <w:rsid w:val="00E90008"/>
    <w:rsid w:val="00E900DC"/>
    <w:rsid w:val="00E902A3"/>
    <w:rsid w:val="00E903D6"/>
    <w:rsid w:val="00E90527"/>
    <w:rsid w:val="00E90718"/>
    <w:rsid w:val="00E9094F"/>
    <w:rsid w:val="00E90AAB"/>
    <w:rsid w:val="00E90B06"/>
    <w:rsid w:val="00E90B6E"/>
    <w:rsid w:val="00E90D83"/>
    <w:rsid w:val="00E90F9D"/>
    <w:rsid w:val="00E9138A"/>
    <w:rsid w:val="00E9139C"/>
    <w:rsid w:val="00E9159E"/>
    <w:rsid w:val="00E915E7"/>
    <w:rsid w:val="00E915EB"/>
    <w:rsid w:val="00E91739"/>
    <w:rsid w:val="00E91746"/>
    <w:rsid w:val="00E917F6"/>
    <w:rsid w:val="00E91821"/>
    <w:rsid w:val="00E91846"/>
    <w:rsid w:val="00E91A16"/>
    <w:rsid w:val="00E920CA"/>
    <w:rsid w:val="00E9220F"/>
    <w:rsid w:val="00E922D5"/>
    <w:rsid w:val="00E92381"/>
    <w:rsid w:val="00E923F1"/>
    <w:rsid w:val="00E924A3"/>
    <w:rsid w:val="00E924CD"/>
    <w:rsid w:val="00E9259B"/>
    <w:rsid w:val="00E925B2"/>
    <w:rsid w:val="00E925D3"/>
    <w:rsid w:val="00E9266D"/>
    <w:rsid w:val="00E92844"/>
    <w:rsid w:val="00E9297F"/>
    <w:rsid w:val="00E92C9D"/>
    <w:rsid w:val="00E92EA3"/>
    <w:rsid w:val="00E932C7"/>
    <w:rsid w:val="00E93B67"/>
    <w:rsid w:val="00E93F61"/>
    <w:rsid w:val="00E942CD"/>
    <w:rsid w:val="00E94347"/>
    <w:rsid w:val="00E9447B"/>
    <w:rsid w:val="00E947AF"/>
    <w:rsid w:val="00E94CD8"/>
    <w:rsid w:val="00E94D31"/>
    <w:rsid w:val="00E94D49"/>
    <w:rsid w:val="00E94E91"/>
    <w:rsid w:val="00E95159"/>
    <w:rsid w:val="00E9582A"/>
    <w:rsid w:val="00E95A50"/>
    <w:rsid w:val="00E95A75"/>
    <w:rsid w:val="00E95B29"/>
    <w:rsid w:val="00E95B3A"/>
    <w:rsid w:val="00E95DB9"/>
    <w:rsid w:val="00E95DBB"/>
    <w:rsid w:val="00E96049"/>
    <w:rsid w:val="00E9611F"/>
    <w:rsid w:val="00E9624F"/>
    <w:rsid w:val="00E96288"/>
    <w:rsid w:val="00E963DA"/>
    <w:rsid w:val="00E96495"/>
    <w:rsid w:val="00E964C4"/>
    <w:rsid w:val="00E966CA"/>
    <w:rsid w:val="00E9687A"/>
    <w:rsid w:val="00E96BB6"/>
    <w:rsid w:val="00E96C41"/>
    <w:rsid w:val="00E96DA1"/>
    <w:rsid w:val="00E96DDA"/>
    <w:rsid w:val="00E96ED7"/>
    <w:rsid w:val="00E96F4C"/>
    <w:rsid w:val="00E971C9"/>
    <w:rsid w:val="00E97627"/>
    <w:rsid w:val="00E9794C"/>
    <w:rsid w:val="00E97AFF"/>
    <w:rsid w:val="00E97DFE"/>
    <w:rsid w:val="00E97F7D"/>
    <w:rsid w:val="00EA000E"/>
    <w:rsid w:val="00EA0011"/>
    <w:rsid w:val="00EA013A"/>
    <w:rsid w:val="00EA013E"/>
    <w:rsid w:val="00EA024B"/>
    <w:rsid w:val="00EA05E2"/>
    <w:rsid w:val="00EA0676"/>
    <w:rsid w:val="00EA067A"/>
    <w:rsid w:val="00EA07F7"/>
    <w:rsid w:val="00EA08E1"/>
    <w:rsid w:val="00EA0DBB"/>
    <w:rsid w:val="00EA0EEB"/>
    <w:rsid w:val="00EA1093"/>
    <w:rsid w:val="00EA143D"/>
    <w:rsid w:val="00EA1827"/>
    <w:rsid w:val="00EA1847"/>
    <w:rsid w:val="00EA1935"/>
    <w:rsid w:val="00EA1C03"/>
    <w:rsid w:val="00EA1C7A"/>
    <w:rsid w:val="00EA1CFF"/>
    <w:rsid w:val="00EA1E0E"/>
    <w:rsid w:val="00EA2334"/>
    <w:rsid w:val="00EA263C"/>
    <w:rsid w:val="00EA26BB"/>
    <w:rsid w:val="00EA26CE"/>
    <w:rsid w:val="00EA2939"/>
    <w:rsid w:val="00EA2C1F"/>
    <w:rsid w:val="00EA2D69"/>
    <w:rsid w:val="00EA2E20"/>
    <w:rsid w:val="00EA2E2E"/>
    <w:rsid w:val="00EA310C"/>
    <w:rsid w:val="00EA351E"/>
    <w:rsid w:val="00EA36F6"/>
    <w:rsid w:val="00EA3724"/>
    <w:rsid w:val="00EA379C"/>
    <w:rsid w:val="00EA3A39"/>
    <w:rsid w:val="00EA3D33"/>
    <w:rsid w:val="00EA3EC8"/>
    <w:rsid w:val="00EA3F65"/>
    <w:rsid w:val="00EA438C"/>
    <w:rsid w:val="00EA4535"/>
    <w:rsid w:val="00EA45D5"/>
    <w:rsid w:val="00EA46A9"/>
    <w:rsid w:val="00EA4827"/>
    <w:rsid w:val="00EA4D96"/>
    <w:rsid w:val="00EA4E84"/>
    <w:rsid w:val="00EA5744"/>
    <w:rsid w:val="00EA5795"/>
    <w:rsid w:val="00EA5A7B"/>
    <w:rsid w:val="00EA5B11"/>
    <w:rsid w:val="00EA5B66"/>
    <w:rsid w:val="00EA5BCA"/>
    <w:rsid w:val="00EA5D66"/>
    <w:rsid w:val="00EA5DD7"/>
    <w:rsid w:val="00EA5F7F"/>
    <w:rsid w:val="00EA5FA4"/>
    <w:rsid w:val="00EA5FC7"/>
    <w:rsid w:val="00EA609A"/>
    <w:rsid w:val="00EA6367"/>
    <w:rsid w:val="00EA68AD"/>
    <w:rsid w:val="00EA6940"/>
    <w:rsid w:val="00EA69D1"/>
    <w:rsid w:val="00EA69E6"/>
    <w:rsid w:val="00EA708F"/>
    <w:rsid w:val="00EA70FF"/>
    <w:rsid w:val="00EA7411"/>
    <w:rsid w:val="00EA75C9"/>
    <w:rsid w:val="00EA783B"/>
    <w:rsid w:val="00EA7873"/>
    <w:rsid w:val="00EA7876"/>
    <w:rsid w:val="00EA790B"/>
    <w:rsid w:val="00EA7938"/>
    <w:rsid w:val="00EA7958"/>
    <w:rsid w:val="00EB0001"/>
    <w:rsid w:val="00EB017D"/>
    <w:rsid w:val="00EB03A1"/>
    <w:rsid w:val="00EB03B1"/>
    <w:rsid w:val="00EB0819"/>
    <w:rsid w:val="00EB0B9F"/>
    <w:rsid w:val="00EB0ED4"/>
    <w:rsid w:val="00EB1072"/>
    <w:rsid w:val="00EB12BD"/>
    <w:rsid w:val="00EB164F"/>
    <w:rsid w:val="00EB1752"/>
    <w:rsid w:val="00EB17AE"/>
    <w:rsid w:val="00EB17B8"/>
    <w:rsid w:val="00EB18BA"/>
    <w:rsid w:val="00EB1964"/>
    <w:rsid w:val="00EB1C30"/>
    <w:rsid w:val="00EB2709"/>
    <w:rsid w:val="00EB2C61"/>
    <w:rsid w:val="00EB2EAC"/>
    <w:rsid w:val="00EB3032"/>
    <w:rsid w:val="00EB30F8"/>
    <w:rsid w:val="00EB3123"/>
    <w:rsid w:val="00EB31CF"/>
    <w:rsid w:val="00EB3873"/>
    <w:rsid w:val="00EB41D4"/>
    <w:rsid w:val="00EB43A6"/>
    <w:rsid w:val="00EB45AB"/>
    <w:rsid w:val="00EB471D"/>
    <w:rsid w:val="00EB4A29"/>
    <w:rsid w:val="00EB4A56"/>
    <w:rsid w:val="00EB4AD4"/>
    <w:rsid w:val="00EB4C66"/>
    <w:rsid w:val="00EB4F1E"/>
    <w:rsid w:val="00EB50EE"/>
    <w:rsid w:val="00EB531A"/>
    <w:rsid w:val="00EB5412"/>
    <w:rsid w:val="00EB54AD"/>
    <w:rsid w:val="00EB565B"/>
    <w:rsid w:val="00EB5837"/>
    <w:rsid w:val="00EB5D39"/>
    <w:rsid w:val="00EB5DBA"/>
    <w:rsid w:val="00EB6174"/>
    <w:rsid w:val="00EB6366"/>
    <w:rsid w:val="00EB66B4"/>
    <w:rsid w:val="00EB6CAB"/>
    <w:rsid w:val="00EB6D25"/>
    <w:rsid w:val="00EB70D6"/>
    <w:rsid w:val="00EB7216"/>
    <w:rsid w:val="00EB7759"/>
    <w:rsid w:val="00EB779F"/>
    <w:rsid w:val="00EB783A"/>
    <w:rsid w:val="00EB7982"/>
    <w:rsid w:val="00EB7B06"/>
    <w:rsid w:val="00EB7C49"/>
    <w:rsid w:val="00EB7C8F"/>
    <w:rsid w:val="00EC0344"/>
    <w:rsid w:val="00EC04F1"/>
    <w:rsid w:val="00EC058A"/>
    <w:rsid w:val="00EC06A9"/>
    <w:rsid w:val="00EC0721"/>
    <w:rsid w:val="00EC09BE"/>
    <w:rsid w:val="00EC09C1"/>
    <w:rsid w:val="00EC0BEC"/>
    <w:rsid w:val="00EC0C7C"/>
    <w:rsid w:val="00EC0D68"/>
    <w:rsid w:val="00EC1549"/>
    <w:rsid w:val="00EC15F3"/>
    <w:rsid w:val="00EC178A"/>
    <w:rsid w:val="00EC196D"/>
    <w:rsid w:val="00EC1979"/>
    <w:rsid w:val="00EC1ABF"/>
    <w:rsid w:val="00EC1FE1"/>
    <w:rsid w:val="00EC202B"/>
    <w:rsid w:val="00EC2169"/>
    <w:rsid w:val="00EC2183"/>
    <w:rsid w:val="00EC273F"/>
    <w:rsid w:val="00EC2760"/>
    <w:rsid w:val="00EC277C"/>
    <w:rsid w:val="00EC2B59"/>
    <w:rsid w:val="00EC2CF5"/>
    <w:rsid w:val="00EC2F49"/>
    <w:rsid w:val="00EC32A4"/>
    <w:rsid w:val="00EC33D0"/>
    <w:rsid w:val="00EC3894"/>
    <w:rsid w:val="00EC399E"/>
    <w:rsid w:val="00EC39E8"/>
    <w:rsid w:val="00EC3B7C"/>
    <w:rsid w:val="00EC3DB1"/>
    <w:rsid w:val="00EC3DD3"/>
    <w:rsid w:val="00EC418D"/>
    <w:rsid w:val="00EC44F5"/>
    <w:rsid w:val="00EC4742"/>
    <w:rsid w:val="00EC4866"/>
    <w:rsid w:val="00EC48C0"/>
    <w:rsid w:val="00EC48CC"/>
    <w:rsid w:val="00EC4A4D"/>
    <w:rsid w:val="00EC4E83"/>
    <w:rsid w:val="00EC4F82"/>
    <w:rsid w:val="00EC5113"/>
    <w:rsid w:val="00EC51A3"/>
    <w:rsid w:val="00EC53A9"/>
    <w:rsid w:val="00EC59C2"/>
    <w:rsid w:val="00EC5AD1"/>
    <w:rsid w:val="00EC5B1A"/>
    <w:rsid w:val="00EC5CAD"/>
    <w:rsid w:val="00EC5CFC"/>
    <w:rsid w:val="00EC60E5"/>
    <w:rsid w:val="00EC616F"/>
    <w:rsid w:val="00EC6248"/>
    <w:rsid w:val="00EC62F7"/>
    <w:rsid w:val="00EC637C"/>
    <w:rsid w:val="00EC6462"/>
    <w:rsid w:val="00EC6538"/>
    <w:rsid w:val="00EC68AD"/>
    <w:rsid w:val="00EC6908"/>
    <w:rsid w:val="00EC6ABC"/>
    <w:rsid w:val="00EC6B55"/>
    <w:rsid w:val="00EC6EBC"/>
    <w:rsid w:val="00EC6F69"/>
    <w:rsid w:val="00EC73C7"/>
    <w:rsid w:val="00EC74BE"/>
    <w:rsid w:val="00EC76C0"/>
    <w:rsid w:val="00EC7A37"/>
    <w:rsid w:val="00EC7A81"/>
    <w:rsid w:val="00EC7C28"/>
    <w:rsid w:val="00EC7FA5"/>
    <w:rsid w:val="00ED033D"/>
    <w:rsid w:val="00ED0658"/>
    <w:rsid w:val="00ED0783"/>
    <w:rsid w:val="00ED084D"/>
    <w:rsid w:val="00ED0A29"/>
    <w:rsid w:val="00ED0F74"/>
    <w:rsid w:val="00ED1274"/>
    <w:rsid w:val="00ED1364"/>
    <w:rsid w:val="00ED14C1"/>
    <w:rsid w:val="00ED15DD"/>
    <w:rsid w:val="00ED15E1"/>
    <w:rsid w:val="00ED16B7"/>
    <w:rsid w:val="00ED1783"/>
    <w:rsid w:val="00ED1815"/>
    <w:rsid w:val="00ED19BD"/>
    <w:rsid w:val="00ED19D2"/>
    <w:rsid w:val="00ED1AAB"/>
    <w:rsid w:val="00ED1BB6"/>
    <w:rsid w:val="00ED1F0B"/>
    <w:rsid w:val="00ED2115"/>
    <w:rsid w:val="00ED21AE"/>
    <w:rsid w:val="00ED2758"/>
    <w:rsid w:val="00ED281D"/>
    <w:rsid w:val="00ED2A4C"/>
    <w:rsid w:val="00ED2B2F"/>
    <w:rsid w:val="00ED2B6B"/>
    <w:rsid w:val="00ED2B82"/>
    <w:rsid w:val="00ED2C7B"/>
    <w:rsid w:val="00ED2EBA"/>
    <w:rsid w:val="00ED2F20"/>
    <w:rsid w:val="00ED3494"/>
    <w:rsid w:val="00ED391D"/>
    <w:rsid w:val="00ED3B40"/>
    <w:rsid w:val="00ED3C30"/>
    <w:rsid w:val="00ED3EBA"/>
    <w:rsid w:val="00ED3F11"/>
    <w:rsid w:val="00ED410A"/>
    <w:rsid w:val="00ED4595"/>
    <w:rsid w:val="00ED4656"/>
    <w:rsid w:val="00ED49F6"/>
    <w:rsid w:val="00ED4AD0"/>
    <w:rsid w:val="00ED4F0C"/>
    <w:rsid w:val="00ED4F28"/>
    <w:rsid w:val="00ED4F6F"/>
    <w:rsid w:val="00ED5748"/>
    <w:rsid w:val="00ED5D02"/>
    <w:rsid w:val="00ED5ED8"/>
    <w:rsid w:val="00ED6229"/>
    <w:rsid w:val="00ED62EE"/>
    <w:rsid w:val="00ED6341"/>
    <w:rsid w:val="00ED642A"/>
    <w:rsid w:val="00ED64DD"/>
    <w:rsid w:val="00ED676C"/>
    <w:rsid w:val="00ED69E3"/>
    <w:rsid w:val="00ED6B55"/>
    <w:rsid w:val="00ED7061"/>
    <w:rsid w:val="00ED7253"/>
    <w:rsid w:val="00ED73C8"/>
    <w:rsid w:val="00ED73FA"/>
    <w:rsid w:val="00ED7415"/>
    <w:rsid w:val="00ED7515"/>
    <w:rsid w:val="00ED75E7"/>
    <w:rsid w:val="00ED7616"/>
    <w:rsid w:val="00ED7820"/>
    <w:rsid w:val="00ED79F7"/>
    <w:rsid w:val="00ED7A0C"/>
    <w:rsid w:val="00ED7A30"/>
    <w:rsid w:val="00ED7C61"/>
    <w:rsid w:val="00ED7D4A"/>
    <w:rsid w:val="00ED7E51"/>
    <w:rsid w:val="00EE002F"/>
    <w:rsid w:val="00EE0072"/>
    <w:rsid w:val="00EE011F"/>
    <w:rsid w:val="00EE02D8"/>
    <w:rsid w:val="00EE050E"/>
    <w:rsid w:val="00EE075C"/>
    <w:rsid w:val="00EE08BB"/>
    <w:rsid w:val="00EE0A20"/>
    <w:rsid w:val="00EE0AD0"/>
    <w:rsid w:val="00EE0B10"/>
    <w:rsid w:val="00EE0BAB"/>
    <w:rsid w:val="00EE0F80"/>
    <w:rsid w:val="00EE0FFA"/>
    <w:rsid w:val="00EE151B"/>
    <w:rsid w:val="00EE1614"/>
    <w:rsid w:val="00EE165B"/>
    <w:rsid w:val="00EE1936"/>
    <w:rsid w:val="00EE1A91"/>
    <w:rsid w:val="00EE1BB6"/>
    <w:rsid w:val="00EE1BF3"/>
    <w:rsid w:val="00EE1C86"/>
    <w:rsid w:val="00EE1CBC"/>
    <w:rsid w:val="00EE1D74"/>
    <w:rsid w:val="00EE201E"/>
    <w:rsid w:val="00EE2071"/>
    <w:rsid w:val="00EE20AC"/>
    <w:rsid w:val="00EE20C8"/>
    <w:rsid w:val="00EE20CD"/>
    <w:rsid w:val="00EE2530"/>
    <w:rsid w:val="00EE2C93"/>
    <w:rsid w:val="00EE2EC0"/>
    <w:rsid w:val="00EE2FDF"/>
    <w:rsid w:val="00EE3A22"/>
    <w:rsid w:val="00EE3BBE"/>
    <w:rsid w:val="00EE40FE"/>
    <w:rsid w:val="00EE41BE"/>
    <w:rsid w:val="00EE443B"/>
    <w:rsid w:val="00EE4552"/>
    <w:rsid w:val="00EE47DA"/>
    <w:rsid w:val="00EE492C"/>
    <w:rsid w:val="00EE4999"/>
    <w:rsid w:val="00EE4F8B"/>
    <w:rsid w:val="00EE523A"/>
    <w:rsid w:val="00EE52B9"/>
    <w:rsid w:val="00EE54C5"/>
    <w:rsid w:val="00EE561E"/>
    <w:rsid w:val="00EE591D"/>
    <w:rsid w:val="00EE5AC4"/>
    <w:rsid w:val="00EE5C04"/>
    <w:rsid w:val="00EE6025"/>
    <w:rsid w:val="00EE60D4"/>
    <w:rsid w:val="00EE619B"/>
    <w:rsid w:val="00EE61E2"/>
    <w:rsid w:val="00EE6203"/>
    <w:rsid w:val="00EE62F7"/>
    <w:rsid w:val="00EE6727"/>
    <w:rsid w:val="00EE6858"/>
    <w:rsid w:val="00EE6AA5"/>
    <w:rsid w:val="00EE6C34"/>
    <w:rsid w:val="00EE6C4F"/>
    <w:rsid w:val="00EE6E24"/>
    <w:rsid w:val="00EE6EBB"/>
    <w:rsid w:val="00EE6EC6"/>
    <w:rsid w:val="00EE75C5"/>
    <w:rsid w:val="00EE768D"/>
    <w:rsid w:val="00EE78E0"/>
    <w:rsid w:val="00EE7C28"/>
    <w:rsid w:val="00EE7FAA"/>
    <w:rsid w:val="00EF0023"/>
    <w:rsid w:val="00EF0107"/>
    <w:rsid w:val="00EF03F8"/>
    <w:rsid w:val="00EF06BF"/>
    <w:rsid w:val="00EF0775"/>
    <w:rsid w:val="00EF0790"/>
    <w:rsid w:val="00EF08A6"/>
    <w:rsid w:val="00EF09DE"/>
    <w:rsid w:val="00EF0C77"/>
    <w:rsid w:val="00EF1153"/>
    <w:rsid w:val="00EF1261"/>
    <w:rsid w:val="00EF16B5"/>
    <w:rsid w:val="00EF18AF"/>
    <w:rsid w:val="00EF18B4"/>
    <w:rsid w:val="00EF1921"/>
    <w:rsid w:val="00EF1CB5"/>
    <w:rsid w:val="00EF1D03"/>
    <w:rsid w:val="00EF1DCC"/>
    <w:rsid w:val="00EF1F8B"/>
    <w:rsid w:val="00EF2158"/>
    <w:rsid w:val="00EF21E3"/>
    <w:rsid w:val="00EF22C7"/>
    <w:rsid w:val="00EF23D2"/>
    <w:rsid w:val="00EF2551"/>
    <w:rsid w:val="00EF25A0"/>
    <w:rsid w:val="00EF2951"/>
    <w:rsid w:val="00EF2BE1"/>
    <w:rsid w:val="00EF2EFF"/>
    <w:rsid w:val="00EF316E"/>
    <w:rsid w:val="00EF36B1"/>
    <w:rsid w:val="00EF38F5"/>
    <w:rsid w:val="00EF399E"/>
    <w:rsid w:val="00EF3BA6"/>
    <w:rsid w:val="00EF3BD4"/>
    <w:rsid w:val="00EF3C90"/>
    <w:rsid w:val="00EF3DD0"/>
    <w:rsid w:val="00EF3F3E"/>
    <w:rsid w:val="00EF3F51"/>
    <w:rsid w:val="00EF3F6F"/>
    <w:rsid w:val="00EF41D7"/>
    <w:rsid w:val="00EF432D"/>
    <w:rsid w:val="00EF461F"/>
    <w:rsid w:val="00EF47DD"/>
    <w:rsid w:val="00EF4851"/>
    <w:rsid w:val="00EF4AC6"/>
    <w:rsid w:val="00EF4E18"/>
    <w:rsid w:val="00EF4EA4"/>
    <w:rsid w:val="00EF4EC5"/>
    <w:rsid w:val="00EF52ED"/>
    <w:rsid w:val="00EF58FB"/>
    <w:rsid w:val="00EF5C38"/>
    <w:rsid w:val="00EF5D86"/>
    <w:rsid w:val="00EF5F3C"/>
    <w:rsid w:val="00EF60EE"/>
    <w:rsid w:val="00EF61A3"/>
    <w:rsid w:val="00EF61A4"/>
    <w:rsid w:val="00EF642B"/>
    <w:rsid w:val="00EF686D"/>
    <w:rsid w:val="00EF6984"/>
    <w:rsid w:val="00EF698B"/>
    <w:rsid w:val="00EF6A10"/>
    <w:rsid w:val="00EF6A26"/>
    <w:rsid w:val="00EF6A93"/>
    <w:rsid w:val="00EF703C"/>
    <w:rsid w:val="00EF70CB"/>
    <w:rsid w:val="00EF70EC"/>
    <w:rsid w:val="00EF7175"/>
    <w:rsid w:val="00EF71B6"/>
    <w:rsid w:val="00EF7290"/>
    <w:rsid w:val="00EF7328"/>
    <w:rsid w:val="00EF74E8"/>
    <w:rsid w:val="00EF7701"/>
    <w:rsid w:val="00EF7890"/>
    <w:rsid w:val="00EF7AC7"/>
    <w:rsid w:val="00EF7D0E"/>
    <w:rsid w:val="00EF7E71"/>
    <w:rsid w:val="00F00017"/>
    <w:rsid w:val="00F000DE"/>
    <w:rsid w:val="00F00266"/>
    <w:rsid w:val="00F002E9"/>
    <w:rsid w:val="00F0067D"/>
    <w:rsid w:val="00F00751"/>
    <w:rsid w:val="00F0083F"/>
    <w:rsid w:val="00F00950"/>
    <w:rsid w:val="00F00A8F"/>
    <w:rsid w:val="00F00B67"/>
    <w:rsid w:val="00F00DF5"/>
    <w:rsid w:val="00F00E4F"/>
    <w:rsid w:val="00F01209"/>
    <w:rsid w:val="00F01316"/>
    <w:rsid w:val="00F0146A"/>
    <w:rsid w:val="00F01552"/>
    <w:rsid w:val="00F01A9D"/>
    <w:rsid w:val="00F01ABB"/>
    <w:rsid w:val="00F01C28"/>
    <w:rsid w:val="00F01CDA"/>
    <w:rsid w:val="00F01F2E"/>
    <w:rsid w:val="00F01F5B"/>
    <w:rsid w:val="00F02476"/>
    <w:rsid w:val="00F02545"/>
    <w:rsid w:val="00F026BF"/>
    <w:rsid w:val="00F027FF"/>
    <w:rsid w:val="00F0289E"/>
    <w:rsid w:val="00F0296B"/>
    <w:rsid w:val="00F02A81"/>
    <w:rsid w:val="00F02CDC"/>
    <w:rsid w:val="00F02E32"/>
    <w:rsid w:val="00F0303A"/>
    <w:rsid w:val="00F0311F"/>
    <w:rsid w:val="00F032ED"/>
    <w:rsid w:val="00F03496"/>
    <w:rsid w:val="00F03D2E"/>
    <w:rsid w:val="00F03E36"/>
    <w:rsid w:val="00F03FA4"/>
    <w:rsid w:val="00F0404E"/>
    <w:rsid w:val="00F041AE"/>
    <w:rsid w:val="00F045F7"/>
    <w:rsid w:val="00F047DD"/>
    <w:rsid w:val="00F04850"/>
    <w:rsid w:val="00F048F2"/>
    <w:rsid w:val="00F04A32"/>
    <w:rsid w:val="00F04C5B"/>
    <w:rsid w:val="00F04C5E"/>
    <w:rsid w:val="00F04EDC"/>
    <w:rsid w:val="00F04FA7"/>
    <w:rsid w:val="00F050F8"/>
    <w:rsid w:val="00F05496"/>
    <w:rsid w:val="00F057FC"/>
    <w:rsid w:val="00F058F8"/>
    <w:rsid w:val="00F060DD"/>
    <w:rsid w:val="00F0614D"/>
    <w:rsid w:val="00F06297"/>
    <w:rsid w:val="00F06417"/>
    <w:rsid w:val="00F06517"/>
    <w:rsid w:val="00F065E9"/>
    <w:rsid w:val="00F0681D"/>
    <w:rsid w:val="00F06836"/>
    <w:rsid w:val="00F06A37"/>
    <w:rsid w:val="00F06B80"/>
    <w:rsid w:val="00F06D7E"/>
    <w:rsid w:val="00F06EAB"/>
    <w:rsid w:val="00F06EC7"/>
    <w:rsid w:val="00F06EEF"/>
    <w:rsid w:val="00F06F21"/>
    <w:rsid w:val="00F072DE"/>
    <w:rsid w:val="00F07306"/>
    <w:rsid w:val="00F0749B"/>
    <w:rsid w:val="00F0782F"/>
    <w:rsid w:val="00F07900"/>
    <w:rsid w:val="00F079EA"/>
    <w:rsid w:val="00F07C90"/>
    <w:rsid w:val="00F07F9A"/>
    <w:rsid w:val="00F07FD3"/>
    <w:rsid w:val="00F10095"/>
    <w:rsid w:val="00F10163"/>
    <w:rsid w:val="00F10440"/>
    <w:rsid w:val="00F104CF"/>
    <w:rsid w:val="00F1082E"/>
    <w:rsid w:val="00F10A08"/>
    <w:rsid w:val="00F10B09"/>
    <w:rsid w:val="00F10CE1"/>
    <w:rsid w:val="00F10E80"/>
    <w:rsid w:val="00F1107D"/>
    <w:rsid w:val="00F1135D"/>
    <w:rsid w:val="00F114A2"/>
    <w:rsid w:val="00F114A5"/>
    <w:rsid w:val="00F114CD"/>
    <w:rsid w:val="00F11743"/>
    <w:rsid w:val="00F1176B"/>
    <w:rsid w:val="00F117A3"/>
    <w:rsid w:val="00F117DE"/>
    <w:rsid w:val="00F1186F"/>
    <w:rsid w:val="00F11937"/>
    <w:rsid w:val="00F11A36"/>
    <w:rsid w:val="00F11B92"/>
    <w:rsid w:val="00F11E06"/>
    <w:rsid w:val="00F11E45"/>
    <w:rsid w:val="00F11F6B"/>
    <w:rsid w:val="00F12087"/>
    <w:rsid w:val="00F12290"/>
    <w:rsid w:val="00F1264B"/>
    <w:rsid w:val="00F1293C"/>
    <w:rsid w:val="00F12C2F"/>
    <w:rsid w:val="00F12D2D"/>
    <w:rsid w:val="00F12D57"/>
    <w:rsid w:val="00F13023"/>
    <w:rsid w:val="00F13077"/>
    <w:rsid w:val="00F132EA"/>
    <w:rsid w:val="00F135B8"/>
    <w:rsid w:val="00F136C6"/>
    <w:rsid w:val="00F13908"/>
    <w:rsid w:val="00F13A80"/>
    <w:rsid w:val="00F13BF5"/>
    <w:rsid w:val="00F14124"/>
    <w:rsid w:val="00F14343"/>
    <w:rsid w:val="00F1438E"/>
    <w:rsid w:val="00F143AB"/>
    <w:rsid w:val="00F1454E"/>
    <w:rsid w:val="00F145D6"/>
    <w:rsid w:val="00F1467C"/>
    <w:rsid w:val="00F14879"/>
    <w:rsid w:val="00F1496C"/>
    <w:rsid w:val="00F14A4A"/>
    <w:rsid w:val="00F14CED"/>
    <w:rsid w:val="00F14EA7"/>
    <w:rsid w:val="00F14F5B"/>
    <w:rsid w:val="00F15529"/>
    <w:rsid w:val="00F157BB"/>
    <w:rsid w:val="00F15CCE"/>
    <w:rsid w:val="00F15D3D"/>
    <w:rsid w:val="00F15DC3"/>
    <w:rsid w:val="00F161E7"/>
    <w:rsid w:val="00F161FF"/>
    <w:rsid w:val="00F1633C"/>
    <w:rsid w:val="00F163A4"/>
    <w:rsid w:val="00F163F1"/>
    <w:rsid w:val="00F16401"/>
    <w:rsid w:val="00F165C7"/>
    <w:rsid w:val="00F16E2D"/>
    <w:rsid w:val="00F17062"/>
    <w:rsid w:val="00F171FC"/>
    <w:rsid w:val="00F1760E"/>
    <w:rsid w:val="00F176FF"/>
    <w:rsid w:val="00F17A68"/>
    <w:rsid w:val="00F17AE6"/>
    <w:rsid w:val="00F17B3F"/>
    <w:rsid w:val="00F17D06"/>
    <w:rsid w:val="00F17E4A"/>
    <w:rsid w:val="00F17E77"/>
    <w:rsid w:val="00F20082"/>
    <w:rsid w:val="00F2018F"/>
    <w:rsid w:val="00F20233"/>
    <w:rsid w:val="00F20938"/>
    <w:rsid w:val="00F20957"/>
    <w:rsid w:val="00F20D3A"/>
    <w:rsid w:val="00F20E3A"/>
    <w:rsid w:val="00F20FEF"/>
    <w:rsid w:val="00F21085"/>
    <w:rsid w:val="00F211C7"/>
    <w:rsid w:val="00F2170D"/>
    <w:rsid w:val="00F21903"/>
    <w:rsid w:val="00F219C2"/>
    <w:rsid w:val="00F21A2C"/>
    <w:rsid w:val="00F21AE3"/>
    <w:rsid w:val="00F21B86"/>
    <w:rsid w:val="00F21BCF"/>
    <w:rsid w:val="00F21E73"/>
    <w:rsid w:val="00F21E84"/>
    <w:rsid w:val="00F21EFA"/>
    <w:rsid w:val="00F2215F"/>
    <w:rsid w:val="00F22244"/>
    <w:rsid w:val="00F22306"/>
    <w:rsid w:val="00F22795"/>
    <w:rsid w:val="00F22819"/>
    <w:rsid w:val="00F22DDF"/>
    <w:rsid w:val="00F22EBC"/>
    <w:rsid w:val="00F22ECA"/>
    <w:rsid w:val="00F23119"/>
    <w:rsid w:val="00F2320C"/>
    <w:rsid w:val="00F23FE9"/>
    <w:rsid w:val="00F24172"/>
    <w:rsid w:val="00F244FC"/>
    <w:rsid w:val="00F2485C"/>
    <w:rsid w:val="00F24945"/>
    <w:rsid w:val="00F249D1"/>
    <w:rsid w:val="00F24D16"/>
    <w:rsid w:val="00F24D9C"/>
    <w:rsid w:val="00F24E51"/>
    <w:rsid w:val="00F24EA7"/>
    <w:rsid w:val="00F24F0A"/>
    <w:rsid w:val="00F24FBF"/>
    <w:rsid w:val="00F2505B"/>
    <w:rsid w:val="00F251E8"/>
    <w:rsid w:val="00F252BC"/>
    <w:rsid w:val="00F252D9"/>
    <w:rsid w:val="00F25343"/>
    <w:rsid w:val="00F25B5C"/>
    <w:rsid w:val="00F26189"/>
    <w:rsid w:val="00F263F2"/>
    <w:rsid w:val="00F264A9"/>
    <w:rsid w:val="00F264F2"/>
    <w:rsid w:val="00F267A9"/>
    <w:rsid w:val="00F26C0F"/>
    <w:rsid w:val="00F26C96"/>
    <w:rsid w:val="00F270E1"/>
    <w:rsid w:val="00F27128"/>
    <w:rsid w:val="00F27692"/>
    <w:rsid w:val="00F2782A"/>
    <w:rsid w:val="00F27BDE"/>
    <w:rsid w:val="00F27EE3"/>
    <w:rsid w:val="00F27F73"/>
    <w:rsid w:val="00F306F1"/>
    <w:rsid w:val="00F30AA0"/>
    <w:rsid w:val="00F30C06"/>
    <w:rsid w:val="00F30C7A"/>
    <w:rsid w:val="00F30E81"/>
    <w:rsid w:val="00F30EB8"/>
    <w:rsid w:val="00F30EFB"/>
    <w:rsid w:val="00F31025"/>
    <w:rsid w:val="00F313B1"/>
    <w:rsid w:val="00F3140A"/>
    <w:rsid w:val="00F315E4"/>
    <w:rsid w:val="00F316B8"/>
    <w:rsid w:val="00F31717"/>
    <w:rsid w:val="00F318D9"/>
    <w:rsid w:val="00F319D5"/>
    <w:rsid w:val="00F31A20"/>
    <w:rsid w:val="00F31A27"/>
    <w:rsid w:val="00F31BD7"/>
    <w:rsid w:val="00F32308"/>
    <w:rsid w:val="00F32982"/>
    <w:rsid w:val="00F329E1"/>
    <w:rsid w:val="00F32A2E"/>
    <w:rsid w:val="00F32BCB"/>
    <w:rsid w:val="00F3334A"/>
    <w:rsid w:val="00F333C6"/>
    <w:rsid w:val="00F336E2"/>
    <w:rsid w:val="00F3398A"/>
    <w:rsid w:val="00F33A08"/>
    <w:rsid w:val="00F33BB3"/>
    <w:rsid w:val="00F33C1E"/>
    <w:rsid w:val="00F34183"/>
    <w:rsid w:val="00F34302"/>
    <w:rsid w:val="00F34307"/>
    <w:rsid w:val="00F3447D"/>
    <w:rsid w:val="00F344B6"/>
    <w:rsid w:val="00F344DE"/>
    <w:rsid w:val="00F34601"/>
    <w:rsid w:val="00F3468B"/>
    <w:rsid w:val="00F3472D"/>
    <w:rsid w:val="00F34739"/>
    <w:rsid w:val="00F34A2D"/>
    <w:rsid w:val="00F34B40"/>
    <w:rsid w:val="00F34E05"/>
    <w:rsid w:val="00F3507E"/>
    <w:rsid w:val="00F353D0"/>
    <w:rsid w:val="00F35461"/>
    <w:rsid w:val="00F354C3"/>
    <w:rsid w:val="00F35642"/>
    <w:rsid w:val="00F3573D"/>
    <w:rsid w:val="00F3588E"/>
    <w:rsid w:val="00F358DD"/>
    <w:rsid w:val="00F35922"/>
    <w:rsid w:val="00F35968"/>
    <w:rsid w:val="00F3597E"/>
    <w:rsid w:val="00F35C5D"/>
    <w:rsid w:val="00F35F34"/>
    <w:rsid w:val="00F36076"/>
    <w:rsid w:val="00F36190"/>
    <w:rsid w:val="00F3627C"/>
    <w:rsid w:val="00F3657C"/>
    <w:rsid w:val="00F369D2"/>
    <w:rsid w:val="00F36A1E"/>
    <w:rsid w:val="00F36D59"/>
    <w:rsid w:val="00F36E20"/>
    <w:rsid w:val="00F37024"/>
    <w:rsid w:val="00F3705D"/>
    <w:rsid w:val="00F37428"/>
    <w:rsid w:val="00F37629"/>
    <w:rsid w:val="00F37A7D"/>
    <w:rsid w:val="00F37DF9"/>
    <w:rsid w:val="00F40009"/>
    <w:rsid w:val="00F400D9"/>
    <w:rsid w:val="00F4045F"/>
    <w:rsid w:val="00F40716"/>
    <w:rsid w:val="00F407E7"/>
    <w:rsid w:val="00F408B8"/>
    <w:rsid w:val="00F40969"/>
    <w:rsid w:val="00F40A10"/>
    <w:rsid w:val="00F40A13"/>
    <w:rsid w:val="00F40BB5"/>
    <w:rsid w:val="00F40D12"/>
    <w:rsid w:val="00F40E05"/>
    <w:rsid w:val="00F40FB1"/>
    <w:rsid w:val="00F41201"/>
    <w:rsid w:val="00F4165A"/>
    <w:rsid w:val="00F418D5"/>
    <w:rsid w:val="00F419D9"/>
    <w:rsid w:val="00F41B23"/>
    <w:rsid w:val="00F41BDD"/>
    <w:rsid w:val="00F41D7E"/>
    <w:rsid w:val="00F41E8E"/>
    <w:rsid w:val="00F41EF5"/>
    <w:rsid w:val="00F4202E"/>
    <w:rsid w:val="00F421EC"/>
    <w:rsid w:val="00F426B3"/>
    <w:rsid w:val="00F428E8"/>
    <w:rsid w:val="00F42AFF"/>
    <w:rsid w:val="00F42BAE"/>
    <w:rsid w:val="00F42C0E"/>
    <w:rsid w:val="00F43255"/>
    <w:rsid w:val="00F43393"/>
    <w:rsid w:val="00F43433"/>
    <w:rsid w:val="00F4371F"/>
    <w:rsid w:val="00F43768"/>
    <w:rsid w:val="00F43909"/>
    <w:rsid w:val="00F439FC"/>
    <w:rsid w:val="00F43ECA"/>
    <w:rsid w:val="00F440BB"/>
    <w:rsid w:val="00F441F5"/>
    <w:rsid w:val="00F44435"/>
    <w:rsid w:val="00F4498C"/>
    <w:rsid w:val="00F44AB6"/>
    <w:rsid w:val="00F44B07"/>
    <w:rsid w:val="00F45071"/>
    <w:rsid w:val="00F45122"/>
    <w:rsid w:val="00F4533D"/>
    <w:rsid w:val="00F453A6"/>
    <w:rsid w:val="00F455D1"/>
    <w:rsid w:val="00F45746"/>
    <w:rsid w:val="00F45B70"/>
    <w:rsid w:val="00F45DA5"/>
    <w:rsid w:val="00F45DAA"/>
    <w:rsid w:val="00F463CC"/>
    <w:rsid w:val="00F46946"/>
    <w:rsid w:val="00F46947"/>
    <w:rsid w:val="00F46A96"/>
    <w:rsid w:val="00F46ABB"/>
    <w:rsid w:val="00F46B84"/>
    <w:rsid w:val="00F470DB"/>
    <w:rsid w:val="00F471A6"/>
    <w:rsid w:val="00F47230"/>
    <w:rsid w:val="00F473D0"/>
    <w:rsid w:val="00F47441"/>
    <w:rsid w:val="00F47620"/>
    <w:rsid w:val="00F476EB"/>
    <w:rsid w:val="00F477AC"/>
    <w:rsid w:val="00F47E15"/>
    <w:rsid w:val="00F47EE7"/>
    <w:rsid w:val="00F50007"/>
    <w:rsid w:val="00F500DB"/>
    <w:rsid w:val="00F501E2"/>
    <w:rsid w:val="00F5074F"/>
    <w:rsid w:val="00F50993"/>
    <w:rsid w:val="00F50B11"/>
    <w:rsid w:val="00F50B82"/>
    <w:rsid w:val="00F50C1C"/>
    <w:rsid w:val="00F50CC2"/>
    <w:rsid w:val="00F50E8F"/>
    <w:rsid w:val="00F51605"/>
    <w:rsid w:val="00F5175D"/>
    <w:rsid w:val="00F517B9"/>
    <w:rsid w:val="00F519D4"/>
    <w:rsid w:val="00F51A96"/>
    <w:rsid w:val="00F51DA6"/>
    <w:rsid w:val="00F51EF5"/>
    <w:rsid w:val="00F52077"/>
    <w:rsid w:val="00F520E1"/>
    <w:rsid w:val="00F5243F"/>
    <w:rsid w:val="00F52568"/>
    <w:rsid w:val="00F528AD"/>
    <w:rsid w:val="00F52A7B"/>
    <w:rsid w:val="00F52AB0"/>
    <w:rsid w:val="00F52BBD"/>
    <w:rsid w:val="00F52C67"/>
    <w:rsid w:val="00F52E5A"/>
    <w:rsid w:val="00F52ECC"/>
    <w:rsid w:val="00F531DA"/>
    <w:rsid w:val="00F53467"/>
    <w:rsid w:val="00F53514"/>
    <w:rsid w:val="00F5351C"/>
    <w:rsid w:val="00F5355E"/>
    <w:rsid w:val="00F53AB4"/>
    <w:rsid w:val="00F53D2E"/>
    <w:rsid w:val="00F53D6B"/>
    <w:rsid w:val="00F53EE6"/>
    <w:rsid w:val="00F54177"/>
    <w:rsid w:val="00F54221"/>
    <w:rsid w:val="00F54546"/>
    <w:rsid w:val="00F54571"/>
    <w:rsid w:val="00F5464A"/>
    <w:rsid w:val="00F546AC"/>
    <w:rsid w:val="00F54978"/>
    <w:rsid w:val="00F54B70"/>
    <w:rsid w:val="00F54BE2"/>
    <w:rsid w:val="00F54C1D"/>
    <w:rsid w:val="00F54C85"/>
    <w:rsid w:val="00F54D2C"/>
    <w:rsid w:val="00F54E03"/>
    <w:rsid w:val="00F550E1"/>
    <w:rsid w:val="00F5520D"/>
    <w:rsid w:val="00F55495"/>
    <w:rsid w:val="00F554AD"/>
    <w:rsid w:val="00F556B1"/>
    <w:rsid w:val="00F556F6"/>
    <w:rsid w:val="00F55734"/>
    <w:rsid w:val="00F557A9"/>
    <w:rsid w:val="00F5590E"/>
    <w:rsid w:val="00F55962"/>
    <w:rsid w:val="00F55A6A"/>
    <w:rsid w:val="00F55DE2"/>
    <w:rsid w:val="00F55EB1"/>
    <w:rsid w:val="00F55F11"/>
    <w:rsid w:val="00F55FA0"/>
    <w:rsid w:val="00F56067"/>
    <w:rsid w:val="00F56172"/>
    <w:rsid w:val="00F5671D"/>
    <w:rsid w:val="00F567D5"/>
    <w:rsid w:val="00F56BBF"/>
    <w:rsid w:val="00F56F38"/>
    <w:rsid w:val="00F57171"/>
    <w:rsid w:val="00F57384"/>
    <w:rsid w:val="00F57633"/>
    <w:rsid w:val="00F576FE"/>
    <w:rsid w:val="00F577B1"/>
    <w:rsid w:val="00F578B2"/>
    <w:rsid w:val="00F57B28"/>
    <w:rsid w:val="00F57C3E"/>
    <w:rsid w:val="00F57D2F"/>
    <w:rsid w:val="00F57E9F"/>
    <w:rsid w:val="00F57FFA"/>
    <w:rsid w:val="00F6043D"/>
    <w:rsid w:val="00F6050A"/>
    <w:rsid w:val="00F605A0"/>
    <w:rsid w:val="00F605F8"/>
    <w:rsid w:val="00F60A1D"/>
    <w:rsid w:val="00F60B9E"/>
    <w:rsid w:val="00F60CC3"/>
    <w:rsid w:val="00F61015"/>
    <w:rsid w:val="00F6107A"/>
    <w:rsid w:val="00F6125A"/>
    <w:rsid w:val="00F612C7"/>
    <w:rsid w:val="00F613B2"/>
    <w:rsid w:val="00F61600"/>
    <w:rsid w:val="00F61647"/>
    <w:rsid w:val="00F61681"/>
    <w:rsid w:val="00F61A1D"/>
    <w:rsid w:val="00F61CA2"/>
    <w:rsid w:val="00F61F33"/>
    <w:rsid w:val="00F621A9"/>
    <w:rsid w:val="00F6227A"/>
    <w:rsid w:val="00F62487"/>
    <w:rsid w:val="00F62796"/>
    <w:rsid w:val="00F62AC7"/>
    <w:rsid w:val="00F62C6B"/>
    <w:rsid w:val="00F62D42"/>
    <w:rsid w:val="00F62F44"/>
    <w:rsid w:val="00F62FBF"/>
    <w:rsid w:val="00F6329C"/>
    <w:rsid w:val="00F633D6"/>
    <w:rsid w:val="00F6340A"/>
    <w:rsid w:val="00F636D7"/>
    <w:rsid w:val="00F63DD5"/>
    <w:rsid w:val="00F63E2A"/>
    <w:rsid w:val="00F63E3E"/>
    <w:rsid w:val="00F64797"/>
    <w:rsid w:val="00F6486D"/>
    <w:rsid w:val="00F648C7"/>
    <w:rsid w:val="00F64AAC"/>
    <w:rsid w:val="00F64B84"/>
    <w:rsid w:val="00F64C11"/>
    <w:rsid w:val="00F64C63"/>
    <w:rsid w:val="00F64E59"/>
    <w:rsid w:val="00F64EAF"/>
    <w:rsid w:val="00F65153"/>
    <w:rsid w:val="00F6516A"/>
    <w:rsid w:val="00F6576E"/>
    <w:rsid w:val="00F65991"/>
    <w:rsid w:val="00F65B3F"/>
    <w:rsid w:val="00F65E7F"/>
    <w:rsid w:val="00F65F57"/>
    <w:rsid w:val="00F65FB2"/>
    <w:rsid w:val="00F660EC"/>
    <w:rsid w:val="00F6631B"/>
    <w:rsid w:val="00F66580"/>
    <w:rsid w:val="00F665B3"/>
    <w:rsid w:val="00F66768"/>
    <w:rsid w:val="00F667D6"/>
    <w:rsid w:val="00F66AE7"/>
    <w:rsid w:val="00F66B59"/>
    <w:rsid w:val="00F66B8B"/>
    <w:rsid w:val="00F66F2F"/>
    <w:rsid w:val="00F6724F"/>
    <w:rsid w:val="00F67318"/>
    <w:rsid w:val="00F67625"/>
    <w:rsid w:val="00F67969"/>
    <w:rsid w:val="00F67F27"/>
    <w:rsid w:val="00F70431"/>
    <w:rsid w:val="00F70474"/>
    <w:rsid w:val="00F7062E"/>
    <w:rsid w:val="00F706D0"/>
    <w:rsid w:val="00F706ED"/>
    <w:rsid w:val="00F70849"/>
    <w:rsid w:val="00F7087A"/>
    <w:rsid w:val="00F70ADB"/>
    <w:rsid w:val="00F70B71"/>
    <w:rsid w:val="00F70C63"/>
    <w:rsid w:val="00F70D0E"/>
    <w:rsid w:val="00F70DCF"/>
    <w:rsid w:val="00F70ECF"/>
    <w:rsid w:val="00F71343"/>
    <w:rsid w:val="00F7138A"/>
    <w:rsid w:val="00F71669"/>
    <w:rsid w:val="00F71770"/>
    <w:rsid w:val="00F71780"/>
    <w:rsid w:val="00F7178D"/>
    <w:rsid w:val="00F71B9D"/>
    <w:rsid w:val="00F71D4C"/>
    <w:rsid w:val="00F71DF2"/>
    <w:rsid w:val="00F71EF4"/>
    <w:rsid w:val="00F721B6"/>
    <w:rsid w:val="00F721BA"/>
    <w:rsid w:val="00F72922"/>
    <w:rsid w:val="00F72B3D"/>
    <w:rsid w:val="00F731EB"/>
    <w:rsid w:val="00F737AB"/>
    <w:rsid w:val="00F73892"/>
    <w:rsid w:val="00F73AA2"/>
    <w:rsid w:val="00F74026"/>
    <w:rsid w:val="00F74194"/>
    <w:rsid w:val="00F74266"/>
    <w:rsid w:val="00F74402"/>
    <w:rsid w:val="00F7445A"/>
    <w:rsid w:val="00F744CF"/>
    <w:rsid w:val="00F747A6"/>
    <w:rsid w:val="00F74A58"/>
    <w:rsid w:val="00F74B9C"/>
    <w:rsid w:val="00F74C30"/>
    <w:rsid w:val="00F74CB1"/>
    <w:rsid w:val="00F74D54"/>
    <w:rsid w:val="00F751B0"/>
    <w:rsid w:val="00F75427"/>
    <w:rsid w:val="00F75521"/>
    <w:rsid w:val="00F759F8"/>
    <w:rsid w:val="00F75B6D"/>
    <w:rsid w:val="00F75C95"/>
    <w:rsid w:val="00F75CC4"/>
    <w:rsid w:val="00F75DD3"/>
    <w:rsid w:val="00F75E64"/>
    <w:rsid w:val="00F75F56"/>
    <w:rsid w:val="00F760CC"/>
    <w:rsid w:val="00F760E2"/>
    <w:rsid w:val="00F76553"/>
    <w:rsid w:val="00F766B9"/>
    <w:rsid w:val="00F7672A"/>
    <w:rsid w:val="00F76757"/>
    <w:rsid w:val="00F76876"/>
    <w:rsid w:val="00F769CA"/>
    <w:rsid w:val="00F769F1"/>
    <w:rsid w:val="00F76B0E"/>
    <w:rsid w:val="00F76BAB"/>
    <w:rsid w:val="00F76CAB"/>
    <w:rsid w:val="00F76D8C"/>
    <w:rsid w:val="00F76F41"/>
    <w:rsid w:val="00F770EB"/>
    <w:rsid w:val="00F77112"/>
    <w:rsid w:val="00F771A2"/>
    <w:rsid w:val="00F77403"/>
    <w:rsid w:val="00F77450"/>
    <w:rsid w:val="00F7768C"/>
    <w:rsid w:val="00F77A9A"/>
    <w:rsid w:val="00F77B05"/>
    <w:rsid w:val="00F77B81"/>
    <w:rsid w:val="00F77EB1"/>
    <w:rsid w:val="00F77F14"/>
    <w:rsid w:val="00F8003F"/>
    <w:rsid w:val="00F80A26"/>
    <w:rsid w:val="00F80B98"/>
    <w:rsid w:val="00F80E26"/>
    <w:rsid w:val="00F80EAC"/>
    <w:rsid w:val="00F81163"/>
    <w:rsid w:val="00F81251"/>
    <w:rsid w:val="00F8133C"/>
    <w:rsid w:val="00F813B9"/>
    <w:rsid w:val="00F81538"/>
    <w:rsid w:val="00F819A7"/>
    <w:rsid w:val="00F8240F"/>
    <w:rsid w:val="00F8258C"/>
    <w:rsid w:val="00F8283D"/>
    <w:rsid w:val="00F82985"/>
    <w:rsid w:val="00F82986"/>
    <w:rsid w:val="00F82B46"/>
    <w:rsid w:val="00F82B8F"/>
    <w:rsid w:val="00F82CA3"/>
    <w:rsid w:val="00F82DBA"/>
    <w:rsid w:val="00F82DEA"/>
    <w:rsid w:val="00F83002"/>
    <w:rsid w:val="00F83389"/>
    <w:rsid w:val="00F83605"/>
    <w:rsid w:val="00F83685"/>
    <w:rsid w:val="00F838F0"/>
    <w:rsid w:val="00F83C62"/>
    <w:rsid w:val="00F842F6"/>
    <w:rsid w:val="00F845A9"/>
    <w:rsid w:val="00F84BE4"/>
    <w:rsid w:val="00F84ED6"/>
    <w:rsid w:val="00F84F0D"/>
    <w:rsid w:val="00F84FA2"/>
    <w:rsid w:val="00F850B9"/>
    <w:rsid w:val="00F85148"/>
    <w:rsid w:val="00F85267"/>
    <w:rsid w:val="00F85621"/>
    <w:rsid w:val="00F85675"/>
    <w:rsid w:val="00F8571A"/>
    <w:rsid w:val="00F8584D"/>
    <w:rsid w:val="00F85BE6"/>
    <w:rsid w:val="00F85E63"/>
    <w:rsid w:val="00F85F78"/>
    <w:rsid w:val="00F85F93"/>
    <w:rsid w:val="00F86080"/>
    <w:rsid w:val="00F86232"/>
    <w:rsid w:val="00F86573"/>
    <w:rsid w:val="00F86793"/>
    <w:rsid w:val="00F869D9"/>
    <w:rsid w:val="00F86A70"/>
    <w:rsid w:val="00F86AB4"/>
    <w:rsid w:val="00F86CFE"/>
    <w:rsid w:val="00F86D7F"/>
    <w:rsid w:val="00F86DC6"/>
    <w:rsid w:val="00F870B3"/>
    <w:rsid w:val="00F87203"/>
    <w:rsid w:val="00F873D7"/>
    <w:rsid w:val="00F87729"/>
    <w:rsid w:val="00F878AD"/>
    <w:rsid w:val="00F87B7B"/>
    <w:rsid w:val="00F87DAA"/>
    <w:rsid w:val="00F90B3F"/>
    <w:rsid w:val="00F90BE3"/>
    <w:rsid w:val="00F90D05"/>
    <w:rsid w:val="00F90D65"/>
    <w:rsid w:val="00F90E66"/>
    <w:rsid w:val="00F91627"/>
    <w:rsid w:val="00F917DA"/>
    <w:rsid w:val="00F91865"/>
    <w:rsid w:val="00F9198B"/>
    <w:rsid w:val="00F91A3E"/>
    <w:rsid w:val="00F91B22"/>
    <w:rsid w:val="00F91B68"/>
    <w:rsid w:val="00F91BE6"/>
    <w:rsid w:val="00F921B6"/>
    <w:rsid w:val="00F921C4"/>
    <w:rsid w:val="00F924F3"/>
    <w:rsid w:val="00F92617"/>
    <w:rsid w:val="00F92928"/>
    <w:rsid w:val="00F929E2"/>
    <w:rsid w:val="00F92CEA"/>
    <w:rsid w:val="00F92DD2"/>
    <w:rsid w:val="00F92FAB"/>
    <w:rsid w:val="00F9345C"/>
    <w:rsid w:val="00F93606"/>
    <w:rsid w:val="00F9373F"/>
    <w:rsid w:val="00F93763"/>
    <w:rsid w:val="00F93A83"/>
    <w:rsid w:val="00F93B80"/>
    <w:rsid w:val="00F94207"/>
    <w:rsid w:val="00F94277"/>
    <w:rsid w:val="00F9476F"/>
    <w:rsid w:val="00F94777"/>
    <w:rsid w:val="00F9494E"/>
    <w:rsid w:val="00F949EC"/>
    <w:rsid w:val="00F94A6C"/>
    <w:rsid w:val="00F94B86"/>
    <w:rsid w:val="00F94BEF"/>
    <w:rsid w:val="00F95020"/>
    <w:rsid w:val="00F950FB"/>
    <w:rsid w:val="00F951A6"/>
    <w:rsid w:val="00F958B8"/>
    <w:rsid w:val="00F9597D"/>
    <w:rsid w:val="00F95A98"/>
    <w:rsid w:val="00F95AF2"/>
    <w:rsid w:val="00F95C5D"/>
    <w:rsid w:val="00F95F67"/>
    <w:rsid w:val="00F95F74"/>
    <w:rsid w:val="00F96137"/>
    <w:rsid w:val="00F961A6"/>
    <w:rsid w:val="00F963BB"/>
    <w:rsid w:val="00F964CC"/>
    <w:rsid w:val="00F9657A"/>
    <w:rsid w:val="00F9665C"/>
    <w:rsid w:val="00F9683F"/>
    <w:rsid w:val="00F96D97"/>
    <w:rsid w:val="00F96EA9"/>
    <w:rsid w:val="00F96F12"/>
    <w:rsid w:val="00F96FAF"/>
    <w:rsid w:val="00F9702F"/>
    <w:rsid w:val="00F97240"/>
    <w:rsid w:val="00F97507"/>
    <w:rsid w:val="00F97632"/>
    <w:rsid w:val="00F9778B"/>
    <w:rsid w:val="00F977E2"/>
    <w:rsid w:val="00F97879"/>
    <w:rsid w:val="00F97A3D"/>
    <w:rsid w:val="00F97D5B"/>
    <w:rsid w:val="00FA018A"/>
    <w:rsid w:val="00FA0233"/>
    <w:rsid w:val="00FA023A"/>
    <w:rsid w:val="00FA0401"/>
    <w:rsid w:val="00FA056A"/>
    <w:rsid w:val="00FA0629"/>
    <w:rsid w:val="00FA075D"/>
    <w:rsid w:val="00FA0A1A"/>
    <w:rsid w:val="00FA11F5"/>
    <w:rsid w:val="00FA1466"/>
    <w:rsid w:val="00FA190F"/>
    <w:rsid w:val="00FA1AB1"/>
    <w:rsid w:val="00FA1F2F"/>
    <w:rsid w:val="00FA1FFF"/>
    <w:rsid w:val="00FA239E"/>
    <w:rsid w:val="00FA2411"/>
    <w:rsid w:val="00FA2573"/>
    <w:rsid w:val="00FA26BB"/>
    <w:rsid w:val="00FA26C1"/>
    <w:rsid w:val="00FA27DD"/>
    <w:rsid w:val="00FA2924"/>
    <w:rsid w:val="00FA2DAC"/>
    <w:rsid w:val="00FA30AA"/>
    <w:rsid w:val="00FA326E"/>
    <w:rsid w:val="00FA32E2"/>
    <w:rsid w:val="00FA33AC"/>
    <w:rsid w:val="00FA3475"/>
    <w:rsid w:val="00FA3517"/>
    <w:rsid w:val="00FA37DD"/>
    <w:rsid w:val="00FA3A85"/>
    <w:rsid w:val="00FA3E55"/>
    <w:rsid w:val="00FA3E7A"/>
    <w:rsid w:val="00FA3F7D"/>
    <w:rsid w:val="00FA40E9"/>
    <w:rsid w:val="00FA4339"/>
    <w:rsid w:val="00FA434B"/>
    <w:rsid w:val="00FA43EB"/>
    <w:rsid w:val="00FA4572"/>
    <w:rsid w:val="00FA4815"/>
    <w:rsid w:val="00FA48C7"/>
    <w:rsid w:val="00FA495E"/>
    <w:rsid w:val="00FA4B53"/>
    <w:rsid w:val="00FA505D"/>
    <w:rsid w:val="00FA545E"/>
    <w:rsid w:val="00FA5533"/>
    <w:rsid w:val="00FA56B1"/>
    <w:rsid w:val="00FA5A8D"/>
    <w:rsid w:val="00FA5AA2"/>
    <w:rsid w:val="00FA5CFA"/>
    <w:rsid w:val="00FA5D3F"/>
    <w:rsid w:val="00FA6055"/>
    <w:rsid w:val="00FA6198"/>
    <w:rsid w:val="00FA61B8"/>
    <w:rsid w:val="00FA6474"/>
    <w:rsid w:val="00FA6503"/>
    <w:rsid w:val="00FA68ED"/>
    <w:rsid w:val="00FA6AA4"/>
    <w:rsid w:val="00FA6ADE"/>
    <w:rsid w:val="00FA6E53"/>
    <w:rsid w:val="00FA6F1B"/>
    <w:rsid w:val="00FA763E"/>
    <w:rsid w:val="00FA77E0"/>
    <w:rsid w:val="00FA7891"/>
    <w:rsid w:val="00FA7D73"/>
    <w:rsid w:val="00FA7DC5"/>
    <w:rsid w:val="00FB02BB"/>
    <w:rsid w:val="00FB02E8"/>
    <w:rsid w:val="00FB077B"/>
    <w:rsid w:val="00FB0A0D"/>
    <w:rsid w:val="00FB0AAF"/>
    <w:rsid w:val="00FB0ADB"/>
    <w:rsid w:val="00FB0ADF"/>
    <w:rsid w:val="00FB0D58"/>
    <w:rsid w:val="00FB0E02"/>
    <w:rsid w:val="00FB0F43"/>
    <w:rsid w:val="00FB1136"/>
    <w:rsid w:val="00FB1185"/>
    <w:rsid w:val="00FB1546"/>
    <w:rsid w:val="00FB159D"/>
    <w:rsid w:val="00FB1976"/>
    <w:rsid w:val="00FB1A75"/>
    <w:rsid w:val="00FB1AAA"/>
    <w:rsid w:val="00FB2067"/>
    <w:rsid w:val="00FB21E6"/>
    <w:rsid w:val="00FB2358"/>
    <w:rsid w:val="00FB24AC"/>
    <w:rsid w:val="00FB25A8"/>
    <w:rsid w:val="00FB2646"/>
    <w:rsid w:val="00FB26F9"/>
    <w:rsid w:val="00FB27D7"/>
    <w:rsid w:val="00FB280D"/>
    <w:rsid w:val="00FB28B4"/>
    <w:rsid w:val="00FB2AD0"/>
    <w:rsid w:val="00FB2AE8"/>
    <w:rsid w:val="00FB2BBB"/>
    <w:rsid w:val="00FB2C77"/>
    <w:rsid w:val="00FB3504"/>
    <w:rsid w:val="00FB366B"/>
    <w:rsid w:val="00FB3680"/>
    <w:rsid w:val="00FB3886"/>
    <w:rsid w:val="00FB393F"/>
    <w:rsid w:val="00FB3E03"/>
    <w:rsid w:val="00FB3EB4"/>
    <w:rsid w:val="00FB3F74"/>
    <w:rsid w:val="00FB423F"/>
    <w:rsid w:val="00FB42F5"/>
    <w:rsid w:val="00FB4353"/>
    <w:rsid w:val="00FB438C"/>
    <w:rsid w:val="00FB4404"/>
    <w:rsid w:val="00FB44B0"/>
    <w:rsid w:val="00FB4651"/>
    <w:rsid w:val="00FB46A9"/>
    <w:rsid w:val="00FB46CF"/>
    <w:rsid w:val="00FB4737"/>
    <w:rsid w:val="00FB4936"/>
    <w:rsid w:val="00FB4B2A"/>
    <w:rsid w:val="00FB4C26"/>
    <w:rsid w:val="00FB51AE"/>
    <w:rsid w:val="00FB51BB"/>
    <w:rsid w:val="00FB51EB"/>
    <w:rsid w:val="00FB5783"/>
    <w:rsid w:val="00FB5A98"/>
    <w:rsid w:val="00FB5CD9"/>
    <w:rsid w:val="00FB5E6E"/>
    <w:rsid w:val="00FB63BD"/>
    <w:rsid w:val="00FB63DB"/>
    <w:rsid w:val="00FB651F"/>
    <w:rsid w:val="00FB65D5"/>
    <w:rsid w:val="00FB666E"/>
    <w:rsid w:val="00FB6684"/>
    <w:rsid w:val="00FB67F4"/>
    <w:rsid w:val="00FB690D"/>
    <w:rsid w:val="00FB6B26"/>
    <w:rsid w:val="00FB6BDB"/>
    <w:rsid w:val="00FB6C30"/>
    <w:rsid w:val="00FB6ED2"/>
    <w:rsid w:val="00FB6F50"/>
    <w:rsid w:val="00FB7264"/>
    <w:rsid w:val="00FB736C"/>
    <w:rsid w:val="00FB742F"/>
    <w:rsid w:val="00FB7A12"/>
    <w:rsid w:val="00FB7ACC"/>
    <w:rsid w:val="00FB7E65"/>
    <w:rsid w:val="00FB7F24"/>
    <w:rsid w:val="00FC0567"/>
    <w:rsid w:val="00FC0769"/>
    <w:rsid w:val="00FC07D8"/>
    <w:rsid w:val="00FC089B"/>
    <w:rsid w:val="00FC153B"/>
    <w:rsid w:val="00FC17D0"/>
    <w:rsid w:val="00FC1C8E"/>
    <w:rsid w:val="00FC1F45"/>
    <w:rsid w:val="00FC25B8"/>
    <w:rsid w:val="00FC25FF"/>
    <w:rsid w:val="00FC26AD"/>
    <w:rsid w:val="00FC282A"/>
    <w:rsid w:val="00FC2D30"/>
    <w:rsid w:val="00FC342C"/>
    <w:rsid w:val="00FC36A1"/>
    <w:rsid w:val="00FC3953"/>
    <w:rsid w:val="00FC397B"/>
    <w:rsid w:val="00FC3B3E"/>
    <w:rsid w:val="00FC3BB4"/>
    <w:rsid w:val="00FC3C02"/>
    <w:rsid w:val="00FC3DB4"/>
    <w:rsid w:val="00FC4008"/>
    <w:rsid w:val="00FC40E4"/>
    <w:rsid w:val="00FC40EB"/>
    <w:rsid w:val="00FC4229"/>
    <w:rsid w:val="00FC4376"/>
    <w:rsid w:val="00FC46E0"/>
    <w:rsid w:val="00FC4ACE"/>
    <w:rsid w:val="00FC4B66"/>
    <w:rsid w:val="00FC4BBA"/>
    <w:rsid w:val="00FC4BF5"/>
    <w:rsid w:val="00FC4E23"/>
    <w:rsid w:val="00FC4FF8"/>
    <w:rsid w:val="00FC51AB"/>
    <w:rsid w:val="00FC539B"/>
    <w:rsid w:val="00FC59CF"/>
    <w:rsid w:val="00FC5C54"/>
    <w:rsid w:val="00FC5D46"/>
    <w:rsid w:val="00FC5E0A"/>
    <w:rsid w:val="00FC5E49"/>
    <w:rsid w:val="00FC5E7B"/>
    <w:rsid w:val="00FC5EC5"/>
    <w:rsid w:val="00FC617D"/>
    <w:rsid w:val="00FC63FC"/>
    <w:rsid w:val="00FC66A4"/>
    <w:rsid w:val="00FC66E7"/>
    <w:rsid w:val="00FC67D3"/>
    <w:rsid w:val="00FC68B9"/>
    <w:rsid w:val="00FC6A49"/>
    <w:rsid w:val="00FC6AE3"/>
    <w:rsid w:val="00FC6C08"/>
    <w:rsid w:val="00FC6C93"/>
    <w:rsid w:val="00FC75BB"/>
    <w:rsid w:val="00FC75FD"/>
    <w:rsid w:val="00FC796D"/>
    <w:rsid w:val="00FC7C39"/>
    <w:rsid w:val="00FC7C94"/>
    <w:rsid w:val="00FC7DBE"/>
    <w:rsid w:val="00FC7E46"/>
    <w:rsid w:val="00FD024F"/>
    <w:rsid w:val="00FD02BB"/>
    <w:rsid w:val="00FD076C"/>
    <w:rsid w:val="00FD082A"/>
    <w:rsid w:val="00FD101C"/>
    <w:rsid w:val="00FD129A"/>
    <w:rsid w:val="00FD12AF"/>
    <w:rsid w:val="00FD154B"/>
    <w:rsid w:val="00FD1961"/>
    <w:rsid w:val="00FD1AFF"/>
    <w:rsid w:val="00FD1DF7"/>
    <w:rsid w:val="00FD1EB7"/>
    <w:rsid w:val="00FD2731"/>
    <w:rsid w:val="00FD2823"/>
    <w:rsid w:val="00FD2B26"/>
    <w:rsid w:val="00FD2B35"/>
    <w:rsid w:val="00FD2C94"/>
    <w:rsid w:val="00FD2E6A"/>
    <w:rsid w:val="00FD31CC"/>
    <w:rsid w:val="00FD32B2"/>
    <w:rsid w:val="00FD365F"/>
    <w:rsid w:val="00FD3AA2"/>
    <w:rsid w:val="00FD406E"/>
    <w:rsid w:val="00FD4092"/>
    <w:rsid w:val="00FD452D"/>
    <w:rsid w:val="00FD45CA"/>
    <w:rsid w:val="00FD46C7"/>
    <w:rsid w:val="00FD4A5A"/>
    <w:rsid w:val="00FD5091"/>
    <w:rsid w:val="00FD53BB"/>
    <w:rsid w:val="00FD54B5"/>
    <w:rsid w:val="00FD5553"/>
    <w:rsid w:val="00FD5950"/>
    <w:rsid w:val="00FD5A38"/>
    <w:rsid w:val="00FD5B64"/>
    <w:rsid w:val="00FD60C8"/>
    <w:rsid w:val="00FD60F7"/>
    <w:rsid w:val="00FD62C8"/>
    <w:rsid w:val="00FD62E4"/>
    <w:rsid w:val="00FD6408"/>
    <w:rsid w:val="00FD6463"/>
    <w:rsid w:val="00FD6549"/>
    <w:rsid w:val="00FD6578"/>
    <w:rsid w:val="00FD65D2"/>
    <w:rsid w:val="00FD67BF"/>
    <w:rsid w:val="00FD69C4"/>
    <w:rsid w:val="00FD6B04"/>
    <w:rsid w:val="00FD6B0B"/>
    <w:rsid w:val="00FD6E85"/>
    <w:rsid w:val="00FD6F95"/>
    <w:rsid w:val="00FD6FC7"/>
    <w:rsid w:val="00FD7380"/>
    <w:rsid w:val="00FD73FE"/>
    <w:rsid w:val="00FD74E1"/>
    <w:rsid w:val="00FD759E"/>
    <w:rsid w:val="00FD78B5"/>
    <w:rsid w:val="00FD7A25"/>
    <w:rsid w:val="00FD7D3A"/>
    <w:rsid w:val="00FD7EE9"/>
    <w:rsid w:val="00FE00B4"/>
    <w:rsid w:val="00FE0338"/>
    <w:rsid w:val="00FE0366"/>
    <w:rsid w:val="00FE03DE"/>
    <w:rsid w:val="00FE0CF3"/>
    <w:rsid w:val="00FE0EA1"/>
    <w:rsid w:val="00FE0FE6"/>
    <w:rsid w:val="00FE147A"/>
    <w:rsid w:val="00FE15B0"/>
    <w:rsid w:val="00FE1721"/>
    <w:rsid w:val="00FE1814"/>
    <w:rsid w:val="00FE1967"/>
    <w:rsid w:val="00FE198F"/>
    <w:rsid w:val="00FE1A6A"/>
    <w:rsid w:val="00FE1BB1"/>
    <w:rsid w:val="00FE1C27"/>
    <w:rsid w:val="00FE1C40"/>
    <w:rsid w:val="00FE1D1A"/>
    <w:rsid w:val="00FE204E"/>
    <w:rsid w:val="00FE20C5"/>
    <w:rsid w:val="00FE234D"/>
    <w:rsid w:val="00FE23C7"/>
    <w:rsid w:val="00FE2415"/>
    <w:rsid w:val="00FE249A"/>
    <w:rsid w:val="00FE249F"/>
    <w:rsid w:val="00FE260B"/>
    <w:rsid w:val="00FE29BD"/>
    <w:rsid w:val="00FE2A98"/>
    <w:rsid w:val="00FE2D1E"/>
    <w:rsid w:val="00FE2EE3"/>
    <w:rsid w:val="00FE2F05"/>
    <w:rsid w:val="00FE2F57"/>
    <w:rsid w:val="00FE3062"/>
    <w:rsid w:val="00FE30A0"/>
    <w:rsid w:val="00FE3154"/>
    <w:rsid w:val="00FE3220"/>
    <w:rsid w:val="00FE3353"/>
    <w:rsid w:val="00FE3643"/>
    <w:rsid w:val="00FE366A"/>
    <w:rsid w:val="00FE3765"/>
    <w:rsid w:val="00FE37B9"/>
    <w:rsid w:val="00FE3813"/>
    <w:rsid w:val="00FE384B"/>
    <w:rsid w:val="00FE39EC"/>
    <w:rsid w:val="00FE3D29"/>
    <w:rsid w:val="00FE3DDD"/>
    <w:rsid w:val="00FE3FC8"/>
    <w:rsid w:val="00FE3FF0"/>
    <w:rsid w:val="00FE40C5"/>
    <w:rsid w:val="00FE413A"/>
    <w:rsid w:val="00FE41AD"/>
    <w:rsid w:val="00FE48FD"/>
    <w:rsid w:val="00FE5049"/>
    <w:rsid w:val="00FE581F"/>
    <w:rsid w:val="00FE5F64"/>
    <w:rsid w:val="00FE6087"/>
    <w:rsid w:val="00FE6125"/>
    <w:rsid w:val="00FE62A4"/>
    <w:rsid w:val="00FE63CF"/>
    <w:rsid w:val="00FE6442"/>
    <w:rsid w:val="00FE68A7"/>
    <w:rsid w:val="00FE6AF7"/>
    <w:rsid w:val="00FE6B43"/>
    <w:rsid w:val="00FE6BCC"/>
    <w:rsid w:val="00FE6D1D"/>
    <w:rsid w:val="00FE6D23"/>
    <w:rsid w:val="00FE7293"/>
    <w:rsid w:val="00FE7654"/>
    <w:rsid w:val="00FE771E"/>
    <w:rsid w:val="00FE78B4"/>
    <w:rsid w:val="00FE7D8A"/>
    <w:rsid w:val="00FE7DF3"/>
    <w:rsid w:val="00FE7F2E"/>
    <w:rsid w:val="00FF0253"/>
    <w:rsid w:val="00FF032D"/>
    <w:rsid w:val="00FF061B"/>
    <w:rsid w:val="00FF0773"/>
    <w:rsid w:val="00FF0877"/>
    <w:rsid w:val="00FF093A"/>
    <w:rsid w:val="00FF0B12"/>
    <w:rsid w:val="00FF0BC2"/>
    <w:rsid w:val="00FF0C4F"/>
    <w:rsid w:val="00FF0CFA"/>
    <w:rsid w:val="00FF0EF4"/>
    <w:rsid w:val="00FF10F9"/>
    <w:rsid w:val="00FF1345"/>
    <w:rsid w:val="00FF1392"/>
    <w:rsid w:val="00FF141F"/>
    <w:rsid w:val="00FF1452"/>
    <w:rsid w:val="00FF165E"/>
    <w:rsid w:val="00FF168E"/>
    <w:rsid w:val="00FF16A9"/>
    <w:rsid w:val="00FF1899"/>
    <w:rsid w:val="00FF18FF"/>
    <w:rsid w:val="00FF1917"/>
    <w:rsid w:val="00FF19BF"/>
    <w:rsid w:val="00FF1AE2"/>
    <w:rsid w:val="00FF1B74"/>
    <w:rsid w:val="00FF1D81"/>
    <w:rsid w:val="00FF1DC7"/>
    <w:rsid w:val="00FF1E4E"/>
    <w:rsid w:val="00FF2114"/>
    <w:rsid w:val="00FF21EA"/>
    <w:rsid w:val="00FF26DA"/>
    <w:rsid w:val="00FF2704"/>
    <w:rsid w:val="00FF2A22"/>
    <w:rsid w:val="00FF2AB2"/>
    <w:rsid w:val="00FF2B06"/>
    <w:rsid w:val="00FF2B31"/>
    <w:rsid w:val="00FF2C7B"/>
    <w:rsid w:val="00FF2CAF"/>
    <w:rsid w:val="00FF2CB1"/>
    <w:rsid w:val="00FF2ECC"/>
    <w:rsid w:val="00FF30B3"/>
    <w:rsid w:val="00FF3359"/>
    <w:rsid w:val="00FF342E"/>
    <w:rsid w:val="00FF370E"/>
    <w:rsid w:val="00FF391B"/>
    <w:rsid w:val="00FF39D4"/>
    <w:rsid w:val="00FF3AF1"/>
    <w:rsid w:val="00FF3C7F"/>
    <w:rsid w:val="00FF3E27"/>
    <w:rsid w:val="00FF3EAF"/>
    <w:rsid w:val="00FF3EE6"/>
    <w:rsid w:val="00FF4221"/>
    <w:rsid w:val="00FF4666"/>
    <w:rsid w:val="00FF4676"/>
    <w:rsid w:val="00FF46F1"/>
    <w:rsid w:val="00FF484B"/>
    <w:rsid w:val="00FF49DF"/>
    <w:rsid w:val="00FF4A51"/>
    <w:rsid w:val="00FF4E7E"/>
    <w:rsid w:val="00FF4F1C"/>
    <w:rsid w:val="00FF4F98"/>
    <w:rsid w:val="00FF50C7"/>
    <w:rsid w:val="00FF50D3"/>
    <w:rsid w:val="00FF5163"/>
    <w:rsid w:val="00FF51E5"/>
    <w:rsid w:val="00FF523E"/>
    <w:rsid w:val="00FF5418"/>
    <w:rsid w:val="00FF57CD"/>
    <w:rsid w:val="00FF5B28"/>
    <w:rsid w:val="00FF5B6C"/>
    <w:rsid w:val="00FF5CD5"/>
    <w:rsid w:val="00FF5D4F"/>
    <w:rsid w:val="00FF6073"/>
    <w:rsid w:val="00FF630E"/>
    <w:rsid w:val="00FF64BB"/>
    <w:rsid w:val="00FF670A"/>
    <w:rsid w:val="00FF6797"/>
    <w:rsid w:val="00FF6963"/>
    <w:rsid w:val="00FF6AC2"/>
    <w:rsid w:val="00FF6C2E"/>
    <w:rsid w:val="00FF6C3B"/>
    <w:rsid w:val="00FF6C92"/>
    <w:rsid w:val="00FF6ED6"/>
    <w:rsid w:val="00FF6F1D"/>
    <w:rsid w:val="00FF7095"/>
    <w:rsid w:val="00FF750B"/>
    <w:rsid w:val="00FF76C9"/>
    <w:rsid w:val="00FF77A9"/>
    <w:rsid w:val="00FF786B"/>
    <w:rsid w:val="00FF7BD6"/>
    <w:rsid w:val="01004AA1"/>
    <w:rsid w:val="010B45F7"/>
    <w:rsid w:val="01444A73"/>
    <w:rsid w:val="02120882"/>
    <w:rsid w:val="02916572"/>
    <w:rsid w:val="02D00890"/>
    <w:rsid w:val="03882F2C"/>
    <w:rsid w:val="03DA6BA9"/>
    <w:rsid w:val="03DF6293"/>
    <w:rsid w:val="05DA530D"/>
    <w:rsid w:val="072268B5"/>
    <w:rsid w:val="0858227F"/>
    <w:rsid w:val="091F52EC"/>
    <w:rsid w:val="099D280E"/>
    <w:rsid w:val="09BC4A90"/>
    <w:rsid w:val="0A2D3B36"/>
    <w:rsid w:val="0A3B317F"/>
    <w:rsid w:val="0B1700F7"/>
    <w:rsid w:val="0B824696"/>
    <w:rsid w:val="0BC33B43"/>
    <w:rsid w:val="0BCD2940"/>
    <w:rsid w:val="0C6D36B2"/>
    <w:rsid w:val="0CB87E66"/>
    <w:rsid w:val="0CE444EB"/>
    <w:rsid w:val="0D246419"/>
    <w:rsid w:val="0DC20A33"/>
    <w:rsid w:val="0DD71939"/>
    <w:rsid w:val="0DDE5BFD"/>
    <w:rsid w:val="0DEB0BC3"/>
    <w:rsid w:val="0E1E2727"/>
    <w:rsid w:val="0E97059D"/>
    <w:rsid w:val="0ECB1E83"/>
    <w:rsid w:val="0F6E18C9"/>
    <w:rsid w:val="0FF65040"/>
    <w:rsid w:val="103A4A7F"/>
    <w:rsid w:val="109F1554"/>
    <w:rsid w:val="10B4525D"/>
    <w:rsid w:val="1105314C"/>
    <w:rsid w:val="11702F34"/>
    <w:rsid w:val="119C0043"/>
    <w:rsid w:val="12321E10"/>
    <w:rsid w:val="12382422"/>
    <w:rsid w:val="13792983"/>
    <w:rsid w:val="14113A3C"/>
    <w:rsid w:val="142A5558"/>
    <w:rsid w:val="144F05DF"/>
    <w:rsid w:val="1479118E"/>
    <w:rsid w:val="14D41B65"/>
    <w:rsid w:val="15615191"/>
    <w:rsid w:val="162864AA"/>
    <w:rsid w:val="16953842"/>
    <w:rsid w:val="16EB5F92"/>
    <w:rsid w:val="17F62EE0"/>
    <w:rsid w:val="18431739"/>
    <w:rsid w:val="18583081"/>
    <w:rsid w:val="18601FC9"/>
    <w:rsid w:val="18CA19F5"/>
    <w:rsid w:val="19304278"/>
    <w:rsid w:val="19C1497C"/>
    <w:rsid w:val="1AC97B64"/>
    <w:rsid w:val="1B1C7883"/>
    <w:rsid w:val="1B2122E6"/>
    <w:rsid w:val="1B656A10"/>
    <w:rsid w:val="1B6B6E24"/>
    <w:rsid w:val="1B6F6F84"/>
    <w:rsid w:val="1BA31663"/>
    <w:rsid w:val="1BF35376"/>
    <w:rsid w:val="1C184160"/>
    <w:rsid w:val="1C690142"/>
    <w:rsid w:val="1D0D761C"/>
    <w:rsid w:val="1D677B29"/>
    <w:rsid w:val="1DCB3AC1"/>
    <w:rsid w:val="1ECB1F85"/>
    <w:rsid w:val="1EEE7042"/>
    <w:rsid w:val="1F3C4B33"/>
    <w:rsid w:val="1FD915FF"/>
    <w:rsid w:val="2052502B"/>
    <w:rsid w:val="21286D24"/>
    <w:rsid w:val="21967DBF"/>
    <w:rsid w:val="221B3923"/>
    <w:rsid w:val="22837E53"/>
    <w:rsid w:val="22A77788"/>
    <w:rsid w:val="22BD32E6"/>
    <w:rsid w:val="234B6CB1"/>
    <w:rsid w:val="23F16B34"/>
    <w:rsid w:val="245053F1"/>
    <w:rsid w:val="24E80DEC"/>
    <w:rsid w:val="24FF77E1"/>
    <w:rsid w:val="25165318"/>
    <w:rsid w:val="2709576D"/>
    <w:rsid w:val="27370EF9"/>
    <w:rsid w:val="274A3EA4"/>
    <w:rsid w:val="274B6B57"/>
    <w:rsid w:val="27AC002A"/>
    <w:rsid w:val="27EE7C4F"/>
    <w:rsid w:val="28ED4932"/>
    <w:rsid w:val="2A742DCC"/>
    <w:rsid w:val="2A9A75F3"/>
    <w:rsid w:val="2AA1222C"/>
    <w:rsid w:val="2AAD2610"/>
    <w:rsid w:val="2BD14296"/>
    <w:rsid w:val="2C4F6808"/>
    <w:rsid w:val="2DA66DE2"/>
    <w:rsid w:val="2E4A10A5"/>
    <w:rsid w:val="2E9D6F73"/>
    <w:rsid w:val="2EB0625C"/>
    <w:rsid w:val="2FB103C7"/>
    <w:rsid w:val="2FCA40FC"/>
    <w:rsid w:val="2FE27606"/>
    <w:rsid w:val="30807557"/>
    <w:rsid w:val="3130292A"/>
    <w:rsid w:val="31AA4147"/>
    <w:rsid w:val="326A7A15"/>
    <w:rsid w:val="32A229AA"/>
    <w:rsid w:val="32F463EC"/>
    <w:rsid w:val="335D018F"/>
    <w:rsid w:val="33A50653"/>
    <w:rsid w:val="34557991"/>
    <w:rsid w:val="35512DD7"/>
    <w:rsid w:val="356D5814"/>
    <w:rsid w:val="36E043A3"/>
    <w:rsid w:val="373B7940"/>
    <w:rsid w:val="37EA5DA6"/>
    <w:rsid w:val="392C2EE3"/>
    <w:rsid w:val="3954693B"/>
    <w:rsid w:val="39973096"/>
    <w:rsid w:val="39D769E6"/>
    <w:rsid w:val="39E92629"/>
    <w:rsid w:val="3A0D742C"/>
    <w:rsid w:val="3AD04F2F"/>
    <w:rsid w:val="3B2378D0"/>
    <w:rsid w:val="3B6474B5"/>
    <w:rsid w:val="3BA06A03"/>
    <w:rsid w:val="3C8F5622"/>
    <w:rsid w:val="3CE41169"/>
    <w:rsid w:val="3D182B46"/>
    <w:rsid w:val="3E1A3122"/>
    <w:rsid w:val="3E8E7759"/>
    <w:rsid w:val="3F2D6FBA"/>
    <w:rsid w:val="3F9A34AA"/>
    <w:rsid w:val="3FBC14D0"/>
    <w:rsid w:val="3FCB7E66"/>
    <w:rsid w:val="3FDF2A52"/>
    <w:rsid w:val="3FFDB640"/>
    <w:rsid w:val="40B04729"/>
    <w:rsid w:val="4179072A"/>
    <w:rsid w:val="41DD5D10"/>
    <w:rsid w:val="41E47785"/>
    <w:rsid w:val="427F1A79"/>
    <w:rsid w:val="429123A7"/>
    <w:rsid w:val="42C30059"/>
    <w:rsid w:val="433901C3"/>
    <w:rsid w:val="43A35642"/>
    <w:rsid w:val="460D7231"/>
    <w:rsid w:val="465357F6"/>
    <w:rsid w:val="46D27D73"/>
    <w:rsid w:val="47B73CC6"/>
    <w:rsid w:val="49432AF8"/>
    <w:rsid w:val="49A01D61"/>
    <w:rsid w:val="4A574994"/>
    <w:rsid w:val="4C856969"/>
    <w:rsid w:val="4C93663C"/>
    <w:rsid w:val="4DA0410E"/>
    <w:rsid w:val="4E5E38A4"/>
    <w:rsid w:val="4FD26F2A"/>
    <w:rsid w:val="50011FCD"/>
    <w:rsid w:val="50AA6706"/>
    <w:rsid w:val="51C24F62"/>
    <w:rsid w:val="52DE6D81"/>
    <w:rsid w:val="539C3453"/>
    <w:rsid w:val="543962DA"/>
    <w:rsid w:val="544C3C46"/>
    <w:rsid w:val="557177CC"/>
    <w:rsid w:val="55D86D1D"/>
    <w:rsid w:val="56C007EB"/>
    <w:rsid w:val="56D9564A"/>
    <w:rsid w:val="57497D4B"/>
    <w:rsid w:val="58D16882"/>
    <w:rsid w:val="58FF7689"/>
    <w:rsid w:val="5A9C4F01"/>
    <w:rsid w:val="5AE25CCD"/>
    <w:rsid w:val="5C3B1614"/>
    <w:rsid w:val="5C4C0368"/>
    <w:rsid w:val="5C602DFA"/>
    <w:rsid w:val="5C9973F0"/>
    <w:rsid w:val="5CDF10C7"/>
    <w:rsid w:val="5D4678CC"/>
    <w:rsid w:val="5D6C12F0"/>
    <w:rsid w:val="5DBC57A6"/>
    <w:rsid w:val="5DF57E2D"/>
    <w:rsid w:val="5E8B3C2A"/>
    <w:rsid w:val="5EC970FF"/>
    <w:rsid w:val="5EF27380"/>
    <w:rsid w:val="5F3A0CBC"/>
    <w:rsid w:val="5F673195"/>
    <w:rsid w:val="5F7A2DC4"/>
    <w:rsid w:val="5F972BE3"/>
    <w:rsid w:val="608E59B3"/>
    <w:rsid w:val="6164628E"/>
    <w:rsid w:val="62066D6A"/>
    <w:rsid w:val="623C40E7"/>
    <w:rsid w:val="624F0AE7"/>
    <w:rsid w:val="630C0898"/>
    <w:rsid w:val="654A2B8C"/>
    <w:rsid w:val="65657675"/>
    <w:rsid w:val="65A6591D"/>
    <w:rsid w:val="65F16DA1"/>
    <w:rsid w:val="65FD5DC0"/>
    <w:rsid w:val="67012EF1"/>
    <w:rsid w:val="67244C35"/>
    <w:rsid w:val="67DE176E"/>
    <w:rsid w:val="697E13D5"/>
    <w:rsid w:val="69833476"/>
    <w:rsid w:val="69CA73F6"/>
    <w:rsid w:val="6AE65247"/>
    <w:rsid w:val="6BEBE64F"/>
    <w:rsid w:val="6C0C4253"/>
    <w:rsid w:val="6D130552"/>
    <w:rsid w:val="6DA254A3"/>
    <w:rsid w:val="6EB17DC3"/>
    <w:rsid w:val="6F3F85FA"/>
    <w:rsid w:val="70837528"/>
    <w:rsid w:val="708C31CE"/>
    <w:rsid w:val="70F5434F"/>
    <w:rsid w:val="710273D2"/>
    <w:rsid w:val="717978BD"/>
    <w:rsid w:val="72541759"/>
    <w:rsid w:val="72FF39FF"/>
    <w:rsid w:val="7360323A"/>
    <w:rsid w:val="7395206A"/>
    <w:rsid w:val="73F7C06B"/>
    <w:rsid w:val="740F3769"/>
    <w:rsid w:val="75CF1201"/>
    <w:rsid w:val="76813889"/>
    <w:rsid w:val="76A94B77"/>
    <w:rsid w:val="77296FA0"/>
    <w:rsid w:val="775918FE"/>
    <w:rsid w:val="777D33ED"/>
    <w:rsid w:val="77F97155"/>
    <w:rsid w:val="7800083B"/>
    <w:rsid w:val="78C65C3A"/>
    <w:rsid w:val="79A91F14"/>
    <w:rsid w:val="79EE27CF"/>
    <w:rsid w:val="7AA0666C"/>
    <w:rsid w:val="7C316DB2"/>
    <w:rsid w:val="7C5E21E2"/>
    <w:rsid w:val="7D1BB078"/>
    <w:rsid w:val="7D316824"/>
    <w:rsid w:val="7D8E4DB7"/>
    <w:rsid w:val="7D951425"/>
    <w:rsid w:val="7DC425B5"/>
    <w:rsid w:val="7DE33932"/>
    <w:rsid w:val="7E121483"/>
    <w:rsid w:val="7FCA11EB"/>
    <w:rsid w:val="A2DEF7E9"/>
    <w:rsid w:val="B7DF9772"/>
    <w:rsid w:val="B9FE1E46"/>
    <w:rsid w:val="BF36D1C3"/>
    <w:rsid w:val="CCFF7C11"/>
    <w:rsid w:val="CF5F2D9F"/>
    <w:rsid w:val="D73EF711"/>
    <w:rsid w:val="F33EA7C0"/>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f">
      <v:fill on="t" focussize="0,0"/>
      <v:stroke on="f"/>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qFormat="1" w:unhideWhenUsed="0" w:uiPriority="0" w:semiHidden="0" w:name="index 2"/>
    <w:lsdException w:qFormat="1" w:unhideWhenUsed="0" w:uiPriority="0" w:semiHidden="0" w:name="index 3"/>
    <w:lsdException w:qFormat="1" w:unhideWhenUsed="0" w:uiPriority="0" w:semiHidden="0" w:name="index 4"/>
    <w:lsdException w:qFormat="1" w:unhideWhenUsed="0" w:uiPriority="0" w:semiHidden="0" w:name="index 5"/>
    <w:lsdException w:qFormat="1" w:unhideWhenUsed="0" w:uiPriority="0" w:semiHidden="0" w:name="index 6"/>
    <w:lsdException w:qFormat="1" w:unhideWhenUsed="0" w:uiPriority="0" w:semiHidden="0" w:name="index 7"/>
    <w:lsdException w:qFormat="1" w:unhideWhenUsed="0" w:uiPriority="0" w:semiHidden="0" w:name="index 8"/>
    <w:lsdException w:qFormat="1"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qFormat="1" w:unhideWhenUsed="0" w:uiPriority="0" w:semiHidden="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qFormat="1" w:unhideWhenUsed="0" w:uiPriority="0" w:semiHidden="0" w:name="index heading"/>
    <w:lsdException w:qFormat="1" w:unhideWhenUsed="0" w:uiPriority="0" w:semiHidden="0" w:name="caption"/>
    <w:lsdException w:qFormat="1" w:unhideWhenUsed="0" w:uiPriority="0" w:semiHidden="0" w:name="table of figures"/>
    <w:lsdException w:qFormat="1" w:unhideWhenUsed="0" w:uiPriority="0" w:semiHidden="0" w:name="envelope address"/>
    <w:lsdException w:qFormat="1" w:unhideWhenUsed="0" w:uiPriority="0" w:semiHidden="0" w:name="envelope return"/>
    <w:lsdException w:qFormat="1" w:uiPriority="99" w:semiHidden="0" w:name="footnote reference"/>
    <w:lsdException w:qFormat="1" w:unhideWhenUsed="0" w:uiPriority="99" w:semiHidden="0" w:name="annotation reference"/>
    <w:lsdException w:qFormat="1" w:unhideWhenUsed="0" w:uiPriority="0" w:semiHidden="0" w:name="line number"/>
    <w:lsdException w:qFormat="1" w:unhideWhenUsed="0" w:uiPriority="0" w:semiHidden="0" w:name="page number"/>
    <w:lsdException w:qFormat="1" w:unhideWhenUsed="0" w:uiPriority="0" w:semiHidden="0" w:name="endnote reference"/>
    <w:lsdException w:qFormat="1" w:unhideWhenUsed="0" w:uiPriority="0" w:semiHidden="0" w:name="endnote text"/>
    <w:lsdException w:qFormat="1" w:unhideWhenUsed="0" w:uiPriority="0" w:semiHidden="0" w:name="table of authorities"/>
    <w:lsdException w:qFormat="1" w:unhideWhenUsed="0" w:uiPriority="0" w:semiHidden="0" w:name="macro"/>
    <w:lsdException w:qFormat="1" w:unhideWhenUsed="0" w:uiPriority="0" w:semiHidden="0" w:name="toa heading"/>
    <w:lsdException w:qFormat="1" w:unhideWhenUsed="0" w:uiPriority="0" w:semiHidden="0" w:name="List"/>
    <w:lsdException w:qFormat="1" w:unhideWhenUsed="0" w:uiPriority="0" w:semiHidden="0" w:name="List Bullet"/>
    <w:lsdException w:qFormat="1" w:unhideWhenUsed="0" w:uiPriority="0" w:semiHidden="0" w:name="List Number"/>
    <w:lsdException w:qFormat="1" w:unhideWhenUsed="0" w:uiPriority="0" w:semiHidden="0" w:name="List 2"/>
    <w:lsdException w:qFormat="1" w:unhideWhenUsed="0" w:uiPriority="0" w:semiHidden="0" w:name="List 3"/>
    <w:lsdException w:qFormat="1" w:unhideWhenUsed="0" w:uiPriority="0" w:semiHidden="0" w:name="List 4"/>
    <w:lsdException w:qFormat="1" w:unhideWhenUsed="0" w:uiPriority="0" w:semiHidden="0" w:name="List 5"/>
    <w:lsdException w:qFormat="1" w:unhideWhenUsed="0" w:uiPriority="0" w:semiHidden="0" w:name="List Bullet 2"/>
    <w:lsdException w:qFormat="1" w:unhideWhenUsed="0" w:uiPriority="0" w:semiHidden="0" w:name="List Bullet 3"/>
    <w:lsdException w:qFormat="1" w:unhideWhenUsed="0" w:uiPriority="0" w:semiHidden="0" w:name="List Bullet 4"/>
    <w:lsdException w:qFormat="1" w:unhideWhenUsed="0" w:uiPriority="0" w:semiHidden="0" w:name="List Bullet 5"/>
    <w:lsdException w:qFormat="1" w:unhideWhenUsed="0" w:uiPriority="0" w:semiHidden="0" w:name="List Number 2"/>
    <w:lsdException w:qFormat="1" w:unhideWhenUsed="0" w:uiPriority="0" w:semiHidden="0" w:name="List Number 3"/>
    <w:lsdException w:qFormat="1" w:unhideWhenUsed="0" w:uiPriority="0" w:semiHidden="0" w:name="List Number 4"/>
    <w:lsdException w:qFormat="1" w:unhideWhenUsed="0" w:uiPriority="0" w:semiHidden="0" w:name="List Number 5"/>
    <w:lsdException w:qFormat="1" w:unhideWhenUsed="0" w:uiPriority="0" w:semiHidden="0" w:name="Title"/>
    <w:lsdException w:qFormat="1" w:unhideWhenUsed="0" w:uiPriority="0" w:semiHidden="0" w:name="Closing"/>
    <w:lsdException w:qFormat="1"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qFormat="1" w:unhideWhenUsed="0" w:uiPriority="0" w:semiHidden="0" w:name="List Continue"/>
    <w:lsdException w:qFormat="1" w:unhideWhenUsed="0" w:uiPriority="0" w:semiHidden="0" w:name="List Continue 2"/>
    <w:lsdException w:qFormat="1" w:unhideWhenUsed="0" w:uiPriority="0" w:semiHidden="0" w:name="List Continue 3"/>
    <w:lsdException w:qFormat="1" w:unhideWhenUsed="0" w:uiPriority="0" w:semiHidden="0" w:name="List Continue 4"/>
    <w:lsdException w:qFormat="1" w:unhideWhenUsed="0" w:uiPriority="0" w:semiHidden="0" w:name="List Continue 5"/>
    <w:lsdException w:qFormat="1" w:unhideWhenUsed="0" w:uiPriority="0" w:semiHidden="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iPriority="99" w:semiHidden="0" w:name="Hyperlink"/>
    <w:lsdException w:qFormat="1" w:unhideWhenUsed="0" w:uiPriority="99"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qFormat="1" w:unhideWhenUsed="0" w:uiPriority="0" w:semiHidden="0" w:name="E-mail Signature"/>
    <w:lsdException w:qFormat="1" w:unhideWhenUsed="0" w:uiPriority="99" w:semiHidden="0" w:name="Normal (Web)"/>
    <w:lsdException w:qFormat="1" w:unhideWhenUsed="0" w:uiPriority="0" w:semiHidden="0" w:name="HTML Acronym"/>
    <w:lsdException w:qFormat="1"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qFormat="1" w:unhideWhenUsed="0" w:uiPriority="0"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nhideWhenUsed="0" w:uiPriority="0" w:name="Normal Table"/>
    <w:lsdException w:qFormat="1" w:unhideWhenUsed="0" w:uiPriority="99" w:semiHidden="0" w:name="annotation subject"/>
    <w:lsdException w:qFormat="1" w:unhideWhenUsed="0" w:uiPriority="0" w:semiHidden="0" w:name="Table Simple 1"/>
    <w:lsdException w:qFormat="1" w:unhideWhenUsed="0" w:uiPriority="0" w:semiHidden="0" w:name="Table Simple 2"/>
    <w:lsdException w:qFormat="1" w:unhideWhenUsed="0" w:uiPriority="0" w:semiHidden="0" w:name="Table Simple 3"/>
    <w:lsdException w:qFormat="1" w:unhideWhenUsed="0" w:uiPriority="0" w:semiHidden="0" w:name="Table Classic 1"/>
    <w:lsdException w:qFormat="1" w:unhideWhenUsed="0" w:uiPriority="0" w:semiHidden="0" w:name="Table Classic 2"/>
    <w:lsdException w:qFormat="1" w:unhideWhenUsed="0" w:uiPriority="0" w:semiHidden="0" w:name="Table Classic 3"/>
    <w:lsdException w:qFormat="1" w:unhideWhenUsed="0" w:uiPriority="0" w:semiHidden="0" w:name="Table Classic 4"/>
    <w:lsdException w:qFormat="1" w:unhideWhenUsed="0" w:uiPriority="0" w:semiHidden="0" w:name="Table Colorful 1"/>
    <w:lsdException w:qFormat="1" w:unhideWhenUsed="0" w:uiPriority="0" w:semiHidden="0" w:name="Table Colorful 2"/>
    <w:lsdException w:qFormat="1" w:unhideWhenUsed="0" w:uiPriority="0" w:semiHidden="0" w:name="Table Colorful 3"/>
    <w:lsdException w:qFormat="1" w:unhideWhenUsed="0" w:uiPriority="0" w:semiHidden="0" w:name="Table Columns 1"/>
    <w:lsdException w:qFormat="1" w:unhideWhenUsed="0" w:uiPriority="0" w:semiHidden="0" w:name="Table Columns 2"/>
    <w:lsdException w:qFormat="1" w:unhideWhenUsed="0" w:uiPriority="0" w:semiHidden="0" w:name="Table Columns 3"/>
    <w:lsdException w:qFormat="1" w:unhideWhenUsed="0" w:uiPriority="0" w:semiHidden="0" w:name="Table Columns 4"/>
    <w:lsdException w:qFormat="1" w:unhideWhenUsed="0" w:uiPriority="0" w:semiHidden="0" w:name="Table Columns 5"/>
    <w:lsdException w:qFormat="1" w:unhideWhenUsed="0" w:uiPriority="0" w:semiHidden="0" w:name="Table Grid 1"/>
    <w:lsdException w:qFormat="1" w:unhideWhenUsed="0" w:uiPriority="0" w:semiHidden="0" w:name="Table Grid 2"/>
    <w:lsdException w:qFormat="1" w:unhideWhenUsed="0" w:uiPriority="0" w:semiHidden="0" w:name="Table Grid 3"/>
    <w:lsdException w:qFormat="1" w:unhideWhenUsed="0" w:uiPriority="0" w:semiHidden="0" w:name="Table Grid 4"/>
    <w:lsdException w:qFormat="1" w:unhideWhenUsed="0" w:uiPriority="0" w:semiHidden="0" w:name="Table Grid 5"/>
    <w:lsdException w:qFormat="1" w:unhideWhenUsed="0" w:uiPriority="0" w:semiHidden="0" w:name="Table Grid 6"/>
    <w:lsdException w:qFormat="1" w:unhideWhenUsed="0" w:uiPriority="0" w:semiHidden="0" w:name="Table Grid 7"/>
    <w:lsdException w:qFormat="1" w:unhideWhenUsed="0" w:uiPriority="0" w:semiHidden="0" w:name="Table Grid 8"/>
    <w:lsdException w:qFormat="1" w:unhideWhenUsed="0" w:uiPriority="0" w:semiHidden="0" w:name="Table List 1"/>
    <w:lsdException w:qFormat="1" w:unhideWhenUsed="0" w:uiPriority="0" w:semiHidden="0" w:name="Table List 2"/>
    <w:lsdException w:qFormat="1" w:unhideWhenUsed="0" w:uiPriority="0" w:semiHidden="0" w:name="Table List 3"/>
    <w:lsdException w:qFormat="1" w:unhideWhenUsed="0" w:uiPriority="0" w:semiHidden="0" w:name="Table List 4"/>
    <w:lsdException w:qFormat="1" w:unhideWhenUsed="0" w:uiPriority="0" w:semiHidden="0" w:name="Table List 5"/>
    <w:lsdException w:qFormat="1" w:unhideWhenUsed="0" w:uiPriority="0" w:semiHidden="0" w:name="Table List 6"/>
    <w:lsdException w:qFormat="1" w:unhideWhenUsed="0" w:uiPriority="0" w:semiHidden="0" w:name="Table List 7"/>
    <w:lsdException w:qFormat="1" w:unhideWhenUsed="0" w:uiPriority="0" w:semiHidden="0" w:name="Table List 8"/>
    <w:lsdException w:qFormat="1" w:unhideWhenUsed="0" w:uiPriority="0" w:semiHidden="0" w:name="Table 3D effects 1"/>
    <w:lsdException w:qFormat="1" w:unhideWhenUsed="0" w:uiPriority="0" w:semiHidden="0" w:name="Table 3D effects 2"/>
    <w:lsdException w:qFormat="1" w:unhideWhenUsed="0" w:uiPriority="0" w:semiHidden="0" w:name="Table 3D effects 3"/>
    <w:lsdException w:qFormat="1" w:unhideWhenUsed="0" w:uiPriority="0" w:semiHidden="0" w:name="Table Contemporary"/>
    <w:lsdException w:qFormat="1" w:unhideWhenUsed="0" w:uiPriority="0" w:semiHidden="0" w:name="Table Elegant"/>
    <w:lsdException w:qFormat="1" w:unhideWhenUsed="0" w:uiPriority="0" w:semiHidden="0" w:name="Table Professional"/>
    <w:lsdException w:qFormat="1" w:unhideWhenUsed="0" w:uiPriority="0" w:semiHidden="0" w:name="Table Subtle 1"/>
    <w:lsdException w:qFormat="1" w:unhideWhenUsed="0" w:uiPriority="0" w:semiHidden="0" w:name="Table Subtle 2"/>
    <w:lsdException w:qFormat="1" w:unhideWhenUsed="0" w:uiPriority="0" w:semiHidden="0" w:name="Table Web 1"/>
    <w:lsdException w:qFormat="1" w:unhideWhenUsed="0" w:uiPriority="0" w:semiHidden="0" w:name="Table Web 2"/>
    <w:lsdException w:qFormat="1" w:unhideWhenUsed="0" w:uiPriority="0" w:semiHidden="0" w:name="Table Web 3"/>
    <w:lsdException w:qFormat="1" w:unhideWhenUsed="0" w:uiPriority="99" w:semiHidden="0" w:name="Balloon Text"/>
    <w:lsdException w:qFormat="1" w:unhideWhenUsed="0" w:uiPriority="0" w:semiHidden="0" w:name="Table Grid"/>
    <w:lsdException w:qFormat="1" w:unhideWhenUsed="0" w:uiPriority="0" w:semiHidden="0" w:name="Table Theme"/>
    <w:lsdException w:qFormat="1" w:unhideWhenUsed="0" w:uiPriority="0" w:name="Placeholder Text"/>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560" w:lineRule="exact"/>
      <w:ind w:firstLine="200" w:firstLineChars="200"/>
      <w:jc w:val="both"/>
    </w:pPr>
    <w:rPr>
      <w:rFonts w:ascii="仿宋_GB2312" w:hAnsi="Times New Roman" w:eastAsia="仿宋_GB2312" w:cs="Times New Roman"/>
      <w:kern w:val="2"/>
      <w:sz w:val="28"/>
      <w:szCs w:val="28"/>
      <w:lang w:val="en-US" w:eastAsia="zh-CN" w:bidi="ar-SA"/>
    </w:rPr>
  </w:style>
  <w:style w:type="paragraph" w:styleId="4">
    <w:name w:val="heading 1"/>
    <w:basedOn w:val="1"/>
    <w:next w:val="1"/>
    <w:link w:val="152"/>
    <w:qFormat/>
    <w:uiPriority w:val="9"/>
    <w:pPr>
      <w:ind w:firstLine="0" w:firstLineChars="0"/>
      <w:jc w:val="center"/>
      <w:outlineLvl w:val="0"/>
    </w:pPr>
    <w:rPr>
      <w:rFonts w:ascii="黑体" w:hAnsi="黑体" w:eastAsia="黑体"/>
      <w:bCs/>
      <w:kern w:val="44"/>
      <w:sz w:val="36"/>
      <w:szCs w:val="36"/>
    </w:rPr>
  </w:style>
  <w:style w:type="paragraph" w:styleId="5">
    <w:name w:val="heading 2"/>
    <w:basedOn w:val="1"/>
    <w:next w:val="6"/>
    <w:link w:val="153"/>
    <w:qFormat/>
    <w:uiPriority w:val="9"/>
    <w:pPr>
      <w:spacing w:before="120" w:after="120"/>
      <w:ind w:firstLine="0" w:firstLineChars="0"/>
      <w:outlineLvl w:val="1"/>
    </w:pPr>
    <w:rPr>
      <w:rFonts w:ascii="黑体" w:hAnsi="黑体" w:eastAsia="黑体"/>
      <w:bCs/>
      <w:sz w:val="32"/>
    </w:rPr>
  </w:style>
  <w:style w:type="paragraph" w:styleId="7">
    <w:name w:val="heading 3"/>
    <w:basedOn w:val="1"/>
    <w:next w:val="1"/>
    <w:link w:val="155"/>
    <w:qFormat/>
    <w:uiPriority w:val="9"/>
    <w:pPr>
      <w:ind w:firstLine="0" w:firstLineChars="0"/>
      <w:outlineLvl w:val="2"/>
    </w:pPr>
    <w:rPr>
      <w:rFonts w:ascii="方正小标宋_GBK" w:hAnsi="Arial" w:eastAsia="方正小标宋_GBK"/>
      <w:bCs/>
    </w:rPr>
  </w:style>
  <w:style w:type="paragraph" w:styleId="8">
    <w:name w:val="heading 4"/>
    <w:basedOn w:val="1"/>
    <w:next w:val="1"/>
    <w:link w:val="156"/>
    <w:qFormat/>
    <w:uiPriority w:val="9"/>
    <w:pPr>
      <w:keepNext/>
      <w:keepLines/>
      <w:spacing w:before="280" w:after="290" w:line="376" w:lineRule="atLeast"/>
      <w:outlineLvl w:val="3"/>
    </w:pPr>
    <w:rPr>
      <w:rFonts w:ascii="Cambria" w:hAnsi="Cambria" w:eastAsia="宋体"/>
      <w:b/>
      <w:bCs/>
    </w:rPr>
  </w:style>
  <w:style w:type="paragraph" w:styleId="9">
    <w:name w:val="heading 5"/>
    <w:basedOn w:val="1"/>
    <w:next w:val="6"/>
    <w:link w:val="157"/>
    <w:qFormat/>
    <w:uiPriority w:val="0"/>
    <w:pPr>
      <w:keepNext/>
      <w:keepLines/>
      <w:widowControl/>
      <w:spacing w:before="280" w:after="290" w:line="376" w:lineRule="auto"/>
      <w:ind w:firstLine="0" w:firstLineChars="0"/>
      <w:jc w:val="left"/>
      <w:outlineLvl w:val="4"/>
    </w:pPr>
    <w:rPr>
      <w:rFonts w:ascii="宋体" w:hAnsi="宋体" w:eastAsia="宋体"/>
      <w:b/>
      <w:kern w:val="0"/>
      <w:sz w:val="24"/>
      <w:szCs w:val="20"/>
    </w:rPr>
  </w:style>
  <w:style w:type="paragraph" w:styleId="10">
    <w:name w:val="heading 6"/>
    <w:basedOn w:val="1"/>
    <w:next w:val="6"/>
    <w:link w:val="158"/>
    <w:qFormat/>
    <w:uiPriority w:val="0"/>
    <w:pPr>
      <w:keepNext/>
      <w:keepLines/>
      <w:widowControl/>
      <w:tabs>
        <w:tab w:val="left" w:pos="360"/>
      </w:tabs>
      <w:spacing w:before="240" w:after="64" w:line="320" w:lineRule="auto"/>
      <w:ind w:firstLine="0" w:firstLineChars="0"/>
      <w:jc w:val="left"/>
      <w:outlineLvl w:val="5"/>
    </w:pPr>
    <w:rPr>
      <w:rFonts w:ascii="Arial" w:hAnsi="Arial" w:eastAsia="黑体"/>
      <w:b/>
      <w:kern w:val="0"/>
      <w:sz w:val="24"/>
      <w:szCs w:val="20"/>
    </w:rPr>
  </w:style>
  <w:style w:type="paragraph" w:styleId="11">
    <w:name w:val="heading 7"/>
    <w:basedOn w:val="1"/>
    <w:next w:val="1"/>
    <w:link w:val="159"/>
    <w:qFormat/>
    <w:uiPriority w:val="0"/>
    <w:pPr>
      <w:keepNext/>
      <w:keepLines/>
      <w:tabs>
        <w:tab w:val="left" w:pos="1296"/>
      </w:tabs>
      <w:adjustRightInd w:val="0"/>
      <w:spacing w:before="240" w:after="64" w:line="320" w:lineRule="atLeast"/>
      <w:ind w:left="1296" w:hanging="1296"/>
      <w:textAlignment w:val="baseline"/>
      <w:outlineLvl w:val="6"/>
    </w:pPr>
    <w:rPr>
      <w:b/>
      <w:bCs/>
      <w:kern w:val="0"/>
      <w:sz w:val="24"/>
      <w:szCs w:val="24"/>
    </w:rPr>
  </w:style>
  <w:style w:type="paragraph" w:styleId="12">
    <w:name w:val="heading 8"/>
    <w:basedOn w:val="1"/>
    <w:next w:val="1"/>
    <w:link w:val="160"/>
    <w:qFormat/>
    <w:uiPriority w:val="0"/>
    <w:pPr>
      <w:keepNext/>
      <w:keepLines/>
      <w:tabs>
        <w:tab w:val="left" w:pos="1440"/>
      </w:tabs>
      <w:adjustRightInd w:val="0"/>
      <w:spacing w:before="240" w:after="64" w:line="320" w:lineRule="atLeast"/>
      <w:ind w:left="1440" w:hanging="1440"/>
      <w:textAlignment w:val="baseline"/>
      <w:outlineLvl w:val="7"/>
    </w:pPr>
    <w:rPr>
      <w:rFonts w:ascii="Arial" w:hAnsi="Arial" w:eastAsia="黑体"/>
      <w:kern w:val="0"/>
      <w:sz w:val="24"/>
      <w:szCs w:val="24"/>
    </w:rPr>
  </w:style>
  <w:style w:type="paragraph" w:styleId="13">
    <w:name w:val="heading 9"/>
    <w:basedOn w:val="1"/>
    <w:next w:val="1"/>
    <w:link w:val="161"/>
    <w:qFormat/>
    <w:uiPriority w:val="0"/>
    <w:pPr>
      <w:keepNext/>
      <w:keepLines/>
      <w:tabs>
        <w:tab w:val="left" w:pos="1584"/>
      </w:tabs>
      <w:adjustRightInd w:val="0"/>
      <w:spacing w:before="240" w:after="64" w:line="320" w:lineRule="atLeast"/>
      <w:ind w:left="1584" w:hanging="1584"/>
      <w:textAlignment w:val="baseline"/>
      <w:outlineLvl w:val="8"/>
    </w:pPr>
    <w:rPr>
      <w:rFonts w:ascii="Arial" w:hAnsi="Arial" w:eastAsia="黑体"/>
      <w:kern w:val="0"/>
      <w:szCs w:val="21"/>
    </w:rPr>
  </w:style>
  <w:style w:type="character" w:default="1" w:styleId="133">
    <w:name w:val="Default Paragraph Font"/>
    <w:semiHidden/>
    <w:qFormat/>
    <w:uiPriority w:val="0"/>
  </w:style>
  <w:style w:type="table" w:default="1" w:styleId="88">
    <w:name w:val="Normal Table"/>
    <w:semiHidden/>
    <w:qFormat/>
    <w:uiPriority w:val="0"/>
    <w:tblPr>
      <w:tblCellMar>
        <w:top w:w="0" w:type="dxa"/>
        <w:left w:w="108" w:type="dxa"/>
        <w:bottom w:w="0" w:type="dxa"/>
        <w:right w:w="108" w:type="dxa"/>
      </w:tblCellMar>
    </w:tblPr>
  </w:style>
  <w:style w:type="paragraph" w:styleId="2">
    <w:name w:val="footer"/>
    <w:basedOn w:val="1"/>
    <w:link w:val="178"/>
    <w:qFormat/>
    <w:uiPriority w:val="99"/>
    <w:pPr>
      <w:tabs>
        <w:tab w:val="center" w:pos="4153"/>
        <w:tab w:val="right" w:pos="8306"/>
      </w:tabs>
      <w:snapToGrid w:val="0"/>
      <w:jc w:val="left"/>
    </w:pPr>
    <w:rPr>
      <w:rFonts w:ascii="Times New Roman" w:eastAsia="宋体"/>
      <w:sz w:val="18"/>
      <w:szCs w:val="18"/>
    </w:rPr>
  </w:style>
  <w:style w:type="paragraph" w:styleId="3">
    <w:name w:val="macro"/>
    <w:link w:val="151"/>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ind w:firstLine="200" w:firstLineChars="200"/>
      <w:textAlignment w:val="baseline"/>
    </w:pPr>
    <w:rPr>
      <w:rFonts w:ascii="Courier New" w:hAnsi="Courier New" w:eastAsia="宋体" w:cs="Times New Roman"/>
      <w:sz w:val="24"/>
      <w:szCs w:val="24"/>
      <w:lang w:val="en-US" w:eastAsia="zh-CN" w:bidi="ar-SA"/>
    </w:rPr>
  </w:style>
  <w:style w:type="paragraph" w:styleId="6">
    <w:name w:val="Normal Indent"/>
    <w:basedOn w:val="1"/>
    <w:link w:val="154"/>
    <w:qFormat/>
    <w:uiPriority w:val="0"/>
    <w:pPr>
      <w:ind w:firstLine="420" w:firstLineChars="200"/>
    </w:pPr>
  </w:style>
  <w:style w:type="paragraph" w:styleId="14">
    <w:name w:val="List 3"/>
    <w:basedOn w:val="1"/>
    <w:qFormat/>
    <w:uiPriority w:val="0"/>
    <w:pPr>
      <w:spacing w:line="240" w:lineRule="auto"/>
      <w:ind w:left="100" w:leftChars="400" w:hanging="200" w:hangingChars="200"/>
    </w:pPr>
    <w:rPr>
      <w:rFonts w:ascii="Times New Roman" w:eastAsia="宋体"/>
      <w:sz w:val="24"/>
      <w:szCs w:val="20"/>
    </w:rPr>
  </w:style>
  <w:style w:type="paragraph" w:styleId="15">
    <w:name w:val="toc 7"/>
    <w:basedOn w:val="1"/>
    <w:next w:val="1"/>
    <w:qFormat/>
    <w:uiPriority w:val="0"/>
    <w:pPr>
      <w:spacing w:line="240" w:lineRule="auto"/>
      <w:ind w:left="1440" w:firstLine="0" w:firstLineChars="0"/>
      <w:jc w:val="left"/>
    </w:pPr>
    <w:rPr>
      <w:rFonts w:ascii="Calibri" w:hAnsi="Calibri" w:eastAsia="宋体"/>
      <w:sz w:val="18"/>
      <w:szCs w:val="18"/>
    </w:rPr>
  </w:style>
  <w:style w:type="paragraph" w:styleId="16">
    <w:name w:val="List Number 2"/>
    <w:basedOn w:val="1"/>
    <w:qFormat/>
    <w:uiPriority w:val="0"/>
    <w:pPr>
      <w:tabs>
        <w:tab w:val="left" w:pos="1034"/>
      </w:tabs>
      <w:spacing w:line="240" w:lineRule="auto"/>
      <w:ind w:left="1034" w:hanging="420"/>
    </w:pPr>
    <w:rPr>
      <w:rFonts w:ascii="Times New Roman" w:eastAsia="宋体"/>
      <w:sz w:val="24"/>
      <w:szCs w:val="20"/>
    </w:rPr>
  </w:style>
  <w:style w:type="paragraph" w:styleId="17">
    <w:name w:val="table of authorities"/>
    <w:basedOn w:val="1"/>
    <w:next w:val="1"/>
    <w:qFormat/>
    <w:uiPriority w:val="0"/>
    <w:pPr>
      <w:ind w:left="420" w:leftChars="200"/>
    </w:pPr>
    <w:rPr>
      <w:rFonts w:hAnsi="宋体" w:cs="Arial"/>
      <w:kern w:val="44"/>
    </w:rPr>
  </w:style>
  <w:style w:type="paragraph" w:styleId="18">
    <w:name w:val="Note Heading"/>
    <w:basedOn w:val="1"/>
    <w:next w:val="1"/>
    <w:link w:val="162"/>
    <w:qFormat/>
    <w:uiPriority w:val="0"/>
    <w:pPr>
      <w:spacing w:line="240" w:lineRule="auto"/>
      <w:ind w:firstLine="0" w:firstLineChars="0"/>
      <w:jc w:val="center"/>
    </w:pPr>
    <w:rPr>
      <w:rFonts w:ascii="Times New Roman" w:eastAsia="宋体"/>
      <w:sz w:val="24"/>
      <w:szCs w:val="20"/>
    </w:rPr>
  </w:style>
  <w:style w:type="paragraph" w:styleId="19">
    <w:name w:val="List Bullet 4"/>
    <w:basedOn w:val="1"/>
    <w:qFormat/>
    <w:uiPriority w:val="0"/>
    <w:pPr>
      <w:tabs>
        <w:tab w:val="left" w:pos="735"/>
      </w:tabs>
      <w:spacing w:line="240" w:lineRule="auto"/>
      <w:ind w:left="735" w:hanging="315"/>
    </w:pPr>
    <w:rPr>
      <w:rFonts w:ascii="Times New Roman" w:eastAsia="宋体"/>
      <w:sz w:val="24"/>
      <w:szCs w:val="20"/>
    </w:rPr>
  </w:style>
  <w:style w:type="paragraph" w:styleId="20">
    <w:name w:val="index 8"/>
    <w:basedOn w:val="1"/>
    <w:next w:val="1"/>
    <w:qFormat/>
    <w:uiPriority w:val="0"/>
    <w:pPr>
      <w:adjustRightInd w:val="0"/>
      <w:ind w:left="1680" w:hanging="210"/>
      <w:jc w:val="left"/>
      <w:textAlignment w:val="baseline"/>
    </w:pPr>
    <w:rPr>
      <w:rFonts w:ascii="Calibri" w:hAnsi="Calibri"/>
      <w:kern w:val="0"/>
      <w:sz w:val="18"/>
      <w:szCs w:val="18"/>
    </w:rPr>
  </w:style>
  <w:style w:type="paragraph" w:styleId="21">
    <w:name w:val="E-mail Signature"/>
    <w:basedOn w:val="1"/>
    <w:link w:val="163"/>
    <w:qFormat/>
    <w:uiPriority w:val="0"/>
    <w:pPr>
      <w:spacing w:line="240" w:lineRule="auto"/>
      <w:ind w:firstLine="0" w:firstLineChars="0"/>
    </w:pPr>
    <w:rPr>
      <w:rFonts w:ascii="Times New Roman" w:eastAsia="宋体"/>
      <w:sz w:val="24"/>
      <w:szCs w:val="20"/>
    </w:rPr>
  </w:style>
  <w:style w:type="paragraph" w:styleId="22">
    <w:name w:val="List Number"/>
    <w:basedOn w:val="1"/>
    <w:qFormat/>
    <w:uiPriority w:val="0"/>
    <w:pPr>
      <w:tabs>
        <w:tab w:val="left" w:pos="720"/>
      </w:tabs>
      <w:spacing w:line="240" w:lineRule="auto"/>
      <w:ind w:left="425" w:hanging="425"/>
    </w:pPr>
    <w:rPr>
      <w:rFonts w:ascii="Times New Roman" w:eastAsia="宋体"/>
      <w:sz w:val="24"/>
      <w:szCs w:val="20"/>
    </w:rPr>
  </w:style>
  <w:style w:type="paragraph" w:styleId="23">
    <w:name w:val="caption"/>
    <w:basedOn w:val="1"/>
    <w:next w:val="1"/>
    <w:link w:val="164"/>
    <w:qFormat/>
    <w:uiPriority w:val="0"/>
    <w:pPr>
      <w:spacing w:line="240" w:lineRule="auto"/>
      <w:ind w:firstLine="0" w:firstLineChars="0"/>
    </w:pPr>
    <w:rPr>
      <w:rFonts w:ascii="Arial" w:hAnsi="Arial" w:eastAsia="黑体"/>
      <w:sz w:val="20"/>
      <w:szCs w:val="20"/>
    </w:rPr>
  </w:style>
  <w:style w:type="paragraph" w:styleId="24">
    <w:name w:val="index 5"/>
    <w:basedOn w:val="1"/>
    <w:next w:val="1"/>
    <w:qFormat/>
    <w:uiPriority w:val="0"/>
    <w:pPr>
      <w:adjustRightInd w:val="0"/>
      <w:ind w:left="1050" w:hanging="210"/>
      <w:jc w:val="left"/>
      <w:textAlignment w:val="baseline"/>
    </w:pPr>
    <w:rPr>
      <w:rFonts w:ascii="Calibri" w:hAnsi="Calibri"/>
      <w:kern w:val="0"/>
      <w:sz w:val="18"/>
      <w:szCs w:val="18"/>
    </w:rPr>
  </w:style>
  <w:style w:type="paragraph" w:styleId="25">
    <w:name w:val="List Bullet"/>
    <w:basedOn w:val="1"/>
    <w:qFormat/>
    <w:uiPriority w:val="0"/>
    <w:pPr>
      <w:tabs>
        <w:tab w:val="left" w:pos="777"/>
      </w:tabs>
      <w:spacing w:line="240" w:lineRule="auto"/>
      <w:ind w:left="777" w:hanging="420"/>
    </w:pPr>
    <w:rPr>
      <w:rFonts w:ascii="Times New Roman" w:eastAsia="宋体"/>
      <w:sz w:val="24"/>
      <w:szCs w:val="20"/>
    </w:rPr>
  </w:style>
  <w:style w:type="paragraph" w:styleId="26">
    <w:name w:val="envelope address"/>
    <w:basedOn w:val="1"/>
    <w:qFormat/>
    <w:uiPriority w:val="0"/>
    <w:pPr>
      <w:framePr w:w="7920" w:h="1980" w:hRule="exact" w:hSpace="180" w:wrap="around" w:vAnchor="margin" w:hAnchor="page" w:xAlign="center" w:yAlign="bottom"/>
      <w:snapToGrid w:val="0"/>
      <w:spacing w:line="240" w:lineRule="auto"/>
      <w:ind w:left="100" w:leftChars="1400" w:firstLine="0" w:firstLineChars="0"/>
    </w:pPr>
    <w:rPr>
      <w:rFonts w:ascii="Arial" w:hAnsi="Arial" w:eastAsia="宋体" w:cs="Arial"/>
      <w:sz w:val="24"/>
      <w:szCs w:val="24"/>
    </w:rPr>
  </w:style>
  <w:style w:type="paragraph" w:styleId="27">
    <w:name w:val="Document Map"/>
    <w:basedOn w:val="1"/>
    <w:link w:val="165"/>
    <w:qFormat/>
    <w:uiPriority w:val="0"/>
    <w:pPr>
      <w:shd w:val="clear" w:color="auto" w:fill="000080"/>
    </w:pPr>
  </w:style>
  <w:style w:type="paragraph" w:styleId="28">
    <w:name w:val="toa heading"/>
    <w:basedOn w:val="1"/>
    <w:next w:val="1"/>
    <w:qFormat/>
    <w:uiPriority w:val="0"/>
    <w:pPr>
      <w:adjustRightInd w:val="0"/>
      <w:spacing w:before="120"/>
      <w:textAlignment w:val="baseline"/>
    </w:pPr>
    <w:rPr>
      <w:rFonts w:ascii="Cambria" w:hAnsi="Cambria"/>
      <w:kern w:val="0"/>
      <w:sz w:val="24"/>
      <w:szCs w:val="24"/>
    </w:rPr>
  </w:style>
  <w:style w:type="paragraph" w:styleId="29">
    <w:name w:val="annotation text"/>
    <w:basedOn w:val="1"/>
    <w:link w:val="166"/>
    <w:qFormat/>
    <w:uiPriority w:val="99"/>
    <w:pPr>
      <w:jc w:val="left"/>
    </w:pPr>
  </w:style>
  <w:style w:type="paragraph" w:styleId="30">
    <w:name w:val="index 6"/>
    <w:basedOn w:val="1"/>
    <w:next w:val="1"/>
    <w:qFormat/>
    <w:uiPriority w:val="0"/>
    <w:pPr>
      <w:adjustRightInd w:val="0"/>
      <w:ind w:left="1260" w:hanging="210"/>
      <w:jc w:val="left"/>
      <w:textAlignment w:val="baseline"/>
    </w:pPr>
    <w:rPr>
      <w:rFonts w:ascii="Calibri" w:hAnsi="Calibri"/>
      <w:kern w:val="0"/>
      <w:sz w:val="18"/>
      <w:szCs w:val="18"/>
    </w:rPr>
  </w:style>
  <w:style w:type="paragraph" w:styleId="31">
    <w:name w:val="Salutation"/>
    <w:basedOn w:val="1"/>
    <w:next w:val="1"/>
    <w:link w:val="167"/>
    <w:qFormat/>
    <w:uiPriority w:val="0"/>
    <w:pPr>
      <w:spacing w:line="240" w:lineRule="auto"/>
      <w:ind w:firstLine="0" w:firstLineChars="0"/>
    </w:pPr>
    <w:rPr>
      <w:rFonts w:ascii="Times New Roman" w:eastAsia="宋体"/>
      <w:sz w:val="24"/>
      <w:szCs w:val="20"/>
    </w:rPr>
  </w:style>
  <w:style w:type="paragraph" w:styleId="32">
    <w:name w:val="Body Text 3"/>
    <w:basedOn w:val="1"/>
    <w:link w:val="168"/>
    <w:qFormat/>
    <w:uiPriority w:val="0"/>
    <w:pPr>
      <w:tabs>
        <w:tab w:val="left" w:pos="1454"/>
      </w:tabs>
      <w:spacing w:after="120" w:line="240" w:lineRule="auto"/>
      <w:ind w:firstLine="0" w:firstLineChars="0"/>
    </w:pPr>
    <w:rPr>
      <w:rFonts w:ascii="Times New Roman" w:eastAsia="宋体"/>
      <w:sz w:val="16"/>
      <w:szCs w:val="16"/>
    </w:rPr>
  </w:style>
  <w:style w:type="paragraph" w:styleId="33">
    <w:name w:val="Closing"/>
    <w:basedOn w:val="1"/>
    <w:link w:val="169"/>
    <w:qFormat/>
    <w:uiPriority w:val="0"/>
    <w:pPr>
      <w:spacing w:line="240" w:lineRule="auto"/>
      <w:ind w:left="100" w:leftChars="2100" w:firstLine="0" w:firstLineChars="0"/>
    </w:pPr>
    <w:rPr>
      <w:rFonts w:ascii="Times New Roman" w:eastAsia="宋体"/>
      <w:sz w:val="24"/>
      <w:szCs w:val="20"/>
    </w:rPr>
  </w:style>
  <w:style w:type="paragraph" w:styleId="34">
    <w:name w:val="List Bullet 3"/>
    <w:basedOn w:val="1"/>
    <w:qFormat/>
    <w:uiPriority w:val="0"/>
    <w:pPr>
      <w:tabs>
        <w:tab w:val="left" w:pos="360"/>
      </w:tabs>
      <w:spacing w:line="240" w:lineRule="auto"/>
      <w:ind w:left="360" w:hanging="360"/>
    </w:pPr>
    <w:rPr>
      <w:rFonts w:ascii="Times New Roman" w:eastAsia="宋体"/>
      <w:sz w:val="24"/>
      <w:szCs w:val="20"/>
    </w:rPr>
  </w:style>
  <w:style w:type="paragraph" w:styleId="35">
    <w:name w:val="Body Text"/>
    <w:basedOn w:val="1"/>
    <w:link w:val="170"/>
    <w:qFormat/>
    <w:uiPriority w:val="0"/>
    <w:pPr>
      <w:spacing w:after="120" w:line="360" w:lineRule="auto"/>
    </w:pPr>
    <w:rPr>
      <w:rFonts w:ascii="Times New Roman" w:eastAsia="宋体"/>
      <w:sz w:val="24"/>
      <w:szCs w:val="24"/>
    </w:rPr>
  </w:style>
  <w:style w:type="paragraph" w:styleId="36">
    <w:name w:val="Body Text Indent"/>
    <w:basedOn w:val="1"/>
    <w:link w:val="171"/>
    <w:qFormat/>
    <w:uiPriority w:val="0"/>
    <w:pPr>
      <w:ind w:firstLine="570"/>
    </w:pPr>
    <w:rPr>
      <w:rFonts w:ascii="Times New Roman" w:eastAsia="宋体"/>
      <w:szCs w:val="20"/>
    </w:rPr>
  </w:style>
  <w:style w:type="paragraph" w:styleId="37">
    <w:name w:val="List Number 3"/>
    <w:basedOn w:val="1"/>
    <w:qFormat/>
    <w:uiPriority w:val="0"/>
    <w:pPr>
      <w:tabs>
        <w:tab w:val="left" w:pos="1648"/>
      </w:tabs>
      <w:spacing w:line="240" w:lineRule="auto"/>
      <w:ind w:left="1648" w:hanging="420"/>
    </w:pPr>
    <w:rPr>
      <w:rFonts w:ascii="Times New Roman" w:eastAsia="宋体"/>
      <w:sz w:val="24"/>
      <w:szCs w:val="20"/>
    </w:rPr>
  </w:style>
  <w:style w:type="paragraph" w:styleId="38">
    <w:name w:val="List 2"/>
    <w:basedOn w:val="1"/>
    <w:qFormat/>
    <w:uiPriority w:val="0"/>
    <w:pPr>
      <w:spacing w:line="400" w:lineRule="exact"/>
      <w:ind w:left="100" w:leftChars="200" w:hanging="200" w:hangingChars="200"/>
      <w:jc w:val="left"/>
    </w:pPr>
    <w:rPr>
      <w:rFonts w:ascii="Times New Roman" w:eastAsia="宋体"/>
      <w:sz w:val="24"/>
      <w:szCs w:val="24"/>
    </w:rPr>
  </w:style>
  <w:style w:type="paragraph" w:styleId="39">
    <w:name w:val="List Continue"/>
    <w:basedOn w:val="1"/>
    <w:qFormat/>
    <w:uiPriority w:val="0"/>
    <w:pPr>
      <w:spacing w:after="120" w:line="240" w:lineRule="auto"/>
      <w:ind w:left="420" w:leftChars="200" w:firstLine="0" w:firstLineChars="0"/>
    </w:pPr>
    <w:rPr>
      <w:rFonts w:ascii="Times New Roman" w:eastAsia="宋体"/>
      <w:sz w:val="24"/>
      <w:szCs w:val="20"/>
    </w:rPr>
  </w:style>
  <w:style w:type="paragraph" w:styleId="40">
    <w:name w:val="Block Text"/>
    <w:basedOn w:val="1"/>
    <w:qFormat/>
    <w:uiPriority w:val="0"/>
    <w:pPr>
      <w:spacing w:after="120" w:line="240" w:lineRule="auto"/>
      <w:ind w:left="1440" w:leftChars="700" w:right="1440" w:rightChars="700" w:firstLine="0" w:firstLineChars="0"/>
    </w:pPr>
    <w:rPr>
      <w:rFonts w:ascii="Times New Roman" w:eastAsia="宋体"/>
      <w:sz w:val="24"/>
      <w:szCs w:val="20"/>
    </w:rPr>
  </w:style>
  <w:style w:type="paragraph" w:styleId="41">
    <w:name w:val="List Bullet 2"/>
    <w:basedOn w:val="1"/>
    <w:qFormat/>
    <w:uiPriority w:val="0"/>
    <w:pPr>
      <w:tabs>
        <w:tab w:val="left" w:pos="360"/>
      </w:tabs>
      <w:spacing w:line="240" w:lineRule="auto"/>
      <w:ind w:left="360" w:hanging="360"/>
    </w:pPr>
    <w:rPr>
      <w:rFonts w:ascii="Times New Roman" w:eastAsia="宋体"/>
      <w:sz w:val="24"/>
      <w:szCs w:val="20"/>
    </w:rPr>
  </w:style>
  <w:style w:type="paragraph" w:styleId="42">
    <w:name w:val="HTML Address"/>
    <w:basedOn w:val="1"/>
    <w:link w:val="172"/>
    <w:qFormat/>
    <w:uiPriority w:val="0"/>
    <w:pPr>
      <w:spacing w:line="240" w:lineRule="auto"/>
      <w:ind w:firstLine="0" w:firstLineChars="0"/>
    </w:pPr>
    <w:rPr>
      <w:rFonts w:ascii="Times New Roman" w:eastAsia="宋体"/>
      <w:i/>
      <w:iCs/>
      <w:sz w:val="24"/>
      <w:szCs w:val="20"/>
    </w:rPr>
  </w:style>
  <w:style w:type="paragraph" w:styleId="43">
    <w:name w:val="index 4"/>
    <w:basedOn w:val="1"/>
    <w:next w:val="1"/>
    <w:qFormat/>
    <w:uiPriority w:val="0"/>
    <w:pPr>
      <w:adjustRightInd w:val="0"/>
      <w:ind w:left="840" w:hanging="210"/>
      <w:jc w:val="left"/>
      <w:textAlignment w:val="baseline"/>
    </w:pPr>
    <w:rPr>
      <w:rFonts w:ascii="Calibri" w:hAnsi="Calibri"/>
      <w:kern w:val="0"/>
      <w:sz w:val="18"/>
      <w:szCs w:val="18"/>
    </w:rPr>
  </w:style>
  <w:style w:type="paragraph" w:styleId="44">
    <w:name w:val="toc 5"/>
    <w:basedOn w:val="1"/>
    <w:next w:val="1"/>
    <w:qFormat/>
    <w:uiPriority w:val="0"/>
    <w:pPr>
      <w:spacing w:line="240" w:lineRule="auto"/>
      <w:ind w:left="960" w:firstLine="0" w:firstLineChars="0"/>
      <w:jc w:val="left"/>
    </w:pPr>
    <w:rPr>
      <w:rFonts w:ascii="Calibri" w:hAnsi="Calibri" w:eastAsia="宋体"/>
      <w:sz w:val="18"/>
      <w:szCs w:val="18"/>
    </w:rPr>
  </w:style>
  <w:style w:type="paragraph" w:styleId="45">
    <w:name w:val="toc 3"/>
    <w:basedOn w:val="1"/>
    <w:next w:val="1"/>
    <w:qFormat/>
    <w:uiPriority w:val="39"/>
    <w:pPr>
      <w:ind w:left="840" w:leftChars="400"/>
    </w:pPr>
  </w:style>
  <w:style w:type="paragraph" w:styleId="46">
    <w:name w:val="Plain Text"/>
    <w:basedOn w:val="1"/>
    <w:link w:val="173"/>
    <w:qFormat/>
    <w:uiPriority w:val="0"/>
    <w:pPr>
      <w:widowControl/>
      <w:spacing w:line="351" w:lineRule="atLeast"/>
      <w:ind w:firstLine="419"/>
      <w:textAlignment w:val="baseline"/>
    </w:pPr>
    <w:rPr>
      <w:rFonts w:ascii="宋体" w:eastAsia="宋体"/>
      <w:color w:val="000000"/>
      <w:kern w:val="0"/>
      <w:sz w:val="21"/>
      <w:szCs w:val="20"/>
      <w:u w:val="none" w:color="000000"/>
    </w:rPr>
  </w:style>
  <w:style w:type="paragraph" w:styleId="47">
    <w:name w:val="List Bullet 5"/>
    <w:basedOn w:val="1"/>
    <w:qFormat/>
    <w:uiPriority w:val="0"/>
    <w:pPr>
      <w:tabs>
        <w:tab w:val="left" w:pos="360"/>
      </w:tabs>
      <w:spacing w:line="240" w:lineRule="auto"/>
      <w:ind w:left="360" w:hanging="360"/>
    </w:pPr>
    <w:rPr>
      <w:rFonts w:ascii="Times New Roman" w:eastAsia="宋体"/>
      <w:sz w:val="24"/>
      <w:szCs w:val="20"/>
    </w:rPr>
  </w:style>
  <w:style w:type="paragraph" w:styleId="48">
    <w:name w:val="List Number 4"/>
    <w:basedOn w:val="1"/>
    <w:qFormat/>
    <w:uiPriority w:val="0"/>
    <w:pPr>
      <w:tabs>
        <w:tab w:val="left" w:pos="1454"/>
      </w:tabs>
      <w:spacing w:line="240" w:lineRule="auto"/>
      <w:ind w:left="1454" w:hanging="420"/>
    </w:pPr>
    <w:rPr>
      <w:rFonts w:ascii="Times New Roman" w:eastAsia="宋体"/>
      <w:sz w:val="24"/>
      <w:szCs w:val="20"/>
    </w:rPr>
  </w:style>
  <w:style w:type="paragraph" w:styleId="49">
    <w:name w:val="toc 8"/>
    <w:basedOn w:val="1"/>
    <w:next w:val="1"/>
    <w:qFormat/>
    <w:uiPriority w:val="0"/>
    <w:pPr>
      <w:spacing w:line="240" w:lineRule="auto"/>
      <w:ind w:left="1680" w:firstLine="0" w:firstLineChars="0"/>
      <w:jc w:val="left"/>
    </w:pPr>
    <w:rPr>
      <w:rFonts w:ascii="Calibri" w:hAnsi="Calibri" w:eastAsia="宋体"/>
      <w:sz w:val="18"/>
      <w:szCs w:val="18"/>
    </w:rPr>
  </w:style>
  <w:style w:type="paragraph" w:styleId="50">
    <w:name w:val="index 3"/>
    <w:basedOn w:val="1"/>
    <w:next w:val="1"/>
    <w:qFormat/>
    <w:uiPriority w:val="0"/>
    <w:pPr>
      <w:adjustRightInd w:val="0"/>
      <w:ind w:left="630" w:hanging="210"/>
      <w:jc w:val="left"/>
      <w:textAlignment w:val="baseline"/>
    </w:pPr>
    <w:rPr>
      <w:rFonts w:ascii="Calibri" w:hAnsi="Calibri"/>
      <w:kern w:val="0"/>
      <w:sz w:val="18"/>
      <w:szCs w:val="18"/>
    </w:rPr>
  </w:style>
  <w:style w:type="paragraph" w:styleId="51">
    <w:name w:val="Date"/>
    <w:basedOn w:val="1"/>
    <w:next w:val="1"/>
    <w:link w:val="174"/>
    <w:qFormat/>
    <w:uiPriority w:val="0"/>
    <w:pPr>
      <w:ind w:left="100" w:leftChars="2500"/>
    </w:pPr>
    <w:rPr>
      <w:rFonts w:ascii="Times New Roman" w:eastAsia="宋体"/>
      <w:sz w:val="21"/>
      <w:szCs w:val="24"/>
    </w:rPr>
  </w:style>
  <w:style w:type="paragraph" w:styleId="52">
    <w:name w:val="Body Text Indent 2"/>
    <w:basedOn w:val="1"/>
    <w:link w:val="175"/>
    <w:qFormat/>
    <w:uiPriority w:val="0"/>
    <w:pPr>
      <w:spacing w:after="120" w:line="480" w:lineRule="auto"/>
      <w:ind w:left="420" w:leftChars="200"/>
    </w:pPr>
  </w:style>
  <w:style w:type="paragraph" w:styleId="53">
    <w:name w:val="endnote text"/>
    <w:basedOn w:val="1"/>
    <w:link w:val="176"/>
    <w:qFormat/>
    <w:uiPriority w:val="0"/>
    <w:pPr>
      <w:snapToGrid w:val="0"/>
      <w:jc w:val="left"/>
    </w:pPr>
  </w:style>
  <w:style w:type="paragraph" w:styleId="54">
    <w:name w:val="List Continue 5"/>
    <w:basedOn w:val="1"/>
    <w:qFormat/>
    <w:uiPriority w:val="0"/>
    <w:pPr>
      <w:spacing w:after="120" w:line="240" w:lineRule="auto"/>
      <w:ind w:left="2100" w:leftChars="1000" w:firstLine="0" w:firstLineChars="0"/>
    </w:pPr>
    <w:rPr>
      <w:rFonts w:ascii="Times New Roman" w:eastAsia="宋体"/>
      <w:sz w:val="24"/>
      <w:szCs w:val="20"/>
    </w:rPr>
  </w:style>
  <w:style w:type="paragraph" w:styleId="55">
    <w:name w:val="Balloon Text"/>
    <w:basedOn w:val="1"/>
    <w:link w:val="177"/>
    <w:qFormat/>
    <w:uiPriority w:val="99"/>
    <w:rPr>
      <w:sz w:val="18"/>
      <w:szCs w:val="18"/>
    </w:rPr>
  </w:style>
  <w:style w:type="paragraph" w:styleId="56">
    <w:name w:val="envelope return"/>
    <w:basedOn w:val="1"/>
    <w:qFormat/>
    <w:uiPriority w:val="0"/>
    <w:pPr>
      <w:snapToGrid w:val="0"/>
      <w:spacing w:line="240" w:lineRule="auto"/>
      <w:ind w:firstLine="0" w:firstLineChars="0"/>
    </w:pPr>
    <w:rPr>
      <w:rFonts w:ascii="Arial" w:hAnsi="Arial" w:eastAsia="宋体" w:cs="Arial"/>
      <w:sz w:val="24"/>
      <w:szCs w:val="20"/>
    </w:rPr>
  </w:style>
  <w:style w:type="paragraph" w:styleId="57">
    <w:name w:val="header"/>
    <w:basedOn w:val="1"/>
    <w:link w:val="179"/>
    <w:qFormat/>
    <w:uiPriority w:val="99"/>
    <w:pPr>
      <w:pBdr>
        <w:bottom w:val="single" w:color="auto" w:sz="6" w:space="1"/>
      </w:pBdr>
      <w:tabs>
        <w:tab w:val="center" w:pos="4153"/>
        <w:tab w:val="right" w:pos="8306"/>
      </w:tabs>
      <w:snapToGrid w:val="0"/>
      <w:jc w:val="center"/>
    </w:pPr>
    <w:rPr>
      <w:rFonts w:ascii="Times New Roman" w:eastAsia="宋体"/>
      <w:sz w:val="18"/>
      <w:szCs w:val="18"/>
    </w:rPr>
  </w:style>
  <w:style w:type="paragraph" w:styleId="58">
    <w:name w:val="Signature"/>
    <w:basedOn w:val="1"/>
    <w:link w:val="180"/>
    <w:qFormat/>
    <w:uiPriority w:val="0"/>
    <w:pPr>
      <w:spacing w:line="240" w:lineRule="auto"/>
      <w:ind w:left="100" w:leftChars="2100" w:firstLine="0" w:firstLineChars="0"/>
    </w:pPr>
    <w:rPr>
      <w:rFonts w:ascii="Times New Roman" w:eastAsia="宋体"/>
      <w:sz w:val="24"/>
      <w:szCs w:val="20"/>
    </w:rPr>
  </w:style>
  <w:style w:type="paragraph" w:styleId="59">
    <w:name w:val="toc 1"/>
    <w:basedOn w:val="1"/>
    <w:next w:val="1"/>
    <w:link w:val="181"/>
    <w:qFormat/>
    <w:uiPriority w:val="39"/>
    <w:pPr>
      <w:ind w:firstLine="0" w:firstLineChars="0"/>
    </w:pPr>
    <w:rPr>
      <w:rFonts w:ascii="Times New Roman" w:eastAsia="黑体"/>
    </w:rPr>
  </w:style>
  <w:style w:type="paragraph" w:styleId="60">
    <w:name w:val="List Continue 4"/>
    <w:basedOn w:val="1"/>
    <w:qFormat/>
    <w:uiPriority w:val="0"/>
    <w:pPr>
      <w:spacing w:after="120" w:line="240" w:lineRule="auto"/>
      <w:ind w:left="1680" w:leftChars="800" w:firstLine="0" w:firstLineChars="0"/>
    </w:pPr>
    <w:rPr>
      <w:rFonts w:ascii="Times New Roman" w:eastAsia="宋体"/>
      <w:sz w:val="24"/>
      <w:szCs w:val="20"/>
    </w:rPr>
  </w:style>
  <w:style w:type="paragraph" w:styleId="61">
    <w:name w:val="toc 4"/>
    <w:basedOn w:val="1"/>
    <w:next w:val="1"/>
    <w:qFormat/>
    <w:uiPriority w:val="0"/>
    <w:pPr>
      <w:spacing w:line="240" w:lineRule="auto"/>
      <w:ind w:left="720" w:firstLine="0" w:firstLineChars="0"/>
      <w:jc w:val="left"/>
    </w:pPr>
    <w:rPr>
      <w:rFonts w:ascii="Calibri" w:hAnsi="Calibri" w:eastAsia="宋体"/>
      <w:sz w:val="18"/>
      <w:szCs w:val="18"/>
    </w:rPr>
  </w:style>
  <w:style w:type="paragraph" w:styleId="62">
    <w:name w:val="index heading"/>
    <w:basedOn w:val="1"/>
    <w:next w:val="63"/>
    <w:qFormat/>
    <w:uiPriority w:val="0"/>
    <w:pPr>
      <w:adjustRightInd w:val="0"/>
      <w:spacing w:before="240" w:after="120"/>
      <w:ind w:left="140"/>
      <w:jc w:val="left"/>
      <w:textAlignment w:val="baseline"/>
    </w:pPr>
    <w:rPr>
      <w:rFonts w:ascii="Cambria" w:hAnsi="Cambria"/>
      <w:b/>
      <w:bCs/>
      <w:kern w:val="0"/>
    </w:rPr>
  </w:style>
  <w:style w:type="paragraph" w:styleId="63">
    <w:name w:val="index 1"/>
    <w:basedOn w:val="1"/>
    <w:next w:val="1"/>
    <w:qFormat/>
    <w:uiPriority w:val="0"/>
    <w:pPr>
      <w:adjustRightInd w:val="0"/>
      <w:ind w:left="210" w:hanging="210"/>
      <w:jc w:val="left"/>
      <w:textAlignment w:val="baseline"/>
    </w:pPr>
    <w:rPr>
      <w:rFonts w:ascii="Calibri" w:hAnsi="Calibri"/>
      <w:kern w:val="0"/>
      <w:sz w:val="18"/>
      <w:szCs w:val="18"/>
    </w:rPr>
  </w:style>
  <w:style w:type="paragraph" w:styleId="64">
    <w:name w:val="Subtitle"/>
    <w:basedOn w:val="1"/>
    <w:next w:val="1"/>
    <w:link w:val="182"/>
    <w:qFormat/>
    <w:uiPriority w:val="0"/>
    <w:pPr>
      <w:spacing w:before="240" w:after="60" w:line="312" w:lineRule="auto"/>
      <w:ind w:firstLine="0" w:firstLineChars="0"/>
      <w:jc w:val="center"/>
      <w:outlineLvl w:val="1"/>
    </w:pPr>
    <w:rPr>
      <w:rFonts w:ascii="Cambria" w:hAnsi="Cambria" w:eastAsia="宋体"/>
      <w:b/>
      <w:bCs/>
      <w:kern w:val="28"/>
      <w:sz w:val="32"/>
      <w:szCs w:val="32"/>
    </w:rPr>
  </w:style>
  <w:style w:type="paragraph" w:styleId="65">
    <w:name w:val="List Number 5"/>
    <w:basedOn w:val="1"/>
    <w:qFormat/>
    <w:uiPriority w:val="0"/>
    <w:pPr>
      <w:tabs>
        <w:tab w:val="left" w:pos="924"/>
      </w:tabs>
      <w:spacing w:line="240" w:lineRule="auto"/>
      <w:ind w:left="924" w:hanging="300"/>
    </w:pPr>
    <w:rPr>
      <w:rFonts w:ascii="Times New Roman" w:eastAsia="宋体"/>
      <w:sz w:val="24"/>
      <w:szCs w:val="20"/>
    </w:rPr>
  </w:style>
  <w:style w:type="paragraph" w:styleId="66">
    <w:name w:val="List"/>
    <w:basedOn w:val="1"/>
    <w:qFormat/>
    <w:uiPriority w:val="0"/>
    <w:pPr>
      <w:spacing w:line="240" w:lineRule="auto"/>
      <w:ind w:left="200" w:hanging="200" w:hangingChars="200"/>
    </w:pPr>
    <w:rPr>
      <w:rFonts w:ascii="Times New Roman" w:eastAsia="宋体"/>
      <w:sz w:val="24"/>
      <w:szCs w:val="20"/>
    </w:rPr>
  </w:style>
  <w:style w:type="paragraph" w:styleId="67">
    <w:name w:val="footnote text"/>
    <w:basedOn w:val="1"/>
    <w:link w:val="183"/>
    <w:qFormat/>
    <w:uiPriority w:val="0"/>
    <w:pPr>
      <w:snapToGrid w:val="0"/>
      <w:spacing w:line="240" w:lineRule="auto"/>
      <w:ind w:firstLine="0" w:firstLineChars="0"/>
      <w:jc w:val="left"/>
    </w:pPr>
    <w:rPr>
      <w:rFonts w:ascii="Times New Roman" w:eastAsia="华文中宋"/>
      <w:sz w:val="18"/>
      <w:szCs w:val="18"/>
    </w:rPr>
  </w:style>
  <w:style w:type="paragraph" w:styleId="68">
    <w:name w:val="toc 6"/>
    <w:basedOn w:val="1"/>
    <w:next w:val="1"/>
    <w:qFormat/>
    <w:uiPriority w:val="0"/>
    <w:pPr>
      <w:spacing w:line="240" w:lineRule="auto"/>
      <w:ind w:left="1200" w:firstLine="0" w:firstLineChars="0"/>
      <w:jc w:val="left"/>
    </w:pPr>
    <w:rPr>
      <w:rFonts w:ascii="Calibri" w:hAnsi="Calibri" w:eastAsia="宋体"/>
      <w:sz w:val="18"/>
      <w:szCs w:val="18"/>
    </w:rPr>
  </w:style>
  <w:style w:type="paragraph" w:styleId="69">
    <w:name w:val="List 5"/>
    <w:basedOn w:val="1"/>
    <w:qFormat/>
    <w:uiPriority w:val="0"/>
    <w:pPr>
      <w:spacing w:line="240" w:lineRule="auto"/>
      <w:ind w:left="100" w:leftChars="800" w:hanging="200" w:hangingChars="200"/>
    </w:pPr>
    <w:rPr>
      <w:rFonts w:ascii="Times New Roman" w:eastAsia="宋体"/>
      <w:sz w:val="24"/>
      <w:szCs w:val="20"/>
    </w:rPr>
  </w:style>
  <w:style w:type="paragraph" w:styleId="70">
    <w:name w:val="Body Text Indent 3"/>
    <w:basedOn w:val="1"/>
    <w:link w:val="184"/>
    <w:qFormat/>
    <w:uiPriority w:val="0"/>
    <w:pPr>
      <w:spacing w:after="120" w:line="400" w:lineRule="exact"/>
      <w:ind w:left="420" w:leftChars="200"/>
      <w:jc w:val="left"/>
    </w:pPr>
    <w:rPr>
      <w:rFonts w:ascii="Times New Roman" w:eastAsia="宋体"/>
      <w:sz w:val="16"/>
      <w:szCs w:val="16"/>
    </w:rPr>
  </w:style>
  <w:style w:type="paragraph" w:styleId="71">
    <w:name w:val="index 7"/>
    <w:basedOn w:val="1"/>
    <w:next w:val="1"/>
    <w:qFormat/>
    <w:uiPriority w:val="0"/>
    <w:pPr>
      <w:adjustRightInd w:val="0"/>
      <w:ind w:left="1470" w:hanging="210"/>
      <w:jc w:val="left"/>
      <w:textAlignment w:val="baseline"/>
    </w:pPr>
    <w:rPr>
      <w:rFonts w:ascii="Calibri" w:hAnsi="Calibri"/>
      <w:kern w:val="0"/>
      <w:sz w:val="18"/>
      <w:szCs w:val="18"/>
    </w:rPr>
  </w:style>
  <w:style w:type="paragraph" w:styleId="72">
    <w:name w:val="index 9"/>
    <w:basedOn w:val="1"/>
    <w:next w:val="1"/>
    <w:qFormat/>
    <w:uiPriority w:val="0"/>
    <w:pPr>
      <w:adjustRightInd w:val="0"/>
      <w:ind w:left="1890" w:hanging="210"/>
      <w:jc w:val="left"/>
      <w:textAlignment w:val="baseline"/>
    </w:pPr>
    <w:rPr>
      <w:rFonts w:ascii="Calibri" w:hAnsi="Calibri"/>
      <w:kern w:val="0"/>
      <w:sz w:val="18"/>
      <w:szCs w:val="18"/>
    </w:rPr>
  </w:style>
  <w:style w:type="paragraph" w:styleId="73">
    <w:name w:val="table of figures"/>
    <w:basedOn w:val="1"/>
    <w:next w:val="1"/>
    <w:qFormat/>
    <w:uiPriority w:val="0"/>
    <w:pPr>
      <w:adjustRightInd w:val="0"/>
      <w:ind w:left="420" w:hanging="420"/>
      <w:jc w:val="left"/>
      <w:textAlignment w:val="baseline"/>
    </w:pPr>
    <w:rPr>
      <w:caps/>
      <w:kern w:val="0"/>
      <w:sz w:val="20"/>
    </w:rPr>
  </w:style>
  <w:style w:type="paragraph" w:styleId="74">
    <w:name w:val="toc 2"/>
    <w:basedOn w:val="1"/>
    <w:next w:val="1"/>
    <w:qFormat/>
    <w:uiPriority w:val="39"/>
    <w:pPr>
      <w:ind w:firstLine="100" w:firstLineChars="100"/>
    </w:pPr>
    <w:rPr>
      <w:rFonts w:ascii="Times New Roman"/>
    </w:rPr>
  </w:style>
  <w:style w:type="paragraph" w:styleId="75">
    <w:name w:val="toc 9"/>
    <w:basedOn w:val="1"/>
    <w:next w:val="1"/>
    <w:qFormat/>
    <w:uiPriority w:val="0"/>
    <w:pPr>
      <w:spacing w:line="240" w:lineRule="auto"/>
      <w:ind w:left="1920" w:firstLine="0" w:firstLineChars="0"/>
      <w:jc w:val="left"/>
    </w:pPr>
    <w:rPr>
      <w:rFonts w:ascii="Calibri" w:hAnsi="Calibri" w:eastAsia="宋体"/>
      <w:sz w:val="18"/>
      <w:szCs w:val="18"/>
    </w:rPr>
  </w:style>
  <w:style w:type="paragraph" w:styleId="76">
    <w:name w:val="Body Text 2"/>
    <w:basedOn w:val="1"/>
    <w:link w:val="185"/>
    <w:qFormat/>
    <w:uiPriority w:val="0"/>
    <w:pPr>
      <w:spacing w:after="120" w:line="480" w:lineRule="auto"/>
      <w:ind w:firstLine="0" w:firstLineChars="0"/>
    </w:pPr>
    <w:rPr>
      <w:rFonts w:ascii="Times New Roman" w:eastAsia="宋体"/>
      <w:sz w:val="21"/>
      <w:szCs w:val="24"/>
    </w:rPr>
  </w:style>
  <w:style w:type="paragraph" w:styleId="77">
    <w:name w:val="List 4"/>
    <w:basedOn w:val="1"/>
    <w:qFormat/>
    <w:uiPriority w:val="0"/>
    <w:pPr>
      <w:spacing w:line="240" w:lineRule="auto"/>
      <w:ind w:left="100" w:leftChars="600" w:hanging="200" w:hangingChars="200"/>
    </w:pPr>
    <w:rPr>
      <w:rFonts w:ascii="Times New Roman" w:eastAsia="宋体"/>
      <w:sz w:val="24"/>
      <w:szCs w:val="20"/>
    </w:rPr>
  </w:style>
  <w:style w:type="paragraph" w:styleId="78">
    <w:name w:val="List Continue 2"/>
    <w:basedOn w:val="1"/>
    <w:qFormat/>
    <w:uiPriority w:val="0"/>
    <w:pPr>
      <w:spacing w:after="120" w:line="240" w:lineRule="auto"/>
      <w:ind w:left="840" w:leftChars="400" w:firstLine="0" w:firstLineChars="0"/>
    </w:pPr>
    <w:rPr>
      <w:rFonts w:ascii="Times New Roman" w:eastAsia="宋体"/>
      <w:sz w:val="24"/>
      <w:szCs w:val="20"/>
    </w:rPr>
  </w:style>
  <w:style w:type="paragraph" w:styleId="79">
    <w:name w:val="Message Header"/>
    <w:basedOn w:val="1"/>
    <w:link w:val="186"/>
    <w:qFormat/>
    <w:uiPriority w:val="0"/>
    <w:pPr>
      <w:pBdr>
        <w:top w:val="single" w:color="auto" w:sz="6" w:space="1"/>
        <w:left w:val="single" w:color="auto" w:sz="6" w:space="1"/>
        <w:bottom w:val="single" w:color="auto" w:sz="6" w:space="1"/>
        <w:right w:val="single" w:color="auto" w:sz="6" w:space="1"/>
      </w:pBdr>
      <w:shd w:val="pct20" w:color="auto" w:fill="auto"/>
      <w:spacing w:line="240" w:lineRule="auto"/>
      <w:ind w:left="1080" w:leftChars="500" w:hanging="1080" w:hangingChars="500"/>
    </w:pPr>
    <w:rPr>
      <w:rFonts w:ascii="Arial" w:hAnsi="Arial" w:eastAsia="宋体"/>
      <w:sz w:val="24"/>
      <w:szCs w:val="24"/>
    </w:rPr>
  </w:style>
  <w:style w:type="paragraph" w:styleId="80">
    <w:name w:val="HTML Preformatted"/>
    <w:basedOn w:val="1"/>
    <w:link w:val="187"/>
    <w:qFormat/>
    <w:uiPriority w:val="0"/>
    <w:pPr>
      <w:spacing w:line="240" w:lineRule="auto"/>
      <w:ind w:firstLine="0" w:firstLineChars="0"/>
    </w:pPr>
    <w:rPr>
      <w:rFonts w:ascii="Courier New" w:hAnsi="Courier New" w:eastAsia="宋体"/>
      <w:sz w:val="20"/>
      <w:szCs w:val="20"/>
    </w:rPr>
  </w:style>
  <w:style w:type="paragraph" w:styleId="81">
    <w:name w:val="Normal (Web)"/>
    <w:basedOn w:val="1"/>
    <w:qFormat/>
    <w:uiPriority w:val="99"/>
    <w:pPr>
      <w:widowControl/>
      <w:spacing w:before="100" w:beforeAutospacing="1" w:after="100" w:afterAutospacing="1" w:line="240" w:lineRule="auto"/>
      <w:ind w:firstLine="0" w:firstLineChars="0"/>
      <w:jc w:val="left"/>
    </w:pPr>
    <w:rPr>
      <w:rFonts w:ascii="宋体" w:hAnsi="宋体" w:eastAsia="宋体" w:cs="宋体"/>
      <w:kern w:val="0"/>
      <w:sz w:val="24"/>
      <w:szCs w:val="24"/>
    </w:rPr>
  </w:style>
  <w:style w:type="paragraph" w:styleId="82">
    <w:name w:val="List Continue 3"/>
    <w:basedOn w:val="1"/>
    <w:qFormat/>
    <w:uiPriority w:val="0"/>
    <w:pPr>
      <w:spacing w:after="120" w:line="240" w:lineRule="auto"/>
      <w:ind w:left="1260" w:leftChars="600" w:firstLine="0" w:firstLineChars="0"/>
    </w:pPr>
    <w:rPr>
      <w:rFonts w:ascii="Times New Roman" w:eastAsia="宋体"/>
      <w:sz w:val="24"/>
      <w:szCs w:val="20"/>
    </w:rPr>
  </w:style>
  <w:style w:type="paragraph" w:styleId="83">
    <w:name w:val="index 2"/>
    <w:basedOn w:val="1"/>
    <w:next w:val="1"/>
    <w:qFormat/>
    <w:uiPriority w:val="0"/>
    <w:pPr>
      <w:adjustRightInd w:val="0"/>
      <w:ind w:left="420" w:hanging="210"/>
      <w:jc w:val="left"/>
      <w:textAlignment w:val="baseline"/>
    </w:pPr>
    <w:rPr>
      <w:rFonts w:ascii="Calibri" w:hAnsi="Calibri"/>
      <w:kern w:val="0"/>
      <w:sz w:val="18"/>
      <w:szCs w:val="18"/>
    </w:rPr>
  </w:style>
  <w:style w:type="paragraph" w:styleId="84">
    <w:name w:val="Title"/>
    <w:basedOn w:val="1"/>
    <w:next w:val="1"/>
    <w:link w:val="188"/>
    <w:qFormat/>
    <w:uiPriority w:val="0"/>
    <w:pPr>
      <w:spacing w:line="360" w:lineRule="auto"/>
      <w:jc w:val="left"/>
    </w:pPr>
    <w:rPr>
      <w:rFonts w:ascii="Times New Roman" w:eastAsia="宋体"/>
      <w:bCs/>
      <w:sz w:val="24"/>
      <w:szCs w:val="32"/>
    </w:rPr>
  </w:style>
  <w:style w:type="paragraph" w:styleId="85">
    <w:name w:val="annotation subject"/>
    <w:basedOn w:val="29"/>
    <w:next w:val="29"/>
    <w:link w:val="189"/>
    <w:qFormat/>
    <w:uiPriority w:val="99"/>
    <w:rPr>
      <w:b/>
      <w:bCs/>
    </w:rPr>
  </w:style>
  <w:style w:type="paragraph" w:styleId="86">
    <w:name w:val="Body Text First Indent"/>
    <w:basedOn w:val="35"/>
    <w:link w:val="190"/>
    <w:qFormat/>
    <w:uiPriority w:val="0"/>
    <w:pPr>
      <w:spacing w:line="240" w:lineRule="auto"/>
      <w:ind w:firstLine="420" w:firstLineChars="100"/>
    </w:pPr>
    <w:rPr>
      <w:sz w:val="21"/>
    </w:rPr>
  </w:style>
  <w:style w:type="paragraph" w:styleId="87">
    <w:name w:val="Body Text First Indent 2"/>
    <w:basedOn w:val="36"/>
    <w:link w:val="191"/>
    <w:qFormat/>
    <w:uiPriority w:val="0"/>
    <w:pPr>
      <w:spacing w:after="120" w:line="240" w:lineRule="auto"/>
      <w:ind w:left="420" w:firstLine="210" w:firstLineChars="0"/>
    </w:pPr>
    <w:rPr>
      <w:sz w:val="21"/>
    </w:rPr>
  </w:style>
  <w:style w:type="table" w:styleId="89">
    <w:name w:val="Table Grid"/>
    <w:basedOn w:val="88"/>
    <w:qFormat/>
    <w:uiPriority w:val="0"/>
    <w:rPr>
      <w:rFonts w:ascii="Calibri" w:hAnsi="Calibri"/>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styleId="90">
    <w:name w:val="Table Theme"/>
    <w:basedOn w:val="88"/>
    <w:qFormat/>
    <w:uiPriority w:val="0"/>
    <w:pPr>
      <w:widowControl w:val="0"/>
      <w:spacing w:line="560" w:lineRule="exact"/>
      <w:ind w:firstLine="200" w:firstLineChars="200"/>
      <w:jc w:val="both"/>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91">
    <w:name w:val="Table Colorful 1"/>
    <w:basedOn w:val="88"/>
    <w:qFormat/>
    <w:uiPriority w:val="0"/>
    <w:pPr>
      <w:widowControl w:val="0"/>
      <w:spacing w:line="560" w:lineRule="exact"/>
      <w:ind w:firstLine="200" w:firstLineChars="200"/>
      <w:jc w:val="both"/>
    </w:pPr>
    <w:rPr>
      <w:rFonts w:ascii="Calibri" w:hAnsi="Calibri"/>
      <w:color w:val="FFFFFF"/>
    </w:rPr>
    <w:tblPr>
      <w:tblBorders>
        <w:top w:val="single" w:color="008080" w:sz="12" w:space="0"/>
        <w:left w:val="single" w:color="008080" w:sz="12" w:space="0"/>
        <w:bottom w:val="single" w:color="008080" w:sz="12" w:space="0"/>
        <w:right w:val="single" w:color="008080" w:sz="12" w:space="0"/>
        <w:insideH w:val="single" w:color="00FFFF" w:sz="6" w:space="0"/>
      </w:tblBorders>
    </w:tblPr>
    <w:tcPr>
      <w:shd w:val="solid" w:color="008080" w:fill="FFFFFF"/>
    </w:tcPr>
    <w:tblStylePr w:type="firstRow">
      <w:rPr>
        <w:b/>
        <w:bCs/>
        <w:i/>
        <w:iCs/>
      </w:rPr>
      <w:tblPr/>
      <w:tcPr>
        <w:tcBorders>
          <w:top w:val="nil"/>
          <w:left w:val="nil"/>
          <w:bottom w:val="nil"/>
          <w:right w:val="nil"/>
          <w:insideH w:val="nil"/>
          <w:insideV w:val="nil"/>
          <w:tl2br w:val="nil"/>
          <w:tr2bl w:val="nil"/>
        </w:tcBorders>
        <w:shd w:val="solid" w:color="000000" w:fill="FFFFFF"/>
      </w:tcPr>
    </w:tblStylePr>
    <w:tblStylePr w:type="firstCol">
      <w:rPr>
        <w:b/>
        <w:bCs/>
        <w:i/>
        <w:iCs/>
      </w:rPr>
      <w:tblPr/>
      <w:tcPr>
        <w:tcBorders>
          <w:top w:val="nil"/>
          <w:left w:val="nil"/>
          <w:bottom w:val="nil"/>
          <w:right w:val="nil"/>
          <w:insideH w:val="nil"/>
          <w:insideV w:val="nil"/>
          <w:tl2br w:val="nil"/>
          <w:tr2bl w:val="nil"/>
        </w:tcBorders>
        <w:shd w:val="solid" w:color="000080" w:fill="FFFFFF"/>
      </w:tcPr>
    </w:tblStylePr>
    <w:tblStylePr w:type="nwCell">
      <w:tblPr/>
      <w:tcPr>
        <w:tcBorders>
          <w:top w:val="nil"/>
          <w:left w:val="nil"/>
          <w:bottom w:val="nil"/>
          <w:right w:val="nil"/>
          <w:insideH w:val="nil"/>
          <w:insideV w:val="nil"/>
          <w:tl2br w:val="nil"/>
          <w:tr2bl w:val="nil"/>
        </w:tcBorders>
        <w:shd w:val="solid" w:color="00000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styleId="92">
    <w:name w:val="Table Colorful 2"/>
    <w:basedOn w:val="88"/>
    <w:qFormat/>
    <w:uiPriority w:val="0"/>
    <w:pPr>
      <w:widowControl w:val="0"/>
      <w:spacing w:line="560" w:lineRule="exact"/>
      <w:ind w:firstLine="200" w:firstLineChars="200"/>
      <w:jc w:val="both"/>
    </w:pPr>
    <w:rPr>
      <w:rFonts w:ascii="Calibri" w:hAnsi="Calibri"/>
    </w:rPr>
    <w:tblPr>
      <w:tblBorders>
        <w:bottom w:val="single" w:color="000000" w:sz="12" w:space="0"/>
      </w:tblBorders>
    </w:tblPr>
    <w:tcPr>
      <w:shd w:val="pct20" w:color="FFFF00" w:fill="FFFFFF"/>
    </w:tcPr>
    <w:tblStylePr w:type="firstRow">
      <w:rPr>
        <w:b/>
        <w:bCs/>
        <w:i/>
        <w:iCs/>
        <w:color w:val="FFFFFF"/>
      </w:rPr>
      <w:tblPr/>
      <w:tcPr>
        <w:tcBorders>
          <w:top w:val="nil"/>
          <w:left w:val="single" w:color="000000" w:sz="12" w:space="0"/>
          <w:bottom w:val="nil"/>
          <w:right w:val="nil"/>
          <w:insideH w:val="nil"/>
          <w:insideV w:val="nil"/>
          <w:tl2br w:val="nil"/>
          <w:tr2bl w:val="nil"/>
        </w:tcBorders>
        <w:shd w:val="solid" w:color="800000" w:fill="FFFFFF"/>
      </w:tcPr>
    </w:tblStylePr>
    <w:tblStylePr w:type="firstCol">
      <w:rPr>
        <w:b/>
        <w:bCs/>
        <w:i/>
        <w:iCs/>
      </w:rPr>
      <w:tblPr/>
      <w:tcPr>
        <w:tcBorders>
          <w:top w:val="nil"/>
          <w:left w:val="nil"/>
          <w:bottom w:val="nil"/>
          <w:right w:val="nil"/>
          <w:insideH w:val="nil"/>
          <w:insideV w:val="nil"/>
          <w:tl2br w:val="nil"/>
          <w:tr2bl w:val="nil"/>
        </w:tcBorders>
      </w:tcPr>
    </w:tblStylePr>
    <w:tblStylePr w:type="lastCol">
      <w:tblPr/>
      <w:tcPr>
        <w:tcBorders>
          <w:top w:val="nil"/>
          <w:left w:val="nil"/>
          <w:bottom w:val="nil"/>
          <w:right w:val="nil"/>
          <w:insideH w:val="nil"/>
          <w:insideV w:val="nil"/>
          <w:tl2br w:val="nil"/>
          <w:tr2bl w:val="nil"/>
        </w:tcBorders>
        <w:shd w:val="solid" w:color="C0C0C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styleId="93">
    <w:name w:val="Table Colorful 3"/>
    <w:basedOn w:val="88"/>
    <w:qFormat/>
    <w:uiPriority w:val="0"/>
    <w:pPr>
      <w:widowControl w:val="0"/>
      <w:spacing w:line="560" w:lineRule="exact"/>
      <w:ind w:firstLine="200" w:firstLineChars="200"/>
      <w:jc w:val="both"/>
    </w:pPr>
    <w:rPr>
      <w:rFonts w:ascii="Calibri" w:hAnsi="Calibri"/>
    </w:rPr>
    <w:tblPr>
      <w:tblBorders>
        <w:top w:val="single" w:color="000000" w:sz="18" w:space="0"/>
        <w:left w:val="single" w:color="000000" w:sz="18" w:space="0"/>
        <w:bottom w:val="single" w:color="000000" w:sz="18" w:space="0"/>
        <w:right w:val="single" w:color="000000" w:sz="18" w:space="0"/>
        <w:insideH w:val="single" w:color="C0C0C0" w:sz="6" w:space="0"/>
      </w:tblBorders>
    </w:tblPr>
    <w:tcPr>
      <w:shd w:val="pct25" w:color="008080" w:fill="FFFFFF"/>
    </w:tcPr>
    <w:tblStylePr w:type="firstRow">
      <w:tblPr/>
      <w:tcPr>
        <w:tcBorders>
          <w:top w:val="nil"/>
          <w:left w:val="single" w:color="000000" w:sz="6" w:space="0"/>
          <w:bottom w:val="nil"/>
          <w:right w:val="nil"/>
          <w:insideH w:val="nil"/>
          <w:insideV w:val="nil"/>
          <w:tl2br w:val="nil"/>
          <w:tr2bl w:val="nil"/>
        </w:tcBorders>
        <w:shd w:val="solid" w:color="008080" w:fill="FFFFFF"/>
      </w:tcPr>
    </w:tblStylePr>
    <w:tblStylePr w:type="firstCol">
      <w:tblPr/>
      <w:tcPr>
        <w:tcBorders>
          <w:top w:val="nil"/>
          <w:left w:val="nil"/>
          <w:bottom w:val="single" w:color="000000" w:sz="36" w:space="0"/>
          <w:right w:val="single" w:color="000000" w:sz="6" w:space="0"/>
          <w:insideH w:val="nil"/>
          <w:insideV w:val="nil"/>
          <w:tl2br w:val="nil"/>
          <w:tr2bl w:val="nil"/>
        </w:tcBorders>
        <w:shd w:val="solid" w:color="008080" w:fill="FFFFFF"/>
      </w:tcPr>
    </w:tblStylePr>
    <w:tblStylePr w:type="nwCell">
      <w:rPr>
        <w:b/>
        <w:bCs/>
        <w:color w:val="FFFFFF"/>
      </w:rPr>
      <w:tblPr/>
      <w:tcPr>
        <w:tcBorders>
          <w:top w:val="nil"/>
          <w:left w:val="nil"/>
          <w:bottom w:val="nil"/>
          <w:right w:val="nil"/>
          <w:insideH w:val="nil"/>
          <w:insideV w:val="nil"/>
          <w:tl2br w:val="nil"/>
          <w:tr2bl w:val="nil"/>
        </w:tcBorders>
        <w:shd w:val="solid" w:color="000000" w:fill="FFFFFF"/>
      </w:tcPr>
    </w:tblStylePr>
  </w:style>
  <w:style w:type="table" w:styleId="94">
    <w:name w:val="Table Elegant"/>
    <w:basedOn w:val="88"/>
    <w:qFormat/>
    <w:uiPriority w:val="0"/>
    <w:pPr>
      <w:widowControl w:val="0"/>
      <w:spacing w:line="560" w:lineRule="exact"/>
      <w:ind w:firstLine="200" w:firstLineChars="200"/>
      <w:jc w:val="both"/>
    </w:pPr>
    <w:rPr>
      <w:rFonts w:ascii="Calibri" w:hAnsi="Calibri"/>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styleId="95">
    <w:name w:val="Table Classic 1"/>
    <w:basedOn w:val="88"/>
    <w:qFormat/>
    <w:uiPriority w:val="0"/>
    <w:pPr>
      <w:widowControl w:val="0"/>
      <w:spacing w:line="560" w:lineRule="exact"/>
      <w:ind w:firstLine="200" w:firstLineChars="200"/>
      <w:jc w:val="both"/>
    </w:pPr>
    <w:rPr>
      <w:rFonts w:ascii="Calibri" w:hAnsi="Calibri"/>
    </w:rPr>
    <w:tblPr>
      <w:tblBorders>
        <w:top w:val="single" w:color="000000" w:sz="12" w:space="0"/>
        <w:bottom w:val="single" w:color="000000" w:sz="12" w:space="0"/>
      </w:tblBorders>
    </w:tblPr>
    <w:tcPr>
      <w:shd w:val="clear" w:color="auto" w:fill="auto"/>
    </w:tcPr>
    <w:tblStylePr w:type="firstRow">
      <w:rPr>
        <w:i/>
        <w:iCs/>
      </w:rPr>
      <w:tblPr/>
      <w:tcPr>
        <w:tcBorders>
          <w:top w:val="nil"/>
          <w:left w:val="single" w:color="000000" w:sz="6" w:space="0"/>
          <w:bottom w:val="nil"/>
          <w:right w:val="nil"/>
          <w:insideH w:val="nil"/>
          <w:insideV w:val="nil"/>
          <w:tl2br w:val="nil"/>
          <w:tr2bl w:val="nil"/>
        </w:tcBorders>
      </w:tcPr>
    </w:tblStylePr>
    <w:tblStylePr w:type="lastRow">
      <w:rPr>
        <w:color w:val="auto"/>
      </w:rPr>
      <w:tblPr/>
      <w:tcPr>
        <w:tcBorders>
          <w:top w:val="single" w:color="000000" w:sz="6" w:space="0"/>
          <w:left w:val="nil"/>
          <w:bottom w:val="nil"/>
          <w:right w:val="nil"/>
          <w:insideH w:val="nil"/>
          <w:insideV w:val="nil"/>
          <w:tl2br w:val="nil"/>
          <w:tr2bl w:val="nil"/>
        </w:tcBorders>
      </w:tcPr>
    </w:tblStylePr>
    <w:tblStylePr w:type="firstCol">
      <w:tblPr/>
      <w:tcPr>
        <w:tcBorders>
          <w:top w:val="nil"/>
          <w:left w:val="nil"/>
          <w:bottom w:val="nil"/>
          <w:right w:val="single" w:color="000000" w:sz="6" w:space="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96">
    <w:name w:val="Table Classic 2"/>
    <w:basedOn w:val="88"/>
    <w:qFormat/>
    <w:uiPriority w:val="0"/>
    <w:pPr>
      <w:widowControl w:val="0"/>
      <w:spacing w:line="560" w:lineRule="exact"/>
      <w:ind w:firstLine="200" w:firstLineChars="200"/>
      <w:jc w:val="both"/>
    </w:pPr>
    <w:rPr>
      <w:rFonts w:ascii="Calibri" w:hAnsi="Calibri"/>
    </w:rPr>
    <w:tblPr>
      <w:tblBorders>
        <w:top w:val="single" w:color="000000" w:sz="12" w:space="0"/>
        <w:bottom w:val="single" w:color="000000" w:sz="12" w:space="0"/>
      </w:tblBorders>
    </w:tblPr>
    <w:tcPr>
      <w:shd w:val="clear" w:color="auto" w:fill="auto"/>
    </w:tcPr>
    <w:tblStylePr w:type="firstRow">
      <w:rPr>
        <w:color w:val="FFFFFF"/>
      </w:rPr>
      <w:tblPr/>
      <w:tcPr>
        <w:tcBorders>
          <w:top w:val="nil"/>
          <w:left w:val="single" w:color="000000" w:sz="6" w:space="0"/>
          <w:bottom w:val="nil"/>
          <w:right w:val="nil"/>
          <w:insideH w:val="nil"/>
          <w:insideV w:val="nil"/>
          <w:tl2br w:val="nil"/>
          <w:tr2bl w:val="nil"/>
        </w:tcBorders>
        <w:shd w:val="solid" w:color="800080" w:fill="FFFFFF"/>
      </w:tcPr>
    </w:tblStylePr>
    <w:tblStylePr w:type="lastRow">
      <w:tblPr/>
      <w:tcPr>
        <w:tcBorders>
          <w:top w:val="single" w:color="000000"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styleId="97">
    <w:name w:val="Table Classic 3"/>
    <w:basedOn w:val="88"/>
    <w:qFormat/>
    <w:uiPriority w:val="0"/>
    <w:pPr>
      <w:widowControl w:val="0"/>
      <w:spacing w:line="560" w:lineRule="exact"/>
      <w:ind w:firstLine="200" w:firstLineChars="200"/>
      <w:jc w:val="both"/>
    </w:pPr>
    <w:rPr>
      <w:rFonts w:ascii="Calibri" w:hAnsi="Calibri"/>
      <w:color w:val="000080"/>
    </w:rPr>
    <w:tblPr>
      <w:tblBorders>
        <w:top w:val="single" w:color="000000" w:sz="12" w:space="0"/>
        <w:left w:val="single" w:color="000000" w:sz="12" w:space="0"/>
        <w:bottom w:val="single" w:color="000000" w:sz="12" w:space="0"/>
        <w:right w:val="single" w:color="000000" w:sz="12" w:space="0"/>
      </w:tblBorders>
    </w:tblPr>
    <w:tcPr>
      <w:shd w:val="solid" w:color="C0C0C0" w:fill="FFFFFF"/>
    </w:tcPr>
    <w:tblStylePr w:type="firstRow">
      <w:rPr>
        <w:b/>
        <w:bCs/>
        <w:i/>
        <w:iCs/>
        <w:color w:val="FFFFFF"/>
      </w:rPr>
      <w:tblPr/>
      <w:tcPr>
        <w:tcBorders>
          <w:top w:val="nil"/>
          <w:left w:val="single" w:color="000000" w:sz="6" w:space="0"/>
          <w:bottom w:val="nil"/>
          <w:right w:val="nil"/>
          <w:insideH w:val="nil"/>
          <w:insideV w:val="nil"/>
          <w:tl2br w:val="nil"/>
          <w:tr2bl w:val="nil"/>
        </w:tcBorders>
        <w:shd w:val="solid" w:color="000080" w:fill="FFFFFF"/>
      </w:tcPr>
    </w:tblStylePr>
    <w:tblStylePr w:type="lastRow">
      <w:rPr>
        <w:color w:val="000080"/>
      </w:rPr>
      <w:tblPr/>
      <w:tcPr>
        <w:tcBorders>
          <w:top w:val="single" w:color="000000" w:sz="12" w:space="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styleId="98">
    <w:name w:val="Table Classic 4"/>
    <w:basedOn w:val="88"/>
    <w:qFormat/>
    <w:uiPriority w:val="0"/>
    <w:pPr>
      <w:widowControl w:val="0"/>
      <w:spacing w:line="560" w:lineRule="exact"/>
      <w:ind w:firstLine="200" w:firstLineChars="200"/>
      <w:jc w:val="both"/>
    </w:pPr>
    <w:rPr>
      <w:rFonts w:ascii="Calibri" w:hAnsi="Calibri"/>
    </w:rPr>
    <w:tblPr>
      <w:tblBorders>
        <w:top w:val="single" w:color="000000" w:sz="12" w:space="0"/>
        <w:left w:val="single" w:color="000000" w:sz="6" w:space="0"/>
        <w:bottom w:val="single" w:color="000000" w:sz="12" w:space="0"/>
        <w:right w:val="single" w:color="000000" w:sz="6" w:space="0"/>
      </w:tblBorders>
    </w:tblPr>
    <w:tcPr>
      <w:shd w:val="clear" w:color="auto" w:fill="auto"/>
    </w:tcPr>
    <w:tblStylePr w:type="firstRow">
      <w:rPr>
        <w:b/>
        <w:bCs/>
        <w:i/>
        <w:iCs/>
        <w:color w:val="FFFFFF"/>
      </w:rPr>
      <w:tblPr/>
      <w:tcPr>
        <w:tcBorders>
          <w:top w:val="nil"/>
          <w:left w:val="single" w:color="000000" w:sz="6" w:space="0"/>
          <w:bottom w:val="nil"/>
          <w:right w:val="nil"/>
          <w:insideH w:val="nil"/>
          <w:insideV w:val="nil"/>
          <w:tl2br w:val="nil"/>
          <w:tr2bl w:val="nil"/>
        </w:tcBorders>
        <w:shd w:val="pct50" w:color="000080" w:fill="FFFFFF"/>
      </w:tcPr>
    </w:tblStylePr>
    <w:tblStylePr w:type="lastRow">
      <w:rPr>
        <w:color w:val="000080"/>
      </w:rPr>
      <w:tblPr/>
      <w:tcPr>
        <w:tcBorders>
          <w:top w:val="nil"/>
          <w:left w:val="single" w:color="000000" w:sz="6" w:space="0"/>
          <w:bottom w:val="nil"/>
          <w:right w:val="nil"/>
          <w:insideH w:val="nil"/>
          <w:insideV w:val="nil"/>
          <w:tl2br w:val="nil"/>
          <w:tr2bl w:val="nil"/>
        </w:tcBorders>
        <w:shd w:val="pct50" w:color="000000" w:fill="FFFFFF"/>
      </w:tcPr>
    </w:tblStylePr>
    <w:tblStylePr w:type="firstCol">
      <w:rPr>
        <w:b/>
        <w:bCs/>
      </w:rPr>
      <w:tblPr/>
      <w:tcPr>
        <w:tcBorders>
          <w:top w:val="nil"/>
          <w:left w:val="nil"/>
          <w:bottom w:val="nil"/>
          <w:right w:val="nil"/>
          <w:insideH w:val="nil"/>
          <w:insideV w:val="nil"/>
          <w:tl2br w:val="nil"/>
          <w:tr2bl w:val="nil"/>
        </w:tcBorders>
      </w:tcPr>
    </w:tblStylePr>
    <w:tblStylePr w:type="nwCell">
      <w:rPr>
        <w:b/>
        <w:bCs/>
      </w:rPr>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styleId="99">
    <w:name w:val="Table Simple 1"/>
    <w:basedOn w:val="88"/>
    <w:qFormat/>
    <w:uiPriority w:val="0"/>
    <w:pPr>
      <w:widowControl w:val="0"/>
      <w:spacing w:line="560" w:lineRule="exact"/>
      <w:ind w:firstLine="200" w:firstLineChars="200"/>
      <w:jc w:val="both"/>
    </w:pPr>
    <w:rPr>
      <w:rFonts w:ascii="Calibri" w:hAnsi="Calibri"/>
    </w:rPr>
    <w:tblPr>
      <w:tblBorders>
        <w:top w:val="single" w:color="008000" w:sz="12" w:space="0"/>
        <w:bottom w:val="single" w:color="008000" w:sz="12" w:space="0"/>
      </w:tblBorders>
    </w:tblPr>
    <w:tcPr>
      <w:shd w:val="clear" w:color="auto" w:fill="auto"/>
    </w:tcPr>
    <w:tblStylePr w:type="firstRow">
      <w:tblPr/>
      <w:tcPr>
        <w:tcBorders>
          <w:top w:val="nil"/>
          <w:left w:val="single" w:color="008000" w:sz="6" w:space="0"/>
          <w:bottom w:val="nil"/>
          <w:right w:val="nil"/>
          <w:insideH w:val="nil"/>
          <w:insideV w:val="nil"/>
          <w:tl2br w:val="nil"/>
          <w:tr2bl w:val="nil"/>
        </w:tcBorders>
      </w:tcPr>
    </w:tblStylePr>
    <w:tblStylePr w:type="lastRow">
      <w:tblPr/>
      <w:tcPr>
        <w:tcBorders>
          <w:top w:val="single" w:color="008000" w:sz="6" w:space="0"/>
          <w:left w:val="nil"/>
          <w:bottom w:val="nil"/>
          <w:right w:val="nil"/>
          <w:insideH w:val="nil"/>
          <w:insideV w:val="nil"/>
          <w:tl2br w:val="nil"/>
          <w:tr2bl w:val="nil"/>
        </w:tcBorders>
      </w:tcPr>
    </w:tblStylePr>
  </w:style>
  <w:style w:type="table" w:styleId="100">
    <w:name w:val="Table Simple 2"/>
    <w:basedOn w:val="88"/>
    <w:qFormat/>
    <w:uiPriority w:val="0"/>
    <w:pPr>
      <w:widowControl w:val="0"/>
      <w:spacing w:line="560" w:lineRule="exact"/>
      <w:ind w:firstLine="200" w:firstLineChars="200"/>
      <w:jc w:val="both"/>
    </w:pPr>
    <w:rPr>
      <w:rFonts w:ascii="Calibri" w:hAnsi="Calibri"/>
    </w:rPr>
    <w:tblPr/>
    <w:tblStylePr w:type="firstRow">
      <w:rPr>
        <w:b/>
        <w:bCs/>
      </w:rPr>
      <w:tblPr/>
      <w:tcPr>
        <w:tcBorders>
          <w:top w:val="nil"/>
          <w:left w:val="single" w:color="000000" w:sz="12" w:space="0"/>
          <w:bottom w:val="nil"/>
          <w:right w:val="nil"/>
          <w:insideH w:val="nil"/>
          <w:insideV w:val="nil"/>
          <w:tl2br w:val="nil"/>
          <w:tr2bl w:val="nil"/>
        </w:tcBorders>
      </w:tcPr>
    </w:tblStylePr>
    <w:tblStylePr w:type="lastRow">
      <w:rPr>
        <w:b/>
        <w:bCs/>
        <w:color w:val="auto"/>
      </w:rPr>
      <w:tblPr/>
      <w:tcPr>
        <w:tcBorders>
          <w:top w:val="single" w:color="000000" w:sz="6" w:space="0"/>
          <w:left w:val="nil"/>
          <w:bottom w:val="nil"/>
          <w:right w:val="nil"/>
          <w:insideH w:val="nil"/>
          <w:insideV w:val="nil"/>
          <w:tl2br w:val="nil"/>
          <w:tr2bl w:val="nil"/>
        </w:tcBorders>
      </w:tcPr>
    </w:tblStylePr>
    <w:tblStylePr w:type="firstCol">
      <w:rPr>
        <w:b/>
        <w:bCs/>
      </w:rPr>
      <w:tblPr/>
      <w:tcPr>
        <w:tcBorders>
          <w:top w:val="nil"/>
          <w:left w:val="nil"/>
          <w:bottom w:val="nil"/>
          <w:right w:val="single" w:color="000000" w:sz="12" w:space="0"/>
          <w:insideH w:val="nil"/>
          <w:insideV w:val="nil"/>
          <w:tl2br w:val="nil"/>
          <w:tr2bl w:val="nil"/>
        </w:tcBorders>
      </w:tcPr>
    </w:tblStylePr>
    <w:tblStylePr w:type="lastCol">
      <w:rPr>
        <w:b/>
        <w:bCs/>
      </w:rPr>
      <w:tblPr/>
      <w:tcPr>
        <w:tcBorders>
          <w:top w:val="nil"/>
          <w:left w:val="nil"/>
          <w:bottom w:val="single" w:color="000000" w:sz="6" w:space="0"/>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01">
    <w:name w:val="Table Simple 3"/>
    <w:basedOn w:val="88"/>
    <w:qFormat/>
    <w:uiPriority w:val="0"/>
    <w:pPr>
      <w:widowControl w:val="0"/>
      <w:spacing w:line="560" w:lineRule="exact"/>
      <w:ind w:firstLine="200" w:firstLineChars="200"/>
      <w:jc w:val="both"/>
    </w:pPr>
    <w:rPr>
      <w:rFonts w:ascii="Calibri" w:hAnsi="Calibri"/>
    </w:rPr>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00" w:fill="FFFFFF"/>
      </w:tcPr>
    </w:tblStylePr>
  </w:style>
  <w:style w:type="table" w:styleId="102">
    <w:name w:val="Table Subtle 1"/>
    <w:basedOn w:val="88"/>
    <w:qFormat/>
    <w:uiPriority w:val="0"/>
    <w:pPr>
      <w:widowControl w:val="0"/>
      <w:spacing w:line="560" w:lineRule="exact"/>
      <w:ind w:firstLine="200" w:firstLineChars="200"/>
      <w:jc w:val="both"/>
    </w:pPr>
    <w:rPr>
      <w:rFonts w:ascii="Calibri" w:hAnsi="Calibri"/>
    </w:rPr>
    <w:tblPr>
      <w:tblStyleRowBandSize w:val="1"/>
    </w:tblPr>
    <w:tblStylePr w:type="firstRow">
      <w:tblPr/>
      <w:tcPr>
        <w:tcBorders>
          <w:top w:val="single" w:color="000000" w:sz="6" w:space="0"/>
          <w:left w:val="single" w:color="000000" w:sz="12" w:space="0"/>
          <w:bottom w:val="nil"/>
          <w:right w:val="nil"/>
          <w:insideH w:val="nil"/>
          <w:insideV w:val="nil"/>
          <w:tl2br w:val="nil"/>
          <w:tr2bl w:val="nil"/>
        </w:tcBorders>
      </w:tcPr>
    </w:tblStylePr>
    <w:tblStylePr w:type="lastRow">
      <w:tblPr/>
      <w:tcPr>
        <w:tcBorders>
          <w:top w:val="single" w:color="000000" w:sz="12" w:space="0"/>
          <w:left w:val="nil"/>
          <w:bottom w:val="nil"/>
          <w:right w:val="nil"/>
          <w:insideH w:val="nil"/>
          <w:insideV w:val="nil"/>
          <w:tl2br w:val="nil"/>
          <w:tr2bl w:val="nil"/>
        </w:tcBorders>
        <w:shd w:val="pct25" w:color="800080" w:fill="FFFFFF"/>
      </w:tcPr>
    </w:tblStylePr>
    <w:tblStylePr w:type="firstCol">
      <w:tblPr/>
      <w:tcPr>
        <w:tcBorders>
          <w:top w:val="nil"/>
          <w:left w:val="nil"/>
          <w:bottom w:val="nil"/>
          <w:right w:val="single" w:color="000000" w:sz="12" w:space="0"/>
          <w:insideH w:val="nil"/>
          <w:insideV w:val="nil"/>
          <w:tl2br w:val="nil"/>
          <w:tr2bl w:val="nil"/>
        </w:tcBorders>
      </w:tcPr>
    </w:tblStylePr>
    <w:tblStylePr w:type="lastCol">
      <w:tblPr/>
      <w:tcPr>
        <w:tcBorders>
          <w:top w:val="nil"/>
          <w:left w:val="nil"/>
          <w:bottom w:val="single" w:color="000000" w:sz="12" w:space="0"/>
          <w:right w:val="nil"/>
          <w:insideH w:val="nil"/>
          <w:insideV w:val="nil"/>
          <w:tl2br w:val="nil"/>
          <w:tr2bl w:val="nil"/>
        </w:tcBorders>
      </w:tcPr>
    </w:tblStylePr>
    <w:tblStylePr w:type="band1Horz">
      <w:tblPr/>
      <w:tcPr>
        <w:tcBorders>
          <w:top w:val="nil"/>
          <w:left w:val="single" w:color="000000" w:sz="6" w:space="0"/>
          <w:bottom w:val="nil"/>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03">
    <w:name w:val="Table Subtle 2"/>
    <w:basedOn w:val="88"/>
    <w:qFormat/>
    <w:uiPriority w:val="0"/>
    <w:pPr>
      <w:widowControl w:val="0"/>
      <w:spacing w:line="560" w:lineRule="exact"/>
      <w:ind w:firstLine="200" w:firstLineChars="200"/>
      <w:jc w:val="both"/>
    </w:pPr>
    <w:rPr>
      <w:rFonts w:ascii="Calibri" w:hAnsi="Calibri"/>
    </w:rPr>
    <w:tblPr>
      <w:tblBorders>
        <w:left w:val="single" w:color="000000" w:sz="6" w:space="0"/>
        <w:right w:val="single" w:color="000000" w:sz="6" w:space="0"/>
      </w:tblBorders>
    </w:tblPr>
    <w:tblStylePr w:type="firstRow">
      <w:tblPr/>
      <w:tcPr>
        <w:tcBorders>
          <w:top w:val="nil"/>
          <w:left w:val="single" w:color="000000" w:sz="12" w:space="0"/>
          <w:bottom w:val="nil"/>
          <w:right w:val="nil"/>
          <w:insideH w:val="nil"/>
          <w:insideV w:val="nil"/>
          <w:tl2br w:val="nil"/>
          <w:tr2bl w:val="nil"/>
        </w:tcBorders>
      </w:tcPr>
    </w:tblStylePr>
    <w:tblStylePr w:type="lastRow">
      <w:tblPr/>
      <w:tcPr>
        <w:tcBorders>
          <w:top w:val="single" w:color="000000" w:sz="12" w:space="0"/>
          <w:left w:val="nil"/>
          <w:bottom w:val="nil"/>
          <w:right w:val="nil"/>
          <w:insideH w:val="nil"/>
          <w:insideV w:val="nil"/>
          <w:tl2br w:val="nil"/>
          <w:tr2bl w:val="nil"/>
        </w:tcBorders>
      </w:tcPr>
    </w:tblStylePr>
    <w:tblStylePr w:type="firstCol">
      <w:tblPr/>
      <w:tcPr>
        <w:tcBorders>
          <w:top w:val="nil"/>
          <w:left w:val="nil"/>
          <w:bottom w:val="nil"/>
          <w:right w:val="single" w:color="000000" w:sz="12" w:space="0"/>
          <w:insideH w:val="nil"/>
          <w:insideV w:val="nil"/>
          <w:tl2br w:val="nil"/>
          <w:tr2bl w:val="nil"/>
        </w:tcBorders>
        <w:shd w:val="pct25" w:color="008000" w:fill="FFFFFF"/>
      </w:tcPr>
    </w:tblStylePr>
    <w:tblStylePr w:type="lastCol">
      <w:tblPr/>
      <w:tcPr>
        <w:tcBorders>
          <w:top w:val="nil"/>
          <w:left w:val="nil"/>
          <w:bottom w:val="single" w:color="000000" w:sz="12" w:space="0"/>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04">
    <w:name w:val="Table 3D effects 1"/>
    <w:basedOn w:val="88"/>
    <w:qFormat/>
    <w:uiPriority w:val="0"/>
    <w:pPr>
      <w:widowControl w:val="0"/>
      <w:spacing w:line="560" w:lineRule="exact"/>
      <w:ind w:firstLine="200" w:firstLineChars="200"/>
      <w:jc w:val="both"/>
    </w:pPr>
    <w:rPr>
      <w:rFonts w:ascii="Calibri" w:hAnsi="Calibri"/>
    </w:rPr>
    <w:tblPr/>
    <w:tcPr>
      <w:shd w:val="solid" w:color="C0C0C0" w:fill="FFFFFF"/>
    </w:tcPr>
    <w:tblStylePr w:type="firstRow">
      <w:rPr>
        <w:b/>
        <w:bCs/>
        <w:color w:val="800080"/>
      </w:rPr>
      <w:tblPr/>
      <w:tcPr>
        <w:tcBorders>
          <w:top w:val="nil"/>
          <w:left w:val="single" w:color="808080" w:sz="6" w:space="0"/>
          <w:bottom w:val="nil"/>
          <w:right w:val="nil"/>
          <w:insideH w:val="nil"/>
          <w:insideV w:val="nil"/>
          <w:tl2br w:val="nil"/>
          <w:tr2bl w:val="nil"/>
        </w:tcBorders>
      </w:tcPr>
    </w:tblStylePr>
    <w:tblStylePr w:type="lastRow">
      <w:tblPr/>
      <w:tcPr>
        <w:tcBorders>
          <w:top w:val="single" w:color="FFFFFF" w:sz="6" w:space="0"/>
          <w:left w:val="nil"/>
          <w:bottom w:val="nil"/>
          <w:right w:val="nil"/>
          <w:insideH w:val="nil"/>
          <w:insideV w:val="nil"/>
          <w:tl2br w:val="nil"/>
          <w:tr2bl w:val="nil"/>
        </w:tcBorders>
      </w:tcPr>
    </w:tblStylePr>
    <w:tblStylePr w:type="firstCol">
      <w:rPr>
        <w:b/>
        <w:bCs/>
      </w:rPr>
      <w:tblPr/>
      <w:tcPr>
        <w:tcBorders>
          <w:top w:val="nil"/>
          <w:left w:val="nil"/>
          <w:bottom w:val="nil"/>
          <w:right w:val="single" w:color="808080" w:sz="6" w:space="0"/>
          <w:insideH w:val="nil"/>
          <w:insideV w:val="nil"/>
          <w:tl2br w:val="nil"/>
          <w:tr2bl w:val="nil"/>
        </w:tcBorders>
      </w:tcPr>
    </w:tblStylePr>
    <w:tblStylePr w:type="lastCol">
      <w:tblPr/>
      <w:tcPr>
        <w:tcBorders>
          <w:top w:val="nil"/>
          <w:left w:val="nil"/>
          <w:bottom w:val="single" w:color="FFFFFF" w:sz="6" w:space="0"/>
          <w:right w:val="nil"/>
          <w:insideH w:val="nil"/>
          <w:insideV w:val="nil"/>
          <w:tl2br w:val="nil"/>
          <w:tr2bl w:val="nil"/>
        </w:tcBorders>
      </w:tcPr>
    </w:tblStylePr>
    <w:tblStylePr w:type="neCell">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tcPr>
    </w:tblStylePr>
    <w:tblStylePr w:type="seCell">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styleId="105">
    <w:name w:val="Table 3D effects 2"/>
    <w:basedOn w:val="88"/>
    <w:qFormat/>
    <w:uiPriority w:val="0"/>
    <w:pPr>
      <w:widowControl w:val="0"/>
      <w:spacing w:line="560" w:lineRule="exact"/>
      <w:ind w:firstLine="200" w:firstLineChars="200"/>
      <w:jc w:val="both"/>
    </w:pPr>
    <w:rPr>
      <w:rFonts w:ascii="Calibri" w:hAnsi="Calibri"/>
    </w:rPr>
    <w:tblPr>
      <w:tblStyleRowBandSize w:val="1"/>
    </w:tblPr>
    <w:tcPr>
      <w:shd w:val="solid" w:color="C0C0C0" w:fill="FFFFFF"/>
    </w:tc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color="808080" w:sz="6" w:space="0"/>
          <w:insideH w:val="nil"/>
          <w:insideV w:val="nil"/>
          <w:tl2br w:val="nil"/>
          <w:tr2bl w:val="nil"/>
        </w:tcBorders>
      </w:tcPr>
    </w:tblStylePr>
    <w:tblStylePr w:type="lastCol">
      <w:tblPr/>
      <w:tcPr>
        <w:tcBorders>
          <w:top w:val="nil"/>
          <w:left w:val="nil"/>
          <w:bottom w:val="nil"/>
          <w:right w:val="single" w:color="FFFFFF" w:sz="6" w:space="0"/>
          <w:insideH w:val="nil"/>
          <w:insideV w:val="nil"/>
          <w:tl2br w:val="nil"/>
          <w:tr2bl w:val="nil"/>
        </w:tcBorders>
      </w:tcPr>
    </w:tblStylePr>
    <w:tblStylePr w:type="band1Horz">
      <w:tblPr/>
      <w:tcPr>
        <w:tcBorders>
          <w:top w:val="single" w:color="808080" w:sz="6" w:space="0"/>
          <w:left w:val="single" w:color="FFFFFF" w:sz="6" w:space="0"/>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06">
    <w:name w:val="Table 3D effects 3"/>
    <w:basedOn w:val="88"/>
    <w:qFormat/>
    <w:uiPriority w:val="0"/>
    <w:pPr>
      <w:widowControl w:val="0"/>
      <w:spacing w:line="560" w:lineRule="exact"/>
      <w:ind w:firstLine="200" w:firstLineChars="200"/>
      <w:jc w:val="both"/>
    </w:pPr>
    <w:rPr>
      <w:rFonts w:ascii="Calibri" w:hAnsi="Calibri"/>
    </w:rPr>
    <w:tblPr>
      <w:tblStyleRowBandSize w:val="1"/>
      <w:tblStyleColBandSize w:val="1"/>
    </w:tbl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color="808080" w:sz="6" w:space="0"/>
          <w:insideH w:val="nil"/>
          <w:insideV w:val="nil"/>
          <w:tl2br w:val="nil"/>
          <w:tr2bl w:val="nil"/>
        </w:tcBorders>
      </w:tcPr>
    </w:tblStylePr>
    <w:tblStylePr w:type="lastCol">
      <w:tblPr/>
      <w:tcPr>
        <w:tcBorders>
          <w:top w:val="nil"/>
          <w:left w:val="nil"/>
          <w:bottom w:val="nil"/>
          <w:right w:val="single" w:color="FFFFFF" w:sz="6" w:space="0"/>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color="808080" w:sz="6" w:space="0"/>
          <w:left w:val="single" w:color="FFFFFF" w:sz="6" w:space="0"/>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07">
    <w:name w:val="Table List 1"/>
    <w:basedOn w:val="88"/>
    <w:qFormat/>
    <w:uiPriority w:val="0"/>
    <w:pPr>
      <w:widowControl w:val="0"/>
      <w:spacing w:line="560" w:lineRule="exact"/>
      <w:ind w:firstLine="200" w:firstLineChars="200"/>
      <w:jc w:val="both"/>
    </w:pPr>
    <w:rPr>
      <w:rFonts w:ascii="Calibri" w:hAnsi="Calibri"/>
    </w:rPr>
    <w:tblPr>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cPr>
        <w:tcBorders>
          <w:top w:val="nil"/>
          <w:left w:val="single" w:color="000000" w:sz="6" w:space="0"/>
          <w:bottom w:val="nil"/>
          <w:right w:val="nil"/>
          <w:insideH w:val="nil"/>
          <w:insideV w:val="nil"/>
          <w:tl2br w:val="nil"/>
          <w:tr2bl w:val="nil"/>
        </w:tcBorders>
        <w:shd w:val="solid" w:color="C0C0C0" w:fill="FFFFFF"/>
      </w:tcPr>
    </w:tblStylePr>
    <w:tblStylePr w:type="lastRow">
      <w:tblPr/>
      <w:tcPr>
        <w:tcBorders>
          <w:top w:val="single" w:color="000000" w:sz="6" w:space="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solid" w:color="C0C0C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08">
    <w:name w:val="Table List 2"/>
    <w:basedOn w:val="88"/>
    <w:qFormat/>
    <w:uiPriority w:val="0"/>
    <w:pPr>
      <w:widowControl w:val="0"/>
      <w:spacing w:line="560" w:lineRule="exact"/>
      <w:ind w:firstLine="200" w:firstLineChars="200"/>
      <w:jc w:val="both"/>
    </w:pPr>
    <w:rPr>
      <w:rFonts w:ascii="Calibri" w:hAnsi="Calibri"/>
    </w:rPr>
    <w:tblPr>
      <w:tblBorders>
        <w:bottom w:val="single" w:color="808080" w:sz="12" w:space="0"/>
      </w:tblBorders>
    </w:tblPr>
    <w:tblStylePr w:type="firstRow">
      <w:rPr>
        <w:b/>
        <w:bCs/>
        <w:color w:val="FFFFFF"/>
      </w:rPr>
      <w:tblPr/>
      <w:tcPr>
        <w:tcBorders>
          <w:top w:val="nil"/>
          <w:left w:val="single" w:color="000000" w:sz="6" w:space="0"/>
          <w:bottom w:val="nil"/>
          <w:right w:val="nil"/>
          <w:insideH w:val="nil"/>
          <w:insideV w:val="nil"/>
          <w:tl2br w:val="nil"/>
          <w:tr2bl w:val="nil"/>
        </w:tcBorders>
        <w:shd w:val="pct75" w:color="008080" w:fill="008000"/>
      </w:tcPr>
    </w:tblStylePr>
    <w:tblStylePr w:type="lastRow">
      <w:tblPr/>
      <w:tcPr>
        <w:tcBorders>
          <w:top w:val="single" w:color="000000" w:sz="6" w:space="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FF0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09">
    <w:name w:val="Table List 3"/>
    <w:basedOn w:val="88"/>
    <w:qFormat/>
    <w:uiPriority w:val="0"/>
    <w:pPr>
      <w:widowControl w:val="0"/>
      <w:spacing w:line="560" w:lineRule="exact"/>
      <w:ind w:firstLine="200" w:firstLineChars="200"/>
      <w:jc w:val="both"/>
    </w:pPr>
    <w:rPr>
      <w:rFonts w:ascii="Calibri" w:hAnsi="Calibri"/>
    </w:rPr>
    <w:tblPr>
      <w:tblBorders>
        <w:top w:val="single" w:color="000000" w:sz="12" w:space="0"/>
        <w:bottom w:val="single" w:color="000000" w:sz="12" w:space="0"/>
        <w:insideH w:val="single" w:color="000000" w:sz="6" w:space="0"/>
      </w:tblBorders>
    </w:tblPr>
    <w:tcPr>
      <w:shd w:val="clear" w:color="auto" w:fill="auto"/>
    </w:tcPr>
    <w:tblStylePr w:type="firstRow">
      <w:rPr>
        <w:b/>
        <w:bCs/>
        <w:color w:val="000080"/>
      </w:rPr>
      <w:tblPr/>
      <w:tcPr>
        <w:tcBorders>
          <w:top w:val="nil"/>
          <w:left w:val="single" w:color="000000" w:sz="12" w:space="0"/>
          <w:bottom w:val="nil"/>
          <w:right w:val="nil"/>
          <w:insideH w:val="nil"/>
          <w:insideV w:val="nil"/>
          <w:tl2br w:val="nil"/>
          <w:tr2bl w:val="nil"/>
        </w:tcBorders>
      </w:tcPr>
    </w:tblStylePr>
    <w:tblStylePr w:type="lastRow">
      <w:tblPr/>
      <w:tcPr>
        <w:tcBorders>
          <w:top w:val="single" w:color="000000" w:sz="12" w:space="0"/>
          <w:left w:val="nil"/>
          <w:bottom w:val="nil"/>
          <w:right w:val="nil"/>
          <w:insideH w:val="nil"/>
          <w:insideV w:val="nil"/>
          <w:tl2br w:val="nil"/>
          <w:tr2bl w:val="nil"/>
        </w:tcBorders>
      </w:tcPr>
    </w:tblStylePr>
    <w:tblStylePr w:type="swCell">
      <w:rPr>
        <w:i/>
        <w:iCs/>
        <w:color w:val="000080"/>
      </w:rPr>
      <w:tblPr/>
      <w:tcPr>
        <w:tcBorders>
          <w:top w:val="nil"/>
          <w:left w:val="nil"/>
          <w:bottom w:val="nil"/>
          <w:right w:val="nil"/>
          <w:insideH w:val="nil"/>
          <w:insideV w:val="nil"/>
          <w:tl2br w:val="nil"/>
          <w:tr2bl w:val="nil"/>
        </w:tcBorders>
      </w:tcPr>
    </w:tblStylePr>
  </w:style>
  <w:style w:type="table" w:styleId="110">
    <w:name w:val="Table List 4"/>
    <w:basedOn w:val="88"/>
    <w:qFormat/>
    <w:uiPriority w:val="0"/>
    <w:pPr>
      <w:widowControl w:val="0"/>
      <w:spacing w:line="560" w:lineRule="exact"/>
      <w:ind w:firstLine="200" w:firstLineChars="200"/>
      <w:jc w:val="both"/>
    </w:pPr>
    <w:rPr>
      <w:rFonts w:ascii="Calibri" w:hAnsi="Calibri"/>
    </w:rPr>
    <w:tblPr>
      <w:tblBorders>
        <w:top w:val="single" w:color="000000" w:sz="12" w:space="0"/>
        <w:left w:val="single" w:color="000000" w:sz="12" w:space="0"/>
        <w:bottom w:val="single" w:color="000000" w:sz="12" w:space="0"/>
        <w:right w:val="single" w:color="000000" w:sz="12" w:space="0"/>
        <w:insideH w:val="single" w:color="000000" w:sz="6" w:space="0"/>
      </w:tblBorders>
    </w:tblPr>
    <w:tcPr>
      <w:shd w:val="clear" w:color="auto" w:fill="auto"/>
    </w:tcPr>
    <w:tblStylePr w:type="firstRow">
      <w:rPr>
        <w:b/>
        <w:bCs/>
        <w:color w:val="FFFFFF"/>
      </w:rPr>
      <w:tblPr/>
      <w:tcPr>
        <w:tcBorders>
          <w:top w:val="nil"/>
          <w:left w:val="single" w:color="000000" w:sz="12" w:space="0"/>
          <w:bottom w:val="nil"/>
          <w:right w:val="nil"/>
          <w:insideH w:val="nil"/>
          <w:insideV w:val="nil"/>
          <w:tl2br w:val="nil"/>
          <w:tr2bl w:val="nil"/>
        </w:tcBorders>
        <w:shd w:val="solid" w:color="808080" w:fill="FFFFFF"/>
      </w:tcPr>
    </w:tblStylePr>
  </w:style>
  <w:style w:type="table" w:styleId="111">
    <w:name w:val="Table List 5"/>
    <w:basedOn w:val="88"/>
    <w:qFormat/>
    <w:uiPriority w:val="0"/>
    <w:pPr>
      <w:widowControl w:val="0"/>
      <w:spacing w:line="560" w:lineRule="exact"/>
      <w:ind w:firstLine="200" w:firstLineChars="200"/>
      <w:jc w:val="both"/>
    </w:pPr>
    <w:rPr>
      <w:rFonts w:ascii="Calibri" w:hAnsi="Calibri"/>
    </w:rPr>
    <w:tblPr>
      <w:tblBorders>
        <w:top w:val="single" w:color="000000" w:sz="6" w:space="0"/>
        <w:left w:val="single" w:color="000000" w:sz="6" w:space="0"/>
        <w:bottom w:val="single" w:color="000000" w:sz="6" w:space="0"/>
        <w:right w:val="single" w:color="000000" w:sz="6" w:space="0"/>
        <w:insideH w:val="single" w:color="000000" w:sz="6" w:space="0"/>
      </w:tblBorders>
    </w:tblPr>
    <w:tcPr>
      <w:shd w:val="clear" w:color="auto" w:fill="auto"/>
    </w:tcPr>
    <w:tblStylePr w:type="firstRow">
      <w:rPr>
        <w:b/>
        <w:bCs/>
      </w:rPr>
      <w:tblPr/>
      <w:tcPr>
        <w:tcBorders>
          <w:top w:val="nil"/>
          <w:left w:val="single" w:color="000000" w:sz="12" w:space="0"/>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style>
  <w:style w:type="table" w:styleId="112">
    <w:name w:val="Table List 6"/>
    <w:basedOn w:val="88"/>
    <w:qFormat/>
    <w:uiPriority w:val="0"/>
    <w:pPr>
      <w:widowControl w:val="0"/>
      <w:spacing w:line="560" w:lineRule="exact"/>
      <w:ind w:firstLine="200" w:firstLineChars="200"/>
      <w:jc w:val="both"/>
    </w:pPr>
    <w:rPr>
      <w:rFonts w:ascii="Calibri" w:hAnsi="Calibri"/>
    </w:rPr>
    <w:tblPr>
      <w:tblBorders>
        <w:top w:val="single" w:color="000000" w:sz="6" w:space="0"/>
        <w:left w:val="single" w:color="000000" w:sz="6" w:space="0"/>
        <w:bottom w:val="single" w:color="000000" w:sz="6" w:space="0"/>
        <w:right w:val="single" w:color="000000" w:sz="6" w:space="0"/>
      </w:tblBorders>
    </w:tblPr>
    <w:tcPr>
      <w:shd w:val="pct50" w:color="000000" w:fill="FFFFFF"/>
    </w:tcPr>
    <w:tblStylePr w:type="firstRow">
      <w:rPr>
        <w:b/>
        <w:bCs/>
      </w:rPr>
      <w:tblPr/>
      <w:tcPr>
        <w:tcBorders>
          <w:top w:val="nil"/>
          <w:left w:val="single" w:color="000000" w:sz="12" w:space="0"/>
          <w:bottom w:val="nil"/>
          <w:right w:val="nil"/>
          <w:insideH w:val="nil"/>
          <w:insideV w:val="nil"/>
          <w:tl2br w:val="nil"/>
          <w:tr2bl w:val="nil"/>
        </w:tcBorders>
      </w:tcPr>
    </w:tblStylePr>
    <w:tblStylePr w:type="firstCol">
      <w:rPr>
        <w:b/>
        <w:bCs/>
      </w:rPr>
      <w:tblPr/>
      <w:tcPr>
        <w:tcBorders>
          <w:top w:val="nil"/>
          <w:left w:val="nil"/>
          <w:bottom w:val="nil"/>
          <w:right w:val="single" w:color="000000" w:sz="12" w:space="0"/>
          <w:insideH w:val="nil"/>
          <w:insideV w:val="nil"/>
          <w:tl2br w:val="nil"/>
          <w:tr2bl w:val="nil"/>
        </w:tcBorders>
      </w:tcPr>
    </w:tblStylePr>
    <w:tblStylePr w:type="band1Horz">
      <w:tblPr/>
      <w:tcPr>
        <w:tcBorders>
          <w:top w:val="nil"/>
          <w:left w:val="nil"/>
          <w:bottom w:val="nil"/>
          <w:right w:val="nil"/>
          <w:insideH w:val="nil"/>
          <w:insideV w:val="nil"/>
          <w:tl2br w:val="nil"/>
          <w:tr2bl w:val="nil"/>
        </w:tcBorders>
        <w:shd w:val="pct25" w:color="000000" w:fill="FFFFFF"/>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113">
    <w:name w:val="Table List 7"/>
    <w:basedOn w:val="88"/>
    <w:qFormat/>
    <w:uiPriority w:val="0"/>
    <w:pPr>
      <w:widowControl w:val="0"/>
      <w:spacing w:line="560" w:lineRule="exact"/>
      <w:ind w:firstLine="200" w:firstLineChars="200"/>
      <w:jc w:val="both"/>
    </w:pPr>
    <w:rPr>
      <w:rFonts w:ascii="Calibri" w:hAnsi="Calibri"/>
    </w:r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bl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blPr/>
      <w:tcPr>
        <w:tcBorders>
          <w:top w:val="single" w:color="008000" w:sz="12"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0000" w:fill="FFFFFF"/>
      </w:tcPr>
    </w:tblStylePr>
    <w:tblStylePr w:type="band2Horz">
      <w:tblPr/>
      <w:tcPr>
        <w:tcBorders>
          <w:top w:val="nil"/>
          <w:left w:val="nil"/>
          <w:bottom w:val="nil"/>
          <w:right w:val="nil"/>
          <w:insideH w:val="nil"/>
          <w:insideV w:val="nil"/>
          <w:tl2br w:val="nil"/>
          <w:tr2bl w:val="nil"/>
        </w:tcBorders>
        <w:shd w:val="pct25" w:color="FFFF00" w:fill="FFFFFF"/>
      </w:tcPr>
    </w:tblStylePr>
  </w:style>
  <w:style w:type="table" w:styleId="114">
    <w:name w:val="Table List 8"/>
    <w:basedOn w:val="88"/>
    <w:qFormat/>
    <w:uiPriority w:val="0"/>
    <w:pPr>
      <w:widowControl w:val="0"/>
      <w:spacing w:line="560" w:lineRule="exact"/>
      <w:ind w:firstLine="200" w:firstLineChars="200"/>
      <w:jc w:val="both"/>
    </w:pPr>
    <w:rPr>
      <w:rFonts w:ascii="Calibri" w:hAnsi="Calibri"/>
    </w:rPr>
    <w:tblPr>
      <w:tblBorders>
        <w:top w:val="single" w:color="000000" w:sz="6" w:space="0"/>
        <w:left w:val="single" w:color="000000" w:sz="6" w:space="0"/>
        <w:bottom w:val="single" w:color="000000" w:sz="6" w:space="0"/>
        <w:right w:val="single" w:color="000000" w:sz="6" w:space="0"/>
        <w:insideV w:val="single" w:color="000000" w:sz="6" w:space="0"/>
      </w:tblBorders>
    </w:tblPr>
    <w:tblStylePr w:type="firstRow">
      <w:rPr>
        <w:b/>
        <w:bCs/>
        <w:i/>
        <w:iCs/>
      </w:rPr>
      <w:tblPr/>
      <w:tcPr>
        <w:tcBorders>
          <w:top w:val="nil"/>
          <w:left w:val="single" w:color="000000" w:sz="6" w:space="0"/>
          <w:bottom w:val="nil"/>
          <w:right w:val="nil"/>
          <w:insideH w:val="nil"/>
          <w:insideV w:val="nil"/>
          <w:tl2br w:val="nil"/>
          <w:tr2bl w:val="nil"/>
        </w:tcBorders>
        <w:shd w:val="solid" w:color="FFFF00" w:fill="FFFFFF"/>
      </w:tcPr>
    </w:tblStylePr>
    <w:tblStylePr w:type="lastRow">
      <w:rPr>
        <w:b/>
        <w:bCs/>
      </w:rPr>
      <w:tblPr/>
      <w:tcPr>
        <w:tcBorders>
          <w:top w:val="single" w:color="000000"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5" w:color="FFFF00" w:fill="FFFFFF"/>
      </w:tcPr>
    </w:tblStylePr>
    <w:tblStylePr w:type="band2Horz">
      <w:tblPr/>
      <w:tcPr>
        <w:tcBorders>
          <w:top w:val="nil"/>
          <w:left w:val="nil"/>
          <w:bottom w:val="nil"/>
          <w:right w:val="nil"/>
          <w:insideH w:val="nil"/>
          <w:insideV w:val="nil"/>
          <w:tl2br w:val="nil"/>
          <w:tr2bl w:val="nil"/>
        </w:tcBorders>
        <w:shd w:val="pct50" w:color="FF0000" w:fill="FFFFFF"/>
      </w:tcPr>
    </w:tblStylePr>
    <w:tblStylePr w:type="nwCell">
      <w:tblPr/>
      <w:tcPr>
        <w:tcBorders>
          <w:top w:val="nil"/>
          <w:left w:val="nil"/>
          <w:bottom w:val="nil"/>
          <w:right w:val="nil"/>
          <w:insideH w:val="nil"/>
          <w:insideV w:val="nil"/>
          <w:tl2br w:val="single" w:color="auto" w:sz="6" w:space="0"/>
          <w:tr2bl w:val="nil"/>
        </w:tcBorders>
      </w:tcPr>
    </w:tblStylePr>
  </w:style>
  <w:style w:type="table" w:styleId="115">
    <w:name w:val="Table Contemporary"/>
    <w:basedOn w:val="88"/>
    <w:qFormat/>
    <w:uiPriority w:val="0"/>
    <w:pPr>
      <w:widowControl w:val="0"/>
      <w:spacing w:line="560" w:lineRule="exact"/>
      <w:ind w:firstLine="200" w:firstLineChars="200"/>
      <w:jc w:val="both"/>
    </w:pPr>
    <w:rPr>
      <w:rFonts w:ascii="Calibri" w:hAnsi="Calibri"/>
    </w:rPr>
    <w:tblPr>
      <w:tblBorders>
        <w:insideH w:val="single" w:color="FFFFFF" w:sz="18" w:space="0"/>
        <w:insideV w:val="single" w:color="FFFFFF" w:sz="18" w:space="0"/>
      </w:tblBorders>
    </w:tblPr>
    <w:tblStylePr w:type="firstRow">
      <w:rPr>
        <w:b/>
        <w:bCs/>
        <w:color w:val="auto"/>
      </w:rPr>
      <w:tblPr/>
      <w:tcPr>
        <w:tcBorders>
          <w:top w:val="nil"/>
          <w:left w:val="nil"/>
          <w:bottom w:val="nil"/>
          <w:right w:val="nil"/>
          <w:insideH w:val="nil"/>
          <w:insideV w:val="nil"/>
          <w:tl2br w:val="nil"/>
          <w:tr2bl w:val="nil"/>
        </w:tcBorders>
        <w:shd w:val="pct20" w:color="000000" w:fill="FFFFFF"/>
      </w:tcPr>
    </w:tblStylePr>
    <w:tblStylePr w:type="band1Horz">
      <w:rPr>
        <w:color w:val="auto"/>
      </w:rPr>
      <w:tblPr/>
      <w:tcPr>
        <w:tcBorders>
          <w:top w:val="nil"/>
          <w:left w:val="nil"/>
          <w:bottom w:val="nil"/>
          <w:right w:val="nil"/>
          <w:insideH w:val="nil"/>
          <w:insideV w:val="nil"/>
          <w:tl2br w:val="nil"/>
          <w:tr2bl w:val="nil"/>
        </w:tcBorders>
        <w:shd w:val="pct5" w:color="000000" w:fill="FFFFFF"/>
      </w:tcPr>
    </w:tblStylePr>
    <w:tblStylePr w:type="band2Horz">
      <w:rPr>
        <w:color w:val="auto"/>
      </w:rPr>
      <w:tblPr/>
      <w:tcPr>
        <w:tcBorders>
          <w:top w:val="nil"/>
          <w:left w:val="nil"/>
          <w:bottom w:val="nil"/>
          <w:right w:val="nil"/>
          <w:insideH w:val="nil"/>
          <w:insideV w:val="nil"/>
          <w:tl2br w:val="nil"/>
          <w:tr2bl w:val="nil"/>
        </w:tcBorders>
        <w:shd w:val="pct20" w:color="000000" w:fill="FFFFFF"/>
      </w:tcPr>
    </w:tblStylePr>
  </w:style>
  <w:style w:type="table" w:styleId="116">
    <w:name w:val="Table Columns 1"/>
    <w:basedOn w:val="88"/>
    <w:qFormat/>
    <w:uiPriority w:val="0"/>
    <w:pPr>
      <w:widowControl w:val="0"/>
      <w:spacing w:line="560" w:lineRule="exact"/>
      <w:ind w:firstLine="200" w:firstLineChars="200"/>
      <w:jc w:val="both"/>
    </w:pPr>
    <w:rPr>
      <w:rFonts w:ascii="Calibri" w:hAnsi="Calibri"/>
      <w:b/>
      <w:bCs/>
    </w:rPr>
    <w:tblPr>
      <w:tblBorders>
        <w:top w:val="single" w:color="000000" w:sz="12" w:space="0"/>
        <w:left w:val="single" w:color="000000" w:sz="12" w:space="0"/>
        <w:bottom w:val="single" w:color="000000" w:sz="12" w:space="0"/>
        <w:right w:val="single" w:color="000000" w:sz="12" w:space="0"/>
      </w:tblBorders>
    </w:tblPr>
    <w:tblStylePr w:type="firstRow">
      <w:rPr>
        <w:b w:val="0"/>
        <w:bCs w:val="0"/>
      </w:rPr>
      <w:tblPr/>
      <w:tcPr>
        <w:tcBorders>
          <w:top w:val="nil"/>
          <w:left w:val="double" w:color="000000" w:sz="6" w:space="0"/>
          <w:bottom w:val="nil"/>
          <w:right w:val="nil"/>
          <w:insideH w:val="nil"/>
          <w:insideV w:val="nil"/>
          <w:tl2br w:val="nil"/>
          <w:tr2bl w:val="nil"/>
        </w:tcBorders>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17">
    <w:name w:val="Table Columns 2"/>
    <w:basedOn w:val="88"/>
    <w:qFormat/>
    <w:uiPriority w:val="0"/>
    <w:pPr>
      <w:widowControl w:val="0"/>
      <w:spacing w:line="560" w:lineRule="exact"/>
      <w:ind w:firstLine="200" w:firstLineChars="200"/>
      <w:jc w:val="both"/>
    </w:pPr>
    <w:rPr>
      <w:rFonts w:ascii="Calibri" w:hAnsi="Calibri"/>
      <w:b/>
      <w:bCs/>
    </w:r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color w:val="00000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18">
    <w:name w:val="Table Columns 3"/>
    <w:basedOn w:val="88"/>
    <w:qFormat/>
    <w:uiPriority w:val="0"/>
    <w:pPr>
      <w:widowControl w:val="0"/>
      <w:spacing w:line="560" w:lineRule="exact"/>
      <w:ind w:firstLine="200" w:firstLineChars="200"/>
      <w:jc w:val="both"/>
    </w:pPr>
    <w:rPr>
      <w:rFonts w:ascii="Calibri" w:hAnsi="Calibri"/>
      <w:b/>
      <w:bCs/>
    </w:rPr>
    <w:tblPr>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single" w:color="000080" w:sz="6" w:space="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op w:val="nil"/>
          <w:left w:val="nil"/>
          <w:bottom w:val="nil"/>
          <w:right w:val="nil"/>
          <w:insideH w:val="nil"/>
          <w:insideV w:val="nil"/>
          <w:tl2br w:val="nil"/>
          <w:tr2bl w:val="nil"/>
        </w:tcBorders>
      </w:tcPr>
    </w:tblStylePr>
  </w:style>
  <w:style w:type="table" w:styleId="119">
    <w:name w:val="Table Columns 4"/>
    <w:basedOn w:val="88"/>
    <w:qFormat/>
    <w:uiPriority w:val="0"/>
    <w:pPr>
      <w:widowControl w:val="0"/>
      <w:spacing w:line="560" w:lineRule="exact"/>
      <w:ind w:firstLine="200" w:firstLineChars="200"/>
      <w:jc w:val="both"/>
    </w:pPr>
    <w:rPr>
      <w:rFonts w:ascii="Calibri" w:hAnsi="Calibri"/>
    </w:r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120">
    <w:name w:val="Table Columns 5"/>
    <w:basedOn w:val="88"/>
    <w:qFormat/>
    <w:uiPriority w:val="0"/>
    <w:pPr>
      <w:widowControl w:val="0"/>
      <w:spacing w:line="560" w:lineRule="exact"/>
      <w:ind w:firstLine="200" w:firstLineChars="200"/>
      <w:jc w:val="both"/>
    </w:pPr>
    <w:rPr>
      <w:rFonts w:ascii="Calibri" w:hAnsi="Calibri"/>
    </w:rPr>
    <w:tblPr>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cPr>
        <w:tcBorders>
          <w:top w:val="nil"/>
          <w:left w:val="single" w:color="808080" w:sz="6" w:space="0"/>
          <w:bottom w:val="nil"/>
          <w:right w:val="nil"/>
          <w:insideH w:val="nil"/>
          <w:insideV w:val="nil"/>
          <w:tl2br w:val="nil"/>
          <w:tr2bl w:val="nil"/>
        </w:tcBorders>
      </w:tcPr>
    </w:tblStylePr>
    <w:tblStylePr w:type="lastRow">
      <w:rPr>
        <w:b/>
        <w:bCs/>
      </w:rPr>
      <w:tblPr/>
      <w:tcPr>
        <w:tcBorders>
          <w:top w:val="single" w:color="808080"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121">
    <w:name w:val="Table Grid 1"/>
    <w:basedOn w:val="88"/>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122">
    <w:name w:val="Table Grid 2"/>
    <w:basedOn w:val="88"/>
    <w:qFormat/>
    <w:uiPriority w:val="0"/>
    <w:pPr>
      <w:widowControl w:val="0"/>
      <w:spacing w:line="560" w:lineRule="exact"/>
      <w:ind w:firstLine="200" w:firstLineChars="200"/>
      <w:jc w:val="both"/>
    </w:pPr>
    <w:rPr>
      <w:rFonts w:ascii="Calibri" w:hAnsi="Calibri"/>
    </w:rPr>
    <w:tblPr>
      <w:tblBorders>
        <w:insideH w:val="single" w:color="000000" w:sz="6" w:space="0"/>
        <w:insideV w:val="single" w:color="000000" w:sz="6" w:space="0"/>
      </w:tblBorders>
    </w:tblPr>
    <w:tcPr>
      <w:shd w:val="clear" w:color="auto" w:fill="auto"/>
    </w:tcPr>
    <w:tblStylePr w:type="firstRow">
      <w:rPr>
        <w:b/>
        <w:bCs/>
      </w:rPr>
      <w:tblPr/>
      <w:tcPr>
        <w:tcBorders>
          <w:top w:val="nil"/>
          <w:left w:val="nil"/>
          <w:bottom w:val="nil"/>
          <w:right w:val="nil"/>
          <w:insideH w:val="nil"/>
          <w:insideV w:val="nil"/>
          <w:tl2br w:val="nil"/>
          <w:tr2bl w:val="nil"/>
        </w:tcBorders>
      </w:tcPr>
    </w:tblStylePr>
    <w:tblStylePr w:type="lastRow">
      <w:rPr>
        <w:b/>
        <w:bCs/>
      </w:rPr>
      <w:tblPr/>
      <w:tcPr>
        <w:tcBorders>
          <w:top w:val="single" w:color="000000"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style>
  <w:style w:type="table" w:styleId="123">
    <w:name w:val="Table Grid 3"/>
    <w:basedOn w:val="88"/>
    <w:qFormat/>
    <w:uiPriority w:val="0"/>
    <w:pPr>
      <w:widowControl w:val="0"/>
      <w:spacing w:line="560" w:lineRule="exact"/>
      <w:ind w:firstLine="200" w:firstLineChars="200"/>
      <w:jc w:val="both"/>
    </w:pPr>
    <w:rPr>
      <w:rFonts w:ascii="Calibri" w:hAnsi="Calibri"/>
    </w:rPr>
    <w:tblPr>
      <w:tblBorders>
        <w:top w:val="single" w:color="000000" w:sz="6" w:space="0"/>
        <w:left w:val="single" w:color="000000" w:sz="12" w:space="0"/>
        <w:bottom w:val="single" w:color="000000" w:sz="6" w:space="0"/>
        <w:right w:val="single" w:color="000000" w:sz="12" w:space="0"/>
        <w:insideV w:val="single" w:color="000000" w:sz="6" w:space="0"/>
      </w:tblBorders>
    </w:tblPr>
    <w:tcPr>
      <w:shd w:val="clear" w:color="auto" w:fill="auto"/>
    </w:tcPr>
    <w:tblStylePr w:type="firstRow">
      <w:tblPr/>
      <w:tcPr>
        <w:tcBorders>
          <w:top w:val="nil"/>
          <w:left w:val="single" w:color="000000" w:sz="6" w:space="0"/>
          <w:bottom w:val="nil"/>
          <w:right w:val="nil"/>
          <w:insideH w:val="nil"/>
          <w:insideV w:val="nil"/>
          <w:tl2br w:val="nil"/>
          <w:tr2bl w:val="nil"/>
        </w:tcBorders>
        <w:shd w:val="pct30" w:color="FFFF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124">
    <w:name w:val="Table Grid 4"/>
    <w:basedOn w:val="88"/>
    <w:qFormat/>
    <w:uiPriority w:val="0"/>
    <w:pPr>
      <w:widowControl w:val="0"/>
      <w:spacing w:line="560" w:lineRule="exact"/>
      <w:ind w:firstLine="200" w:firstLineChars="200"/>
      <w:jc w:val="both"/>
    </w:pPr>
    <w:rPr>
      <w:rFonts w:ascii="Calibri" w:hAnsi="Calibri"/>
    </w:rPr>
    <w:tblPr>
      <w:tblBorders>
        <w:left w:val="single" w:color="000000" w:sz="12" w:space="0"/>
        <w:right w:val="single" w:color="000000" w:sz="12" w:space="0"/>
        <w:insideH w:val="single" w:color="000000" w:sz="6" w:space="0"/>
        <w:insideV w:val="single" w:color="000000" w:sz="6" w:space="0"/>
      </w:tblBorders>
    </w:tblPr>
    <w:tcPr>
      <w:shd w:val="clear" w:color="auto" w:fill="auto"/>
    </w:tcPr>
    <w:tblStylePr w:type="firstRow">
      <w:rPr>
        <w:color w:val="auto"/>
      </w:rPr>
      <w:tblPr/>
      <w:tcPr>
        <w:tcBorders>
          <w:top w:val="nil"/>
          <w:left w:val="single" w:color="000000" w:sz="6" w:space="0"/>
          <w:bottom w:val="nil"/>
          <w:right w:val="nil"/>
          <w:insideH w:val="nil"/>
          <w:insideV w:val="nil"/>
          <w:tl2br w:val="nil"/>
          <w:tr2bl w:val="nil"/>
        </w:tcBorders>
        <w:shd w:val="pct30" w:color="FFFF00" w:fill="FFFFFF"/>
      </w:tcPr>
    </w:tblStylePr>
    <w:tblStylePr w:type="lastRow">
      <w:rPr>
        <w:b/>
        <w:bCs/>
        <w:color w:val="auto"/>
      </w:rPr>
      <w:tblPr/>
      <w:tcPr>
        <w:tcBorders>
          <w:top w:val="single" w:color="000000" w:sz="6" w:space="0"/>
          <w:left w:val="nil"/>
          <w:bottom w:val="nil"/>
          <w:right w:val="nil"/>
          <w:insideH w:val="nil"/>
          <w:insideV w:val="nil"/>
          <w:tl2br w:val="nil"/>
          <w:tr2bl w:val="nil"/>
        </w:tcBorders>
        <w:shd w:val="pct30" w:color="FFFF00" w:fill="FFFFFF"/>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125">
    <w:name w:val="Table Grid 5"/>
    <w:basedOn w:val="88"/>
    <w:qFormat/>
    <w:uiPriority w:val="0"/>
    <w:pPr>
      <w:widowControl w:val="0"/>
      <w:spacing w:line="560" w:lineRule="exact"/>
      <w:ind w:firstLine="200" w:firstLineChars="200"/>
      <w:jc w:val="both"/>
    </w:pPr>
    <w:rPr>
      <w:rFonts w:ascii="Calibri" w:hAnsi="Calibri"/>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top w:val="nil"/>
          <w:left w:val="single" w:color="000000" w:sz="12" w:space="0"/>
          <w:bottom w:val="nil"/>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126">
    <w:name w:val="Table Grid 6"/>
    <w:basedOn w:val="88"/>
    <w:qFormat/>
    <w:uiPriority w:val="0"/>
    <w:pPr>
      <w:widowControl w:val="0"/>
      <w:spacing w:line="560" w:lineRule="exact"/>
      <w:ind w:firstLine="200" w:firstLineChars="200"/>
      <w:jc w:val="both"/>
    </w:pPr>
    <w:rPr>
      <w:rFonts w:ascii="Calibri" w:hAnsi="Calibri"/>
    </w:rPr>
    <w:tblPr>
      <w:tblBorders>
        <w:top w:val="single" w:color="000000" w:sz="12" w:space="0"/>
        <w:left w:val="single" w:color="000000" w:sz="12" w:space="0"/>
        <w:bottom w:val="single" w:color="000000" w:sz="12" w:space="0"/>
        <w:right w:val="single" w:color="000000" w:sz="12" w:space="0"/>
        <w:insideV w:val="single" w:color="000000" w:sz="6" w:space="0"/>
      </w:tblBorders>
    </w:tblPr>
    <w:tcPr>
      <w:shd w:val="clear" w:color="auto" w:fill="auto"/>
    </w:tcPr>
    <w:tblStylePr w:type="firstRow">
      <w:rPr>
        <w:b/>
        <w:bCs/>
      </w:rPr>
      <w:tblPr/>
      <w:tcPr>
        <w:tcBorders>
          <w:top w:val="nil"/>
          <w:left w:val="single" w:color="000000" w:sz="6" w:space="0"/>
          <w:bottom w:val="nil"/>
          <w:right w:val="nil"/>
          <w:insideH w:val="nil"/>
          <w:insideV w:val="nil"/>
          <w:tl2br w:val="nil"/>
          <w:tr2bl w:val="nil"/>
        </w:tcBorders>
      </w:tcPr>
    </w:tblStylePr>
    <w:tblStylePr w:type="lastRow">
      <w:rPr>
        <w:color w:val="auto"/>
      </w:rPr>
      <w:tblPr/>
      <w:tcPr>
        <w:tcBorders>
          <w:top w:val="single" w:color="000000"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127">
    <w:name w:val="Table Grid 7"/>
    <w:basedOn w:val="88"/>
    <w:qFormat/>
    <w:uiPriority w:val="0"/>
    <w:pPr>
      <w:widowControl w:val="0"/>
      <w:spacing w:line="560" w:lineRule="exact"/>
      <w:ind w:firstLine="200" w:firstLineChars="200"/>
      <w:jc w:val="both"/>
    </w:pPr>
    <w:rPr>
      <w:rFonts w:ascii="Calibri" w:hAnsi="Calibri"/>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blPr/>
      <w:tcPr>
        <w:tcBorders>
          <w:top w:val="nil"/>
          <w:left w:val="single" w:color="000000" w:sz="12" w:space="0"/>
          <w:bottom w:val="nil"/>
          <w:right w:val="nil"/>
          <w:insideH w:val="nil"/>
          <w:insideV w:val="nil"/>
          <w:tl2br w:val="nil"/>
          <w:tr2bl w:val="nil"/>
        </w:tcBorders>
      </w:tcPr>
    </w:tblStylePr>
    <w:tblStylePr w:type="lastRow">
      <w:rPr>
        <w:b w:val="0"/>
        <w:bCs w:val="0"/>
      </w:rPr>
      <w:tblPr/>
      <w:tcPr>
        <w:tcBorders>
          <w:top w:val="single" w:color="000000" w:sz="6" w:space="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128">
    <w:name w:val="Table Grid 8"/>
    <w:basedOn w:val="88"/>
    <w:qFormat/>
    <w:uiPriority w:val="0"/>
    <w:pPr>
      <w:widowControl w:val="0"/>
      <w:spacing w:line="560" w:lineRule="exact"/>
      <w:ind w:firstLine="200" w:firstLineChars="200"/>
      <w:jc w:val="both"/>
    </w:pPr>
    <w:rPr>
      <w:rFonts w:ascii="Calibri" w:hAnsi="Calibri"/>
    </w:r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129">
    <w:name w:val="Table Web 1"/>
    <w:basedOn w:val="88"/>
    <w:qFormat/>
    <w:uiPriority w:val="0"/>
    <w:pPr>
      <w:widowControl w:val="0"/>
      <w:spacing w:line="560" w:lineRule="exact"/>
      <w:ind w:firstLine="200" w:firstLineChars="200"/>
      <w:jc w:val="both"/>
    </w:pPr>
    <w:rPr>
      <w:rFonts w:ascii="Calibri" w:hAnsi="Calibri"/>
    </w:rPr>
    <w:tblPr>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130">
    <w:name w:val="Table Web 2"/>
    <w:basedOn w:val="88"/>
    <w:qFormat/>
    <w:uiPriority w:val="0"/>
    <w:pPr>
      <w:widowControl w:val="0"/>
      <w:spacing w:line="560" w:lineRule="exact"/>
      <w:ind w:firstLine="200" w:firstLineChars="200"/>
      <w:jc w:val="both"/>
    </w:pPr>
    <w:rPr>
      <w:rFonts w:ascii="Calibri" w:hAnsi="Calibri"/>
    </w:rPr>
    <w:tblPr>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131">
    <w:name w:val="Table Web 3"/>
    <w:basedOn w:val="88"/>
    <w:qFormat/>
    <w:uiPriority w:val="0"/>
    <w:pPr>
      <w:widowControl w:val="0"/>
      <w:spacing w:line="560" w:lineRule="exact"/>
      <w:ind w:firstLine="200" w:firstLineChars="200"/>
      <w:jc w:val="both"/>
    </w:pPr>
    <w:rPr>
      <w:rFonts w:ascii="Calibri" w:hAnsi="Calibri"/>
    </w:rPr>
    <w:tblPr>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132">
    <w:name w:val="Table Professional"/>
    <w:basedOn w:val="88"/>
    <w:qFormat/>
    <w:uiPriority w:val="0"/>
    <w:pPr>
      <w:widowControl w:val="0"/>
      <w:spacing w:line="560" w:lineRule="exact"/>
      <w:ind w:firstLine="200" w:firstLineChars="200"/>
      <w:jc w:val="both"/>
    </w:pPr>
    <w:rPr>
      <w:rFonts w:ascii="Calibri" w:hAnsi="Calibri"/>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character" w:styleId="134">
    <w:name w:val="Strong"/>
    <w:qFormat/>
    <w:uiPriority w:val="0"/>
    <w:rPr>
      <w:b/>
      <w:bCs/>
    </w:rPr>
  </w:style>
  <w:style w:type="character" w:styleId="135">
    <w:name w:val="endnote reference"/>
    <w:qFormat/>
    <w:uiPriority w:val="0"/>
    <w:rPr>
      <w:vertAlign w:val="superscript"/>
    </w:rPr>
  </w:style>
  <w:style w:type="character" w:styleId="136">
    <w:name w:val="page number"/>
    <w:qFormat/>
    <w:uiPriority w:val="0"/>
  </w:style>
  <w:style w:type="character" w:styleId="137">
    <w:name w:val="FollowedHyperlink"/>
    <w:qFormat/>
    <w:uiPriority w:val="99"/>
    <w:rPr>
      <w:color w:val="800080"/>
      <w:u w:val="single"/>
    </w:rPr>
  </w:style>
  <w:style w:type="character" w:styleId="138">
    <w:name w:val="Emphasis"/>
    <w:qFormat/>
    <w:uiPriority w:val="0"/>
    <w:rPr>
      <w:i/>
      <w:iCs/>
    </w:rPr>
  </w:style>
  <w:style w:type="character" w:styleId="139">
    <w:name w:val="line number"/>
    <w:qFormat/>
    <w:uiPriority w:val="0"/>
  </w:style>
  <w:style w:type="character" w:styleId="140">
    <w:name w:val="HTML Definition"/>
    <w:qFormat/>
    <w:uiPriority w:val="0"/>
    <w:rPr>
      <w:i/>
      <w:iCs/>
    </w:rPr>
  </w:style>
  <w:style w:type="character" w:styleId="141">
    <w:name w:val="HTML Typewriter"/>
    <w:qFormat/>
    <w:uiPriority w:val="0"/>
    <w:rPr>
      <w:rFonts w:ascii="Courier New" w:hAnsi="Courier New" w:cs="Courier New"/>
      <w:sz w:val="20"/>
      <w:szCs w:val="20"/>
    </w:rPr>
  </w:style>
  <w:style w:type="character" w:styleId="142">
    <w:name w:val="HTML Acronym"/>
    <w:qFormat/>
    <w:uiPriority w:val="0"/>
  </w:style>
  <w:style w:type="character" w:styleId="143">
    <w:name w:val="HTML Variable"/>
    <w:qFormat/>
    <w:uiPriority w:val="0"/>
    <w:rPr>
      <w:i/>
      <w:iCs/>
    </w:rPr>
  </w:style>
  <w:style w:type="character" w:styleId="144">
    <w:name w:val="Hyperlink"/>
    <w:unhideWhenUsed/>
    <w:qFormat/>
    <w:uiPriority w:val="99"/>
    <w:rPr>
      <w:color w:val="0000FF"/>
      <w:u w:val="single"/>
    </w:rPr>
  </w:style>
  <w:style w:type="character" w:styleId="145">
    <w:name w:val="HTML Code"/>
    <w:qFormat/>
    <w:uiPriority w:val="0"/>
    <w:rPr>
      <w:rFonts w:ascii="Courier New" w:hAnsi="Courier New" w:cs="Courier New"/>
      <w:sz w:val="20"/>
      <w:szCs w:val="20"/>
    </w:rPr>
  </w:style>
  <w:style w:type="character" w:styleId="146">
    <w:name w:val="annotation reference"/>
    <w:qFormat/>
    <w:uiPriority w:val="99"/>
    <w:rPr>
      <w:sz w:val="21"/>
      <w:szCs w:val="21"/>
    </w:rPr>
  </w:style>
  <w:style w:type="character" w:styleId="147">
    <w:name w:val="HTML Cite"/>
    <w:qFormat/>
    <w:uiPriority w:val="0"/>
    <w:rPr>
      <w:i/>
      <w:iCs/>
    </w:rPr>
  </w:style>
  <w:style w:type="character" w:styleId="148">
    <w:name w:val="footnote reference"/>
    <w:unhideWhenUsed/>
    <w:qFormat/>
    <w:uiPriority w:val="99"/>
    <w:rPr>
      <w:vertAlign w:val="superscript"/>
    </w:rPr>
  </w:style>
  <w:style w:type="character" w:styleId="149">
    <w:name w:val="HTML Keyboard"/>
    <w:qFormat/>
    <w:uiPriority w:val="0"/>
    <w:rPr>
      <w:rFonts w:ascii="Courier New" w:hAnsi="Courier New" w:cs="Courier New"/>
      <w:sz w:val="20"/>
      <w:szCs w:val="20"/>
    </w:rPr>
  </w:style>
  <w:style w:type="character" w:styleId="150">
    <w:name w:val="HTML Sample"/>
    <w:qFormat/>
    <w:uiPriority w:val="0"/>
    <w:rPr>
      <w:rFonts w:ascii="Courier New" w:hAnsi="Courier New" w:cs="Courier New"/>
    </w:rPr>
  </w:style>
  <w:style w:type="character" w:customStyle="1" w:styleId="151">
    <w:name w:val="宏文本 字符3"/>
    <w:link w:val="3"/>
    <w:qFormat/>
    <w:uiPriority w:val="0"/>
    <w:rPr>
      <w:rFonts w:ascii="Courier New" w:hAnsi="Courier New"/>
      <w:sz w:val="24"/>
      <w:szCs w:val="24"/>
      <w:lang w:val="en-US" w:eastAsia="zh-CN" w:bidi="ar-SA"/>
    </w:rPr>
  </w:style>
  <w:style w:type="character" w:customStyle="1" w:styleId="152">
    <w:name w:val="标题 1 字符3"/>
    <w:link w:val="4"/>
    <w:qFormat/>
    <w:uiPriority w:val="9"/>
    <w:rPr>
      <w:rFonts w:ascii="黑体" w:hAnsi="黑体" w:eastAsia="黑体"/>
      <w:bCs/>
      <w:kern w:val="44"/>
      <w:sz w:val="36"/>
      <w:szCs w:val="36"/>
    </w:rPr>
  </w:style>
  <w:style w:type="character" w:customStyle="1" w:styleId="153">
    <w:name w:val="标题 2 字符3"/>
    <w:link w:val="5"/>
    <w:qFormat/>
    <w:uiPriority w:val="9"/>
    <w:rPr>
      <w:rFonts w:ascii="黑体" w:hAnsi="黑体" w:eastAsia="黑体"/>
      <w:bCs/>
      <w:kern w:val="2"/>
      <w:sz w:val="32"/>
      <w:szCs w:val="28"/>
    </w:rPr>
  </w:style>
  <w:style w:type="character" w:customStyle="1" w:styleId="154">
    <w:name w:val="正文缩进 字符3"/>
    <w:link w:val="6"/>
    <w:qFormat/>
    <w:uiPriority w:val="0"/>
    <w:rPr>
      <w:rFonts w:ascii="仿宋_GB2312" w:eastAsia="仿宋_GB2312"/>
      <w:kern w:val="2"/>
      <w:sz w:val="28"/>
      <w:szCs w:val="28"/>
    </w:rPr>
  </w:style>
  <w:style w:type="character" w:customStyle="1" w:styleId="155">
    <w:name w:val="标题 3 字符3"/>
    <w:link w:val="7"/>
    <w:qFormat/>
    <w:uiPriority w:val="9"/>
    <w:rPr>
      <w:rFonts w:ascii="方正小标宋_GBK" w:hAnsi="Arial" w:eastAsia="方正小标宋_GBK"/>
      <w:bCs/>
      <w:kern w:val="2"/>
      <w:sz w:val="28"/>
      <w:szCs w:val="28"/>
    </w:rPr>
  </w:style>
  <w:style w:type="character" w:customStyle="1" w:styleId="156">
    <w:name w:val="标题 4 字符3"/>
    <w:link w:val="8"/>
    <w:qFormat/>
    <w:uiPriority w:val="9"/>
    <w:rPr>
      <w:rFonts w:ascii="Cambria" w:hAnsi="Cambria" w:eastAsia="宋体" w:cs="Times New Roman"/>
      <w:b/>
      <w:bCs/>
      <w:kern w:val="2"/>
      <w:sz w:val="28"/>
      <w:szCs w:val="28"/>
    </w:rPr>
  </w:style>
  <w:style w:type="character" w:customStyle="1" w:styleId="157">
    <w:name w:val="标题 5 字符3"/>
    <w:link w:val="9"/>
    <w:qFormat/>
    <w:uiPriority w:val="0"/>
    <w:rPr>
      <w:rFonts w:ascii="宋体" w:hAnsi="宋体" w:cs="宋体"/>
      <w:b/>
      <w:sz w:val="24"/>
    </w:rPr>
  </w:style>
  <w:style w:type="character" w:customStyle="1" w:styleId="158">
    <w:name w:val="标题 6 字符3"/>
    <w:link w:val="10"/>
    <w:qFormat/>
    <w:uiPriority w:val="0"/>
    <w:rPr>
      <w:rFonts w:ascii="Arial" w:hAnsi="Arial" w:eastAsia="黑体" w:cs="宋体"/>
      <w:b/>
      <w:sz w:val="24"/>
    </w:rPr>
  </w:style>
  <w:style w:type="character" w:customStyle="1" w:styleId="159">
    <w:name w:val="标题 7 字符3"/>
    <w:link w:val="11"/>
    <w:qFormat/>
    <w:uiPriority w:val="0"/>
    <w:rPr>
      <w:rFonts w:ascii="仿宋_GB2312" w:eastAsia="仿宋_GB2312"/>
      <w:b/>
      <w:bCs/>
      <w:sz w:val="24"/>
      <w:szCs w:val="24"/>
    </w:rPr>
  </w:style>
  <w:style w:type="character" w:customStyle="1" w:styleId="160">
    <w:name w:val="标题 8 字符3"/>
    <w:link w:val="12"/>
    <w:qFormat/>
    <w:uiPriority w:val="0"/>
    <w:rPr>
      <w:rFonts w:ascii="Arial" w:hAnsi="Arial" w:eastAsia="黑体"/>
      <w:sz w:val="24"/>
      <w:szCs w:val="24"/>
    </w:rPr>
  </w:style>
  <w:style w:type="character" w:customStyle="1" w:styleId="161">
    <w:name w:val="标题 9 字符3"/>
    <w:link w:val="13"/>
    <w:qFormat/>
    <w:uiPriority w:val="0"/>
    <w:rPr>
      <w:rFonts w:ascii="Arial" w:hAnsi="Arial" w:eastAsia="黑体"/>
      <w:sz w:val="28"/>
      <w:szCs w:val="21"/>
    </w:rPr>
  </w:style>
  <w:style w:type="character" w:customStyle="1" w:styleId="162">
    <w:name w:val="注释标题 字符3"/>
    <w:link w:val="18"/>
    <w:qFormat/>
    <w:uiPriority w:val="0"/>
    <w:rPr>
      <w:kern w:val="2"/>
      <w:sz w:val="24"/>
    </w:rPr>
  </w:style>
  <w:style w:type="character" w:customStyle="1" w:styleId="163">
    <w:name w:val="电子邮件签名 字符3"/>
    <w:link w:val="21"/>
    <w:qFormat/>
    <w:uiPriority w:val="0"/>
    <w:rPr>
      <w:kern w:val="2"/>
      <w:sz w:val="24"/>
    </w:rPr>
  </w:style>
  <w:style w:type="character" w:customStyle="1" w:styleId="164">
    <w:name w:val="题注 字符3"/>
    <w:link w:val="23"/>
    <w:qFormat/>
    <w:uiPriority w:val="0"/>
    <w:rPr>
      <w:rFonts w:ascii="Arial" w:hAnsi="Arial" w:eastAsia="黑体" w:cs="Arial"/>
      <w:kern w:val="2"/>
    </w:rPr>
  </w:style>
  <w:style w:type="character" w:customStyle="1" w:styleId="165">
    <w:name w:val="文档结构图 字符3"/>
    <w:link w:val="27"/>
    <w:qFormat/>
    <w:uiPriority w:val="0"/>
    <w:rPr>
      <w:rFonts w:ascii="仿宋_GB2312" w:eastAsia="仿宋_GB2312"/>
      <w:kern w:val="2"/>
      <w:sz w:val="28"/>
      <w:szCs w:val="28"/>
      <w:shd w:val="clear" w:color="auto" w:fill="000080"/>
    </w:rPr>
  </w:style>
  <w:style w:type="character" w:customStyle="1" w:styleId="166">
    <w:name w:val="批注文字 字符3"/>
    <w:link w:val="29"/>
    <w:qFormat/>
    <w:uiPriority w:val="99"/>
    <w:rPr>
      <w:rFonts w:ascii="仿宋_GB2312" w:eastAsia="仿宋_GB2312"/>
      <w:kern w:val="2"/>
      <w:sz w:val="28"/>
      <w:szCs w:val="28"/>
    </w:rPr>
  </w:style>
  <w:style w:type="character" w:customStyle="1" w:styleId="167">
    <w:name w:val="称呼 字符3"/>
    <w:link w:val="31"/>
    <w:qFormat/>
    <w:uiPriority w:val="0"/>
    <w:rPr>
      <w:kern w:val="2"/>
      <w:sz w:val="24"/>
    </w:rPr>
  </w:style>
  <w:style w:type="character" w:customStyle="1" w:styleId="168">
    <w:name w:val="正文文本 3 字符3"/>
    <w:link w:val="32"/>
    <w:qFormat/>
    <w:uiPriority w:val="0"/>
    <w:rPr>
      <w:kern w:val="2"/>
      <w:sz w:val="16"/>
      <w:szCs w:val="16"/>
    </w:rPr>
  </w:style>
  <w:style w:type="character" w:customStyle="1" w:styleId="169">
    <w:name w:val="结束语 字符3"/>
    <w:link w:val="33"/>
    <w:qFormat/>
    <w:uiPriority w:val="0"/>
    <w:rPr>
      <w:kern w:val="2"/>
      <w:sz w:val="24"/>
    </w:rPr>
  </w:style>
  <w:style w:type="character" w:customStyle="1" w:styleId="170">
    <w:name w:val="正文文本 字符3"/>
    <w:link w:val="35"/>
    <w:qFormat/>
    <w:uiPriority w:val="0"/>
    <w:rPr>
      <w:kern w:val="2"/>
      <w:sz w:val="24"/>
      <w:szCs w:val="24"/>
    </w:rPr>
  </w:style>
  <w:style w:type="character" w:customStyle="1" w:styleId="171">
    <w:name w:val="正文文本缩进 字符3"/>
    <w:link w:val="36"/>
    <w:qFormat/>
    <w:uiPriority w:val="0"/>
    <w:rPr>
      <w:kern w:val="2"/>
      <w:sz w:val="28"/>
    </w:rPr>
  </w:style>
  <w:style w:type="character" w:customStyle="1" w:styleId="172">
    <w:name w:val="HTML 地址 字符3"/>
    <w:link w:val="42"/>
    <w:qFormat/>
    <w:uiPriority w:val="0"/>
    <w:rPr>
      <w:i/>
      <w:iCs/>
      <w:kern w:val="2"/>
      <w:sz w:val="24"/>
    </w:rPr>
  </w:style>
  <w:style w:type="character" w:customStyle="1" w:styleId="173">
    <w:name w:val="纯文本 字符3"/>
    <w:link w:val="46"/>
    <w:qFormat/>
    <w:uiPriority w:val="0"/>
    <w:rPr>
      <w:rFonts w:ascii="宋体"/>
      <w:color w:val="000000"/>
      <w:sz w:val="21"/>
      <w:u w:val="none" w:color="000000"/>
    </w:rPr>
  </w:style>
  <w:style w:type="character" w:customStyle="1" w:styleId="174">
    <w:name w:val="日期 字符3"/>
    <w:link w:val="51"/>
    <w:qFormat/>
    <w:uiPriority w:val="0"/>
    <w:rPr>
      <w:kern w:val="2"/>
      <w:sz w:val="21"/>
      <w:szCs w:val="24"/>
    </w:rPr>
  </w:style>
  <w:style w:type="character" w:customStyle="1" w:styleId="175">
    <w:name w:val="正文文本缩进 2 字符3"/>
    <w:link w:val="52"/>
    <w:qFormat/>
    <w:uiPriority w:val="0"/>
    <w:rPr>
      <w:rFonts w:ascii="仿宋_GB2312" w:eastAsia="仿宋_GB2312"/>
      <w:kern w:val="2"/>
      <w:sz w:val="28"/>
      <w:szCs w:val="28"/>
    </w:rPr>
  </w:style>
  <w:style w:type="character" w:customStyle="1" w:styleId="176">
    <w:name w:val="尾注文本 字符3"/>
    <w:link w:val="53"/>
    <w:qFormat/>
    <w:uiPriority w:val="0"/>
    <w:rPr>
      <w:rFonts w:ascii="仿宋_GB2312" w:eastAsia="仿宋_GB2312"/>
      <w:kern w:val="2"/>
      <w:sz w:val="28"/>
      <w:szCs w:val="28"/>
    </w:rPr>
  </w:style>
  <w:style w:type="character" w:customStyle="1" w:styleId="177">
    <w:name w:val="批注框文本 字符3"/>
    <w:link w:val="55"/>
    <w:qFormat/>
    <w:uiPriority w:val="99"/>
    <w:rPr>
      <w:rFonts w:ascii="仿宋_GB2312" w:eastAsia="仿宋_GB2312"/>
      <w:kern w:val="2"/>
      <w:sz w:val="18"/>
      <w:szCs w:val="18"/>
    </w:rPr>
  </w:style>
  <w:style w:type="character" w:customStyle="1" w:styleId="178">
    <w:name w:val="页脚 字符3"/>
    <w:link w:val="2"/>
    <w:qFormat/>
    <w:uiPriority w:val="99"/>
    <w:rPr>
      <w:kern w:val="2"/>
      <w:sz w:val="18"/>
      <w:szCs w:val="18"/>
    </w:rPr>
  </w:style>
  <w:style w:type="character" w:customStyle="1" w:styleId="179">
    <w:name w:val="页眉 字符3"/>
    <w:link w:val="57"/>
    <w:qFormat/>
    <w:uiPriority w:val="99"/>
    <w:rPr>
      <w:kern w:val="2"/>
      <w:sz w:val="18"/>
      <w:szCs w:val="18"/>
    </w:rPr>
  </w:style>
  <w:style w:type="character" w:customStyle="1" w:styleId="180">
    <w:name w:val="签名 字符3"/>
    <w:link w:val="58"/>
    <w:qFormat/>
    <w:uiPriority w:val="0"/>
    <w:rPr>
      <w:kern w:val="2"/>
      <w:sz w:val="24"/>
    </w:rPr>
  </w:style>
  <w:style w:type="character" w:customStyle="1" w:styleId="181">
    <w:name w:val="TOC 1 字符"/>
    <w:link w:val="59"/>
    <w:qFormat/>
    <w:uiPriority w:val="39"/>
    <w:rPr>
      <w:rFonts w:eastAsia="黑体"/>
      <w:kern w:val="2"/>
      <w:sz w:val="28"/>
      <w:szCs w:val="28"/>
    </w:rPr>
  </w:style>
  <w:style w:type="character" w:customStyle="1" w:styleId="182">
    <w:name w:val="副标题 字符3"/>
    <w:link w:val="64"/>
    <w:qFormat/>
    <w:uiPriority w:val="0"/>
    <w:rPr>
      <w:rFonts w:ascii="Cambria" w:hAnsi="Cambria"/>
      <w:b/>
      <w:bCs/>
      <w:kern w:val="28"/>
      <w:sz w:val="32"/>
      <w:szCs w:val="32"/>
    </w:rPr>
  </w:style>
  <w:style w:type="character" w:customStyle="1" w:styleId="183">
    <w:name w:val="脚注文本 字符3"/>
    <w:link w:val="67"/>
    <w:qFormat/>
    <w:uiPriority w:val="0"/>
    <w:rPr>
      <w:rFonts w:eastAsia="华文中宋"/>
      <w:kern w:val="2"/>
      <w:sz w:val="18"/>
      <w:szCs w:val="18"/>
    </w:rPr>
  </w:style>
  <w:style w:type="character" w:customStyle="1" w:styleId="184">
    <w:name w:val="正文文本缩进 3 字符3"/>
    <w:link w:val="70"/>
    <w:qFormat/>
    <w:uiPriority w:val="0"/>
    <w:rPr>
      <w:kern w:val="2"/>
      <w:sz w:val="16"/>
      <w:szCs w:val="16"/>
    </w:rPr>
  </w:style>
  <w:style w:type="character" w:customStyle="1" w:styleId="185">
    <w:name w:val="正文文本 2 字符3"/>
    <w:link w:val="76"/>
    <w:qFormat/>
    <w:uiPriority w:val="0"/>
    <w:rPr>
      <w:kern w:val="2"/>
      <w:sz w:val="21"/>
      <w:szCs w:val="24"/>
    </w:rPr>
  </w:style>
  <w:style w:type="character" w:customStyle="1" w:styleId="186">
    <w:name w:val="信息标题 字符3"/>
    <w:link w:val="79"/>
    <w:qFormat/>
    <w:uiPriority w:val="0"/>
    <w:rPr>
      <w:rFonts w:ascii="Arial" w:hAnsi="Arial" w:cs="Arial"/>
      <w:kern w:val="2"/>
      <w:sz w:val="24"/>
      <w:szCs w:val="24"/>
      <w:shd w:val="pct20" w:color="auto" w:fill="auto"/>
    </w:rPr>
  </w:style>
  <w:style w:type="character" w:customStyle="1" w:styleId="187">
    <w:name w:val="HTML 预设格式 字符3"/>
    <w:link w:val="80"/>
    <w:qFormat/>
    <w:uiPriority w:val="0"/>
    <w:rPr>
      <w:rFonts w:ascii="Courier New" w:hAnsi="Courier New" w:cs="Courier New"/>
      <w:kern w:val="2"/>
    </w:rPr>
  </w:style>
  <w:style w:type="character" w:customStyle="1" w:styleId="188">
    <w:name w:val="标题 字符3"/>
    <w:link w:val="84"/>
    <w:qFormat/>
    <w:uiPriority w:val="0"/>
    <w:rPr>
      <w:bCs/>
      <w:kern w:val="2"/>
      <w:sz w:val="24"/>
      <w:szCs w:val="32"/>
    </w:rPr>
  </w:style>
  <w:style w:type="character" w:customStyle="1" w:styleId="189">
    <w:name w:val="批注主题 字符3"/>
    <w:link w:val="85"/>
    <w:qFormat/>
    <w:uiPriority w:val="99"/>
    <w:rPr>
      <w:rFonts w:ascii="仿宋_GB2312" w:eastAsia="仿宋_GB2312"/>
      <w:b/>
      <w:bCs/>
      <w:kern w:val="2"/>
      <w:sz w:val="28"/>
      <w:szCs w:val="28"/>
    </w:rPr>
  </w:style>
  <w:style w:type="character" w:customStyle="1" w:styleId="190">
    <w:name w:val="正文文本首行缩进 字符3"/>
    <w:link w:val="86"/>
    <w:qFormat/>
    <w:uiPriority w:val="0"/>
    <w:rPr>
      <w:kern w:val="2"/>
      <w:sz w:val="21"/>
      <w:szCs w:val="24"/>
    </w:rPr>
  </w:style>
  <w:style w:type="character" w:customStyle="1" w:styleId="191">
    <w:name w:val="正文文本首行缩进 2 字符3"/>
    <w:link w:val="87"/>
    <w:qFormat/>
    <w:uiPriority w:val="0"/>
    <w:rPr>
      <w:kern w:val="2"/>
      <w:sz w:val="21"/>
    </w:rPr>
  </w:style>
  <w:style w:type="character" w:customStyle="1" w:styleId="192">
    <w:name w:val="标题 5 字符1"/>
    <w:qFormat/>
    <w:uiPriority w:val="0"/>
    <w:rPr>
      <w:rFonts w:ascii="宋体" w:hAnsi="宋体" w:cs="宋体"/>
      <w:b/>
      <w:sz w:val="24"/>
    </w:rPr>
  </w:style>
  <w:style w:type="character" w:customStyle="1" w:styleId="193">
    <w:name w:val="样式 样式 首行缩进:  2 字符3 + 首行缩进:  2 字符 Char"/>
    <w:link w:val="194"/>
    <w:qFormat/>
    <w:uiPriority w:val="0"/>
    <w:rPr>
      <w:rFonts w:ascii="仿宋_GB2312" w:eastAsia="仿宋_GB2312"/>
      <w:kern w:val="2"/>
      <w:sz w:val="28"/>
    </w:rPr>
  </w:style>
  <w:style w:type="paragraph" w:customStyle="1" w:styleId="194">
    <w:name w:val="样式 样式 首行缩进:  2 字符3 + 首行缩进:  2 字符"/>
    <w:basedOn w:val="1"/>
    <w:link w:val="193"/>
    <w:qFormat/>
    <w:uiPriority w:val="0"/>
    <w:rPr>
      <w:szCs w:val="20"/>
    </w:rPr>
  </w:style>
  <w:style w:type="character" w:customStyle="1" w:styleId="195">
    <w:name w:val="Heading 8 Char"/>
    <w:qFormat/>
    <w:uiPriority w:val="0"/>
    <w:rPr>
      <w:rFonts w:ascii="Calibri" w:hAnsi="Calibri" w:eastAsia="宋体"/>
      <w:i/>
      <w:iCs/>
      <w:sz w:val="24"/>
      <w:szCs w:val="24"/>
      <w:lang w:val="en-US" w:eastAsia="en-US" w:bidi="ar-SA"/>
    </w:rPr>
  </w:style>
  <w:style w:type="character" w:customStyle="1" w:styleId="196">
    <w:name w:val="正文文本 3 Char2"/>
    <w:qFormat/>
    <w:uiPriority w:val="0"/>
    <w:rPr>
      <w:rFonts w:ascii="仿宋_GB2312" w:eastAsia="仿宋_GB2312"/>
      <w:spacing w:val="1"/>
      <w:sz w:val="16"/>
      <w:szCs w:val="16"/>
      <w:lang w:val="en-US" w:eastAsia="zh-CN" w:bidi="ar-SA"/>
    </w:rPr>
  </w:style>
  <w:style w:type="character" w:customStyle="1" w:styleId="197">
    <w:name w:val="Char Char152"/>
    <w:qFormat/>
    <w:uiPriority w:val="0"/>
    <w:rPr>
      <w:rFonts w:ascii="仿宋_GB2312" w:eastAsia="仿宋_GB2312"/>
      <w:b/>
      <w:bCs/>
      <w:sz w:val="28"/>
      <w:szCs w:val="28"/>
      <w:lang w:val="en-US" w:eastAsia="zh-CN" w:bidi="ar-SA"/>
    </w:rPr>
  </w:style>
  <w:style w:type="character" w:customStyle="1" w:styleId="198">
    <w:name w:val="标题 3 字符1"/>
    <w:qFormat/>
    <w:uiPriority w:val="0"/>
    <w:rPr>
      <w:rFonts w:ascii="方正小标宋_GBK" w:hAnsi="Arial" w:eastAsia="方正小标宋_GBK"/>
      <w:bCs/>
      <w:kern w:val="2"/>
      <w:sz w:val="28"/>
      <w:szCs w:val="28"/>
    </w:rPr>
  </w:style>
  <w:style w:type="character" w:customStyle="1" w:styleId="199">
    <w:name w:val="标题 2 Char Char Char Char Char Char Char Char Char1"/>
    <w:qFormat/>
    <w:uiPriority w:val="0"/>
    <w:rPr>
      <w:rFonts w:ascii="黑体" w:hAnsi="宋体" w:eastAsia="黑体"/>
      <w:kern w:val="2"/>
      <w:sz w:val="32"/>
      <w:lang w:val="en-US" w:eastAsia="zh-CN"/>
    </w:rPr>
  </w:style>
  <w:style w:type="character" w:customStyle="1" w:styleId="200">
    <w:name w:val="正文文本 3 Char1"/>
    <w:qFormat/>
    <w:uiPriority w:val="0"/>
    <w:rPr>
      <w:kern w:val="2"/>
      <w:sz w:val="16"/>
      <w:szCs w:val="16"/>
    </w:rPr>
  </w:style>
  <w:style w:type="character" w:customStyle="1" w:styleId="201">
    <w:name w:val="脚注文本 字符"/>
    <w:qFormat/>
    <w:uiPriority w:val="0"/>
    <w:rPr>
      <w:rFonts w:ascii="Times New Roman" w:hAnsi="Times New Roman" w:eastAsia="华文中宋" w:cs="Times New Roman"/>
      <w:sz w:val="18"/>
      <w:szCs w:val="18"/>
    </w:rPr>
  </w:style>
  <w:style w:type="character" w:customStyle="1" w:styleId="202">
    <w:name w:val="正文（首行缩进两字） Char Char Char Char1"/>
    <w:qFormat/>
    <w:uiPriority w:val="0"/>
    <w:rPr>
      <w:rFonts w:eastAsia="宋体"/>
      <w:kern w:val="2"/>
      <w:sz w:val="21"/>
      <w:szCs w:val="24"/>
      <w:lang w:val="en-US" w:eastAsia="zh-CN" w:bidi="ar-SA"/>
    </w:rPr>
  </w:style>
  <w:style w:type="character" w:customStyle="1" w:styleId="203">
    <w:name w:val="小标题 Char Char Char Char"/>
    <w:link w:val="204"/>
    <w:qFormat/>
    <w:uiPriority w:val="0"/>
    <w:rPr>
      <w:b/>
      <w:spacing w:val="4"/>
      <w:kern w:val="2"/>
      <w:sz w:val="24"/>
      <w:szCs w:val="28"/>
    </w:rPr>
  </w:style>
  <w:style w:type="paragraph" w:customStyle="1" w:styleId="204">
    <w:name w:val="小标题 Char Char Char"/>
    <w:basedOn w:val="87"/>
    <w:link w:val="203"/>
    <w:qFormat/>
    <w:uiPriority w:val="0"/>
    <w:pPr>
      <w:spacing w:after="0" w:line="360" w:lineRule="auto"/>
      <w:ind w:left="0" w:firstLine="200" w:firstLineChars="200"/>
    </w:pPr>
    <w:rPr>
      <w:b/>
      <w:spacing w:val="4"/>
      <w:sz w:val="24"/>
      <w:szCs w:val="28"/>
    </w:rPr>
  </w:style>
  <w:style w:type="character" w:customStyle="1" w:styleId="205">
    <w:name w:val="页眉 字符2"/>
    <w:qFormat/>
    <w:uiPriority w:val="0"/>
    <w:rPr>
      <w:kern w:val="2"/>
      <w:sz w:val="18"/>
      <w:szCs w:val="18"/>
    </w:rPr>
  </w:style>
  <w:style w:type="character" w:customStyle="1" w:styleId="206">
    <w:name w:val="表格 Char Char Char"/>
    <w:semiHidden/>
    <w:qFormat/>
    <w:uiPriority w:val="0"/>
    <w:rPr>
      <w:rFonts w:eastAsia="宋体"/>
      <w:color w:val="000000"/>
      <w:kern w:val="2"/>
      <w:sz w:val="21"/>
      <w:szCs w:val="21"/>
      <w:lang w:val="en-US" w:eastAsia="zh-CN" w:bidi="ar-SA"/>
    </w:rPr>
  </w:style>
  <w:style w:type="character" w:customStyle="1" w:styleId="207">
    <w:name w:val="标题 9 字符2"/>
    <w:qFormat/>
    <w:uiPriority w:val="0"/>
    <w:rPr>
      <w:rFonts w:ascii="Arial" w:hAnsi="Arial" w:eastAsia="黑体"/>
      <w:sz w:val="28"/>
      <w:szCs w:val="21"/>
    </w:rPr>
  </w:style>
  <w:style w:type="character" w:customStyle="1" w:styleId="208">
    <w:name w:val="正文+黑体 加粗"/>
    <w:qFormat/>
    <w:uiPriority w:val="0"/>
    <w:rPr>
      <w:rFonts w:ascii="仿宋_GB2312" w:eastAsia="黑体"/>
      <w:b/>
      <w:bCs/>
      <w:sz w:val="28"/>
      <w:szCs w:val="28"/>
    </w:rPr>
  </w:style>
  <w:style w:type="character" w:customStyle="1" w:styleId="209">
    <w:name w:val="图片样式 Char"/>
    <w:link w:val="210"/>
    <w:qFormat/>
    <w:uiPriority w:val="0"/>
    <w:rPr>
      <w:rFonts w:ascii="宋体" w:hAnsi="宋体"/>
      <w:kern w:val="2"/>
      <w:sz w:val="21"/>
      <w:szCs w:val="22"/>
    </w:rPr>
  </w:style>
  <w:style w:type="paragraph" w:customStyle="1" w:styleId="210">
    <w:name w:val="图片样式"/>
    <w:basedOn w:val="1"/>
    <w:link w:val="209"/>
    <w:qFormat/>
    <w:uiPriority w:val="0"/>
    <w:pPr>
      <w:spacing w:line="288" w:lineRule="auto"/>
      <w:ind w:firstLine="0" w:firstLineChars="0"/>
      <w:jc w:val="center"/>
    </w:pPr>
    <w:rPr>
      <w:rFonts w:ascii="宋体" w:hAnsi="宋体" w:eastAsia="宋体"/>
      <w:sz w:val="21"/>
      <w:szCs w:val="22"/>
    </w:rPr>
  </w:style>
  <w:style w:type="character" w:customStyle="1" w:styleId="211">
    <w:name w:val="标题1.1.1.1.1 Char"/>
    <w:qFormat/>
    <w:uiPriority w:val="0"/>
    <w:rPr>
      <w:rFonts w:ascii="宋体" w:hAnsi="宋体"/>
      <w:color w:val="000000"/>
      <w:kern w:val="2"/>
    </w:rPr>
  </w:style>
  <w:style w:type="character" w:customStyle="1" w:styleId="212">
    <w:name w:val="标准正文格式 Char Char Char Char Char"/>
    <w:qFormat/>
    <w:uiPriority w:val="0"/>
    <w:rPr>
      <w:rFonts w:ascii="宋体" w:hAnsi="宋体" w:eastAsia="宋体"/>
      <w:color w:val="000000"/>
      <w:kern w:val="2"/>
      <w:sz w:val="24"/>
      <w:szCs w:val="24"/>
      <w:lang w:val="en-US" w:eastAsia="zh-CN" w:bidi="ar-SA"/>
    </w:rPr>
  </w:style>
  <w:style w:type="character" w:customStyle="1" w:styleId="213">
    <w:name w:val="Char Char29"/>
    <w:qFormat/>
    <w:uiPriority w:val="0"/>
    <w:rPr>
      <w:rFonts w:ascii="Cambria" w:hAnsi="Cambria" w:eastAsia="宋体" w:cs="Times New Roman"/>
      <w:b/>
      <w:bCs/>
      <w:kern w:val="2"/>
      <w:sz w:val="28"/>
      <w:szCs w:val="28"/>
    </w:rPr>
  </w:style>
  <w:style w:type="character" w:customStyle="1" w:styleId="214">
    <w:name w:val="表 格hy Char"/>
    <w:link w:val="215"/>
    <w:qFormat/>
    <w:uiPriority w:val="0"/>
    <w:rPr>
      <w:rFonts w:ascii="楷体_GB2312" w:eastAsia="楷体_GB2312"/>
      <w:sz w:val="21"/>
      <w:szCs w:val="21"/>
    </w:rPr>
  </w:style>
  <w:style w:type="paragraph" w:customStyle="1" w:styleId="215">
    <w:name w:val="表 格hy"/>
    <w:basedOn w:val="1"/>
    <w:link w:val="214"/>
    <w:qFormat/>
    <w:uiPriority w:val="0"/>
    <w:pPr>
      <w:spacing w:line="0" w:lineRule="atLeast"/>
      <w:ind w:firstLine="0" w:firstLineChars="0"/>
      <w:jc w:val="center"/>
      <w:textAlignment w:val="baseline"/>
    </w:pPr>
    <w:rPr>
      <w:rFonts w:ascii="楷体_GB2312" w:eastAsia="楷体_GB2312"/>
      <w:kern w:val="0"/>
      <w:sz w:val="21"/>
      <w:szCs w:val="21"/>
    </w:rPr>
  </w:style>
  <w:style w:type="character" w:customStyle="1" w:styleId="216">
    <w:name w:val="样式 样式 首行缩进:  2 字符3 + Times New Roman Char"/>
    <w:link w:val="217"/>
    <w:semiHidden/>
    <w:qFormat/>
    <w:uiPriority w:val="0"/>
    <w:rPr>
      <w:rFonts w:ascii="仿宋_GB2312" w:eastAsia="仿宋_GB2312" w:cs="宋体"/>
      <w:sz w:val="28"/>
    </w:rPr>
  </w:style>
  <w:style w:type="paragraph" w:customStyle="1" w:styleId="217">
    <w:name w:val="样式 样式 首行缩进:  2 字符3 + Times New Roman"/>
    <w:basedOn w:val="218"/>
    <w:link w:val="216"/>
    <w:semiHidden/>
    <w:qFormat/>
    <w:uiPriority w:val="0"/>
    <w:pPr>
      <w:spacing w:line="560" w:lineRule="exact"/>
      <w:ind w:firstLine="200"/>
      <w:textAlignment w:val="auto"/>
    </w:pPr>
    <w:rPr>
      <w:rFonts w:ascii="仿宋_GB2312"/>
    </w:rPr>
  </w:style>
  <w:style w:type="paragraph" w:customStyle="1" w:styleId="218">
    <w:name w:val="样式 首行缩进:  2 字符3"/>
    <w:basedOn w:val="1"/>
    <w:link w:val="219"/>
    <w:qFormat/>
    <w:uiPriority w:val="0"/>
    <w:pPr>
      <w:spacing w:line="240" w:lineRule="auto"/>
      <w:ind w:firstLine="560"/>
      <w:textAlignment w:val="baseline"/>
    </w:pPr>
    <w:rPr>
      <w:rFonts w:ascii="Times New Roman"/>
      <w:kern w:val="0"/>
      <w:szCs w:val="20"/>
    </w:rPr>
  </w:style>
  <w:style w:type="character" w:customStyle="1" w:styleId="219">
    <w:name w:val="样式 首行缩进:  2 字符3 Char"/>
    <w:link w:val="218"/>
    <w:qFormat/>
    <w:uiPriority w:val="0"/>
    <w:rPr>
      <w:rFonts w:eastAsia="仿宋_GB2312"/>
      <w:sz w:val="28"/>
    </w:rPr>
  </w:style>
  <w:style w:type="character" w:customStyle="1" w:styleId="220">
    <w:name w:val="bg Char"/>
    <w:link w:val="221"/>
    <w:qFormat/>
    <w:uiPriority w:val="0"/>
    <w:rPr>
      <w:rFonts w:ascii="宋体" w:hAnsi="宋体" w:eastAsia="仿宋_GB2312"/>
      <w:kern w:val="2"/>
      <w:sz w:val="28"/>
      <w:szCs w:val="24"/>
    </w:rPr>
  </w:style>
  <w:style w:type="paragraph" w:customStyle="1" w:styleId="221">
    <w:name w:val="bg"/>
    <w:basedOn w:val="1"/>
    <w:next w:val="35"/>
    <w:link w:val="220"/>
    <w:qFormat/>
    <w:uiPriority w:val="0"/>
    <w:pPr>
      <w:spacing w:line="240" w:lineRule="auto"/>
      <w:jc w:val="center"/>
    </w:pPr>
    <w:rPr>
      <w:rFonts w:ascii="宋体" w:hAnsi="宋体"/>
      <w:szCs w:val="24"/>
    </w:rPr>
  </w:style>
  <w:style w:type="character" w:customStyle="1" w:styleId="222">
    <w:name w:val="样式 样式 表内字 + (中文) 楷体 首行缩进:  0.99 厘米 行距: 固定值 12 磅 + 五号 Char"/>
    <w:link w:val="223"/>
    <w:qFormat/>
    <w:uiPriority w:val="0"/>
  </w:style>
  <w:style w:type="paragraph" w:customStyle="1" w:styleId="223">
    <w:name w:val="样式 样式 表内字 + (中文) 楷体 首行缩进:  0.99 厘米 行距: 固定值 12 磅 + 五号"/>
    <w:basedOn w:val="224"/>
    <w:link w:val="222"/>
    <w:qFormat/>
    <w:uiPriority w:val="0"/>
    <w:rPr>
      <w:rFonts w:eastAsia="宋体"/>
      <w:sz w:val="20"/>
      <w:szCs w:val="20"/>
    </w:rPr>
  </w:style>
  <w:style w:type="paragraph" w:customStyle="1" w:styleId="224">
    <w:name w:val="样式 表内字 + (中文) 楷体 首行缩进:  0.99 厘米 行距: 固定值 12 磅"/>
    <w:basedOn w:val="225"/>
    <w:link w:val="227"/>
    <w:qFormat/>
    <w:uiPriority w:val="0"/>
    <w:pPr>
      <w:spacing w:line="240" w:lineRule="exact"/>
      <w:ind w:firstLine="0" w:firstLineChars="0"/>
    </w:pPr>
    <w:rPr>
      <w:rFonts w:eastAsia="楷体"/>
      <w:kern w:val="0"/>
      <w:sz w:val="18"/>
    </w:rPr>
  </w:style>
  <w:style w:type="paragraph" w:customStyle="1" w:styleId="225">
    <w:name w:val="表内字"/>
    <w:basedOn w:val="1"/>
    <w:link w:val="226"/>
    <w:qFormat/>
    <w:uiPriority w:val="0"/>
    <w:pPr>
      <w:spacing w:line="300" w:lineRule="exact"/>
      <w:jc w:val="center"/>
    </w:pPr>
    <w:rPr>
      <w:rFonts w:ascii="Times New Roman" w:eastAsia="文鼎CS书宋二"/>
      <w:szCs w:val="24"/>
    </w:rPr>
  </w:style>
  <w:style w:type="character" w:customStyle="1" w:styleId="226">
    <w:name w:val="表内字 Char"/>
    <w:link w:val="225"/>
    <w:qFormat/>
    <w:uiPriority w:val="0"/>
    <w:rPr>
      <w:rFonts w:eastAsia="文鼎CS书宋二"/>
      <w:kern w:val="2"/>
      <w:sz w:val="28"/>
      <w:szCs w:val="24"/>
    </w:rPr>
  </w:style>
  <w:style w:type="character" w:customStyle="1" w:styleId="227">
    <w:name w:val="样式 表内字 + (中文) 楷体 首行缩进:  0.99 厘米 行距: 固定值 12 磅 Char"/>
    <w:link w:val="224"/>
    <w:qFormat/>
    <w:uiPriority w:val="0"/>
    <w:rPr>
      <w:rFonts w:eastAsia="楷体"/>
      <w:sz w:val="18"/>
      <w:szCs w:val="24"/>
    </w:rPr>
  </w:style>
  <w:style w:type="character" w:customStyle="1" w:styleId="228">
    <w:name w:val="Char Char131"/>
    <w:qFormat/>
    <w:uiPriority w:val="0"/>
    <w:rPr>
      <w:rFonts w:ascii="仿宋_GB2312" w:eastAsia="仿宋_GB2312"/>
      <w:spacing w:val="1"/>
      <w:kern w:val="2"/>
      <w:sz w:val="16"/>
      <w:szCs w:val="16"/>
      <w:lang w:val="en-US" w:eastAsia="zh-CN" w:bidi="ar-SA"/>
    </w:rPr>
  </w:style>
  <w:style w:type="character" w:customStyle="1" w:styleId="229">
    <w:name w:val="z-窗体底端 字符3"/>
    <w:link w:val="230"/>
    <w:qFormat/>
    <w:uiPriority w:val="0"/>
    <w:rPr>
      <w:rFonts w:ascii="Arial" w:hAnsi="Arial" w:cs="Arial"/>
      <w:vanish/>
      <w:sz w:val="16"/>
      <w:szCs w:val="16"/>
    </w:rPr>
  </w:style>
  <w:style w:type="paragraph" w:customStyle="1" w:styleId="230">
    <w:name w:val="_Style 229"/>
    <w:basedOn w:val="1"/>
    <w:next w:val="1"/>
    <w:link w:val="229"/>
    <w:qFormat/>
    <w:uiPriority w:val="0"/>
    <w:pPr>
      <w:widowControl/>
      <w:pBdr>
        <w:top w:val="single" w:color="auto" w:sz="6" w:space="1"/>
      </w:pBdr>
      <w:spacing w:line="240" w:lineRule="auto"/>
      <w:ind w:firstLine="0" w:firstLineChars="0"/>
      <w:jc w:val="center"/>
    </w:pPr>
    <w:rPr>
      <w:rFonts w:ascii="Arial" w:hAnsi="Arial" w:eastAsia="宋体"/>
      <w:vanish/>
      <w:kern w:val="0"/>
      <w:sz w:val="16"/>
      <w:szCs w:val="16"/>
    </w:rPr>
  </w:style>
  <w:style w:type="character" w:customStyle="1" w:styleId="231">
    <w:name w:val="样式32 Char"/>
    <w:link w:val="232"/>
    <w:qFormat/>
    <w:uiPriority w:val="0"/>
    <w:rPr>
      <w:rFonts w:ascii="仿宋_GB2312" w:eastAsia="仿宋_GB2312"/>
      <w:sz w:val="28"/>
      <w:szCs w:val="28"/>
    </w:rPr>
  </w:style>
  <w:style w:type="paragraph" w:customStyle="1" w:styleId="232">
    <w:name w:val="样式32"/>
    <w:basedOn w:val="1"/>
    <w:link w:val="231"/>
    <w:qFormat/>
    <w:uiPriority w:val="0"/>
    <w:pPr>
      <w:adjustRightInd w:val="0"/>
      <w:textAlignment w:val="baseline"/>
    </w:pPr>
    <w:rPr>
      <w:kern w:val="0"/>
    </w:rPr>
  </w:style>
  <w:style w:type="character" w:customStyle="1" w:styleId="233">
    <w:name w:val="4级 Char"/>
    <w:link w:val="234"/>
    <w:qFormat/>
    <w:uiPriority w:val="0"/>
    <w:rPr>
      <w:rFonts w:ascii="仿宋_GB2312" w:hAnsi="宋体"/>
      <w:lang w:val="zh-CN"/>
    </w:rPr>
  </w:style>
  <w:style w:type="paragraph" w:customStyle="1" w:styleId="234">
    <w:name w:val="4级"/>
    <w:basedOn w:val="235"/>
    <w:link w:val="233"/>
    <w:qFormat/>
    <w:uiPriority w:val="0"/>
    <w:pPr>
      <w:tabs>
        <w:tab w:val="left" w:pos="709"/>
      </w:tabs>
    </w:pPr>
  </w:style>
  <w:style w:type="paragraph" w:customStyle="1" w:styleId="235">
    <w:name w:val="方案标题4 + 段前: 1 行 段后: 0.5 行"/>
    <w:basedOn w:val="1"/>
    <w:link w:val="236"/>
    <w:qFormat/>
    <w:uiPriority w:val="0"/>
    <w:pPr>
      <w:keepNext/>
      <w:keepLines/>
      <w:numPr>
        <w:ilvl w:val="3"/>
        <w:numId w:val="1"/>
      </w:numPr>
      <w:adjustRightInd w:val="0"/>
      <w:snapToGrid w:val="0"/>
      <w:spacing w:line="360" w:lineRule="auto"/>
      <w:ind w:firstLine="0" w:firstLineChars="0"/>
      <w:outlineLvl w:val="3"/>
    </w:pPr>
    <w:rPr>
      <w:rFonts w:hAnsi="宋体" w:eastAsia="宋体"/>
      <w:kern w:val="0"/>
      <w:sz w:val="20"/>
      <w:szCs w:val="20"/>
      <w:lang w:val="zh-CN"/>
    </w:rPr>
  </w:style>
  <w:style w:type="character" w:customStyle="1" w:styleId="236">
    <w:name w:val="方案标题4 + 段前: 1 行 段后: 0.5 行 Char"/>
    <w:link w:val="235"/>
    <w:qFormat/>
    <w:uiPriority w:val="0"/>
    <w:rPr>
      <w:rFonts w:ascii="仿宋_GB2312" w:hAnsi="宋体"/>
      <w:lang w:val="zh-CN"/>
    </w:rPr>
  </w:style>
  <w:style w:type="character" w:customStyle="1" w:styleId="237">
    <w:name w:val="样式4 Char1"/>
    <w:qFormat/>
    <w:uiPriority w:val="0"/>
    <w:rPr>
      <w:rFonts w:eastAsia="华文中宋"/>
      <w:color w:val="000000"/>
      <w:sz w:val="24"/>
      <w:szCs w:val="24"/>
      <w:lang w:val="en-US" w:eastAsia="zh-CN" w:bidi="ar-SA"/>
    </w:rPr>
  </w:style>
  <w:style w:type="character" w:customStyle="1" w:styleId="238">
    <w:name w:val="标题7 Char Char Char"/>
    <w:link w:val="239"/>
    <w:qFormat/>
    <w:uiPriority w:val="0"/>
    <w:rPr>
      <w:rFonts w:cs="宋体"/>
      <w:kern w:val="2"/>
      <w:sz w:val="24"/>
      <w:szCs w:val="24"/>
      <w:u w:val="none" w:color="000000"/>
    </w:rPr>
  </w:style>
  <w:style w:type="paragraph" w:customStyle="1" w:styleId="239">
    <w:name w:val="标题7 Char Char"/>
    <w:basedOn w:val="1"/>
    <w:next w:val="1"/>
    <w:link w:val="238"/>
    <w:qFormat/>
    <w:uiPriority w:val="0"/>
    <w:pPr>
      <w:suppressLineNumbers/>
      <w:suppressAutoHyphens/>
      <w:topLinePunct/>
      <w:adjustRightInd w:val="0"/>
      <w:snapToGrid w:val="0"/>
      <w:ind w:firstLine="518" w:firstLineChars="0"/>
    </w:pPr>
    <w:rPr>
      <w:rFonts w:ascii="Times New Roman" w:eastAsia="宋体"/>
      <w:sz w:val="24"/>
      <w:szCs w:val="24"/>
      <w:u w:val="none" w:color="000000"/>
    </w:rPr>
  </w:style>
  <w:style w:type="character" w:customStyle="1" w:styleId="240">
    <w:name w:val="标题3 ln Char Char"/>
    <w:link w:val="241"/>
    <w:qFormat/>
    <w:uiPriority w:val="0"/>
    <w:rPr>
      <w:rFonts w:eastAsia="方正小标宋_GBK"/>
      <w:bCs/>
      <w:kern w:val="2"/>
      <w:sz w:val="28"/>
    </w:rPr>
  </w:style>
  <w:style w:type="paragraph" w:customStyle="1" w:styleId="241">
    <w:name w:val="标题3 ln"/>
    <w:basedOn w:val="7"/>
    <w:link w:val="240"/>
    <w:qFormat/>
    <w:uiPriority w:val="0"/>
    <w:pPr>
      <w:jc w:val="left"/>
    </w:pPr>
    <w:rPr>
      <w:rFonts w:ascii="Times New Roman" w:hAnsi="Times New Roman"/>
      <w:szCs w:val="20"/>
    </w:rPr>
  </w:style>
  <w:style w:type="character" w:customStyle="1" w:styleId="242">
    <w:name w:val="正文（缩进2） Char Char"/>
    <w:qFormat/>
    <w:uiPriority w:val="0"/>
    <w:rPr>
      <w:rFonts w:ascii="仿宋_GB2312" w:eastAsia="仿宋_GB2312"/>
      <w:sz w:val="28"/>
      <w:szCs w:val="28"/>
      <w:lang w:val="en-US" w:eastAsia="zh-CN" w:bidi="ar-SA"/>
    </w:rPr>
  </w:style>
  <w:style w:type="character" w:customStyle="1" w:styleId="243">
    <w:name w:val="Char Char271"/>
    <w:qFormat/>
    <w:uiPriority w:val="0"/>
    <w:rPr>
      <w:rFonts w:ascii="Arial" w:hAnsi="Arial" w:eastAsia="黑体" w:cs="Times New Roman"/>
      <w:bCs/>
      <w:sz w:val="30"/>
      <w:szCs w:val="32"/>
    </w:rPr>
  </w:style>
  <w:style w:type="character" w:customStyle="1" w:styleId="244">
    <w:name w:val="正文文本 2 字符1"/>
    <w:qFormat/>
    <w:uiPriority w:val="0"/>
    <w:rPr>
      <w:kern w:val="2"/>
      <w:sz w:val="21"/>
      <w:szCs w:val="24"/>
    </w:rPr>
  </w:style>
  <w:style w:type="character" w:customStyle="1" w:styleId="245">
    <w:name w:val="文档结构图 Char1"/>
    <w:qFormat/>
    <w:uiPriority w:val="0"/>
    <w:rPr>
      <w:rFonts w:ascii="宋体" w:hAnsi="Times New Roman" w:eastAsia="宋体" w:cs="Times New Roman"/>
      <w:sz w:val="18"/>
      <w:szCs w:val="18"/>
    </w:rPr>
  </w:style>
  <w:style w:type="character" w:customStyle="1" w:styleId="246">
    <w:name w:val="spelle"/>
    <w:semiHidden/>
    <w:qFormat/>
    <w:uiPriority w:val="0"/>
  </w:style>
  <w:style w:type="character" w:customStyle="1" w:styleId="247">
    <w:name w:val="textcontents"/>
    <w:qFormat/>
    <w:uiPriority w:val="0"/>
  </w:style>
  <w:style w:type="character" w:customStyle="1" w:styleId="248">
    <w:name w:val="Quote Char"/>
    <w:link w:val="249"/>
    <w:qFormat/>
    <w:uiPriority w:val="0"/>
    <w:rPr>
      <w:i/>
      <w:sz w:val="24"/>
      <w:szCs w:val="24"/>
      <w:lang w:eastAsia="en-US"/>
    </w:rPr>
  </w:style>
  <w:style w:type="paragraph" w:customStyle="1" w:styleId="249">
    <w:name w:val="引用1"/>
    <w:basedOn w:val="1"/>
    <w:next w:val="1"/>
    <w:link w:val="248"/>
    <w:qFormat/>
    <w:uiPriority w:val="0"/>
    <w:pPr>
      <w:widowControl/>
      <w:spacing w:line="240" w:lineRule="auto"/>
      <w:ind w:firstLine="0" w:firstLineChars="0"/>
      <w:jc w:val="left"/>
    </w:pPr>
    <w:rPr>
      <w:rFonts w:ascii="Times New Roman" w:eastAsia="宋体"/>
      <w:i/>
      <w:kern w:val="0"/>
      <w:sz w:val="24"/>
      <w:szCs w:val="24"/>
      <w:lang w:eastAsia="en-US"/>
    </w:rPr>
  </w:style>
  <w:style w:type="character" w:customStyle="1" w:styleId="250">
    <w:name w:val="z-窗体顶端 字符1"/>
    <w:qFormat/>
    <w:uiPriority w:val="0"/>
    <w:rPr>
      <w:rFonts w:ascii="Arial" w:hAnsi="Arial" w:cs="Arial"/>
      <w:vanish/>
      <w:sz w:val="16"/>
      <w:szCs w:val="16"/>
    </w:rPr>
  </w:style>
  <w:style w:type="character" w:customStyle="1" w:styleId="251">
    <w:name w:val="标题 8 字符1"/>
    <w:qFormat/>
    <w:uiPriority w:val="0"/>
    <w:rPr>
      <w:rFonts w:ascii="Arial" w:hAnsi="Arial" w:eastAsia="黑体"/>
      <w:sz w:val="24"/>
      <w:szCs w:val="24"/>
    </w:rPr>
  </w:style>
  <w:style w:type="character" w:customStyle="1" w:styleId="252">
    <w:name w:val="公正文 Char Char Char"/>
    <w:link w:val="253"/>
    <w:semiHidden/>
    <w:qFormat/>
    <w:uiPriority w:val="0"/>
    <w:rPr>
      <w:rFonts w:ascii="宋体" w:hAnsi="宋体" w:eastAsia="仿宋_GB2312"/>
      <w:kern w:val="2"/>
      <w:sz w:val="28"/>
      <w:szCs w:val="24"/>
    </w:rPr>
  </w:style>
  <w:style w:type="paragraph" w:customStyle="1" w:styleId="253">
    <w:name w:val="公正文 Char Char"/>
    <w:basedOn w:val="6"/>
    <w:link w:val="252"/>
    <w:semiHidden/>
    <w:qFormat/>
    <w:uiPriority w:val="0"/>
    <w:pPr>
      <w:adjustRightInd w:val="0"/>
      <w:snapToGrid w:val="0"/>
      <w:spacing w:line="355" w:lineRule="auto"/>
      <w:ind w:firstLine="200"/>
    </w:pPr>
    <w:rPr>
      <w:rFonts w:ascii="宋体" w:hAnsi="宋体"/>
      <w:szCs w:val="24"/>
    </w:rPr>
  </w:style>
  <w:style w:type="character" w:customStyle="1" w:styleId="254">
    <w:name w:val="图 Char Char"/>
    <w:semiHidden/>
    <w:qFormat/>
    <w:uiPriority w:val="0"/>
    <w:rPr>
      <w:rFonts w:eastAsia="宋体"/>
      <w:b/>
      <w:kern w:val="2"/>
      <w:sz w:val="21"/>
      <w:szCs w:val="24"/>
      <w:lang w:val="en-US" w:eastAsia="zh-CN" w:bidi="ar-SA"/>
    </w:rPr>
  </w:style>
  <w:style w:type="character" w:customStyle="1" w:styleId="255">
    <w:name w:val="Char Char181"/>
    <w:qFormat/>
    <w:uiPriority w:val="0"/>
    <w:rPr>
      <w:rFonts w:ascii="宋体" w:hAnsi="Courier New" w:eastAsia="宋体" w:cs="Courier New"/>
      <w:color w:val="000000"/>
      <w:szCs w:val="21"/>
    </w:rPr>
  </w:style>
  <w:style w:type="character" w:customStyle="1" w:styleId="256">
    <w:name w:val="Char Char16"/>
    <w:qFormat/>
    <w:locked/>
    <w:uiPriority w:val="0"/>
    <w:rPr>
      <w:rFonts w:ascii="仿宋_GB2312" w:eastAsia="仿宋_GB2312"/>
      <w:b/>
      <w:bCs/>
      <w:kern w:val="2"/>
      <w:sz w:val="24"/>
      <w:szCs w:val="24"/>
      <w:lang w:val="en-US" w:eastAsia="zh-CN" w:bidi="ar-SA"/>
    </w:rPr>
  </w:style>
  <w:style w:type="character" w:customStyle="1" w:styleId="257">
    <w:name w:val="页脚2 Char Char"/>
    <w:qFormat/>
    <w:uiPriority w:val="0"/>
    <w:rPr>
      <w:rFonts w:eastAsia="宋体"/>
      <w:kern w:val="2"/>
      <w:sz w:val="18"/>
      <w:szCs w:val="18"/>
      <w:lang w:val="en-US" w:eastAsia="zh-CN" w:bidi="ar-SA"/>
    </w:rPr>
  </w:style>
  <w:style w:type="character" w:customStyle="1" w:styleId="258">
    <w:name w:val="标题3 Char Char Char"/>
    <w:qFormat/>
    <w:uiPriority w:val="0"/>
    <w:rPr>
      <w:rFonts w:ascii="Arial" w:hAnsi="Arial" w:eastAsia="方正小标宋_GBK"/>
      <w:bCs/>
      <w:snapToGrid/>
      <w:sz w:val="28"/>
      <w:lang w:val="en-US" w:eastAsia="zh-CN" w:bidi="ar-SA"/>
    </w:rPr>
  </w:style>
  <w:style w:type="character" w:customStyle="1" w:styleId="259">
    <w:name w:val="Char Char18"/>
    <w:qFormat/>
    <w:locked/>
    <w:uiPriority w:val="0"/>
    <w:rPr>
      <w:rFonts w:ascii="Arial" w:hAnsi="Arial" w:eastAsia="仿宋_GB2312"/>
      <w:bCs/>
      <w:sz w:val="28"/>
      <w:szCs w:val="28"/>
      <w:lang w:val="en-US" w:eastAsia="zh-CN" w:bidi="ar-SA"/>
    </w:rPr>
  </w:style>
  <w:style w:type="character" w:customStyle="1" w:styleId="260">
    <w:name w:val="样式 样式38括号 + 首行缩进:  2 字符 Char"/>
    <w:link w:val="261"/>
    <w:qFormat/>
    <w:uiPriority w:val="0"/>
    <w:rPr>
      <w:rFonts w:ascii="楷体_GB2312" w:eastAsia="楷体_GB2312" w:cs="宋体"/>
      <w:sz w:val="28"/>
    </w:rPr>
  </w:style>
  <w:style w:type="paragraph" w:customStyle="1" w:styleId="261">
    <w:name w:val="样式 样式38括号 + 首行缩进:  2 字符"/>
    <w:basedOn w:val="262"/>
    <w:link w:val="260"/>
    <w:qFormat/>
    <w:uiPriority w:val="0"/>
    <w:rPr>
      <w:szCs w:val="20"/>
    </w:rPr>
  </w:style>
  <w:style w:type="paragraph" w:customStyle="1" w:styleId="262">
    <w:name w:val="样式38括号"/>
    <w:basedOn w:val="1"/>
    <w:link w:val="263"/>
    <w:qFormat/>
    <w:uiPriority w:val="0"/>
    <w:pPr>
      <w:adjustRightInd w:val="0"/>
      <w:textAlignment w:val="baseline"/>
      <w:outlineLvl w:val="5"/>
    </w:pPr>
    <w:rPr>
      <w:rFonts w:ascii="楷体_GB2312" w:eastAsia="楷体_GB2312"/>
      <w:kern w:val="0"/>
    </w:rPr>
  </w:style>
  <w:style w:type="character" w:customStyle="1" w:styleId="263">
    <w:name w:val="样式38括号 Char"/>
    <w:link w:val="262"/>
    <w:qFormat/>
    <w:uiPriority w:val="0"/>
    <w:rPr>
      <w:rFonts w:ascii="楷体_GB2312" w:eastAsia="楷体_GB2312"/>
      <w:sz w:val="28"/>
      <w:szCs w:val="28"/>
    </w:rPr>
  </w:style>
  <w:style w:type="character" w:customStyle="1" w:styleId="264">
    <w:name w:val="样式4 Char2"/>
    <w:link w:val="265"/>
    <w:qFormat/>
    <w:uiPriority w:val="0"/>
    <w:rPr>
      <w:rFonts w:ascii="楷体_GB2312" w:hAnsi="Calibri" w:eastAsia="楷体_GB2312" w:cs="宋体"/>
      <w:kern w:val="2"/>
      <w:sz w:val="28"/>
    </w:rPr>
  </w:style>
  <w:style w:type="paragraph" w:customStyle="1" w:styleId="265">
    <w:name w:val="样式4"/>
    <w:basedOn w:val="266"/>
    <w:link w:val="264"/>
    <w:qFormat/>
    <w:uiPriority w:val="0"/>
    <w:pPr>
      <w:outlineLvl w:val="4"/>
    </w:pPr>
    <w:rPr>
      <w:rFonts w:cs="Times New Roman"/>
    </w:rPr>
  </w:style>
  <w:style w:type="paragraph" w:customStyle="1" w:styleId="266">
    <w:name w:val="样式 样式 样式 括坏hy + 首行缩进:  0 字符 + 首行缩进:  2 字符 + 首行缩进:  2 字符1"/>
    <w:basedOn w:val="267"/>
    <w:qFormat/>
    <w:uiPriority w:val="0"/>
    <w:pPr>
      <w:outlineLvl w:val="5"/>
    </w:pPr>
  </w:style>
  <w:style w:type="paragraph" w:customStyle="1" w:styleId="267">
    <w:name w:val="样式 样式 括坏hy + 首行缩进:  0 字符 + 首行缩进:  2 字符"/>
    <w:basedOn w:val="268"/>
    <w:qFormat/>
    <w:uiPriority w:val="0"/>
  </w:style>
  <w:style w:type="paragraph" w:customStyle="1" w:styleId="268">
    <w:name w:val="样式 括坏hy + 首行缩进:  0 字符"/>
    <w:basedOn w:val="269"/>
    <w:qFormat/>
    <w:uiPriority w:val="0"/>
  </w:style>
  <w:style w:type="paragraph" w:customStyle="1" w:styleId="269">
    <w:name w:val="括坏hy"/>
    <w:basedOn w:val="1"/>
    <w:qFormat/>
    <w:uiPriority w:val="0"/>
    <w:rPr>
      <w:rFonts w:ascii="楷体_GB2312" w:hAnsi="Calibri" w:eastAsia="楷体_GB2312" w:cs="宋体"/>
      <w:szCs w:val="20"/>
    </w:rPr>
  </w:style>
  <w:style w:type="character" w:customStyle="1" w:styleId="270">
    <w:name w:val="注释标题 字符2"/>
    <w:qFormat/>
    <w:uiPriority w:val="0"/>
    <w:rPr>
      <w:kern w:val="2"/>
      <w:sz w:val="24"/>
    </w:rPr>
  </w:style>
  <w:style w:type="character" w:customStyle="1" w:styleId="271">
    <w:name w:val="报告正文 Char Char"/>
    <w:link w:val="272"/>
    <w:semiHidden/>
    <w:qFormat/>
    <w:uiPriority w:val="0"/>
    <w:rPr>
      <w:kern w:val="2"/>
      <w:sz w:val="24"/>
    </w:rPr>
  </w:style>
  <w:style w:type="paragraph" w:customStyle="1" w:styleId="272">
    <w:name w:val="报告正文 Char2"/>
    <w:basedOn w:val="1"/>
    <w:link w:val="271"/>
    <w:semiHidden/>
    <w:qFormat/>
    <w:uiPriority w:val="0"/>
    <w:pPr>
      <w:spacing w:line="360" w:lineRule="auto"/>
    </w:pPr>
    <w:rPr>
      <w:rFonts w:ascii="Times New Roman" w:eastAsia="宋体"/>
      <w:sz w:val="24"/>
      <w:szCs w:val="20"/>
    </w:rPr>
  </w:style>
  <w:style w:type="character" w:customStyle="1" w:styleId="273">
    <w:name w:val="图名 Char1"/>
    <w:qFormat/>
    <w:uiPriority w:val="0"/>
    <w:rPr>
      <w:rFonts w:ascii="黑体" w:eastAsia="黑体"/>
      <w:sz w:val="24"/>
      <w:szCs w:val="24"/>
      <w:lang w:val="en-US" w:eastAsia="zh-CN" w:bidi="ar-SA"/>
    </w:rPr>
  </w:style>
  <w:style w:type="character" w:customStyle="1" w:styleId="274">
    <w:name w:val="样式 yty正文 + 首行缩进:  2 字符 段前: 0.5 行 Char"/>
    <w:link w:val="275"/>
    <w:qFormat/>
    <w:uiPriority w:val="0"/>
    <w:rPr>
      <w:rFonts w:ascii="仿宋_GB2312" w:eastAsia="仿宋_GB2312" w:cs="宋体"/>
      <w:kern w:val="2"/>
      <w:sz w:val="24"/>
    </w:rPr>
  </w:style>
  <w:style w:type="paragraph" w:customStyle="1" w:styleId="275">
    <w:name w:val="样式 yty正文 + 首行缩进:  2 字符 段前: 0.5 行"/>
    <w:basedOn w:val="1"/>
    <w:link w:val="274"/>
    <w:qFormat/>
    <w:uiPriority w:val="0"/>
    <w:pPr>
      <w:spacing w:line="480" w:lineRule="exact"/>
      <w:textAlignment w:val="center"/>
    </w:pPr>
    <w:rPr>
      <w:sz w:val="24"/>
      <w:szCs w:val="20"/>
    </w:rPr>
  </w:style>
  <w:style w:type="character" w:customStyle="1" w:styleId="276">
    <w:name w:val="Cha Char1"/>
    <w:qFormat/>
    <w:uiPriority w:val="0"/>
    <w:rPr>
      <w:rFonts w:eastAsia="仿宋_GB2312"/>
      <w:b/>
      <w:kern w:val="2"/>
      <w:sz w:val="28"/>
      <w:szCs w:val="28"/>
      <w:lang w:val="en-US" w:eastAsia="zh-CN" w:bidi="ar-SA"/>
    </w:rPr>
  </w:style>
  <w:style w:type="character" w:customStyle="1" w:styleId="277">
    <w:name w:val="4级标题 Char Char"/>
    <w:link w:val="278"/>
    <w:qFormat/>
    <w:uiPriority w:val="0"/>
    <w:rPr>
      <w:rFonts w:ascii="Verdana" w:hAnsi="Verdana" w:eastAsia="仿宋_GB2312"/>
      <w:b/>
      <w:spacing w:val="4"/>
      <w:kern w:val="2"/>
      <w:sz w:val="28"/>
      <w:szCs w:val="28"/>
    </w:rPr>
  </w:style>
  <w:style w:type="paragraph" w:customStyle="1" w:styleId="278">
    <w:name w:val="4级标题"/>
    <w:basedOn w:val="1"/>
    <w:link w:val="277"/>
    <w:qFormat/>
    <w:uiPriority w:val="0"/>
    <w:pPr>
      <w:keepNext/>
      <w:keepLines/>
      <w:jc w:val="left"/>
      <w:textAlignment w:val="baseline"/>
      <w:outlineLvl w:val="4"/>
    </w:pPr>
    <w:rPr>
      <w:rFonts w:ascii="Verdana" w:hAnsi="Verdana"/>
      <w:b/>
      <w:spacing w:val="4"/>
    </w:rPr>
  </w:style>
  <w:style w:type="character" w:customStyle="1" w:styleId="279">
    <w:name w:val="正文文本 + 5 pt"/>
    <w:qFormat/>
    <w:uiPriority w:val="0"/>
    <w:rPr>
      <w:rFonts w:ascii="MingLiU" w:hAnsi="MingLiU" w:eastAsia="MingLiU" w:cs="MingLiU"/>
      <w:color w:val="000000"/>
      <w:spacing w:val="0"/>
      <w:w w:val="100"/>
      <w:position w:val="0"/>
      <w:sz w:val="10"/>
      <w:szCs w:val="10"/>
      <w:shd w:val="clear" w:color="auto" w:fill="FFFFFF"/>
    </w:rPr>
  </w:style>
  <w:style w:type="character" w:customStyle="1" w:styleId="280">
    <w:name w:val="小括号 Char"/>
    <w:link w:val="281"/>
    <w:qFormat/>
    <w:uiPriority w:val="0"/>
    <w:rPr>
      <w:rFonts w:ascii="楷体_GB2312" w:eastAsia="楷体_GB2312" w:cs="宋体"/>
      <w:sz w:val="28"/>
    </w:rPr>
  </w:style>
  <w:style w:type="paragraph" w:customStyle="1" w:styleId="281">
    <w:name w:val="小括号"/>
    <w:basedOn w:val="282"/>
    <w:link w:val="280"/>
    <w:qFormat/>
    <w:uiPriority w:val="0"/>
    <w:pPr>
      <w:autoSpaceDE w:val="0"/>
      <w:autoSpaceDN w:val="0"/>
      <w:adjustRightInd w:val="0"/>
    </w:pPr>
    <w:rPr>
      <w:rFonts w:ascii="楷体_GB2312" w:eastAsia="楷体_GB2312"/>
      <w:kern w:val="0"/>
      <w:szCs w:val="20"/>
    </w:rPr>
  </w:style>
  <w:style w:type="paragraph" w:customStyle="1" w:styleId="282">
    <w:name w:val="ZW"/>
    <w:basedOn w:val="1"/>
    <w:link w:val="283"/>
    <w:qFormat/>
    <w:uiPriority w:val="0"/>
  </w:style>
  <w:style w:type="character" w:customStyle="1" w:styleId="283">
    <w:name w:val="ZW Char"/>
    <w:link w:val="282"/>
    <w:qFormat/>
    <w:uiPriority w:val="0"/>
    <w:rPr>
      <w:rFonts w:ascii="仿宋_GB2312" w:eastAsia="仿宋_GB2312" w:cs="宋体"/>
      <w:kern w:val="2"/>
      <w:sz w:val="28"/>
      <w:szCs w:val="28"/>
    </w:rPr>
  </w:style>
  <w:style w:type="character" w:customStyle="1" w:styleId="284">
    <w:name w:val="样式 表文 + 左  -0.5 字符 Char"/>
    <w:qFormat/>
    <w:uiPriority w:val="0"/>
    <w:rPr>
      <w:rFonts w:ascii="Times New Roman" w:hAnsi="Times New Roman" w:eastAsia="宋体" w:cs="宋体"/>
      <w:bCs/>
      <w:snapToGrid w:val="0"/>
      <w:color w:val="000000"/>
      <w:kern w:val="2"/>
      <w:sz w:val="21"/>
      <w:szCs w:val="21"/>
      <w:lang w:val="en-US" w:eastAsia="zh-CN" w:bidi="ar-SA"/>
    </w:rPr>
  </w:style>
  <w:style w:type="character" w:customStyle="1" w:styleId="285">
    <w:name w:val="样式 一 + 黑体 Char"/>
    <w:qFormat/>
    <w:uiPriority w:val="0"/>
    <w:rPr>
      <w:rFonts w:ascii="黑体" w:hAnsi="黑体" w:eastAsia="黑体"/>
      <w:b/>
      <w:bCs/>
      <w:kern w:val="2"/>
      <w:sz w:val="30"/>
      <w:szCs w:val="28"/>
      <w:lang w:val="en-US" w:eastAsia="zh-CN" w:bidi="ar-SA"/>
    </w:rPr>
  </w:style>
  <w:style w:type="character" w:customStyle="1" w:styleId="286">
    <w:name w:val="正文缩进 Char Cha Char"/>
    <w:qFormat/>
    <w:uiPriority w:val="0"/>
    <w:rPr>
      <w:rFonts w:ascii="仿宋_GB2312" w:eastAsia="仿宋_GB2312"/>
      <w:sz w:val="28"/>
      <w:lang w:val="en-US" w:eastAsia="zh-CN" w:bidi="ar-SA"/>
    </w:rPr>
  </w:style>
  <w:style w:type="character" w:customStyle="1" w:styleId="287">
    <w:name w:val="文档结构图 字符"/>
    <w:semiHidden/>
    <w:qFormat/>
    <w:uiPriority w:val="99"/>
    <w:rPr>
      <w:rFonts w:ascii="宋体" w:eastAsia="宋体"/>
      <w:sz w:val="18"/>
      <w:szCs w:val="18"/>
    </w:rPr>
  </w:style>
  <w:style w:type="character" w:customStyle="1" w:styleId="288">
    <w:name w:val="标题 2 Char Char Char Char Char Char Char Char Char"/>
    <w:qFormat/>
    <w:uiPriority w:val="0"/>
    <w:rPr>
      <w:rFonts w:ascii="黑体" w:hAnsi="宋体" w:eastAsia="黑体"/>
      <w:sz w:val="32"/>
      <w:lang w:val="en-US" w:eastAsia="zh-CN"/>
    </w:rPr>
  </w:style>
  <w:style w:type="character" w:customStyle="1" w:styleId="289">
    <w:name w:val="正文（缩进2） Char"/>
    <w:qFormat/>
    <w:uiPriority w:val="0"/>
    <w:rPr>
      <w:rFonts w:ascii="仿宋_GB2312" w:hAnsi="宋体" w:eastAsia="仿宋_GB2312" w:cs="Arial"/>
      <w:kern w:val="44"/>
      <w:sz w:val="28"/>
      <w:szCs w:val="28"/>
    </w:rPr>
  </w:style>
  <w:style w:type="character" w:customStyle="1" w:styleId="290">
    <w:name w:val="说明或注释 Char Char"/>
    <w:semiHidden/>
    <w:qFormat/>
    <w:uiPriority w:val="0"/>
    <w:rPr>
      <w:rFonts w:eastAsia="楷体_GB2312"/>
      <w:kern w:val="2"/>
      <w:sz w:val="18"/>
      <w:szCs w:val="24"/>
      <w:lang w:val="en-US" w:eastAsia="zh-CN" w:bidi="ar-SA"/>
    </w:rPr>
  </w:style>
  <w:style w:type="character" w:customStyle="1" w:styleId="291">
    <w:name w:val="图表标题 Char Char"/>
    <w:qFormat/>
    <w:uiPriority w:val="0"/>
    <w:rPr>
      <w:rFonts w:ascii="Verdana" w:hAnsi="Verdana" w:eastAsia="黑体" w:cs="Arial"/>
      <w:spacing w:val="4"/>
      <w:kern w:val="2"/>
      <w:sz w:val="24"/>
      <w:szCs w:val="28"/>
      <w:lang w:val="en-US" w:eastAsia="zh-CN" w:bidi="ar-SA"/>
    </w:rPr>
  </w:style>
  <w:style w:type="character" w:customStyle="1" w:styleId="292">
    <w:name w:val="BYD Char"/>
    <w:link w:val="293"/>
    <w:semiHidden/>
    <w:qFormat/>
    <w:uiPriority w:val="0"/>
    <w:rPr>
      <w:rFonts w:eastAsia="仿宋_GB2312"/>
      <w:kern w:val="2"/>
      <w:sz w:val="28"/>
      <w:szCs w:val="28"/>
    </w:rPr>
  </w:style>
  <w:style w:type="paragraph" w:customStyle="1" w:styleId="293">
    <w:name w:val="BYD"/>
    <w:basedOn w:val="1"/>
    <w:link w:val="292"/>
    <w:semiHidden/>
    <w:qFormat/>
    <w:uiPriority w:val="0"/>
    <w:pPr>
      <w:spacing w:line="520" w:lineRule="exact"/>
      <w:ind w:firstLine="560"/>
    </w:pPr>
    <w:rPr>
      <w:rFonts w:ascii="Times New Roman"/>
    </w:rPr>
  </w:style>
  <w:style w:type="character" w:customStyle="1" w:styleId="294">
    <w:name w:val="需要修改-y Char Char"/>
    <w:link w:val="295"/>
    <w:qFormat/>
    <w:uiPriority w:val="0"/>
    <w:rPr>
      <w:rFonts w:ascii="宋体" w:hAnsi="宋体"/>
      <w:color w:val="FF0000"/>
      <w:spacing w:val="4"/>
      <w:kern w:val="2"/>
      <w:sz w:val="24"/>
      <w:szCs w:val="28"/>
    </w:rPr>
  </w:style>
  <w:style w:type="paragraph" w:customStyle="1" w:styleId="295">
    <w:name w:val="需要修改-y"/>
    <w:basedOn w:val="87"/>
    <w:next w:val="87"/>
    <w:link w:val="294"/>
    <w:qFormat/>
    <w:uiPriority w:val="0"/>
    <w:pPr>
      <w:widowControl/>
      <w:spacing w:after="0" w:line="360" w:lineRule="auto"/>
      <w:ind w:left="0" w:firstLine="200" w:firstLineChars="200"/>
      <w:jc w:val="left"/>
    </w:pPr>
    <w:rPr>
      <w:rFonts w:ascii="宋体" w:hAnsi="宋体"/>
      <w:color w:val="FF0000"/>
      <w:spacing w:val="4"/>
      <w:sz w:val="24"/>
      <w:szCs w:val="28"/>
    </w:rPr>
  </w:style>
  <w:style w:type="character" w:customStyle="1" w:styleId="296">
    <w:name w:val="需要修改（石） Char Char"/>
    <w:link w:val="297"/>
    <w:qFormat/>
    <w:uiPriority w:val="0"/>
    <w:rPr>
      <w:rFonts w:ascii="宋体" w:hAnsi="宋体"/>
      <w:color w:val="FF0000"/>
      <w:spacing w:val="4"/>
      <w:kern w:val="2"/>
      <w:sz w:val="24"/>
      <w:szCs w:val="28"/>
    </w:rPr>
  </w:style>
  <w:style w:type="paragraph" w:customStyle="1" w:styleId="297">
    <w:name w:val="需要修改（石）"/>
    <w:basedOn w:val="87"/>
    <w:next w:val="87"/>
    <w:link w:val="296"/>
    <w:qFormat/>
    <w:uiPriority w:val="0"/>
    <w:pPr>
      <w:spacing w:after="0" w:line="360" w:lineRule="auto"/>
      <w:ind w:left="0" w:firstLine="200" w:firstLineChars="200"/>
    </w:pPr>
    <w:rPr>
      <w:rFonts w:ascii="宋体" w:hAnsi="宋体"/>
      <w:color w:val="FF0000"/>
      <w:spacing w:val="4"/>
      <w:sz w:val="24"/>
      <w:szCs w:val="28"/>
    </w:rPr>
  </w:style>
  <w:style w:type="character" w:customStyle="1" w:styleId="298">
    <w:name w:val="Char Char30"/>
    <w:qFormat/>
    <w:uiPriority w:val="0"/>
    <w:rPr>
      <w:rFonts w:ascii="Arial" w:hAnsi="Arial" w:eastAsia="黑体"/>
      <w:bCs/>
      <w:kern w:val="2"/>
      <w:sz w:val="32"/>
      <w:szCs w:val="32"/>
    </w:rPr>
  </w:style>
  <w:style w:type="character" w:customStyle="1" w:styleId="299">
    <w:name w:val="标题 1 字符"/>
    <w:qFormat/>
    <w:uiPriority w:val="0"/>
    <w:rPr>
      <w:rFonts w:ascii="Arial" w:hAnsi="Arial" w:eastAsia="黑体"/>
      <w:bCs/>
      <w:kern w:val="44"/>
      <w:sz w:val="36"/>
      <w:szCs w:val="44"/>
    </w:rPr>
  </w:style>
  <w:style w:type="character" w:customStyle="1" w:styleId="300">
    <w:name w:val="Date Char"/>
    <w:semiHidden/>
    <w:qFormat/>
    <w:uiPriority w:val="0"/>
    <w:rPr>
      <w:rFonts w:ascii="Times New Roman" w:hAnsi="Times New Roman" w:eastAsia="仿宋_GB2312" w:cs="Times New Roman"/>
      <w:sz w:val="28"/>
      <w:szCs w:val="28"/>
    </w:rPr>
  </w:style>
  <w:style w:type="character" w:customStyle="1" w:styleId="301">
    <w:name w:val="表号 Char"/>
    <w:link w:val="302"/>
    <w:qFormat/>
    <w:uiPriority w:val="0"/>
    <w:rPr>
      <w:rFonts w:ascii="仿宋_GB2312" w:eastAsia="仿宋_GB2312"/>
      <w:kern w:val="2"/>
      <w:sz w:val="21"/>
      <w:szCs w:val="21"/>
    </w:rPr>
  </w:style>
  <w:style w:type="paragraph" w:customStyle="1" w:styleId="302">
    <w:name w:val="表号"/>
    <w:basedOn w:val="1"/>
    <w:link w:val="301"/>
    <w:qFormat/>
    <w:uiPriority w:val="0"/>
    <w:pPr>
      <w:spacing w:line="240" w:lineRule="auto"/>
      <w:ind w:firstLine="420"/>
    </w:pPr>
    <w:rPr>
      <w:sz w:val="21"/>
      <w:szCs w:val="21"/>
    </w:rPr>
  </w:style>
  <w:style w:type="character" w:customStyle="1" w:styleId="303">
    <w:name w:val="表号 Char1"/>
    <w:qFormat/>
    <w:uiPriority w:val="0"/>
    <w:rPr>
      <w:rFonts w:eastAsia="华文中宋"/>
      <w:kern w:val="2"/>
      <w:sz w:val="21"/>
      <w:szCs w:val="24"/>
      <w:lang w:val="en-US" w:eastAsia="zh-CN" w:bidi="ar-SA"/>
    </w:rPr>
  </w:style>
  <w:style w:type="character" w:customStyle="1" w:styleId="304">
    <w:name w:val="Char Char232"/>
    <w:qFormat/>
    <w:uiPriority w:val="0"/>
    <w:rPr>
      <w:rFonts w:ascii="宋体" w:hAnsi="Times New Roman" w:eastAsia="宋体" w:cs="Times New Roman"/>
      <w:sz w:val="18"/>
      <w:szCs w:val="18"/>
    </w:rPr>
  </w:style>
  <w:style w:type="character" w:customStyle="1" w:styleId="305">
    <w:name w:val="txt2"/>
    <w:qFormat/>
    <w:uiPriority w:val="0"/>
    <w:rPr>
      <w:rFonts w:hint="default" w:ascii="ˎ̥" w:hAnsi="ˎ̥"/>
      <w:color w:val="333333"/>
      <w:sz w:val="20"/>
      <w:u w:val="none"/>
    </w:rPr>
  </w:style>
  <w:style w:type="character" w:customStyle="1" w:styleId="306">
    <w:name w:val="正文文本缩进 2 Char1"/>
    <w:qFormat/>
    <w:uiPriority w:val="0"/>
    <w:rPr>
      <w:rFonts w:ascii="Arial" w:hAnsi="Arial" w:eastAsia="宋体" w:cs="Times New Roman"/>
      <w:kern w:val="0"/>
      <w:szCs w:val="20"/>
    </w:rPr>
  </w:style>
  <w:style w:type="character" w:customStyle="1" w:styleId="307">
    <w:name w:val="_Equation Caption"/>
    <w:qFormat/>
    <w:uiPriority w:val="0"/>
  </w:style>
  <w:style w:type="character" w:customStyle="1" w:styleId="308">
    <w:name w:val="标 2ln Char"/>
    <w:link w:val="309"/>
    <w:qFormat/>
    <w:uiPriority w:val="0"/>
    <w:rPr>
      <w:rFonts w:ascii="Arial" w:hAnsi="Arial" w:eastAsia="黑体" w:cs="宋体"/>
      <w:color w:val="000000"/>
      <w:kern w:val="2"/>
      <w:sz w:val="32"/>
    </w:rPr>
  </w:style>
  <w:style w:type="paragraph" w:customStyle="1" w:styleId="309">
    <w:name w:val="标 2ln"/>
    <w:basedOn w:val="310"/>
    <w:link w:val="308"/>
    <w:qFormat/>
    <w:uiPriority w:val="0"/>
    <w:pPr>
      <w:adjustRightInd w:val="0"/>
      <w:snapToGrid w:val="0"/>
      <w:jc w:val="both"/>
    </w:pPr>
    <w:rPr>
      <w:rFonts w:ascii="Arial" w:hAnsi="Arial"/>
      <w:szCs w:val="20"/>
    </w:rPr>
  </w:style>
  <w:style w:type="paragraph" w:customStyle="1" w:styleId="310">
    <w:name w:val="BT2"/>
    <w:basedOn w:val="5"/>
    <w:qFormat/>
    <w:uiPriority w:val="0"/>
    <w:pPr>
      <w:jc w:val="left"/>
    </w:pPr>
    <w:rPr>
      <w:bCs w:val="0"/>
      <w:color w:val="000000"/>
    </w:rPr>
  </w:style>
  <w:style w:type="character" w:customStyle="1" w:styleId="311">
    <w:name w:val="标准正文格式 Char Char"/>
    <w:qFormat/>
    <w:uiPriority w:val="0"/>
    <w:rPr>
      <w:rFonts w:eastAsia="宋体"/>
      <w:color w:val="FF0000"/>
      <w:spacing w:val="10"/>
      <w:sz w:val="24"/>
      <w:szCs w:val="24"/>
      <w:lang w:val="en-US" w:eastAsia="zh-CN" w:bidi="ar-SA"/>
    </w:rPr>
  </w:style>
  <w:style w:type="character" w:customStyle="1" w:styleId="312">
    <w:name w:val="Char Char291"/>
    <w:qFormat/>
    <w:uiPriority w:val="0"/>
    <w:rPr>
      <w:rFonts w:ascii="Cambria" w:hAnsi="Cambria" w:eastAsia="宋体" w:cs="Times New Roman"/>
      <w:b/>
      <w:bCs/>
      <w:kern w:val="2"/>
      <w:sz w:val="28"/>
      <w:szCs w:val="28"/>
    </w:rPr>
  </w:style>
  <w:style w:type="character" w:customStyle="1" w:styleId="313">
    <w:name w:val="表头 Char1 Char"/>
    <w:link w:val="314"/>
    <w:qFormat/>
    <w:uiPriority w:val="0"/>
    <w:rPr>
      <w:rFonts w:ascii="黑体" w:eastAsia="黑体"/>
      <w:sz w:val="24"/>
      <w:szCs w:val="24"/>
    </w:rPr>
  </w:style>
  <w:style w:type="paragraph" w:customStyle="1" w:styleId="314">
    <w:name w:val="表头 Char1"/>
    <w:basedOn w:val="1"/>
    <w:link w:val="313"/>
    <w:qFormat/>
    <w:uiPriority w:val="0"/>
    <w:pPr>
      <w:adjustRightInd w:val="0"/>
      <w:ind w:firstLine="0" w:firstLineChars="0"/>
    </w:pPr>
    <w:rPr>
      <w:rFonts w:ascii="黑体" w:eastAsia="黑体"/>
      <w:kern w:val="0"/>
      <w:sz w:val="24"/>
      <w:szCs w:val="24"/>
    </w:rPr>
  </w:style>
  <w:style w:type="character" w:customStyle="1" w:styleId="315">
    <w:name w:val="副标题 字符2"/>
    <w:qFormat/>
    <w:uiPriority w:val="0"/>
    <w:rPr>
      <w:rFonts w:ascii="Cambria" w:hAnsi="Cambria"/>
      <w:b/>
      <w:bCs/>
      <w:kern w:val="28"/>
      <w:sz w:val="32"/>
      <w:szCs w:val="32"/>
    </w:rPr>
  </w:style>
  <w:style w:type="character" w:customStyle="1" w:styleId="316">
    <w:name w:val="批注主题 Char2"/>
    <w:qFormat/>
    <w:uiPriority w:val="0"/>
    <w:rPr>
      <w:rFonts w:ascii="仿宋_GB2312" w:hAnsi="Times New Roman" w:eastAsia="仿宋_GB2312" w:cs="Times New Roman"/>
      <w:kern w:val="2"/>
      <w:sz w:val="28"/>
      <w:szCs w:val="24"/>
      <w:shd w:val="clear" w:color="auto" w:fill="000080"/>
      <w:lang w:val="en-US" w:eastAsia="zh-CN" w:bidi="ar-SA"/>
    </w:rPr>
  </w:style>
  <w:style w:type="character" w:customStyle="1" w:styleId="317">
    <w:name w:val="Char Char182"/>
    <w:qFormat/>
    <w:uiPriority w:val="0"/>
    <w:rPr>
      <w:rFonts w:ascii="仿宋_GB2312" w:eastAsia="仿宋_GB2312"/>
      <w:kern w:val="2"/>
      <w:sz w:val="18"/>
      <w:szCs w:val="18"/>
      <w:lang w:val="en-US" w:eastAsia="zh-CN" w:bidi="ar-SA"/>
    </w:rPr>
  </w:style>
  <w:style w:type="character" w:customStyle="1" w:styleId="318">
    <w:name w:val="HTML 预设格式 字符"/>
    <w:qFormat/>
    <w:uiPriority w:val="0"/>
    <w:rPr>
      <w:rFonts w:ascii="Courier New" w:hAnsi="Courier New" w:eastAsia="宋体" w:cs="Courier New"/>
      <w:sz w:val="20"/>
      <w:szCs w:val="20"/>
    </w:rPr>
  </w:style>
  <w:style w:type="character" w:customStyle="1" w:styleId="319">
    <w:name w:val="样式 小四 行距: 1.5 倍行距 Char Char"/>
    <w:link w:val="320"/>
    <w:semiHidden/>
    <w:qFormat/>
    <w:uiPriority w:val="0"/>
    <w:rPr>
      <w:rFonts w:cs="宋体"/>
      <w:kern w:val="2"/>
      <w:sz w:val="24"/>
    </w:rPr>
  </w:style>
  <w:style w:type="paragraph" w:customStyle="1" w:styleId="320">
    <w:name w:val="样式 小四 行距: 1.5 倍行距 Char"/>
    <w:basedOn w:val="1"/>
    <w:link w:val="319"/>
    <w:semiHidden/>
    <w:qFormat/>
    <w:uiPriority w:val="0"/>
    <w:pPr>
      <w:adjustRightInd w:val="0"/>
      <w:snapToGrid w:val="0"/>
      <w:spacing w:line="360" w:lineRule="auto"/>
    </w:pPr>
    <w:rPr>
      <w:rFonts w:ascii="Times New Roman" w:eastAsia="宋体"/>
      <w:sz w:val="24"/>
      <w:szCs w:val="20"/>
    </w:rPr>
  </w:style>
  <w:style w:type="character" w:customStyle="1" w:styleId="321">
    <w:name w:val="SB正文 Char"/>
    <w:link w:val="322"/>
    <w:qFormat/>
    <w:uiPriority w:val="0"/>
    <w:rPr>
      <w:kern w:val="2"/>
      <w:sz w:val="24"/>
    </w:rPr>
  </w:style>
  <w:style w:type="paragraph" w:customStyle="1" w:styleId="322">
    <w:name w:val="SB正文"/>
    <w:basedOn w:val="1"/>
    <w:link w:val="321"/>
    <w:qFormat/>
    <w:uiPriority w:val="0"/>
    <w:pPr>
      <w:widowControl/>
      <w:spacing w:before="62" w:after="62" w:line="360" w:lineRule="auto"/>
      <w:ind w:firstLine="480"/>
      <w:jc w:val="left"/>
    </w:pPr>
    <w:rPr>
      <w:rFonts w:ascii="Times New Roman" w:eastAsia="宋体"/>
      <w:sz w:val="24"/>
      <w:szCs w:val="20"/>
    </w:rPr>
  </w:style>
  <w:style w:type="character" w:customStyle="1" w:styleId="323">
    <w:name w:val="Char Char2"/>
    <w:qFormat/>
    <w:uiPriority w:val="0"/>
    <w:rPr>
      <w:rFonts w:eastAsia="宋体"/>
      <w:b/>
      <w:bCs/>
      <w:kern w:val="2"/>
      <w:sz w:val="32"/>
      <w:szCs w:val="32"/>
      <w:lang w:val="en-US" w:eastAsia="zh-CN" w:bidi="ar-SA"/>
    </w:rPr>
  </w:style>
  <w:style w:type="character" w:customStyle="1" w:styleId="324">
    <w:name w:val="lei Char"/>
    <w:link w:val="325"/>
    <w:qFormat/>
    <w:uiPriority w:val="0"/>
    <w:rPr>
      <w:snapToGrid/>
      <w:color w:val="000000"/>
      <w:sz w:val="24"/>
      <w:szCs w:val="28"/>
    </w:rPr>
  </w:style>
  <w:style w:type="paragraph" w:customStyle="1" w:styleId="325">
    <w:name w:val="lei"/>
    <w:basedOn w:val="1"/>
    <w:link w:val="324"/>
    <w:qFormat/>
    <w:uiPriority w:val="0"/>
    <w:pPr>
      <w:adjustRightInd w:val="0"/>
      <w:spacing w:line="360" w:lineRule="auto"/>
      <w:ind w:firstLine="480"/>
    </w:pPr>
    <w:rPr>
      <w:rFonts w:ascii="Times New Roman" w:eastAsia="宋体"/>
      <w:color w:val="000000"/>
      <w:kern w:val="0"/>
      <w:sz w:val="24"/>
    </w:rPr>
  </w:style>
  <w:style w:type="character" w:customStyle="1" w:styleId="326">
    <w:name w:val="标标标4 Char"/>
    <w:link w:val="327"/>
    <w:qFormat/>
    <w:uiPriority w:val="0"/>
    <w:rPr>
      <w:rFonts w:ascii="Arial" w:hAnsi="Arial"/>
      <w:b/>
      <w:bCs/>
      <w:color w:val="000000"/>
      <w:kern w:val="2"/>
      <w:sz w:val="28"/>
      <w:szCs w:val="24"/>
    </w:rPr>
  </w:style>
  <w:style w:type="paragraph" w:customStyle="1" w:styleId="327">
    <w:name w:val="标标标4"/>
    <w:basedOn w:val="8"/>
    <w:next w:val="1"/>
    <w:link w:val="326"/>
    <w:qFormat/>
    <w:uiPriority w:val="0"/>
    <w:pPr>
      <w:keepNext w:val="0"/>
      <w:keepLines w:val="0"/>
      <w:spacing w:before="0" w:after="0" w:line="560" w:lineRule="exact"/>
      <w:ind w:firstLine="0" w:firstLineChars="0"/>
      <w:jc w:val="left"/>
    </w:pPr>
    <w:rPr>
      <w:rFonts w:ascii="Arial" w:hAnsi="Arial"/>
      <w:color w:val="000000"/>
      <w:szCs w:val="24"/>
    </w:rPr>
  </w:style>
  <w:style w:type="character" w:customStyle="1" w:styleId="328">
    <w:name w:val="正文文本缩进 3 字符"/>
    <w:qFormat/>
    <w:uiPriority w:val="0"/>
    <w:rPr>
      <w:rFonts w:ascii="Times New Roman" w:hAnsi="Times New Roman" w:eastAsia="宋体" w:cs="Times New Roman"/>
      <w:sz w:val="16"/>
      <w:szCs w:val="16"/>
    </w:rPr>
  </w:style>
  <w:style w:type="character" w:customStyle="1" w:styleId="329">
    <w:name w:val="正文首行缩进 2 Char Char"/>
    <w:qFormat/>
    <w:uiPriority w:val="0"/>
    <w:rPr>
      <w:rFonts w:ascii="Verdana" w:hAnsi="Verdana" w:eastAsia="宋体" w:cs="Verdana"/>
      <w:b/>
      <w:bCs/>
      <w:spacing w:val="4"/>
      <w:kern w:val="2"/>
      <w:sz w:val="24"/>
      <w:szCs w:val="28"/>
      <w:lang w:val="en-US" w:eastAsia="zh-CN" w:bidi="ar-SA"/>
    </w:rPr>
  </w:style>
  <w:style w:type="character" w:customStyle="1" w:styleId="330">
    <w:name w:val="标题 4hy Char Char"/>
    <w:qFormat/>
    <w:uiPriority w:val="0"/>
    <w:rPr>
      <w:rFonts w:ascii="Arial" w:hAnsi="Arial" w:eastAsia="宋体"/>
      <w:bCs/>
      <w:sz w:val="28"/>
      <w:szCs w:val="28"/>
      <w:lang w:bidi="ar-SA"/>
    </w:rPr>
  </w:style>
  <w:style w:type="character" w:customStyle="1" w:styleId="331">
    <w:name w:val="标准 Char"/>
    <w:link w:val="332"/>
    <w:qFormat/>
    <w:uiPriority w:val="0"/>
    <w:rPr>
      <w:sz w:val="28"/>
      <w:lang w:val="en-GB"/>
    </w:rPr>
  </w:style>
  <w:style w:type="paragraph" w:customStyle="1" w:styleId="332">
    <w:name w:val="标准"/>
    <w:basedOn w:val="1"/>
    <w:link w:val="331"/>
    <w:qFormat/>
    <w:uiPriority w:val="0"/>
    <w:pPr>
      <w:adjustRightInd w:val="0"/>
      <w:spacing w:line="480" w:lineRule="exact"/>
      <w:ind w:firstLine="0" w:firstLineChars="0"/>
      <w:textAlignment w:val="baseline"/>
    </w:pPr>
    <w:rPr>
      <w:rFonts w:ascii="Times New Roman" w:eastAsia="宋体"/>
      <w:kern w:val="0"/>
      <w:szCs w:val="20"/>
      <w:lang w:val="en-GB"/>
    </w:rPr>
  </w:style>
  <w:style w:type="character" w:customStyle="1" w:styleId="333">
    <w:name w:val="三级标题 Char"/>
    <w:qFormat/>
    <w:uiPriority w:val="0"/>
    <w:rPr>
      <w:rFonts w:eastAsia="黑体"/>
      <w:kern w:val="2"/>
      <w:sz w:val="28"/>
      <w:szCs w:val="24"/>
      <w:lang w:val="en-US" w:eastAsia="zh-CN" w:bidi="ar-SA"/>
    </w:rPr>
  </w:style>
  <w:style w:type="character" w:customStyle="1" w:styleId="334">
    <w:name w:val="font51"/>
    <w:qFormat/>
    <w:uiPriority w:val="0"/>
    <w:rPr>
      <w:rFonts w:ascii="Calibri" w:hAnsi="Calibri" w:cs="Calibri"/>
      <w:b/>
      <w:color w:val="000000"/>
      <w:sz w:val="18"/>
      <w:szCs w:val="18"/>
      <w:u w:val="none"/>
    </w:rPr>
  </w:style>
  <w:style w:type="character" w:customStyle="1" w:styleId="335">
    <w:name w:val="正文文字缩进 2 Char Char2"/>
    <w:semiHidden/>
    <w:qFormat/>
    <w:uiPriority w:val="0"/>
    <w:rPr>
      <w:rFonts w:ascii="仿宋_GB2312" w:hAnsi="Times New Roman" w:eastAsia="仿宋_GB2312" w:cs="Times New Roman"/>
      <w:bCs/>
      <w:sz w:val="28"/>
      <w:szCs w:val="24"/>
    </w:rPr>
  </w:style>
  <w:style w:type="character" w:customStyle="1" w:styleId="336">
    <w:name w:val="i1"/>
    <w:qFormat/>
    <w:uiPriority w:val="0"/>
    <w:rPr>
      <w:sz w:val="18"/>
      <w:szCs w:val="18"/>
    </w:rPr>
  </w:style>
  <w:style w:type="character" w:customStyle="1" w:styleId="337">
    <w:name w:val="样式 小四 行距: 1.5 倍行距 Char1"/>
    <w:link w:val="338"/>
    <w:qFormat/>
    <w:uiPriority w:val="0"/>
    <w:rPr>
      <w:rFonts w:cs="宋体"/>
      <w:sz w:val="24"/>
    </w:rPr>
  </w:style>
  <w:style w:type="paragraph" w:customStyle="1" w:styleId="338">
    <w:name w:val="样式 小四 行距: 1.5 倍行距"/>
    <w:basedOn w:val="1"/>
    <w:link w:val="337"/>
    <w:qFormat/>
    <w:uiPriority w:val="0"/>
    <w:pPr>
      <w:adjustRightInd w:val="0"/>
      <w:snapToGrid w:val="0"/>
      <w:spacing w:line="360" w:lineRule="auto"/>
    </w:pPr>
    <w:rPr>
      <w:rFonts w:ascii="Times New Roman" w:eastAsia="宋体"/>
      <w:kern w:val="0"/>
      <w:sz w:val="24"/>
      <w:szCs w:val="20"/>
    </w:rPr>
  </w:style>
  <w:style w:type="character" w:customStyle="1" w:styleId="339">
    <w:name w:val="content1"/>
    <w:qFormat/>
    <w:uiPriority w:val="0"/>
  </w:style>
  <w:style w:type="character" w:customStyle="1" w:styleId="340">
    <w:name w:val="标题 7 字符2"/>
    <w:qFormat/>
    <w:uiPriority w:val="0"/>
    <w:rPr>
      <w:rFonts w:ascii="仿宋_GB2312" w:eastAsia="仿宋_GB2312"/>
      <w:b/>
      <w:bCs/>
      <w:sz w:val="24"/>
      <w:szCs w:val="24"/>
    </w:rPr>
  </w:style>
  <w:style w:type="character" w:customStyle="1" w:styleId="341">
    <w:name w:val="标题3 Char Char"/>
    <w:qFormat/>
    <w:uiPriority w:val="0"/>
    <w:rPr>
      <w:rFonts w:ascii="Arial" w:hAnsi="Arial" w:eastAsia="方正小标宋_GBK" w:cs="Times New Roman"/>
      <w:bCs/>
      <w:snapToGrid w:val="0"/>
      <w:kern w:val="0"/>
      <w:sz w:val="28"/>
      <w:szCs w:val="20"/>
      <w:lang w:val="en-US" w:eastAsia="zh-CN" w:bidi="ar-SA"/>
    </w:rPr>
  </w:style>
  <w:style w:type="character" w:customStyle="1" w:styleId="342">
    <w:name w:val="样式5 Char Char"/>
    <w:qFormat/>
    <w:uiPriority w:val="0"/>
    <w:rPr>
      <w:rFonts w:eastAsia="黑体"/>
      <w:color w:val="000000"/>
      <w:kern w:val="2"/>
      <w:sz w:val="28"/>
      <w:szCs w:val="28"/>
      <w:lang w:val="en-US" w:eastAsia="zh-CN" w:bidi="ar-SA"/>
    </w:rPr>
  </w:style>
  <w:style w:type="character" w:customStyle="1" w:styleId="343">
    <w:name w:val="表图名 Char"/>
    <w:link w:val="344"/>
    <w:qFormat/>
    <w:uiPriority w:val="0"/>
    <w:rPr>
      <w:rFonts w:ascii="黑体" w:eastAsia="黑体"/>
      <w:snapToGrid/>
      <w:sz w:val="24"/>
      <w:szCs w:val="24"/>
    </w:rPr>
  </w:style>
  <w:style w:type="paragraph" w:customStyle="1" w:styleId="344">
    <w:name w:val="表图名"/>
    <w:basedOn w:val="1"/>
    <w:link w:val="343"/>
    <w:qFormat/>
    <w:uiPriority w:val="0"/>
    <w:pPr>
      <w:spacing w:afterLines="50" w:line="240" w:lineRule="auto"/>
      <w:ind w:firstLine="0" w:firstLineChars="0"/>
      <w:jc w:val="center"/>
    </w:pPr>
    <w:rPr>
      <w:rFonts w:ascii="黑体" w:eastAsia="黑体"/>
      <w:kern w:val="0"/>
      <w:sz w:val="24"/>
      <w:szCs w:val="24"/>
    </w:rPr>
  </w:style>
  <w:style w:type="character" w:customStyle="1" w:styleId="345">
    <w:name w:val="Char Char421"/>
    <w:qFormat/>
    <w:uiPriority w:val="0"/>
    <w:rPr>
      <w:rFonts w:ascii="Arial" w:hAnsi="Arial" w:eastAsia="黑体"/>
      <w:snapToGrid/>
      <w:sz w:val="32"/>
      <w:lang w:val="en-US" w:eastAsia="zh-CN" w:bidi="ar-SA"/>
    </w:rPr>
  </w:style>
  <w:style w:type="character" w:customStyle="1" w:styleId="346">
    <w:name w:val="日期 字符"/>
    <w:qFormat/>
    <w:uiPriority w:val="0"/>
    <w:rPr>
      <w:rFonts w:ascii="仿宋_GB2312" w:hAnsi="Times New Roman" w:eastAsia="仿宋_GB2312" w:cs="Times New Roman"/>
      <w:kern w:val="0"/>
      <w:sz w:val="32"/>
      <w:szCs w:val="28"/>
    </w:rPr>
  </w:style>
  <w:style w:type="character" w:customStyle="1" w:styleId="347">
    <w:name w:val="样式28 Char"/>
    <w:link w:val="348"/>
    <w:qFormat/>
    <w:uiPriority w:val="0"/>
    <w:rPr>
      <w:rFonts w:ascii="宋体" w:hAnsi="宋体" w:eastAsia="仿宋_GB2312"/>
      <w:kern w:val="2"/>
      <w:sz w:val="28"/>
      <w:szCs w:val="28"/>
    </w:rPr>
  </w:style>
  <w:style w:type="paragraph" w:customStyle="1" w:styleId="348">
    <w:name w:val="样式28"/>
    <w:basedOn w:val="1"/>
    <w:link w:val="347"/>
    <w:qFormat/>
    <w:uiPriority w:val="0"/>
    <w:pPr>
      <w:adjustRightInd w:val="0"/>
      <w:snapToGrid w:val="0"/>
      <w:spacing w:line="355" w:lineRule="auto"/>
    </w:pPr>
    <w:rPr>
      <w:rFonts w:ascii="宋体" w:hAnsi="宋体"/>
    </w:rPr>
  </w:style>
  <w:style w:type="character" w:customStyle="1" w:styleId="349">
    <w:name w:val="样式 首行缩进:  2 字符1 Char"/>
    <w:link w:val="350"/>
    <w:qFormat/>
    <w:uiPriority w:val="0"/>
    <w:rPr>
      <w:rFonts w:ascii="仿宋_GB2312" w:hAnsi="Calibri" w:eastAsia="仿宋_GB2312" w:cs="宋体"/>
      <w:kern w:val="2"/>
      <w:sz w:val="28"/>
    </w:rPr>
  </w:style>
  <w:style w:type="paragraph" w:customStyle="1" w:styleId="350">
    <w:name w:val="样式 首行缩进:  2 字符1"/>
    <w:basedOn w:val="1"/>
    <w:link w:val="349"/>
    <w:qFormat/>
    <w:uiPriority w:val="0"/>
    <w:rPr>
      <w:rFonts w:hAnsi="Calibri"/>
      <w:szCs w:val="20"/>
    </w:rPr>
  </w:style>
  <w:style w:type="character" w:customStyle="1" w:styleId="351">
    <w:name w:val="Char Char281"/>
    <w:qFormat/>
    <w:uiPriority w:val="0"/>
    <w:rPr>
      <w:rFonts w:ascii="Arial" w:hAnsi="Arial" w:eastAsia="黑体" w:cs="Times New Roman"/>
      <w:bCs/>
      <w:kern w:val="44"/>
      <w:sz w:val="32"/>
      <w:szCs w:val="44"/>
    </w:rPr>
  </w:style>
  <w:style w:type="character" w:customStyle="1" w:styleId="352">
    <w:name w:val="标题 9 字符1"/>
    <w:qFormat/>
    <w:uiPriority w:val="0"/>
    <w:rPr>
      <w:rFonts w:ascii="Arial" w:hAnsi="Arial" w:eastAsia="黑体"/>
      <w:sz w:val="28"/>
      <w:szCs w:val="21"/>
    </w:rPr>
  </w:style>
  <w:style w:type="character" w:customStyle="1" w:styleId="353">
    <w:name w:val="font81"/>
    <w:qFormat/>
    <w:uiPriority w:val="0"/>
    <w:rPr>
      <w:rFonts w:hint="eastAsia" w:ascii="楷体_GB2312" w:eastAsia="楷体_GB2312" w:cs="楷体_GB2312"/>
      <w:color w:val="000000"/>
      <w:sz w:val="21"/>
      <w:szCs w:val="21"/>
      <w:u w:val="none"/>
    </w:rPr>
  </w:style>
  <w:style w:type="character" w:customStyle="1" w:styleId="354">
    <w:name w:val="标题 4 字符1"/>
    <w:qFormat/>
    <w:uiPriority w:val="0"/>
    <w:rPr>
      <w:rFonts w:ascii="Cambria" w:hAnsi="Cambria" w:eastAsia="宋体" w:cs="Times New Roman"/>
      <w:b/>
      <w:bCs/>
      <w:kern w:val="2"/>
      <w:sz w:val="28"/>
      <w:szCs w:val="28"/>
    </w:rPr>
  </w:style>
  <w:style w:type="character" w:customStyle="1" w:styleId="355">
    <w:name w:val="表内容 Char"/>
    <w:link w:val="356"/>
    <w:qFormat/>
    <w:uiPriority w:val="0"/>
    <w:rPr>
      <w:rFonts w:ascii="楷体_GB2312" w:hAnsi="Calibri" w:eastAsia="楷体_GB2312"/>
      <w:lang w:val="zh-CN"/>
    </w:rPr>
  </w:style>
  <w:style w:type="paragraph" w:customStyle="1" w:styleId="356">
    <w:name w:val="表内容"/>
    <w:basedOn w:val="1"/>
    <w:link w:val="355"/>
    <w:qFormat/>
    <w:uiPriority w:val="0"/>
    <w:pPr>
      <w:widowControl/>
      <w:spacing w:line="0" w:lineRule="atLeast"/>
      <w:ind w:firstLine="0" w:firstLineChars="0"/>
      <w:jc w:val="center"/>
      <w:textAlignment w:val="baseline"/>
    </w:pPr>
    <w:rPr>
      <w:rFonts w:ascii="楷体_GB2312" w:hAnsi="Calibri" w:eastAsia="楷体_GB2312"/>
      <w:kern w:val="0"/>
      <w:sz w:val="20"/>
      <w:szCs w:val="20"/>
      <w:lang w:val="zh-CN"/>
    </w:rPr>
  </w:style>
  <w:style w:type="character" w:customStyle="1" w:styleId="357">
    <w:name w:val="标题1.1 Char"/>
    <w:link w:val="358"/>
    <w:qFormat/>
    <w:uiPriority w:val="0"/>
    <w:rPr>
      <w:rFonts w:eastAsia="仿宋_GB2312"/>
      <w:b/>
      <w:kern w:val="2"/>
      <w:sz w:val="30"/>
      <w:szCs w:val="24"/>
    </w:rPr>
  </w:style>
  <w:style w:type="paragraph" w:customStyle="1" w:styleId="358">
    <w:name w:val="标题1.1"/>
    <w:basedOn w:val="1"/>
    <w:link w:val="357"/>
    <w:qFormat/>
    <w:uiPriority w:val="0"/>
    <w:pPr>
      <w:adjustRightInd w:val="0"/>
      <w:snapToGrid w:val="0"/>
      <w:spacing w:beforeLines="50" w:afterLines="50" w:line="480" w:lineRule="exact"/>
      <w:ind w:firstLine="0" w:firstLineChars="0"/>
      <w:jc w:val="left"/>
      <w:outlineLvl w:val="1"/>
    </w:pPr>
    <w:rPr>
      <w:rFonts w:ascii="Times New Roman"/>
      <w:b/>
      <w:sz w:val="30"/>
      <w:szCs w:val="24"/>
    </w:rPr>
  </w:style>
  <w:style w:type="character" w:customStyle="1" w:styleId="359">
    <w:name w:val="电子邮件签名 字符1"/>
    <w:qFormat/>
    <w:uiPriority w:val="0"/>
    <w:rPr>
      <w:kern w:val="2"/>
      <w:sz w:val="24"/>
    </w:rPr>
  </w:style>
  <w:style w:type="character" w:customStyle="1" w:styleId="360">
    <w:name w:val="样式 样式 样式 (西文) 仿宋_GB2312 首行缩进:  2 字符 + 首行缩进:  2 字符 + 首行缩进:  2 字符 Char"/>
    <w:link w:val="361"/>
    <w:qFormat/>
    <w:uiPriority w:val="0"/>
    <w:rPr>
      <w:rFonts w:ascii="仿宋_GB2312" w:hAnsi="Calibri" w:eastAsia="仿宋_GB2312"/>
      <w:kern w:val="2"/>
      <w:sz w:val="28"/>
    </w:rPr>
  </w:style>
  <w:style w:type="paragraph" w:customStyle="1" w:styleId="361">
    <w:name w:val="样式 样式 样式 (西文) 仿宋_GB2312 首行缩进:  2 字符 + 首行缩进:  2 字符 + 首行缩进:  2 字符"/>
    <w:basedOn w:val="1"/>
    <w:link w:val="360"/>
    <w:qFormat/>
    <w:uiPriority w:val="0"/>
    <w:rPr>
      <w:rFonts w:hAnsi="Calibri"/>
      <w:szCs w:val="20"/>
    </w:rPr>
  </w:style>
  <w:style w:type="character" w:customStyle="1" w:styleId="362">
    <w:name w:val="Char Char193"/>
    <w:qFormat/>
    <w:uiPriority w:val="0"/>
    <w:rPr>
      <w:rFonts w:eastAsia="宋体"/>
      <w:lang w:val="en-US" w:eastAsia="zh-CN" w:bidi="ar-SA"/>
    </w:rPr>
  </w:style>
  <w:style w:type="character" w:customStyle="1" w:styleId="363">
    <w:name w:val="apple-converted-space"/>
    <w:qFormat/>
    <w:uiPriority w:val="0"/>
  </w:style>
  <w:style w:type="character" w:customStyle="1" w:styleId="364">
    <w:name w:val="样式 首行缩进:  2 字符2 Char Char Char1"/>
    <w:qFormat/>
    <w:uiPriority w:val="0"/>
    <w:rPr>
      <w:rFonts w:ascii="仿宋_GB2312" w:eastAsia="仿宋_GB2312" w:cs="宋体"/>
      <w:kern w:val="2"/>
      <w:sz w:val="28"/>
      <w:lang w:val="en-US" w:eastAsia="zh-CN" w:bidi="ar-SA"/>
    </w:rPr>
  </w:style>
  <w:style w:type="character" w:customStyle="1" w:styleId="365">
    <w:name w:val="样式 表内文字 + 段前: 0.3 行 段后: 0.3 行 Char"/>
    <w:link w:val="366"/>
    <w:qFormat/>
    <w:uiPriority w:val="0"/>
    <w:rPr>
      <w:rFonts w:ascii="宋体" w:hAnsi="宋体" w:eastAsia="楷体_GB2312"/>
      <w:kern w:val="2"/>
      <w:sz w:val="21"/>
    </w:rPr>
  </w:style>
  <w:style w:type="paragraph" w:customStyle="1" w:styleId="366">
    <w:name w:val="样式 表内文字 + 段前: 0.3 行 段后: 0.3 行"/>
    <w:basedOn w:val="1"/>
    <w:link w:val="365"/>
    <w:qFormat/>
    <w:uiPriority w:val="0"/>
    <w:pPr>
      <w:adjustRightInd w:val="0"/>
      <w:spacing w:beforeLines="30" w:afterLines="30" w:line="240" w:lineRule="auto"/>
      <w:jc w:val="center"/>
      <w:textAlignment w:val="baseline"/>
    </w:pPr>
    <w:rPr>
      <w:rFonts w:ascii="宋体" w:hAnsi="宋体" w:eastAsia="楷体_GB2312"/>
      <w:sz w:val="21"/>
      <w:szCs w:val="20"/>
    </w:rPr>
  </w:style>
  <w:style w:type="character" w:customStyle="1" w:styleId="367">
    <w:name w:val="页脚 字符"/>
    <w:qFormat/>
    <w:uiPriority w:val="99"/>
  </w:style>
  <w:style w:type="character" w:customStyle="1" w:styleId="368">
    <w:name w:val="正文文字缩进 Char Char"/>
    <w:semiHidden/>
    <w:qFormat/>
    <w:uiPriority w:val="0"/>
    <w:rPr>
      <w:kern w:val="2"/>
      <w:sz w:val="21"/>
      <w:szCs w:val="22"/>
    </w:rPr>
  </w:style>
  <w:style w:type="character" w:customStyle="1" w:styleId="369">
    <w:name w:val="样式 首行缩进:  2 字符 Char Char"/>
    <w:qFormat/>
    <w:uiPriority w:val="0"/>
    <w:rPr>
      <w:rFonts w:ascii="仿宋_GB2312" w:hAnsi="Times New Roman" w:eastAsia="仿宋_GB2312" w:cs="宋体"/>
      <w:sz w:val="28"/>
      <w:szCs w:val="20"/>
    </w:rPr>
  </w:style>
  <w:style w:type="character" w:customStyle="1" w:styleId="370">
    <w:name w:val="目标题 1) Char Char"/>
    <w:qFormat/>
    <w:uiPriority w:val="0"/>
    <w:rPr>
      <w:rFonts w:ascii="Arial" w:hAnsi="Arial" w:eastAsia="黑体"/>
      <w:color w:val="000000"/>
      <w:kern w:val="2"/>
      <w:sz w:val="24"/>
      <w:szCs w:val="24"/>
    </w:rPr>
  </w:style>
  <w:style w:type="character" w:customStyle="1" w:styleId="371">
    <w:name w:val="标  题  3 Char"/>
    <w:qFormat/>
    <w:uiPriority w:val="0"/>
    <w:rPr>
      <w:rFonts w:ascii="Arial" w:hAnsi="Arial" w:eastAsia="方正小标宋_GBK"/>
      <w:bCs/>
      <w:kern w:val="2"/>
      <w:sz w:val="28"/>
      <w:szCs w:val="28"/>
      <w:lang w:bidi="ar-SA"/>
    </w:rPr>
  </w:style>
  <w:style w:type="character" w:customStyle="1" w:styleId="372">
    <w:name w:val="样式 楷体_GB2312 首行缩进:  2 字符1 Char Char Char"/>
    <w:link w:val="373"/>
    <w:qFormat/>
    <w:uiPriority w:val="0"/>
    <w:rPr>
      <w:rFonts w:ascii="楷体_GB2312" w:eastAsia="楷体_GB2312" w:cs="宋体"/>
      <w:kern w:val="2"/>
      <w:sz w:val="28"/>
    </w:rPr>
  </w:style>
  <w:style w:type="paragraph" w:customStyle="1" w:styleId="373">
    <w:name w:val="样式 楷体_GB2312 首行缩进:  2 字符1 Char Char"/>
    <w:basedOn w:val="1"/>
    <w:link w:val="372"/>
    <w:qFormat/>
    <w:uiPriority w:val="0"/>
    <w:rPr>
      <w:rFonts w:ascii="楷体_GB2312" w:eastAsia="楷体_GB2312"/>
      <w:szCs w:val="20"/>
    </w:rPr>
  </w:style>
  <w:style w:type="character" w:customStyle="1" w:styleId="374">
    <w:name w:val="apple-style-span"/>
    <w:qFormat/>
    <w:uiPriority w:val="0"/>
  </w:style>
  <w:style w:type="character" w:customStyle="1" w:styleId="375">
    <w:name w:val="条款格式 Char"/>
    <w:qFormat/>
    <w:uiPriority w:val="0"/>
    <w:rPr>
      <w:rFonts w:ascii="宋体" w:hAnsi="宋体" w:eastAsia="宋体"/>
      <w:kern w:val="2"/>
      <w:sz w:val="24"/>
      <w:szCs w:val="24"/>
      <w:lang w:val="en-US" w:eastAsia="zh-CN" w:bidi="ar-SA"/>
    </w:rPr>
  </w:style>
  <w:style w:type="character" w:customStyle="1" w:styleId="376">
    <w:name w:val="需要修改 Char Char"/>
    <w:link w:val="377"/>
    <w:qFormat/>
    <w:uiPriority w:val="0"/>
    <w:rPr>
      <w:rFonts w:ascii="宋体" w:hAnsi="宋体"/>
      <w:color w:val="FF0000"/>
      <w:spacing w:val="4"/>
      <w:sz w:val="24"/>
      <w:szCs w:val="28"/>
    </w:rPr>
  </w:style>
  <w:style w:type="paragraph" w:customStyle="1" w:styleId="377">
    <w:name w:val="需要修改"/>
    <w:basedOn w:val="87"/>
    <w:next w:val="87"/>
    <w:link w:val="376"/>
    <w:qFormat/>
    <w:uiPriority w:val="0"/>
    <w:pPr>
      <w:spacing w:after="0" w:line="360" w:lineRule="auto"/>
      <w:ind w:left="0" w:firstLine="200" w:firstLineChars="200"/>
    </w:pPr>
    <w:rPr>
      <w:rFonts w:ascii="宋体" w:hAnsi="宋体"/>
      <w:color w:val="FF0000"/>
      <w:spacing w:val="4"/>
      <w:kern w:val="0"/>
      <w:sz w:val="24"/>
      <w:szCs w:val="28"/>
    </w:rPr>
  </w:style>
  <w:style w:type="character" w:customStyle="1" w:styleId="378">
    <w:name w:val="Subtitle Char"/>
    <w:qFormat/>
    <w:uiPriority w:val="0"/>
    <w:rPr>
      <w:rFonts w:ascii="Cambria" w:hAnsi="Cambria" w:eastAsia="宋体"/>
      <w:sz w:val="24"/>
      <w:szCs w:val="24"/>
      <w:lang w:val="en-US" w:eastAsia="en-US" w:bidi="ar-SA"/>
    </w:rPr>
  </w:style>
  <w:style w:type="character" w:customStyle="1" w:styleId="379">
    <w:name w:val="奇数页脚 Char2"/>
    <w:qFormat/>
    <w:uiPriority w:val="0"/>
    <w:rPr>
      <w:rFonts w:ascii="仿宋_GB2312" w:eastAsia="仿宋_GB2312"/>
      <w:sz w:val="18"/>
      <w:szCs w:val="18"/>
      <w:lang w:val="en-US" w:eastAsia="zh-CN" w:bidi="ar-SA"/>
    </w:rPr>
  </w:style>
  <w:style w:type="character" w:customStyle="1" w:styleId="380">
    <w:name w:val="公标题1 Char"/>
    <w:link w:val="381"/>
    <w:qFormat/>
    <w:uiPriority w:val="0"/>
    <w:rPr>
      <w:rFonts w:ascii="黑体" w:hAnsi="宋体" w:eastAsia="黑体"/>
      <w:kern w:val="2"/>
      <w:sz w:val="36"/>
    </w:rPr>
  </w:style>
  <w:style w:type="paragraph" w:customStyle="1" w:styleId="381">
    <w:name w:val="公标题1"/>
    <w:basedOn w:val="382"/>
    <w:link w:val="380"/>
    <w:qFormat/>
    <w:uiPriority w:val="0"/>
    <w:pPr>
      <w:adjustRightInd w:val="0"/>
      <w:snapToGrid w:val="0"/>
      <w:spacing w:beforeLines="70" w:afterLines="70" w:line="353" w:lineRule="auto"/>
      <w:ind w:firstLine="0" w:firstLineChars="0"/>
      <w:outlineLvl w:val="0"/>
    </w:pPr>
    <w:rPr>
      <w:rFonts w:ascii="黑体" w:hAnsi="宋体" w:eastAsia="黑体" w:cs="Times New Roman"/>
      <w:sz w:val="36"/>
    </w:rPr>
  </w:style>
  <w:style w:type="paragraph" w:customStyle="1" w:styleId="382">
    <w:name w:val="公正文"/>
    <w:basedOn w:val="1"/>
    <w:link w:val="383"/>
    <w:qFormat/>
    <w:uiPriority w:val="0"/>
    <w:rPr>
      <w:rFonts w:cs="宋体"/>
      <w:szCs w:val="20"/>
    </w:rPr>
  </w:style>
  <w:style w:type="character" w:customStyle="1" w:styleId="383">
    <w:name w:val="公正文 Char"/>
    <w:link w:val="382"/>
    <w:qFormat/>
    <w:uiPriority w:val="0"/>
    <w:rPr>
      <w:rFonts w:ascii="仿宋_GB2312" w:eastAsia="仿宋_GB2312" w:cs="宋体"/>
      <w:kern w:val="2"/>
      <w:sz w:val="28"/>
      <w:lang w:val="en-US" w:eastAsia="zh-CN" w:bidi="ar-SA"/>
    </w:rPr>
  </w:style>
  <w:style w:type="character" w:customStyle="1" w:styleId="384">
    <w:name w:val="正文首行缩进 2石 Char Char"/>
    <w:qFormat/>
    <w:uiPriority w:val="0"/>
    <w:rPr>
      <w:rFonts w:ascii="Verdana" w:hAnsi="Verdana" w:eastAsia="宋体" w:cs="Verdana"/>
      <w:b/>
      <w:bCs/>
      <w:spacing w:val="4"/>
      <w:kern w:val="2"/>
      <w:sz w:val="24"/>
      <w:szCs w:val="28"/>
      <w:lang w:val="en-US" w:eastAsia="zh-CN" w:bidi="ar-SA"/>
    </w:rPr>
  </w:style>
  <w:style w:type="character" w:customStyle="1" w:styleId="385">
    <w:name w:val="批注框文本 Char2"/>
    <w:qFormat/>
    <w:uiPriority w:val="0"/>
    <w:rPr>
      <w:rFonts w:eastAsia="宋体"/>
      <w:sz w:val="18"/>
      <w:szCs w:val="18"/>
      <w:lang w:val="en-US" w:eastAsia="zh-CN" w:bidi="ar-SA"/>
    </w:rPr>
  </w:style>
  <w:style w:type="character" w:customStyle="1" w:styleId="386">
    <w:name w:val="Title Char"/>
    <w:qFormat/>
    <w:uiPriority w:val="0"/>
    <w:rPr>
      <w:rFonts w:ascii="Cambria" w:hAnsi="Cambria" w:eastAsia="宋体"/>
      <w:b/>
      <w:bCs/>
      <w:kern w:val="28"/>
      <w:sz w:val="32"/>
      <w:szCs w:val="32"/>
      <w:lang w:val="en-US" w:eastAsia="en-US" w:bidi="ar-SA"/>
    </w:rPr>
  </w:style>
  <w:style w:type="character" w:customStyle="1" w:styleId="387">
    <w:name w:val="样式 标题 2 + Times New Roman 四号 黑色 Char"/>
    <w:qFormat/>
    <w:uiPriority w:val="0"/>
    <w:rPr>
      <w:rFonts w:ascii="Arial" w:hAnsi="Arial" w:eastAsia="黑体"/>
      <w:b/>
      <w:bCs/>
      <w:color w:val="000000"/>
      <w:kern w:val="2"/>
      <w:sz w:val="30"/>
      <w:szCs w:val="30"/>
      <w:lang w:val="en-US" w:eastAsia="zh-CN" w:bidi="ar-SA"/>
    </w:rPr>
  </w:style>
  <w:style w:type="character" w:customStyle="1" w:styleId="388">
    <w:name w:val="纯文本 字符1"/>
    <w:qFormat/>
    <w:uiPriority w:val="0"/>
    <w:rPr>
      <w:rFonts w:ascii="宋体"/>
      <w:color w:val="000000"/>
      <w:sz w:val="21"/>
      <w:u w:val="none" w:color="000000"/>
    </w:rPr>
  </w:style>
  <w:style w:type="character" w:customStyle="1" w:styleId="389">
    <w:name w:val="BT1 Char"/>
    <w:link w:val="390"/>
    <w:qFormat/>
    <w:uiPriority w:val="0"/>
    <w:rPr>
      <w:rFonts w:ascii="Arial" w:hAnsi="Arial" w:eastAsia="黑体"/>
      <w:bCs/>
      <w:kern w:val="44"/>
      <w:sz w:val="36"/>
      <w:szCs w:val="44"/>
    </w:rPr>
  </w:style>
  <w:style w:type="paragraph" w:customStyle="1" w:styleId="390">
    <w:name w:val="BT1"/>
    <w:basedOn w:val="4"/>
    <w:link w:val="389"/>
    <w:qFormat/>
    <w:uiPriority w:val="0"/>
    <w:pPr>
      <w:keepNext/>
      <w:keepLines/>
      <w:jc w:val="left"/>
    </w:pPr>
    <w:rPr>
      <w:rFonts w:ascii="Arial" w:hAnsi="Arial"/>
      <w:szCs w:val="44"/>
    </w:rPr>
  </w:style>
  <w:style w:type="character" w:customStyle="1" w:styleId="391">
    <w:name w:val="水保正文文字1 Char Char"/>
    <w:link w:val="392"/>
    <w:qFormat/>
    <w:uiPriority w:val="0"/>
    <w:rPr>
      <w:rFonts w:eastAsia="华文中宋"/>
      <w:kern w:val="2"/>
      <w:sz w:val="24"/>
      <w:szCs w:val="24"/>
    </w:rPr>
  </w:style>
  <w:style w:type="paragraph" w:customStyle="1" w:styleId="392">
    <w:name w:val="水保正文文字1"/>
    <w:basedOn w:val="1"/>
    <w:link w:val="391"/>
    <w:qFormat/>
    <w:uiPriority w:val="0"/>
    <w:pPr>
      <w:snapToGrid w:val="0"/>
      <w:spacing w:line="324" w:lineRule="auto"/>
      <w:ind w:firstLine="480"/>
    </w:pPr>
    <w:rPr>
      <w:rFonts w:ascii="Times New Roman" w:eastAsia="华文中宋"/>
      <w:sz w:val="24"/>
      <w:szCs w:val="24"/>
    </w:rPr>
  </w:style>
  <w:style w:type="character" w:customStyle="1" w:styleId="393">
    <w:name w:val="白鹤滩标题 4 Char3"/>
    <w:qFormat/>
    <w:uiPriority w:val="0"/>
    <w:rPr>
      <w:rFonts w:ascii="Cambria" w:hAnsi="Cambria" w:eastAsia="宋体" w:cs="Times New Roman"/>
      <w:b/>
      <w:bCs/>
      <w:sz w:val="28"/>
      <w:szCs w:val="28"/>
    </w:rPr>
  </w:style>
  <w:style w:type="character" w:customStyle="1" w:styleId="394">
    <w:name w:val="副标题 字符1"/>
    <w:qFormat/>
    <w:uiPriority w:val="0"/>
    <w:rPr>
      <w:rFonts w:ascii="Cambria" w:hAnsi="Cambria"/>
      <w:b/>
      <w:bCs/>
      <w:kern w:val="28"/>
      <w:sz w:val="32"/>
      <w:szCs w:val="32"/>
    </w:rPr>
  </w:style>
  <w:style w:type="character" w:customStyle="1" w:styleId="395">
    <w:name w:val="图表 7 Char"/>
    <w:qFormat/>
    <w:uiPriority w:val="0"/>
    <w:rPr>
      <w:rFonts w:ascii="仿宋_GB2312" w:hAnsi="Times New Roman" w:eastAsia="仿宋_GB2312" w:cs="Times New Roman"/>
      <w:b/>
      <w:bCs/>
      <w:sz w:val="24"/>
      <w:szCs w:val="24"/>
    </w:rPr>
  </w:style>
  <w:style w:type="character" w:customStyle="1" w:styleId="396">
    <w:name w:val="正文文本 (2) + 缩放 120%"/>
    <w:qFormat/>
    <w:uiPriority w:val="0"/>
    <w:rPr>
      <w:rFonts w:ascii="MingLiU" w:eastAsia="MingLiU" w:cs="MingLiU"/>
      <w:w w:val="120"/>
      <w:sz w:val="21"/>
      <w:szCs w:val="21"/>
      <w:u w:val="none"/>
      <w:shd w:val="clear" w:color="auto" w:fill="FFFFFF"/>
      <w:lang w:val="en-US" w:eastAsia="en-US"/>
    </w:rPr>
  </w:style>
  <w:style w:type="character" w:customStyle="1" w:styleId="397">
    <w:name w:val="标题 3 字符2"/>
    <w:qFormat/>
    <w:uiPriority w:val="0"/>
    <w:rPr>
      <w:rFonts w:ascii="方正小标宋_GBK" w:hAnsi="Arial" w:eastAsia="方正小标宋_GBK"/>
      <w:bCs/>
      <w:kern w:val="2"/>
      <w:sz w:val="28"/>
      <w:szCs w:val="28"/>
    </w:rPr>
  </w:style>
  <w:style w:type="character" w:customStyle="1" w:styleId="398">
    <w:name w:val="图1 Char"/>
    <w:link w:val="399"/>
    <w:qFormat/>
    <w:uiPriority w:val="0"/>
    <w:rPr>
      <w:rFonts w:eastAsia="仿宋_GB2312"/>
      <w:sz w:val="28"/>
      <w:szCs w:val="24"/>
    </w:rPr>
  </w:style>
  <w:style w:type="paragraph" w:customStyle="1" w:styleId="399">
    <w:name w:val="图1"/>
    <w:basedOn w:val="1"/>
    <w:link w:val="398"/>
    <w:qFormat/>
    <w:uiPriority w:val="0"/>
    <w:pPr>
      <w:adjustRightInd w:val="0"/>
      <w:spacing w:beforeLines="50" w:line="240" w:lineRule="auto"/>
      <w:ind w:firstLine="0" w:firstLineChars="0"/>
      <w:jc w:val="center"/>
      <w:textAlignment w:val="baseline"/>
    </w:pPr>
    <w:rPr>
      <w:rFonts w:ascii="Times New Roman"/>
      <w:kern w:val="0"/>
      <w:szCs w:val="24"/>
    </w:rPr>
  </w:style>
  <w:style w:type="character" w:customStyle="1" w:styleId="400">
    <w:name w:val="正文文本缩进2"/>
    <w:qFormat/>
    <w:uiPriority w:val="0"/>
    <w:rPr>
      <w:rFonts w:eastAsia="宋体"/>
      <w:kern w:val="2"/>
      <w:sz w:val="24"/>
      <w:szCs w:val="24"/>
      <w:lang w:val="en-US" w:eastAsia="zh-CN" w:bidi="ar-SA"/>
    </w:rPr>
  </w:style>
  <w:style w:type="character" w:customStyle="1" w:styleId="401">
    <w:name w:val="标题 4 Char4"/>
    <w:qFormat/>
    <w:uiPriority w:val="0"/>
  </w:style>
  <w:style w:type="character" w:customStyle="1" w:styleId="402">
    <w:name w:val="HTML 地址 字符1"/>
    <w:qFormat/>
    <w:uiPriority w:val="0"/>
    <w:rPr>
      <w:i/>
      <w:iCs/>
      <w:kern w:val="2"/>
      <w:sz w:val="24"/>
    </w:rPr>
  </w:style>
  <w:style w:type="character" w:customStyle="1" w:styleId="403">
    <w:name w:val="z-窗体底端 字符2"/>
    <w:qFormat/>
    <w:uiPriority w:val="0"/>
    <w:rPr>
      <w:rFonts w:ascii="Arial" w:hAnsi="Arial" w:cs="Arial"/>
      <w:vanish/>
      <w:sz w:val="16"/>
      <w:szCs w:val="16"/>
    </w:rPr>
  </w:style>
  <w:style w:type="character" w:customStyle="1" w:styleId="404">
    <w:name w:val="正文文本 (2)_"/>
    <w:link w:val="405"/>
    <w:qFormat/>
    <w:locked/>
    <w:uiPriority w:val="0"/>
    <w:rPr>
      <w:rFonts w:ascii="MingLiU" w:eastAsia="MingLiU" w:cs="MingLiU"/>
      <w:szCs w:val="21"/>
      <w:shd w:val="clear" w:color="auto" w:fill="FFFFFF"/>
    </w:rPr>
  </w:style>
  <w:style w:type="paragraph" w:customStyle="1" w:styleId="405">
    <w:name w:val="正文文本 (2)1"/>
    <w:basedOn w:val="1"/>
    <w:link w:val="404"/>
    <w:qFormat/>
    <w:uiPriority w:val="0"/>
    <w:pPr>
      <w:shd w:val="clear" w:color="auto" w:fill="FFFFFF"/>
      <w:spacing w:before="600" w:line="312" w:lineRule="exact"/>
      <w:ind w:hanging="1460" w:firstLineChars="0"/>
      <w:jc w:val="left"/>
    </w:pPr>
    <w:rPr>
      <w:rFonts w:ascii="MingLiU" w:eastAsia="MingLiU"/>
      <w:kern w:val="0"/>
      <w:sz w:val="20"/>
      <w:szCs w:val="21"/>
    </w:rPr>
  </w:style>
  <w:style w:type="character" w:customStyle="1" w:styleId="406">
    <w:name w:val="Header Char"/>
    <w:semiHidden/>
    <w:qFormat/>
    <w:locked/>
    <w:uiPriority w:val="0"/>
    <w:rPr>
      <w:rFonts w:ascii="宋体" w:hAnsi="宋体" w:eastAsia="宋体"/>
      <w:color w:val="000000"/>
      <w:kern w:val="2"/>
      <w:sz w:val="18"/>
      <w:szCs w:val="18"/>
      <w:lang w:val="en-US" w:eastAsia="zh-CN" w:bidi="ar-SA"/>
    </w:rPr>
  </w:style>
  <w:style w:type="character" w:customStyle="1" w:styleId="407">
    <w:name w:val="白鹤滩标题 2 Char1"/>
    <w:qFormat/>
    <w:uiPriority w:val="0"/>
    <w:rPr>
      <w:rFonts w:ascii="Arial" w:hAnsi="Arial" w:eastAsia="黑体"/>
      <w:snapToGrid/>
      <w:kern w:val="24"/>
      <w:sz w:val="32"/>
      <w:lang w:val="en-US" w:eastAsia="zh-CN" w:bidi="ar-SA"/>
    </w:rPr>
  </w:style>
  <w:style w:type="character" w:customStyle="1" w:styleId="408">
    <w:name w:val="样式 样式 首行缩进:  2 字符6 + 首行缩进:  2 字符1 Char"/>
    <w:link w:val="409"/>
    <w:qFormat/>
    <w:uiPriority w:val="0"/>
    <w:rPr>
      <w:rFonts w:ascii="仿宋_GB2312" w:eastAsia="仿宋_GB2312" w:cs="宋体"/>
      <w:sz w:val="28"/>
    </w:rPr>
  </w:style>
  <w:style w:type="paragraph" w:customStyle="1" w:styleId="409">
    <w:name w:val="样式 样式 首行缩进:  2 字符6 + 首行缩进:  2 字符1"/>
    <w:basedOn w:val="1"/>
    <w:link w:val="408"/>
    <w:qFormat/>
    <w:uiPriority w:val="0"/>
    <w:rPr>
      <w:kern w:val="0"/>
      <w:szCs w:val="20"/>
    </w:rPr>
  </w:style>
  <w:style w:type="character" w:customStyle="1" w:styleId="410">
    <w:name w:val="公表注 Char"/>
    <w:link w:val="411"/>
    <w:qFormat/>
    <w:uiPriority w:val="0"/>
    <w:rPr>
      <w:rFonts w:ascii="宋体" w:eastAsia="楷体_GB2312"/>
      <w:szCs w:val="24"/>
    </w:rPr>
  </w:style>
  <w:style w:type="paragraph" w:customStyle="1" w:styleId="411">
    <w:name w:val="公表注"/>
    <w:basedOn w:val="1"/>
    <w:link w:val="410"/>
    <w:qFormat/>
    <w:uiPriority w:val="0"/>
    <w:pPr>
      <w:adjustRightInd w:val="0"/>
      <w:snapToGrid w:val="0"/>
      <w:spacing w:line="240" w:lineRule="auto"/>
    </w:pPr>
    <w:rPr>
      <w:rFonts w:ascii="宋体" w:eastAsia="楷体_GB2312"/>
      <w:kern w:val="0"/>
      <w:sz w:val="20"/>
      <w:szCs w:val="24"/>
    </w:rPr>
  </w:style>
  <w:style w:type="character" w:customStyle="1" w:styleId="412">
    <w:name w:val="正文首行缩进 Char2"/>
    <w:qFormat/>
    <w:uiPriority w:val="99"/>
    <w:rPr>
      <w:rFonts w:eastAsia="仿宋_GB2312"/>
      <w:kern w:val="2"/>
      <w:sz w:val="28"/>
      <w:szCs w:val="22"/>
    </w:rPr>
  </w:style>
  <w:style w:type="character" w:customStyle="1" w:styleId="413">
    <w:name w:val="Char Char14"/>
    <w:qFormat/>
    <w:locked/>
    <w:uiPriority w:val="0"/>
    <w:rPr>
      <w:rFonts w:ascii="Arial" w:hAnsi="Arial" w:eastAsia="黑体"/>
      <w:kern w:val="2"/>
      <w:sz w:val="28"/>
      <w:szCs w:val="21"/>
      <w:lang w:val="en-US" w:eastAsia="zh-CN" w:bidi="ar-SA"/>
    </w:rPr>
  </w:style>
  <w:style w:type="character" w:customStyle="1" w:styleId="414">
    <w:name w:val="标题 3-y Char"/>
    <w:qFormat/>
    <w:uiPriority w:val="0"/>
    <w:rPr>
      <w:rFonts w:ascii="Arial" w:hAnsi="Arial" w:eastAsia="方正小标宋_GBK" w:cs="Courier New"/>
      <w:bCs/>
      <w:sz w:val="28"/>
      <w:szCs w:val="21"/>
      <w:lang w:val="en-US" w:eastAsia="zh-CN" w:bidi="ar-SA"/>
    </w:rPr>
  </w:style>
  <w:style w:type="character" w:customStyle="1" w:styleId="415">
    <w:name w:val="标题 5 Char1"/>
    <w:qFormat/>
    <w:uiPriority w:val="0"/>
    <w:rPr>
      <w:rFonts w:ascii="Arial" w:hAnsi="Arial" w:eastAsia="仿宋_GB2312" w:cs="Times New Roman"/>
      <w:bCs/>
      <w:kern w:val="0"/>
      <w:sz w:val="28"/>
      <w:szCs w:val="28"/>
    </w:rPr>
  </w:style>
  <w:style w:type="character" w:customStyle="1" w:styleId="416">
    <w:name w:val="样式 标题 3SottoparagrafoChar1 Char Char Char3h33rd levelH3l3...2 Char"/>
    <w:link w:val="417"/>
    <w:qFormat/>
    <w:uiPriority w:val="0"/>
    <w:rPr>
      <w:rFonts w:ascii="Arial" w:hAnsi="Arial" w:eastAsia="方正小标宋_GBK" w:cs="Courier New"/>
      <w:bCs/>
      <w:sz w:val="28"/>
      <w:szCs w:val="21"/>
    </w:rPr>
  </w:style>
  <w:style w:type="paragraph" w:customStyle="1" w:styleId="417">
    <w:name w:val="样式 标题 3SottoparagrafoChar1 Char Char Char3h33rd levelH3l3...2"/>
    <w:basedOn w:val="7"/>
    <w:link w:val="416"/>
    <w:qFormat/>
    <w:uiPriority w:val="0"/>
    <w:pPr>
      <w:keepNext/>
      <w:keepLines/>
      <w:adjustRightInd w:val="0"/>
      <w:jc w:val="left"/>
      <w:textAlignment w:val="baseline"/>
    </w:pPr>
    <w:rPr>
      <w:rFonts w:ascii="Arial"/>
      <w:kern w:val="0"/>
      <w:szCs w:val="21"/>
    </w:rPr>
  </w:style>
  <w:style w:type="character" w:customStyle="1" w:styleId="418">
    <w:name w:val="Char Char261"/>
    <w:qFormat/>
    <w:uiPriority w:val="0"/>
    <w:rPr>
      <w:rFonts w:ascii="宋体" w:hAnsi="宋体" w:eastAsia="楷体_GB2312" w:cs="Times New Roman"/>
      <w:b/>
      <w:bCs/>
      <w:sz w:val="28"/>
      <w:szCs w:val="32"/>
    </w:rPr>
  </w:style>
  <w:style w:type="character" w:customStyle="1" w:styleId="419">
    <w:name w:val="font111"/>
    <w:qFormat/>
    <w:uiPriority w:val="0"/>
    <w:rPr>
      <w:rFonts w:ascii="Arial" w:hAnsi="Arial" w:cs="Arial"/>
      <w:color w:val="000000"/>
      <w:sz w:val="21"/>
      <w:szCs w:val="21"/>
      <w:u w:val="none"/>
    </w:rPr>
  </w:style>
  <w:style w:type="character" w:customStyle="1" w:styleId="420">
    <w:name w:val="1正文 Char Char Char"/>
    <w:qFormat/>
    <w:uiPriority w:val="0"/>
    <w:rPr>
      <w:rFonts w:eastAsia="宋体"/>
      <w:kern w:val="2"/>
      <w:sz w:val="28"/>
      <w:szCs w:val="24"/>
      <w:lang w:val="en-US" w:eastAsia="zh-CN" w:bidi="ar-SA"/>
    </w:rPr>
  </w:style>
  <w:style w:type="character" w:customStyle="1" w:styleId="421">
    <w:name w:val="表格内容 Char"/>
    <w:link w:val="422"/>
    <w:qFormat/>
    <w:uiPriority w:val="0"/>
    <w:rPr>
      <w:kern w:val="2"/>
      <w:sz w:val="22"/>
      <w:szCs w:val="24"/>
    </w:rPr>
  </w:style>
  <w:style w:type="paragraph" w:customStyle="1" w:styleId="422">
    <w:name w:val="表格内容"/>
    <w:basedOn w:val="46"/>
    <w:link w:val="421"/>
    <w:qFormat/>
    <w:uiPriority w:val="0"/>
    <w:pPr>
      <w:widowControl w:val="0"/>
      <w:spacing w:line="360" w:lineRule="auto"/>
      <w:ind w:firstLine="53" w:firstLineChars="22"/>
      <w:jc w:val="center"/>
      <w:textAlignment w:val="auto"/>
    </w:pPr>
    <w:rPr>
      <w:rFonts w:ascii="Times New Roman"/>
      <w:color w:val="auto"/>
      <w:kern w:val="2"/>
      <w:sz w:val="22"/>
      <w:szCs w:val="24"/>
      <w:u w:val="none" w:color="auto"/>
    </w:rPr>
  </w:style>
  <w:style w:type="character" w:customStyle="1" w:styleId="423">
    <w:name w:val="表 名 Char"/>
    <w:link w:val="424"/>
    <w:qFormat/>
    <w:uiPriority w:val="0"/>
    <w:rPr>
      <w:rFonts w:ascii="黑体" w:eastAsia="黑体"/>
      <w:kern w:val="2"/>
      <w:sz w:val="24"/>
    </w:rPr>
  </w:style>
  <w:style w:type="paragraph" w:customStyle="1" w:styleId="424">
    <w:name w:val="表 名"/>
    <w:basedOn w:val="36"/>
    <w:link w:val="423"/>
    <w:qFormat/>
    <w:uiPriority w:val="0"/>
    <w:pPr>
      <w:spacing w:after="60"/>
      <w:ind w:firstLine="100" w:firstLineChars="100"/>
    </w:pPr>
    <w:rPr>
      <w:rFonts w:ascii="黑体" w:eastAsia="黑体"/>
      <w:sz w:val="24"/>
    </w:rPr>
  </w:style>
  <w:style w:type="character" w:customStyle="1" w:styleId="425">
    <w:name w:val="123YJ Char Char"/>
    <w:qFormat/>
    <w:uiPriority w:val="0"/>
    <w:rPr>
      <w:rFonts w:ascii="仿宋_GB2312" w:eastAsia="仿宋_GB2312"/>
      <w:sz w:val="28"/>
      <w:szCs w:val="18"/>
      <w:lang w:val="en-US" w:eastAsia="zh-CN" w:bidi="ar-SA"/>
    </w:rPr>
  </w:style>
  <w:style w:type="character" w:customStyle="1" w:styleId="426">
    <w:name w:val="副标题 Char1"/>
    <w:qFormat/>
    <w:uiPriority w:val="11"/>
    <w:rPr>
      <w:rFonts w:ascii="Cambria" w:hAnsi="Cambria" w:eastAsia="宋体" w:cs="Times New Roman"/>
      <w:b/>
      <w:bCs/>
      <w:kern w:val="28"/>
      <w:sz w:val="32"/>
      <w:szCs w:val="32"/>
    </w:rPr>
  </w:style>
  <w:style w:type="character" w:customStyle="1" w:styleId="427">
    <w:name w:val="白鹤滩标题 4 Char2"/>
    <w:qFormat/>
    <w:uiPriority w:val="0"/>
    <w:rPr>
      <w:rFonts w:ascii="Arial" w:hAnsi="Arial" w:eastAsia="宋体"/>
      <w:sz w:val="28"/>
      <w:lang w:val="en-US" w:eastAsia="zh-CN" w:bidi="ar-SA"/>
    </w:rPr>
  </w:style>
  <w:style w:type="character" w:customStyle="1" w:styleId="428">
    <w:name w:val="批注主题 Char1"/>
    <w:qFormat/>
    <w:uiPriority w:val="0"/>
    <w:rPr>
      <w:b/>
      <w:bCs/>
      <w:sz w:val="21"/>
    </w:rPr>
  </w:style>
  <w:style w:type="character" w:customStyle="1" w:styleId="429">
    <w:name w:val="正文文本首行缩进 字符2"/>
    <w:qFormat/>
    <w:uiPriority w:val="0"/>
    <w:rPr>
      <w:kern w:val="2"/>
      <w:sz w:val="21"/>
      <w:szCs w:val="24"/>
    </w:rPr>
  </w:style>
  <w:style w:type="character" w:customStyle="1" w:styleId="430">
    <w:name w:val="附表头-1 Char"/>
    <w:link w:val="431"/>
    <w:qFormat/>
    <w:uiPriority w:val="0"/>
    <w:rPr>
      <w:rFonts w:ascii="黑体" w:hAnsi="黑体" w:eastAsia="黑体"/>
      <w:bCs/>
      <w:kern w:val="44"/>
      <w:sz w:val="24"/>
      <w:szCs w:val="24"/>
    </w:rPr>
  </w:style>
  <w:style w:type="paragraph" w:customStyle="1" w:styleId="431">
    <w:name w:val="附表头-1"/>
    <w:basedOn w:val="4"/>
    <w:link w:val="430"/>
    <w:qFormat/>
    <w:uiPriority w:val="0"/>
    <w:pPr>
      <w:keepNext/>
      <w:keepLines/>
      <w:jc w:val="both"/>
    </w:pPr>
    <w:rPr>
      <w:sz w:val="24"/>
      <w:szCs w:val="24"/>
    </w:rPr>
  </w:style>
  <w:style w:type="character" w:customStyle="1" w:styleId="432">
    <w:name w:val="单位 Char Char"/>
    <w:semiHidden/>
    <w:qFormat/>
    <w:uiPriority w:val="0"/>
    <w:rPr>
      <w:rFonts w:cs="Arial"/>
      <w:kern w:val="2"/>
      <w:sz w:val="21"/>
      <w:szCs w:val="24"/>
      <w:lang w:val="en-US" w:eastAsia="zh-CN" w:bidi="ar-SA"/>
    </w:rPr>
  </w:style>
  <w:style w:type="character" w:customStyle="1" w:styleId="433">
    <w:name w:val="标准标题1格式 Char"/>
    <w:link w:val="434"/>
    <w:qFormat/>
    <w:uiPriority w:val="0"/>
    <w:rPr>
      <w:rFonts w:ascii="宋体" w:hAnsi="宋体"/>
      <w:b/>
      <w:sz w:val="36"/>
      <w:szCs w:val="36"/>
    </w:rPr>
  </w:style>
  <w:style w:type="paragraph" w:customStyle="1" w:styleId="434">
    <w:name w:val="标准标题1格式"/>
    <w:basedOn w:val="4"/>
    <w:next w:val="1"/>
    <w:link w:val="433"/>
    <w:qFormat/>
    <w:uiPriority w:val="0"/>
    <w:pPr>
      <w:keepNext/>
      <w:keepLines/>
      <w:spacing w:after="120" w:line="520" w:lineRule="exact"/>
      <w:jc w:val="left"/>
      <w:outlineLvl w:val="9"/>
    </w:pPr>
    <w:rPr>
      <w:rFonts w:ascii="宋体" w:hAnsi="宋体" w:eastAsia="宋体"/>
      <w:b/>
      <w:bCs w:val="0"/>
      <w:kern w:val="0"/>
    </w:rPr>
  </w:style>
  <w:style w:type="character" w:customStyle="1" w:styleId="435">
    <w:name w:val="样式 样式 首行缩进:  2 字符5 + 首行缩进:  2 字符 Char"/>
    <w:link w:val="436"/>
    <w:qFormat/>
    <w:uiPriority w:val="0"/>
    <w:rPr>
      <w:rFonts w:ascii="仿宋_GB2312" w:eastAsia="仿宋_GB2312" w:cs="宋体"/>
      <w:kern w:val="2"/>
      <w:sz w:val="28"/>
    </w:rPr>
  </w:style>
  <w:style w:type="paragraph" w:customStyle="1" w:styleId="436">
    <w:name w:val="样式 样式 首行缩进:  2 字符5 + 首行缩进:  2 字符"/>
    <w:basedOn w:val="1"/>
    <w:link w:val="435"/>
    <w:qFormat/>
    <w:uiPriority w:val="0"/>
    <w:rPr>
      <w:szCs w:val="20"/>
    </w:rPr>
  </w:style>
  <w:style w:type="character" w:customStyle="1" w:styleId="437">
    <w:name w:val="样式 标题 2 + 段后: 0.5 行 Char Char Char"/>
    <w:link w:val="438"/>
    <w:semiHidden/>
    <w:qFormat/>
    <w:uiPriority w:val="0"/>
    <w:rPr>
      <w:rFonts w:ascii="黑体" w:hAnsi="Arial" w:eastAsia="黑体"/>
      <w:bCs/>
      <w:sz w:val="30"/>
    </w:rPr>
  </w:style>
  <w:style w:type="paragraph" w:customStyle="1" w:styleId="438">
    <w:name w:val="样式 标题 2 + 段后: 0.5 行 Char Char"/>
    <w:basedOn w:val="5"/>
    <w:link w:val="437"/>
    <w:semiHidden/>
    <w:qFormat/>
    <w:uiPriority w:val="0"/>
    <w:pPr>
      <w:keepNext/>
      <w:keepLines/>
      <w:numPr>
        <w:ilvl w:val="1"/>
        <w:numId w:val="0"/>
      </w:numPr>
      <w:tabs>
        <w:tab w:val="left" w:pos="567"/>
      </w:tabs>
      <w:spacing w:before="0" w:beforeLines="600" w:after="0" w:afterLines="600" w:line="240" w:lineRule="exact"/>
      <w:ind w:left="567" w:hanging="567"/>
    </w:pPr>
    <w:rPr>
      <w:rFonts w:hAnsi="Arial"/>
      <w:kern w:val="0"/>
      <w:sz w:val="30"/>
      <w:szCs w:val="20"/>
    </w:rPr>
  </w:style>
  <w:style w:type="character" w:customStyle="1" w:styleId="439">
    <w:name w:val="批注主题 字符"/>
    <w:qFormat/>
    <w:uiPriority w:val="99"/>
    <w:rPr>
      <w:rFonts w:ascii="仿宋_GB2312" w:hAnsi="Times New Roman" w:eastAsia="仿宋_GB2312" w:cs="Times New Roman"/>
      <w:b/>
      <w:bCs/>
      <w:kern w:val="0"/>
      <w:sz w:val="28"/>
      <w:szCs w:val="28"/>
    </w:rPr>
  </w:style>
  <w:style w:type="character" w:customStyle="1" w:styleId="440">
    <w:name w:val="5 Char Char Char Char Char Char"/>
    <w:link w:val="441"/>
    <w:qFormat/>
    <w:uiPriority w:val="0"/>
    <w:rPr>
      <w:rFonts w:ascii="Arial" w:hAnsi="Arial"/>
      <w:b/>
      <w:sz w:val="24"/>
    </w:rPr>
  </w:style>
  <w:style w:type="paragraph" w:customStyle="1" w:styleId="441">
    <w:name w:val="5 Char Char Char Char Char"/>
    <w:basedOn w:val="1"/>
    <w:link w:val="440"/>
    <w:qFormat/>
    <w:uiPriority w:val="0"/>
    <w:pPr>
      <w:tabs>
        <w:tab w:val="left" w:pos="1134"/>
      </w:tabs>
      <w:adjustRightInd w:val="0"/>
      <w:spacing w:before="20" w:after="40" w:line="300" w:lineRule="auto"/>
      <w:ind w:left="1135" w:hanging="851"/>
      <w:textAlignment w:val="baseline"/>
    </w:pPr>
    <w:rPr>
      <w:rFonts w:ascii="Arial" w:hAnsi="Arial" w:eastAsia="宋体"/>
      <w:b/>
      <w:kern w:val="0"/>
      <w:sz w:val="24"/>
      <w:szCs w:val="20"/>
    </w:rPr>
  </w:style>
  <w:style w:type="character" w:customStyle="1" w:styleId="442">
    <w:name w:val="Char Char41"/>
    <w:qFormat/>
    <w:uiPriority w:val="0"/>
    <w:rPr>
      <w:rFonts w:ascii="Arial" w:hAnsi="Arial" w:eastAsia="方正小标宋_GBK"/>
      <w:bCs/>
      <w:kern w:val="2"/>
      <w:sz w:val="28"/>
      <w:szCs w:val="32"/>
      <w:lang w:bidi="ar-SA"/>
    </w:rPr>
  </w:style>
  <w:style w:type="character" w:customStyle="1" w:styleId="443">
    <w:name w:val="font71"/>
    <w:qFormat/>
    <w:uiPriority w:val="0"/>
    <w:rPr>
      <w:rFonts w:hint="eastAsia" w:ascii="黑体" w:hAnsi="宋体" w:eastAsia="黑体" w:cs="黑体"/>
      <w:color w:val="0000FF"/>
      <w:sz w:val="24"/>
      <w:szCs w:val="24"/>
      <w:u w:val="none"/>
    </w:rPr>
  </w:style>
  <w:style w:type="character" w:customStyle="1" w:styleId="444">
    <w:name w:val="样式 样式 表格标题 + 五号 左 段前: 9.5 磅 段后: 3.8 磅 行距: 单倍行距 + 非加宽量 / 紧缩量 Char"/>
    <w:link w:val="445"/>
    <w:qFormat/>
    <w:uiPriority w:val="0"/>
    <w:rPr>
      <w:rFonts w:ascii="黑体" w:eastAsia="黑体" w:cs="宋体"/>
      <w:spacing w:val="6"/>
      <w:sz w:val="24"/>
    </w:rPr>
  </w:style>
  <w:style w:type="paragraph" w:customStyle="1" w:styleId="445">
    <w:name w:val="样式 样式 表格标题 + 五号 左 段前: 9.5 磅 段后: 3.8 磅 行距: 单倍行距 + 非加宽量 / 紧缩量"/>
    <w:basedOn w:val="446"/>
    <w:link w:val="444"/>
    <w:qFormat/>
    <w:uiPriority w:val="0"/>
  </w:style>
  <w:style w:type="paragraph" w:customStyle="1" w:styleId="446">
    <w:name w:val="样式 表格标题 + 五号 左 段前: 9.5 磅 段后: 3.8 磅 行距: 单倍行距"/>
    <w:basedOn w:val="6"/>
    <w:link w:val="447"/>
    <w:qFormat/>
    <w:uiPriority w:val="0"/>
    <w:pPr>
      <w:spacing w:after="60"/>
      <w:ind w:firstLine="100" w:firstLineChars="100"/>
      <w:contextualSpacing/>
      <w:jc w:val="left"/>
    </w:pPr>
    <w:rPr>
      <w:rFonts w:ascii="黑体" w:eastAsia="黑体"/>
      <w:spacing w:val="6"/>
      <w:kern w:val="0"/>
      <w:sz w:val="24"/>
      <w:szCs w:val="20"/>
    </w:rPr>
  </w:style>
  <w:style w:type="character" w:customStyle="1" w:styleId="447">
    <w:name w:val="样式 表格标题 + 五号 左 段前: 9.5 磅 段后: 3.8 磅 行距: 单倍行距 Char"/>
    <w:link w:val="446"/>
    <w:qFormat/>
    <w:uiPriority w:val="0"/>
    <w:rPr>
      <w:rFonts w:ascii="黑体" w:eastAsia="黑体" w:cs="宋体"/>
      <w:spacing w:val="6"/>
      <w:sz w:val="24"/>
    </w:rPr>
  </w:style>
  <w:style w:type="character" w:customStyle="1" w:styleId="448">
    <w:name w:val="Char Char19"/>
    <w:qFormat/>
    <w:uiPriority w:val="0"/>
    <w:rPr>
      <w:rFonts w:ascii="仿宋_GB2312" w:hAnsi="Times New Roman" w:eastAsia="仿宋_GB2312" w:cs="Times New Roman"/>
      <w:sz w:val="28"/>
      <w:szCs w:val="24"/>
      <w:shd w:val="clear" w:color="auto" w:fill="000080"/>
    </w:rPr>
  </w:style>
  <w:style w:type="character" w:customStyle="1" w:styleId="449">
    <w:name w:val="zt21"/>
    <w:qFormat/>
    <w:uiPriority w:val="0"/>
    <w:rPr>
      <w:rFonts w:hint="eastAsia" w:ascii="宋体" w:hAnsi="宋体" w:eastAsia="宋体"/>
      <w:sz w:val="24"/>
      <w:szCs w:val="24"/>
    </w:rPr>
  </w:style>
  <w:style w:type="character" w:customStyle="1" w:styleId="450">
    <w:name w:val="批注主题 Char4"/>
    <w:semiHidden/>
    <w:qFormat/>
    <w:uiPriority w:val="0"/>
    <w:rPr>
      <w:rFonts w:ascii="仿宋_GB2312" w:hAnsi="Times New Roman" w:eastAsia="仿宋_GB2312" w:cs="Times New Roman"/>
      <w:b/>
      <w:bCs/>
      <w:kern w:val="2"/>
      <w:sz w:val="28"/>
      <w:szCs w:val="24"/>
    </w:rPr>
  </w:style>
  <w:style w:type="character" w:customStyle="1" w:styleId="451">
    <w:name w:val="签名 Char2"/>
    <w:qFormat/>
    <w:uiPriority w:val="0"/>
    <w:rPr>
      <w:rFonts w:ascii="仿宋_GB2312" w:eastAsia="仿宋_GB2312"/>
      <w:sz w:val="28"/>
      <w:szCs w:val="28"/>
      <w:lang w:val="en-US" w:eastAsia="zh-CN" w:bidi="ar-SA"/>
    </w:rPr>
  </w:style>
  <w:style w:type="character" w:customStyle="1" w:styleId="452">
    <w:name w:val="样式 标题 1 + (中文) 黑体 小二 非加粗 段前: 12 磅 段后: 12 磅 行距: 1.5 倍行距 Char"/>
    <w:link w:val="453"/>
    <w:semiHidden/>
    <w:qFormat/>
    <w:uiPriority w:val="0"/>
    <w:rPr>
      <w:rFonts w:ascii="仿宋_GB2312" w:hAnsi="Arial" w:eastAsia="黑体" w:cs="宋体"/>
      <w:b/>
      <w:color w:val="000000"/>
      <w:kern w:val="44"/>
      <w:sz w:val="36"/>
    </w:rPr>
  </w:style>
  <w:style w:type="paragraph" w:customStyle="1" w:styleId="453">
    <w:name w:val="样式 标题 1 + (中文) 黑体 小二 非加粗 段前: 12 磅 段后: 12 磅 行距: 1.5 倍行距"/>
    <w:basedOn w:val="4"/>
    <w:link w:val="452"/>
    <w:semiHidden/>
    <w:qFormat/>
    <w:uiPriority w:val="0"/>
    <w:pPr>
      <w:keepNext/>
      <w:keepLines/>
      <w:tabs>
        <w:tab w:val="left" w:pos="720"/>
      </w:tabs>
      <w:spacing w:after="120" w:line="720" w:lineRule="exact"/>
      <w:ind w:left="420" w:hanging="420" w:firstLineChars="200"/>
      <w:jc w:val="left"/>
    </w:pPr>
    <w:rPr>
      <w:rFonts w:ascii="仿宋_GB2312" w:hAnsi="Arial"/>
      <w:b/>
      <w:bCs w:val="0"/>
      <w:color w:val="000000"/>
      <w:szCs w:val="20"/>
    </w:rPr>
  </w:style>
  <w:style w:type="character" w:customStyle="1" w:styleId="454">
    <w:name w:val="b Char Char Char"/>
    <w:link w:val="455"/>
    <w:qFormat/>
    <w:uiPriority w:val="0"/>
    <w:rPr>
      <w:rFonts w:ascii="楷体_GB2312" w:hAnsi="Arial" w:eastAsia="楷体_GB2312"/>
      <w:sz w:val="21"/>
      <w:szCs w:val="21"/>
      <w:u w:val="none" w:color="000000"/>
    </w:rPr>
  </w:style>
  <w:style w:type="paragraph" w:customStyle="1" w:styleId="455">
    <w:name w:val="b Char Char"/>
    <w:basedOn w:val="70"/>
    <w:link w:val="454"/>
    <w:qFormat/>
    <w:uiPriority w:val="0"/>
    <w:pPr>
      <w:spacing w:after="0" w:line="0" w:lineRule="atLeast"/>
      <w:ind w:left="0" w:leftChars="0" w:firstLine="0" w:firstLineChars="0"/>
      <w:jc w:val="center"/>
      <w:textAlignment w:val="baseline"/>
    </w:pPr>
    <w:rPr>
      <w:rFonts w:ascii="楷体_GB2312" w:hAnsi="Arial" w:eastAsia="楷体_GB2312"/>
      <w:kern w:val="0"/>
      <w:sz w:val="21"/>
      <w:szCs w:val="21"/>
      <w:u w:val="none" w:color="000000"/>
    </w:rPr>
  </w:style>
  <w:style w:type="character" w:customStyle="1" w:styleId="456">
    <w:name w:val="样式 首行缩进:  2 字符2 Char"/>
    <w:link w:val="457"/>
    <w:qFormat/>
    <w:uiPriority w:val="0"/>
    <w:rPr>
      <w:rFonts w:cs="宋体"/>
      <w:kern w:val="2"/>
      <w:sz w:val="24"/>
    </w:rPr>
  </w:style>
  <w:style w:type="paragraph" w:customStyle="1" w:styleId="457">
    <w:name w:val="样式 首行缩进:  2 字符2"/>
    <w:basedOn w:val="1"/>
    <w:link w:val="456"/>
    <w:qFormat/>
    <w:uiPriority w:val="0"/>
    <w:pPr>
      <w:spacing w:line="400" w:lineRule="exact"/>
      <w:ind w:firstLine="480"/>
      <w:jc w:val="left"/>
    </w:pPr>
    <w:rPr>
      <w:rFonts w:ascii="Times New Roman" w:eastAsia="宋体"/>
      <w:sz w:val="24"/>
      <w:szCs w:val="20"/>
    </w:rPr>
  </w:style>
  <w:style w:type="character" w:customStyle="1" w:styleId="458">
    <w:name w:val="正文文本缩进 字符"/>
    <w:qFormat/>
    <w:uiPriority w:val="0"/>
    <w:rPr>
      <w:rFonts w:ascii="仿宋_GB2312" w:hAnsi="Times New Roman" w:eastAsia="仿宋_GB2312" w:cs="Times New Roman"/>
      <w:kern w:val="0"/>
      <w:sz w:val="24"/>
      <w:szCs w:val="28"/>
    </w:rPr>
  </w:style>
  <w:style w:type="character" w:customStyle="1" w:styleId="459">
    <w:name w:val="正文文本 字符2"/>
    <w:qFormat/>
    <w:uiPriority w:val="0"/>
    <w:rPr>
      <w:kern w:val="2"/>
      <w:sz w:val="24"/>
      <w:szCs w:val="24"/>
    </w:rPr>
  </w:style>
  <w:style w:type="character" w:customStyle="1" w:styleId="460">
    <w:name w:val="样式 标题 4 + 加粗 Char"/>
    <w:link w:val="461"/>
    <w:qFormat/>
    <w:uiPriority w:val="0"/>
    <w:rPr>
      <w:rFonts w:ascii="宋体" w:hAnsi="宋体"/>
      <w:bCs/>
      <w:sz w:val="24"/>
      <w:szCs w:val="24"/>
    </w:rPr>
  </w:style>
  <w:style w:type="paragraph" w:customStyle="1" w:styleId="461">
    <w:name w:val="样式 标题 4 + 加粗"/>
    <w:basedOn w:val="8"/>
    <w:link w:val="460"/>
    <w:qFormat/>
    <w:uiPriority w:val="0"/>
    <w:pPr>
      <w:keepNext w:val="0"/>
      <w:keepLines w:val="0"/>
      <w:spacing w:before="0" w:after="0" w:line="240" w:lineRule="auto"/>
      <w:ind w:firstLine="504"/>
      <w:jc w:val="left"/>
    </w:pPr>
    <w:rPr>
      <w:rFonts w:ascii="宋体" w:hAnsi="宋体"/>
      <w:b w:val="0"/>
      <w:kern w:val="0"/>
      <w:sz w:val="24"/>
      <w:szCs w:val="24"/>
    </w:rPr>
  </w:style>
  <w:style w:type="character" w:customStyle="1" w:styleId="462">
    <w:name w:val="正文文本缩进 Char1"/>
    <w:qFormat/>
    <w:uiPriority w:val="0"/>
    <w:rPr>
      <w:sz w:val="21"/>
    </w:rPr>
  </w:style>
  <w:style w:type="character" w:customStyle="1" w:styleId="463">
    <w:name w:val="正文文本 (2) + 5.5 pt"/>
    <w:qFormat/>
    <w:uiPriority w:val="0"/>
    <w:rPr>
      <w:rFonts w:ascii="MingLiU" w:eastAsia="MingLiU" w:cs="MingLiU"/>
      <w:spacing w:val="80"/>
      <w:w w:val="60"/>
      <w:sz w:val="11"/>
      <w:szCs w:val="11"/>
      <w:u w:val="none"/>
      <w:shd w:val="clear" w:color="auto" w:fill="FFFFFF"/>
      <w:lang w:val="en-US" w:eastAsia="en-US"/>
    </w:rPr>
  </w:style>
  <w:style w:type="character" w:customStyle="1" w:styleId="464">
    <w:name w:val="样式 表格 + 仿宋_GB2312 Char"/>
    <w:link w:val="465"/>
    <w:qFormat/>
    <w:uiPriority w:val="0"/>
    <w:rPr>
      <w:rFonts w:ascii="楷体_GB2312" w:hAnsi="仿宋_GB2312" w:eastAsia="楷体_GB2312"/>
      <w:sz w:val="21"/>
    </w:rPr>
  </w:style>
  <w:style w:type="paragraph" w:customStyle="1" w:styleId="465">
    <w:name w:val="样式 表格 + 仿宋_GB2312"/>
    <w:basedOn w:val="1"/>
    <w:link w:val="464"/>
    <w:qFormat/>
    <w:uiPriority w:val="0"/>
    <w:pPr>
      <w:spacing w:line="0" w:lineRule="atLeast"/>
      <w:ind w:firstLine="0" w:firstLineChars="0"/>
      <w:jc w:val="center"/>
      <w:textAlignment w:val="baseline"/>
    </w:pPr>
    <w:rPr>
      <w:rFonts w:ascii="楷体_GB2312" w:hAnsi="仿宋_GB2312" w:eastAsia="楷体_GB2312"/>
      <w:kern w:val="0"/>
      <w:sz w:val="21"/>
      <w:szCs w:val="20"/>
    </w:rPr>
  </w:style>
  <w:style w:type="character" w:customStyle="1" w:styleId="466">
    <w:name w:val="页脚 Char1"/>
    <w:qFormat/>
    <w:uiPriority w:val="0"/>
    <w:rPr>
      <w:rFonts w:ascii="仿宋_GB2312" w:eastAsia="仿宋_GB2312"/>
      <w:sz w:val="18"/>
      <w:szCs w:val="28"/>
    </w:rPr>
  </w:style>
  <w:style w:type="character" w:customStyle="1" w:styleId="467">
    <w:name w:val="样式 普通文字 + 小四 Char"/>
    <w:qFormat/>
    <w:uiPriority w:val="0"/>
    <w:rPr>
      <w:rFonts w:ascii="宋体" w:hAnsi="Courier New" w:eastAsia="宋体" w:cs="Courier New"/>
      <w:spacing w:val="4"/>
      <w:kern w:val="2"/>
      <w:sz w:val="28"/>
      <w:szCs w:val="21"/>
      <w:lang w:val="en-US" w:eastAsia="zh-CN" w:bidi="he-IL"/>
    </w:rPr>
  </w:style>
  <w:style w:type="character" w:customStyle="1" w:styleId="468">
    <w:name w:val="正文缩进 字符1"/>
    <w:qFormat/>
    <w:uiPriority w:val="0"/>
    <w:rPr>
      <w:rFonts w:ascii="仿宋_GB2312" w:eastAsia="仿宋_GB2312"/>
      <w:kern w:val="2"/>
      <w:sz w:val="28"/>
      <w:szCs w:val="28"/>
    </w:rPr>
  </w:style>
  <w:style w:type="character" w:customStyle="1" w:styleId="469">
    <w:name w:val="标题4 Char Char Char"/>
    <w:qFormat/>
    <w:uiPriority w:val="0"/>
    <w:rPr>
      <w:rFonts w:eastAsia="黑体"/>
      <w:bCs/>
      <w:kern w:val="2"/>
      <w:sz w:val="24"/>
      <w:szCs w:val="24"/>
      <w:lang w:val="en-US" w:eastAsia="zh-CN" w:bidi="ar-SA"/>
    </w:rPr>
  </w:style>
  <w:style w:type="character" w:customStyle="1" w:styleId="470">
    <w:name w:val="标题 1hy Char Char"/>
    <w:qFormat/>
    <w:uiPriority w:val="0"/>
    <w:rPr>
      <w:rFonts w:ascii="Arial" w:hAnsi="Arial" w:eastAsia="黑体"/>
      <w:bCs/>
      <w:kern w:val="44"/>
      <w:sz w:val="36"/>
      <w:szCs w:val="36"/>
      <w:lang w:bidi="ar-SA"/>
    </w:rPr>
  </w:style>
  <w:style w:type="character" w:customStyle="1" w:styleId="471">
    <w:name w:val="称呼 字符"/>
    <w:qFormat/>
    <w:uiPriority w:val="0"/>
    <w:rPr>
      <w:rFonts w:ascii="Times New Roman" w:hAnsi="Times New Roman" w:eastAsia="宋体" w:cs="Times New Roman"/>
      <w:sz w:val="24"/>
      <w:szCs w:val="20"/>
    </w:rPr>
  </w:style>
  <w:style w:type="character" w:customStyle="1" w:styleId="472">
    <w:name w:val="表头头 Char"/>
    <w:link w:val="473"/>
    <w:qFormat/>
    <w:uiPriority w:val="0"/>
    <w:rPr>
      <w:rFonts w:ascii="黑体" w:eastAsia="黑体" w:cs="宋体"/>
      <w:sz w:val="24"/>
    </w:rPr>
  </w:style>
  <w:style w:type="paragraph" w:customStyle="1" w:styleId="473">
    <w:name w:val="表头头"/>
    <w:basedOn w:val="1"/>
    <w:link w:val="472"/>
    <w:qFormat/>
    <w:uiPriority w:val="0"/>
    <w:pPr>
      <w:autoSpaceDE w:val="0"/>
      <w:autoSpaceDN w:val="0"/>
      <w:adjustRightInd w:val="0"/>
      <w:spacing w:after="60"/>
      <w:ind w:firstLine="100" w:firstLineChars="100"/>
      <w:textAlignment w:val="baseline"/>
    </w:pPr>
    <w:rPr>
      <w:rFonts w:ascii="黑体" w:eastAsia="黑体"/>
      <w:kern w:val="0"/>
      <w:sz w:val="24"/>
      <w:szCs w:val="20"/>
    </w:rPr>
  </w:style>
  <w:style w:type="character" w:customStyle="1" w:styleId="474">
    <w:name w:val="正文* Char"/>
    <w:link w:val="475"/>
    <w:qFormat/>
    <w:uiPriority w:val="0"/>
    <w:rPr>
      <w:rFonts w:eastAsia="仿宋_GB2312"/>
      <w:kern w:val="2"/>
      <w:sz w:val="28"/>
      <w:szCs w:val="24"/>
    </w:rPr>
  </w:style>
  <w:style w:type="paragraph" w:customStyle="1" w:styleId="475">
    <w:name w:val="正文*"/>
    <w:basedOn w:val="476"/>
    <w:link w:val="474"/>
    <w:qFormat/>
    <w:uiPriority w:val="0"/>
    <w:pPr>
      <w:widowControl/>
      <w:spacing w:line="500" w:lineRule="exact"/>
      <w:ind w:firstLine="588" w:firstLineChars="196"/>
      <w:jc w:val="left"/>
    </w:pPr>
  </w:style>
  <w:style w:type="paragraph" w:customStyle="1" w:styleId="476">
    <w:name w:val="1正文"/>
    <w:basedOn w:val="1"/>
    <w:link w:val="477"/>
    <w:qFormat/>
    <w:uiPriority w:val="0"/>
    <w:pPr>
      <w:spacing w:line="240" w:lineRule="auto"/>
    </w:pPr>
    <w:rPr>
      <w:rFonts w:ascii="Times New Roman"/>
      <w:szCs w:val="24"/>
    </w:rPr>
  </w:style>
  <w:style w:type="character" w:customStyle="1" w:styleId="477">
    <w:name w:val="1正文 Char"/>
    <w:link w:val="476"/>
    <w:qFormat/>
    <w:uiPriority w:val="0"/>
    <w:rPr>
      <w:rFonts w:eastAsia="仿宋_GB2312"/>
      <w:kern w:val="2"/>
      <w:sz w:val="28"/>
      <w:szCs w:val="24"/>
    </w:rPr>
  </w:style>
  <w:style w:type="character" w:customStyle="1" w:styleId="478">
    <w:name w:val="Char Char34"/>
    <w:qFormat/>
    <w:uiPriority w:val="0"/>
    <w:rPr>
      <w:rFonts w:ascii="仿宋_GB2312" w:eastAsia="仿宋_GB2312"/>
      <w:kern w:val="2"/>
      <w:sz w:val="24"/>
      <w:lang w:val="en-US" w:eastAsia="zh-CN" w:bidi="ar-SA"/>
    </w:rPr>
  </w:style>
  <w:style w:type="character" w:customStyle="1" w:styleId="479">
    <w:name w:val="标题 4石"/>
    <w:qFormat/>
    <w:uiPriority w:val="0"/>
    <w:rPr>
      <w:rFonts w:eastAsia="仿宋_GB2312"/>
      <w:b/>
      <w:kern w:val="2"/>
      <w:sz w:val="28"/>
      <w:szCs w:val="28"/>
      <w:lang w:val="en-US" w:eastAsia="zh-CN" w:bidi="ar-SA"/>
    </w:rPr>
  </w:style>
  <w:style w:type="character" w:customStyle="1" w:styleId="480">
    <w:name w:val="宏文本 字符1"/>
    <w:qFormat/>
    <w:uiPriority w:val="0"/>
    <w:rPr>
      <w:rFonts w:ascii="Courier New" w:hAnsi="Courier New"/>
      <w:sz w:val="24"/>
      <w:szCs w:val="24"/>
      <w:lang w:bidi="ar-SA"/>
    </w:rPr>
  </w:style>
  <w:style w:type="character" w:customStyle="1" w:styleId="481">
    <w:name w:val="样式 样式10 + 黑色 Char"/>
    <w:qFormat/>
    <w:uiPriority w:val="0"/>
    <w:rPr>
      <w:rFonts w:eastAsia="华文中宋"/>
      <w:color w:val="000000"/>
      <w:kern w:val="2"/>
      <w:sz w:val="24"/>
      <w:szCs w:val="24"/>
      <w:lang w:val="en-US" w:eastAsia="zh-CN" w:bidi="ar-SA"/>
    </w:rPr>
  </w:style>
  <w:style w:type="character" w:customStyle="1" w:styleId="482">
    <w:name w:val="题注 Char"/>
    <w:qFormat/>
    <w:uiPriority w:val="0"/>
    <w:rPr>
      <w:rFonts w:ascii="Verdana" w:hAnsi="Verdana" w:eastAsia="黑体" w:cs="Arial"/>
      <w:spacing w:val="4"/>
      <w:kern w:val="2"/>
      <w:sz w:val="24"/>
      <w:szCs w:val="28"/>
      <w:lang w:val="en-US" w:eastAsia="zh-CN" w:bidi="ar-SA"/>
    </w:rPr>
  </w:style>
  <w:style w:type="character" w:customStyle="1" w:styleId="483">
    <w:name w:val="样式3 Char"/>
    <w:qFormat/>
    <w:uiPriority w:val="0"/>
    <w:rPr>
      <w:rFonts w:eastAsia="黑体"/>
      <w:kern w:val="2"/>
      <w:sz w:val="24"/>
      <w:szCs w:val="24"/>
      <w:lang w:val="en-US" w:eastAsia="zh-CN" w:bidi="ar-SA"/>
    </w:rPr>
  </w:style>
  <w:style w:type="character" w:customStyle="1" w:styleId="484">
    <w:name w:val="小括号00 Char"/>
    <w:link w:val="485"/>
    <w:qFormat/>
    <w:uiPriority w:val="0"/>
    <w:rPr>
      <w:rFonts w:ascii="楷体_GB2312" w:eastAsia="楷体_GB2312" w:cs="宋体"/>
      <w:sz w:val="28"/>
    </w:rPr>
  </w:style>
  <w:style w:type="paragraph" w:customStyle="1" w:styleId="485">
    <w:name w:val="小括号00"/>
    <w:basedOn w:val="261"/>
    <w:link w:val="484"/>
    <w:qFormat/>
    <w:uiPriority w:val="0"/>
    <w:pPr>
      <w:adjustRightInd/>
    </w:pPr>
  </w:style>
  <w:style w:type="character" w:customStyle="1" w:styleId="486">
    <w:name w:val="电子邮件签名 字符"/>
    <w:qFormat/>
    <w:uiPriority w:val="0"/>
    <w:rPr>
      <w:rFonts w:ascii="Times New Roman" w:hAnsi="Times New Roman" w:eastAsia="宋体" w:cs="Times New Roman"/>
      <w:sz w:val="24"/>
      <w:szCs w:val="20"/>
    </w:rPr>
  </w:style>
  <w:style w:type="character" w:customStyle="1" w:styleId="487">
    <w:name w:val="列表 Char Char"/>
    <w:qFormat/>
    <w:uiPriority w:val="0"/>
    <w:rPr>
      <w:rFonts w:eastAsia="黑体"/>
      <w:kern w:val="2"/>
      <w:sz w:val="22"/>
      <w:szCs w:val="22"/>
      <w:lang w:val="en-US" w:eastAsia="zh-CN" w:bidi="ar-SA"/>
    </w:rPr>
  </w:style>
  <w:style w:type="character" w:customStyle="1" w:styleId="488">
    <w:name w:val="签名 字符"/>
    <w:qFormat/>
    <w:uiPriority w:val="0"/>
    <w:rPr>
      <w:rFonts w:ascii="Times New Roman" w:hAnsi="Times New Roman" w:eastAsia="宋体" w:cs="Times New Roman"/>
      <w:sz w:val="24"/>
      <w:szCs w:val="20"/>
    </w:rPr>
  </w:style>
  <w:style w:type="character" w:customStyle="1" w:styleId="489">
    <w:name w:val="HTML 预设格式 字符2"/>
    <w:qFormat/>
    <w:uiPriority w:val="0"/>
    <w:rPr>
      <w:rFonts w:ascii="Courier New" w:hAnsi="Courier New" w:cs="Courier New"/>
      <w:kern w:val="2"/>
    </w:rPr>
  </w:style>
  <w:style w:type="character" w:customStyle="1" w:styleId="490">
    <w:name w:val="aa院表名格式 Char Char"/>
    <w:link w:val="491"/>
    <w:qFormat/>
    <w:uiPriority w:val="0"/>
    <w:rPr>
      <w:rFonts w:ascii="黑体" w:hAnsi="黑体" w:eastAsia="黑体"/>
      <w:sz w:val="24"/>
      <w:szCs w:val="24"/>
    </w:rPr>
  </w:style>
  <w:style w:type="paragraph" w:customStyle="1" w:styleId="491">
    <w:name w:val="aa院表名格式"/>
    <w:basedOn w:val="1"/>
    <w:link w:val="490"/>
    <w:qFormat/>
    <w:uiPriority w:val="0"/>
    <w:pPr>
      <w:adjustRightInd w:val="0"/>
      <w:snapToGrid w:val="0"/>
      <w:ind w:right="-140" w:rightChars="-50" w:firstLine="240" w:firstLineChars="100"/>
    </w:pPr>
    <w:rPr>
      <w:rFonts w:ascii="黑体" w:hAnsi="黑体" w:eastAsia="黑体"/>
      <w:kern w:val="0"/>
      <w:sz w:val="24"/>
      <w:szCs w:val="24"/>
    </w:rPr>
  </w:style>
  <w:style w:type="character" w:customStyle="1" w:styleId="492">
    <w:name w:val="称呼 Char2"/>
    <w:qFormat/>
    <w:uiPriority w:val="0"/>
    <w:rPr>
      <w:rFonts w:ascii="仿宋_GB2312" w:eastAsia="仿宋_GB2312"/>
      <w:sz w:val="28"/>
      <w:szCs w:val="28"/>
      <w:lang w:val="en-US" w:eastAsia="zh-CN" w:bidi="ar-SA"/>
    </w:rPr>
  </w:style>
  <w:style w:type="character" w:customStyle="1" w:styleId="493">
    <w:name w:val="标题 4（石） Char Char"/>
    <w:qFormat/>
    <w:uiPriority w:val="0"/>
    <w:rPr>
      <w:rFonts w:ascii="Verdana" w:hAnsi="Verdana" w:eastAsia="仿宋_GB2312" w:cs="Verdana"/>
      <w:b/>
      <w:bCs/>
      <w:kern w:val="2"/>
      <w:sz w:val="28"/>
      <w:szCs w:val="28"/>
      <w:lang w:val="en-US" w:eastAsia="zh-CN" w:bidi="ar-SA"/>
    </w:rPr>
  </w:style>
  <w:style w:type="character" w:customStyle="1" w:styleId="494">
    <w:name w:val="公正文 Char1"/>
    <w:qFormat/>
    <w:uiPriority w:val="0"/>
    <w:rPr>
      <w:rFonts w:ascii="宋体" w:hAnsi="宋体" w:eastAsia="仿宋_GB2312" w:cs="Times New Roman"/>
      <w:sz w:val="28"/>
      <w:szCs w:val="24"/>
      <w:u w:val="none" w:color="000000"/>
    </w:rPr>
  </w:style>
  <w:style w:type="character" w:customStyle="1" w:styleId="495">
    <w:name w:val="普通文字 Char1"/>
    <w:qFormat/>
    <w:uiPriority w:val="0"/>
    <w:rPr>
      <w:rFonts w:ascii="宋体" w:hAnsi="Courier New"/>
      <w:kern w:val="2"/>
      <w:sz w:val="21"/>
    </w:rPr>
  </w:style>
  <w:style w:type="character" w:customStyle="1" w:styleId="496">
    <w:name w:val="Char Char1"/>
    <w:qFormat/>
    <w:locked/>
    <w:uiPriority w:val="0"/>
    <w:rPr>
      <w:rFonts w:ascii="宋体" w:hAnsi="宋体" w:eastAsia="宋体"/>
      <w:kern w:val="2"/>
      <w:sz w:val="18"/>
      <w:szCs w:val="18"/>
      <w:lang w:val="en-US" w:eastAsia="zh-CN" w:bidi="ar-SA"/>
    </w:rPr>
  </w:style>
  <w:style w:type="character" w:customStyle="1" w:styleId="497">
    <w:name w:val="表格标题1 Char1"/>
    <w:link w:val="498"/>
    <w:qFormat/>
    <w:uiPriority w:val="0"/>
    <w:rPr>
      <w:rFonts w:eastAsia="黑体"/>
      <w:spacing w:val="14"/>
      <w:kern w:val="2"/>
      <w:sz w:val="24"/>
      <w:szCs w:val="24"/>
    </w:rPr>
  </w:style>
  <w:style w:type="paragraph" w:customStyle="1" w:styleId="498">
    <w:name w:val="表格标题1"/>
    <w:basedOn w:val="1"/>
    <w:link w:val="497"/>
    <w:qFormat/>
    <w:uiPriority w:val="0"/>
    <w:pPr>
      <w:spacing w:line="360" w:lineRule="auto"/>
      <w:ind w:firstLine="0" w:firstLineChars="0"/>
      <w:jc w:val="left"/>
    </w:pPr>
    <w:rPr>
      <w:rFonts w:ascii="Times New Roman" w:eastAsia="黑体"/>
      <w:spacing w:val="14"/>
      <w:sz w:val="24"/>
      <w:szCs w:val="24"/>
    </w:rPr>
  </w:style>
  <w:style w:type="character" w:customStyle="1" w:styleId="499">
    <w:name w:val="目标题 1) Char"/>
    <w:qFormat/>
    <w:uiPriority w:val="0"/>
    <w:rPr>
      <w:rFonts w:ascii="Arial" w:hAnsi="Arial" w:eastAsia="黑体" w:cs="Times New Roman"/>
      <w:sz w:val="24"/>
      <w:szCs w:val="24"/>
    </w:rPr>
  </w:style>
  <w:style w:type="character" w:customStyle="1" w:styleId="500">
    <w:name w:val="Char Char431"/>
    <w:qFormat/>
    <w:uiPriority w:val="0"/>
    <w:rPr>
      <w:rFonts w:ascii="Arial" w:hAnsi="Arial" w:eastAsia="黑体"/>
      <w:color w:val="000000"/>
      <w:kern w:val="44"/>
      <w:sz w:val="36"/>
      <w:lang w:bidi="ar-SA"/>
    </w:rPr>
  </w:style>
  <w:style w:type="character" w:customStyle="1" w:styleId="501">
    <w:name w:val="Char Char28"/>
    <w:qFormat/>
    <w:uiPriority w:val="0"/>
    <w:rPr>
      <w:rFonts w:ascii="Arial" w:hAnsi="Arial" w:eastAsia="黑体" w:cs="Times New Roman"/>
      <w:bCs/>
      <w:kern w:val="44"/>
      <w:sz w:val="32"/>
      <w:szCs w:val="44"/>
    </w:rPr>
  </w:style>
  <w:style w:type="character" w:customStyle="1" w:styleId="502">
    <w:name w:val="Heading 7 Char"/>
    <w:qFormat/>
    <w:uiPriority w:val="0"/>
    <w:rPr>
      <w:rFonts w:ascii="Calibri" w:hAnsi="Calibri" w:eastAsia="宋体"/>
      <w:sz w:val="24"/>
      <w:szCs w:val="24"/>
      <w:lang w:val="en-US" w:eastAsia="en-US" w:bidi="ar-SA"/>
    </w:rPr>
  </w:style>
  <w:style w:type="character" w:customStyle="1" w:styleId="503">
    <w:name w:val="标题 字符1"/>
    <w:qFormat/>
    <w:uiPriority w:val="0"/>
    <w:rPr>
      <w:bCs/>
      <w:kern w:val="2"/>
      <w:sz w:val="24"/>
      <w:szCs w:val="32"/>
    </w:rPr>
  </w:style>
  <w:style w:type="character" w:customStyle="1" w:styleId="504">
    <w:name w:val="括号hy 2 字符 + Tim... Char"/>
    <w:link w:val="505"/>
    <w:qFormat/>
    <w:uiPriority w:val="0"/>
    <w:rPr>
      <w:rFonts w:eastAsia="楷体_GB2312"/>
      <w:kern w:val="2"/>
      <w:sz w:val="28"/>
    </w:rPr>
  </w:style>
  <w:style w:type="paragraph" w:customStyle="1" w:styleId="505">
    <w:name w:val="括号hy 2 字符 + Tim..."/>
    <w:basedOn w:val="1"/>
    <w:link w:val="504"/>
    <w:qFormat/>
    <w:uiPriority w:val="0"/>
    <w:pPr>
      <w:ind w:firstLine="560"/>
    </w:pPr>
    <w:rPr>
      <w:rFonts w:ascii="Times New Roman" w:eastAsia="楷体_GB2312"/>
      <w:szCs w:val="20"/>
    </w:rPr>
  </w:style>
  <w:style w:type="character" w:customStyle="1" w:styleId="506">
    <w:name w:val="题注 字符1"/>
    <w:qFormat/>
    <w:uiPriority w:val="0"/>
    <w:rPr>
      <w:rFonts w:ascii="Arial" w:hAnsi="Arial" w:eastAsia="黑体" w:cs="Arial"/>
      <w:kern w:val="2"/>
    </w:rPr>
  </w:style>
  <w:style w:type="character" w:customStyle="1" w:styleId="507">
    <w:name w:val="标题 3 Char Char Char Char1"/>
    <w:qFormat/>
    <w:uiPriority w:val="0"/>
    <w:rPr>
      <w:rFonts w:ascii="Times New Roman" w:hAnsi="Times New Roman" w:eastAsia="黑体" w:cs="Times New Roman"/>
      <w:bCs/>
      <w:kern w:val="0"/>
      <w:sz w:val="24"/>
      <w:szCs w:val="24"/>
    </w:rPr>
  </w:style>
  <w:style w:type="character" w:customStyle="1" w:styleId="508">
    <w:name w:val="样式 样式 黑色 首行缩进:  2 字符1 + 首行缩进:  2 字符 Char"/>
    <w:link w:val="509"/>
    <w:qFormat/>
    <w:uiPriority w:val="0"/>
    <w:rPr>
      <w:rFonts w:ascii="仿宋_GB2312" w:eastAsia="仿宋_GB2312" w:cs="宋体"/>
      <w:color w:val="000000"/>
      <w:sz w:val="28"/>
    </w:rPr>
  </w:style>
  <w:style w:type="paragraph" w:customStyle="1" w:styleId="509">
    <w:name w:val="样式 样式 黑色 首行缩进:  2 字符1 + 首行缩进:  2 字符"/>
    <w:basedOn w:val="1"/>
    <w:link w:val="508"/>
    <w:qFormat/>
    <w:uiPriority w:val="0"/>
    <w:rPr>
      <w:color w:val="000000"/>
      <w:kern w:val="0"/>
      <w:szCs w:val="20"/>
    </w:rPr>
  </w:style>
  <w:style w:type="character" w:customStyle="1" w:styleId="510">
    <w:name w:val="lei Char Char"/>
    <w:qFormat/>
    <w:uiPriority w:val="0"/>
    <w:rPr>
      <w:rFonts w:eastAsia="仿宋_GB2312"/>
      <w:sz w:val="28"/>
      <w:szCs w:val="28"/>
    </w:rPr>
  </w:style>
  <w:style w:type="character" w:customStyle="1" w:styleId="511">
    <w:name w:val="正文文本 (2) + 12 pt"/>
    <w:qFormat/>
    <w:uiPriority w:val="0"/>
    <w:rPr>
      <w:rFonts w:ascii="MingLiU" w:eastAsia="MingLiU" w:cs="MingLiU"/>
      <w:spacing w:val="0"/>
      <w:sz w:val="24"/>
      <w:szCs w:val="24"/>
      <w:u w:val="none"/>
      <w:shd w:val="clear" w:color="auto" w:fill="FFFFFF"/>
      <w:lang w:val="en-US" w:eastAsia="en-US"/>
    </w:rPr>
  </w:style>
  <w:style w:type="character" w:customStyle="1" w:styleId="512">
    <w:name w:val="st1"/>
    <w:qFormat/>
    <w:uiPriority w:val="0"/>
  </w:style>
  <w:style w:type="character" w:customStyle="1" w:styleId="513">
    <w:name w:val="HTML 地址 字符2"/>
    <w:qFormat/>
    <w:uiPriority w:val="0"/>
    <w:rPr>
      <w:i/>
      <w:iCs/>
      <w:kern w:val="2"/>
      <w:sz w:val="24"/>
    </w:rPr>
  </w:style>
  <w:style w:type="character" w:customStyle="1" w:styleId="514">
    <w:name w:val="标题 2hy Char Char"/>
    <w:qFormat/>
    <w:uiPriority w:val="0"/>
    <w:rPr>
      <w:rFonts w:ascii="Arial" w:hAnsi="Arial" w:eastAsia="黑体"/>
      <w:bCs/>
      <w:sz w:val="32"/>
      <w:szCs w:val="32"/>
      <w:lang w:bidi="ar-SA"/>
    </w:rPr>
  </w:style>
  <w:style w:type="character" w:customStyle="1" w:styleId="515">
    <w:name w:val="标4NN Char"/>
    <w:link w:val="516"/>
    <w:qFormat/>
    <w:uiPriority w:val="0"/>
    <w:rPr>
      <w:rFonts w:ascii="Arial" w:hAnsi="Arial" w:cs="宋体"/>
      <w:b/>
      <w:color w:val="000000"/>
      <w:kern w:val="2"/>
      <w:sz w:val="28"/>
      <w:szCs w:val="28"/>
    </w:rPr>
  </w:style>
  <w:style w:type="paragraph" w:customStyle="1" w:styleId="516">
    <w:name w:val="标4NN"/>
    <w:basedOn w:val="517"/>
    <w:link w:val="515"/>
    <w:qFormat/>
    <w:uiPriority w:val="0"/>
    <w:pPr>
      <w:adjustRightInd w:val="0"/>
      <w:snapToGrid w:val="0"/>
      <w:jc w:val="left"/>
      <w:outlineLvl w:val="3"/>
    </w:pPr>
    <w:rPr>
      <w:b/>
      <w:bCs w:val="0"/>
      <w:color w:val="000000"/>
    </w:rPr>
  </w:style>
  <w:style w:type="paragraph" w:customStyle="1" w:styleId="517">
    <w:name w:val="标题4"/>
    <w:basedOn w:val="7"/>
    <w:link w:val="518"/>
    <w:qFormat/>
    <w:uiPriority w:val="0"/>
    <w:rPr>
      <w:rFonts w:ascii="Arial" w:eastAsia="宋体"/>
    </w:rPr>
  </w:style>
  <w:style w:type="character" w:customStyle="1" w:styleId="518">
    <w:name w:val="标题4 Char"/>
    <w:link w:val="517"/>
    <w:qFormat/>
    <w:uiPriority w:val="0"/>
    <w:rPr>
      <w:rFonts w:ascii="Arial" w:hAnsi="Arial"/>
      <w:bCs/>
      <w:kern w:val="2"/>
      <w:sz w:val="28"/>
      <w:szCs w:val="28"/>
    </w:rPr>
  </w:style>
  <w:style w:type="character" w:customStyle="1" w:styleId="519">
    <w:name w:val="正文文字缩进 2 Char Char1"/>
    <w:qFormat/>
    <w:uiPriority w:val="0"/>
    <w:rPr>
      <w:rFonts w:ascii="仿宋_GB2312" w:eastAsia="仿宋_GB2312"/>
      <w:bCs/>
      <w:kern w:val="2"/>
      <w:sz w:val="28"/>
      <w:szCs w:val="24"/>
      <w:lang w:val="en-US" w:eastAsia="zh-CN" w:bidi="ar-SA"/>
    </w:rPr>
  </w:style>
  <w:style w:type="character" w:customStyle="1" w:styleId="520">
    <w:name w:val="Char Char6"/>
    <w:qFormat/>
    <w:locked/>
    <w:uiPriority w:val="0"/>
    <w:rPr>
      <w:rFonts w:ascii="仿宋_GB2312" w:eastAsia="华文新魏"/>
      <w:bCs/>
      <w:kern w:val="2"/>
      <w:sz w:val="32"/>
      <w:szCs w:val="24"/>
      <w:lang w:val="en-US" w:eastAsia="zh-CN" w:bidi="ar-SA"/>
    </w:rPr>
  </w:style>
  <w:style w:type="character" w:customStyle="1" w:styleId="521">
    <w:name w:val="样式 首行缩进:  2 字符 Char"/>
    <w:link w:val="522"/>
    <w:qFormat/>
    <w:uiPriority w:val="0"/>
    <w:rPr>
      <w:rFonts w:ascii="仿宋_GB2312" w:eastAsia="仿宋_GB2312" w:cs="宋体"/>
      <w:kern w:val="2"/>
      <w:sz w:val="28"/>
      <w:lang w:val="en-US" w:eastAsia="zh-CN" w:bidi="ar-SA"/>
    </w:rPr>
  </w:style>
  <w:style w:type="paragraph" w:customStyle="1" w:styleId="522">
    <w:name w:val="样式 首行缩进:  2 字符"/>
    <w:basedOn w:val="1"/>
    <w:link w:val="521"/>
    <w:qFormat/>
    <w:uiPriority w:val="0"/>
    <w:rPr>
      <w:rFonts w:cs="宋体"/>
      <w:szCs w:val="20"/>
    </w:rPr>
  </w:style>
  <w:style w:type="character" w:customStyle="1" w:styleId="523">
    <w:name w:val="样式 首行缩进:  2 字符2 Char Char Char2"/>
    <w:qFormat/>
    <w:uiPriority w:val="0"/>
    <w:rPr>
      <w:rFonts w:ascii="仿宋_GB2312" w:eastAsia="仿宋_GB2312" w:cs="宋体"/>
      <w:kern w:val="2"/>
      <w:sz w:val="28"/>
      <w:lang w:val="en-US" w:eastAsia="zh-CN" w:bidi="ar-SA"/>
    </w:rPr>
  </w:style>
  <w:style w:type="character" w:customStyle="1" w:styleId="524">
    <w:name w:val="正文文本 + 间距 0 pt"/>
    <w:qFormat/>
    <w:uiPriority w:val="0"/>
    <w:rPr>
      <w:rFonts w:ascii="MingLiU" w:hAnsi="MingLiU" w:eastAsia="MingLiU" w:cs="MingLiU"/>
      <w:color w:val="000000"/>
      <w:spacing w:val="0"/>
      <w:w w:val="100"/>
      <w:position w:val="0"/>
      <w:sz w:val="24"/>
      <w:szCs w:val="24"/>
      <w:shd w:val="clear" w:color="auto" w:fill="FFFFFF"/>
      <w:lang w:val="en-US"/>
    </w:rPr>
  </w:style>
  <w:style w:type="character" w:customStyle="1" w:styleId="525">
    <w:name w:val="样式17 Char Char Char Char"/>
    <w:qFormat/>
    <w:uiPriority w:val="0"/>
    <w:rPr>
      <w:rFonts w:eastAsia="华文中宋"/>
      <w:kern w:val="2"/>
      <w:sz w:val="24"/>
      <w:szCs w:val="24"/>
      <w:lang w:val="en-US" w:eastAsia="zh-CN"/>
    </w:rPr>
  </w:style>
  <w:style w:type="character" w:customStyle="1" w:styleId="526">
    <w:name w:val="样式7 Char"/>
    <w:qFormat/>
    <w:uiPriority w:val="0"/>
    <w:rPr>
      <w:rFonts w:ascii="Times New Roman" w:hAnsi="Times New Roman" w:eastAsia="楷体_GB2312" w:cs="Times New Roman"/>
      <w:spacing w:val="-2"/>
      <w:kern w:val="2"/>
      <w:sz w:val="28"/>
      <w:szCs w:val="28"/>
      <w:lang w:val="en-US" w:eastAsia="zh-CN" w:bidi="ar-SA"/>
    </w:rPr>
  </w:style>
  <w:style w:type="character" w:customStyle="1" w:styleId="527">
    <w:name w:val="sub_title1"/>
    <w:qFormat/>
    <w:uiPriority w:val="0"/>
    <w:rPr>
      <w:rFonts w:hint="default" w:ascii="Verdana" w:hAnsi="Verdana"/>
      <w:b/>
      <w:bCs/>
      <w:sz w:val="21"/>
      <w:szCs w:val="21"/>
    </w:rPr>
  </w:style>
  <w:style w:type="character" w:customStyle="1" w:styleId="528">
    <w:name w:val="批注文字 字符1"/>
    <w:qFormat/>
    <w:uiPriority w:val="0"/>
    <w:rPr>
      <w:rFonts w:ascii="仿宋_GB2312" w:eastAsia="仿宋_GB2312"/>
      <w:kern w:val="2"/>
      <w:sz w:val="28"/>
      <w:szCs w:val="28"/>
    </w:rPr>
  </w:style>
  <w:style w:type="character" w:customStyle="1" w:styleId="529">
    <w:name w:val="表格 Char"/>
    <w:qFormat/>
    <w:uiPriority w:val="0"/>
    <w:rPr>
      <w:rFonts w:ascii="楷体_GB2312" w:hAnsi="Times New Roman" w:eastAsia="楷体_GB2312" w:cs="Times New Roman"/>
      <w:kern w:val="0"/>
      <w:szCs w:val="20"/>
    </w:rPr>
  </w:style>
  <w:style w:type="character" w:customStyle="1" w:styleId="530">
    <w:name w:val="Char Char111"/>
    <w:qFormat/>
    <w:uiPriority w:val="0"/>
    <w:rPr>
      <w:rFonts w:ascii="Courier New" w:hAnsi="Courier New" w:eastAsia="仿宋_GB2312" w:cs="Courier New"/>
      <w:kern w:val="2"/>
      <w:szCs w:val="28"/>
      <w:lang w:val="en-US" w:eastAsia="zh-CN" w:bidi="ar-SA"/>
    </w:rPr>
  </w:style>
  <w:style w:type="character" w:customStyle="1" w:styleId="531">
    <w:name w:val="目标题 1) Char1"/>
    <w:qFormat/>
    <w:uiPriority w:val="0"/>
    <w:rPr>
      <w:rFonts w:ascii="Arial" w:hAnsi="Arial" w:eastAsia="黑体"/>
      <w:kern w:val="2"/>
      <w:sz w:val="24"/>
      <w:szCs w:val="24"/>
      <w:lang w:val="en-US" w:eastAsia="zh-CN" w:bidi="ar-SA"/>
    </w:rPr>
  </w:style>
  <w:style w:type="character" w:customStyle="1" w:styleId="532">
    <w:name w:val="正文首行缩进 21 Char"/>
    <w:qFormat/>
    <w:uiPriority w:val="0"/>
    <w:rPr>
      <w:rFonts w:ascii="Verdana" w:hAnsi="Verdana" w:eastAsia="宋体"/>
      <w:spacing w:val="4"/>
      <w:kern w:val="2"/>
      <w:sz w:val="24"/>
      <w:szCs w:val="28"/>
      <w:lang w:val="en-US" w:eastAsia="zh-CN" w:bidi="ar-SA"/>
    </w:rPr>
  </w:style>
  <w:style w:type="character" w:customStyle="1" w:styleId="533">
    <w:name w:val="报告标题2 Char"/>
    <w:qFormat/>
    <w:uiPriority w:val="0"/>
    <w:rPr>
      <w:rFonts w:ascii="黑体" w:hAnsi="Arial" w:eastAsia="黑体"/>
      <w:b/>
      <w:bCs/>
      <w:kern w:val="2"/>
      <w:sz w:val="32"/>
      <w:szCs w:val="32"/>
      <w:lang w:val="en-US" w:eastAsia="zh-CN" w:bidi="ar-SA"/>
    </w:rPr>
  </w:style>
  <w:style w:type="character" w:customStyle="1" w:styleId="534">
    <w:name w:val="正文文本 (2) + 7.5 pt"/>
    <w:qFormat/>
    <w:uiPriority w:val="0"/>
    <w:rPr>
      <w:rFonts w:ascii="MingLiU" w:eastAsia="MingLiU" w:cs="MingLiU"/>
      <w:spacing w:val="10"/>
      <w:sz w:val="15"/>
      <w:szCs w:val="15"/>
      <w:u w:val="none"/>
      <w:shd w:val="clear" w:color="auto" w:fill="FFFFFF"/>
    </w:rPr>
  </w:style>
  <w:style w:type="character" w:customStyle="1" w:styleId="535">
    <w:name w:val="CWDR正文样式 Char"/>
    <w:link w:val="536"/>
    <w:qFormat/>
    <w:uiPriority w:val="0"/>
    <w:rPr>
      <w:rFonts w:hAnsi="仿宋_GB2312" w:eastAsia="仿宋_GB2312"/>
      <w:kern w:val="2"/>
      <w:sz w:val="28"/>
      <w:szCs w:val="24"/>
    </w:rPr>
  </w:style>
  <w:style w:type="paragraph" w:customStyle="1" w:styleId="536">
    <w:name w:val="CWDR正文样式"/>
    <w:basedOn w:val="1"/>
    <w:link w:val="535"/>
    <w:qFormat/>
    <w:uiPriority w:val="0"/>
    <w:pPr>
      <w:adjustRightInd w:val="0"/>
      <w:snapToGrid w:val="0"/>
      <w:spacing w:line="480" w:lineRule="atLeast"/>
      <w:ind w:firstLine="560"/>
    </w:pPr>
    <w:rPr>
      <w:rFonts w:ascii="Times New Roman" w:hAnsi="仿宋_GB2312"/>
      <w:szCs w:val="24"/>
    </w:rPr>
  </w:style>
  <w:style w:type="character" w:customStyle="1" w:styleId="537">
    <w:name w:val="表头文字 Char"/>
    <w:link w:val="538"/>
    <w:qFormat/>
    <w:uiPriority w:val="0"/>
    <w:rPr>
      <w:rFonts w:eastAsia="黑体"/>
      <w:kern w:val="2"/>
      <w:sz w:val="24"/>
      <w:szCs w:val="24"/>
    </w:rPr>
  </w:style>
  <w:style w:type="paragraph" w:customStyle="1" w:styleId="538">
    <w:name w:val="表头文字"/>
    <w:basedOn w:val="1"/>
    <w:link w:val="537"/>
    <w:qFormat/>
    <w:uiPriority w:val="0"/>
    <w:pPr>
      <w:adjustRightInd w:val="0"/>
      <w:snapToGrid w:val="0"/>
      <w:spacing w:before="120" w:line="300" w:lineRule="auto"/>
      <w:ind w:firstLine="0" w:firstLineChars="0"/>
      <w:jc w:val="center"/>
    </w:pPr>
    <w:rPr>
      <w:rFonts w:ascii="Times New Roman" w:eastAsia="黑体"/>
      <w:sz w:val="24"/>
      <w:szCs w:val="24"/>
    </w:rPr>
  </w:style>
  <w:style w:type="character" w:customStyle="1" w:styleId="539">
    <w:name w:val="标题 字符2"/>
    <w:qFormat/>
    <w:uiPriority w:val="0"/>
    <w:rPr>
      <w:bCs/>
      <w:kern w:val="2"/>
      <w:sz w:val="24"/>
      <w:szCs w:val="32"/>
    </w:rPr>
  </w:style>
  <w:style w:type="character" w:customStyle="1" w:styleId="540">
    <w:name w:val="样式2 Char"/>
    <w:qFormat/>
    <w:uiPriority w:val="0"/>
    <w:rPr>
      <w:rFonts w:eastAsia="华文中宋"/>
      <w:kern w:val="2"/>
      <w:sz w:val="24"/>
      <w:szCs w:val="24"/>
      <w:lang w:val="en-US" w:eastAsia="zh-CN" w:bidi="ar-SA"/>
    </w:rPr>
  </w:style>
  <w:style w:type="character" w:customStyle="1" w:styleId="541">
    <w:name w:val="Char Char27"/>
    <w:qFormat/>
    <w:uiPriority w:val="0"/>
    <w:rPr>
      <w:rFonts w:ascii="Arial" w:hAnsi="Arial" w:eastAsia="黑体" w:cs="Times New Roman"/>
      <w:bCs/>
      <w:sz w:val="30"/>
      <w:szCs w:val="32"/>
    </w:rPr>
  </w:style>
  <w:style w:type="character" w:customStyle="1" w:styleId="542">
    <w:name w:val="表文字 Char Char"/>
    <w:link w:val="543"/>
    <w:qFormat/>
    <w:uiPriority w:val="0"/>
    <w:rPr>
      <w:rFonts w:ascii="楷体_GB2312" w:hAnsi="宋体" w:eastAsia="楷体_GB2312"/>
      <w:sz w:val="21"/>
      <w:szCs w:val="21"/>
    </w:rPr>
  </w:style>
  <w:style w:type="paragraph" w:customStyle="1" w:styleId="543">
    <w:name w:val="表文字"/>
    <w:basedOn w:val="544"/>
    <w:link w:val="542"/>
    <w:qFormat/>
    <w:uiPriority w:val="0"/>
    <w:pPr>
      <w:adjustRightInd/>
      <w:snapToGrid/>
      <w:spacing w:line="0" w:lineRule="atLeast"/>
      <w:ind w:firstLine="0" w:firstLineChars="0"/>
      <w:jc w:val="right"/>
      <w:textAlignment w:val="baseline"/>
    </w:pPr>
    <w:rPr>
      <w:rFonts w:ascii="楷体_GB2312" w:hAnsi="宋体" w:eastAsia="楷体_GB2312"/>
      <w:kern w:val="0"/>
      <w:sz w:val="21"/>
      <w:szCs w:val="21"/>
    </w:rPr>
  </w:style>
  <w:style w:type="paragraph" w:customStyle="1" w:styleId="544">
    <w:name w:val="表头"/>
    <w:basedOn w:val="6"/>
    <w:link w:val="545"/>
    <w:qFormat/>
    <w:uiPriority w:val="0"/>
    <w:pPr>
      <w:adjustRightInd w:val="0"/>
      <w:snapToGrid w:val="0"/>
      <w:spacing w:after="60" w:line="560" w:lineRule="exact"/>
      <w:ind w:firstLine="100" w:firstLineChars="100"/>
    </w:pPr>
    <w:rPr>
      <w:rFonts w:ascii="黑体" w:eastAsia="黑体"/>
      <w:sz w:val="24"/>
      <w:szCs w:val="24"/>
    </w:rPr>
  </w:style>
  <w:style w:type="character" w:customStyle="1" w:styleId="545">
    <w:name w:val="表头 Char"/>
    <w:link w:val="544"/>
    <w:qFormat/>
    <w:uiPriority w:val="0"/>
    <w:rPr>
      <w:rFonts w:ascii="黑体" w:eastAsia="黑体"/>
      <w:kern w:val="2"/>
      <w:sz w:val="24"/>
      <w:szCs w:val="24"/>
    </w:rPr>
  </w:style>
  <w:style w:type="character" w:customStyle="1" w:styleId="546">
    <w:name w:val="正文文本首行缩进 2 字符"/>
    <w:qFormat/>
    <w:uiPriority w:val="0"/>
    <w:rPr>
      <w:rFonts w:ascii="Times New Roman" w:hAnsi="Times New Roman" w:eastAsia="宋体" w:cs="Times New Roman"/>
      <w:kern w:val="0"/>
      <w:sz w:val="24"/>
      <w:szCs w:val="20"/>
    </w:rPr>
  </w:style>
  <w:style w:type="character" w:customStyle="1" w:styleId="547">
    <w:name w:val="样式 样式 首行缩进:  2 字符 + 右侧:  -0.69 厘米 Char Char"/>
    <w:link w:val="548"/>
    <w:qFormat/>
    <w:uiPriority w:val="0"/>
    <w:rPr>
      <w:rFonts w:ascii="宋体" w:hAnsi="宋体" w:cs="宋体"/>
      <w:snapToGrid/>
      <w:color w:val="000000"/>
      <w:sz w:val="28"/>
      <w:szCs w:val="28"/>
    </w:rPr>
  </w:style>
  <w:style w:type="paragraph" w:customStyle="1" w:styleId="548">
    <w:name w:val="样式 样式 首行缩进:  2 字符 + 右侧:  -0.69 厘米 Char"/>
    <w:basedOn w:val="1"/>
    <w:link w:val="547"/>
    <w:qFormat/>
    <w:uiPriority w:val="0"/>
    <w:pPr>
      <w:tabs>
        <w:tab w:val="left" w:pos="8903"/>
      </w:tabs>
      <w:adjustRightInd w:val="0"/>
      <w:snapToGrid w:val="0"/>
      <w:spacing w:line="520" w:lineRule="exact"/>
      <w:ind w:firstLine="462"/>
    </w:pPr>
    <w:rPr>
      <w:rFonts w:ascii="宋体" w:hAnsi="宋体" w:eastAsia="宋体"/>
      <w:color w:val="000000"/>
      <w:kern w:val="0"/>
    </w:rPr>
  </w:style>
  <w:style w:type="character" w:customStyle="1" w:styleId="549">
    <w:name w:val="不明显参考1"/>
    <w:qFormat/>
    <w:uiPriority w:val="31"/>
    <w:rPr>
      <w:smallCaps/>
      <w:color w:val="5A5A5A"/>
    </w:rPr>
  </w:style>
  <w:style w:type="character" w:customStyle="1" w:styleId="550">
    <w:name w:val="白鹤滩标题 4 Char1"/>
    <w:qFormat/>
    <w:uiPriority w:val="0"/>
    <w:rPr>
      <w:rFonts w:ascii="Arial" w:hAnsi="Arial" w:eastAsia="宋体"/>
      <w:bCs/>
      <w:sz w:val="28"/>
      <w:szCs w:val="28"/>
      <w:lang w:val="vi-VN" w:eastAsia="zh-CN" w:bidi="ar-SA"/>
    </w:rPr>
  </w:style>
  <w:style w:type="character" w:customStyle="1" w:styleId="551">
    <w:name w:val="表附注 Char"/>
    <w:semiHidden/>
    <w:qFormat/>
    <w:uiPriority w:val="0"/>
    <w:rPr>
      <w:rFonts w:eastAsia="楷体_GB2312"/>
      <w:sz w:val="18"/>
      <w:lang w:val="en-US" w:eastAsia="zh-CN" w:bidi="ar-SA"/>
    </w:rPr>
  </w:style>
  <w:style w:type="character" w:customStyle="1" w:styleId="552">
    <w:name w:val="报告正文11 Char"/>
    <w:qFormat/>
    <w:uiPriority w:val="0"/>
    <w:rPr>
      <w:rFonts w:eastAsia="宋体"/>
      <w:spacing w:val="4"/>
      <w:kern w:val="2"/>
      <w:sz w:val="24"/>
      <w:szCs w:val="24"/>
      <w:lang w:val="en-US" w:eastAsia="zh-CN" w:bidi="ar-SA"/>
    </w:rPr>
  </w:style>
  <w:style w:type="character" w:customStyle="1" w:styleId="553">
    <w:name w:val="正文文本缩进 2 字符1"/>
    <w:qFormat/>
    <w:uiPriority w:val="0"/>
    <w:rPr>
      <w:rFonts w:ascii="仿宋_GB2312" w:eastAsia="仿宋_GB2312"/>
      <w:kern w:val="2"/>
      <w:sz w:val="28"/>
      <w:szCs w:val="28"/>
    </w:rPr>
  </w:style>
  <w:style w:type="character" w:customStyle="1" w:styleId="554">
    <w:name w:val="尾注文本 字符2"/>
    <w:qFormat/>
    <w:uiPriority w:val="0"/>
    <w:rPr>
      <w:rFonts w:ascii="仿宋_GB2312" w:eastAsia="仿宋_GB2312"/>
      <w:kern w:val="2"/>
      <w:sz w:val="28"/>
      <w:szCs w:val="28"/>
    </w:rPr>
  </w:style>
  <w:style w:type="character" w:customStyle="1" w:styleId="555">
    <w:name w:val="Char Char81"/>
    <w:qFormat/>
    <w:uiPriority w:val="0"/>
    <w:rPr>
      <w:rFonts w:eastAsia="仿宋_GB2312"/>
      <w:kern w:val="2"/>
      <w:sz w:val="28"/>
      <w:szCs w:val="24"/>
      <w:lang w:val="en-US" w:eastAsia="zh-CN" w:bidi="ar-SA"/>
    </w:rPr>
  </w:style>
  <w:style w:type="character" w:customStyle="1" w:styleId="556">
    <w:name w:val="正文首行缩进 Char1"/>
    <w:qFormat/>
    <w:uiPriority w:val="0"/>
  </w:style>
  <w:style w:type="character" w:customStyle="1" w:styleId="557">
    <w:name w:val="Balloon Text Char"/>
    <w:semiHidden/>
    <w:qFormat/>
    <w:uiPriority w:val="0"/>
    <w:rPr>
      <w:rFonts w:ascii="Times New Roman" w:hAnsi="Times New Roman" w:eastAsia="仿宋_GB2312" w:cs="Times New Roman"/>
      <w:sz w:val="16"/>
      <w:szCs w:val="0"/>
    </w:rPr>
  </w:style>
  <w:style w:type="character" w:customStyle="1" w:styleId="558">
    <w:name w:val="标准表头 Char"/>
    <w:link w:val="559"/>
    <w:qFormat/>
    <w:uiPriority w:val="0"/>
    <w:rPr>
      <w:rFonts w:eastAsia="黑体"/>
      <w:sz w:val="24"/>
      <w:szCs w:val="24"/>
    </w:rPr>
  </w:style>
  <w:style w:type="paragraph" w:customStyle="1" w:styleId="559">
    <w:name w:val="标准表头"/>
    <w:basedOn w:val="1"/>
    <w:link w:val="558"/>
    <w:qFormat/>
    <w:uiPriority w:val="0"/>
    <w:pPr>
      <w:spacing w:line="400" w:lineRule="exact"/>
      <w:ind w:firstLine="480"/>
      <w:jc w:val="center"/>
    </w:pPr>
    <w:rPr>
      <w:rFonts w:ascii="Times New Roman" w:eastAsia="黑体"/>
      <w:kern w:val="0"/>
      <w:sz w:val="24"/>
      <w:szCs w:val="24"/>
    </w:rPr>
  </w:style>
  <w:style w:type="character" w:customStyle="1" w:styleId="560">
    <w:name w:val="样式 样式 首行缩进:  2 字符1 + Times New Roman Char"/>
    <w:link w:val="561"/>
    <w:qFormat/>
    <w:uiPriority w:val="0"/>
    <w:rPr>
      <w:rFonts w:ascii="仿宋_GB2312" w:eastAsia="仿宋_GB2312" w:cs="宋体"/>
      <w:sz w:val="28"/>
    </w:rPr>
  </w:style>
  <w:style w:type="paragraph" w:customStyle="1" w:styleId="561">
    <w:name w:val="样式 样式 首行缩进:  2 字符1 + Times New Roman"/>
    <w:basedOn w:val="350"/>
    <w:link w:val="560"/>
    <w:qFormat/>
    <w:uiPriority w:val="0"/>
    <w:pPr>
      <w:textAlignment w:val="baseline"/>
    </w:pPr>
    <w:rPr>
      <w:rFonts w:hAnsi="Times New Roman"/>
      <w:kern w:val="0"/>
    </w:rPr>
  </w:style>
  <w:style w:type="character" w:customStyle="1" w:styleId="562">
    <w:name w:val="样式 首行缩进:  2 字符6 Char"/>
    <w:link w:val="563"/>
    <w:qFormat/>
    <w:uiPriority w:val="0"/>
    <w:rPr>
      <w:rFonts w:ascii="仿宋_GB2312" w:eastAsia="仿宋_GB2312" w:cs="宋体"/>
      <w:kern w:val="2"/>
      <w:sz w:val="28"/>
    </w:rPr>
  </w:style>
  <w:style w:type="paragraph" w:customStyle="1" w:styleId="563">
    <w:name w:val="样式 首行缩进:  2 字符6"/>
    <w:basedOn w:val="1"/>
    <w:link w:val="562"/>
    <w:qFormat/>
    <w:uiPriority w:val="0"/>
    <w:pPr>
      <w:ind w:firstLine="560"/>
    </w:pPr>
    <w:rPr>
      <w:szCs w:val="20"/>
    </w:rPr>
  </w:style>
  <w:style w:type="character" w:customStyle="1" w:styleId="564">
    <w:name w:val="font41"/>
    <w:qFormat/>
    <w:uiPriority w:val="0"/>
    <w:rPr>
      <w:rFonts w:hint="eastAsia" w:ascii="宋体" w:hAnsi="宋体" w:eastAsia="宋体" w:cs="宋体"/>
      <w:color w:val="0000FF"/>
      <w:sz w:val="21"/>
      <w:szCs w:val="21"/>
      <w:u w:val="none"/>
    </w:rPr>
  </w:style>
  <w:style w:type="character" w:customStyle="1" w:styleId="565">
    <w:name w:val="称呼 字符2"/>
    <w:qFormat/>
    <w:uiPriority w:val="0"/>
    <w:rPr>
      <w:kern w:val="2"/>
      <w:sz w:val="24"/>
    </w:rPr>
  </w:style>
  <w:style w:type="character" w:customStyle="1" w:styleId="566">
    <w:name w:val="采用 Char"/>
    <w:link w:val="567"/>
    <w:qFormat/>
    <w:uiPriority w:val="0"/>
    <w:rPr>
      <w:sz w:val="24"/>
      <w:szCs w:val="24"/>
      <w:u w:val="none" w:color="000000"/>
    </w:rPr>
  </w:style>
  <w:style w:type="paragraph" w:customStyle="1" w:styleId="567">
    <w:name w:val="采用"/>
    <w:basedOn w:val="1"/>
    <w:link w:val="566"/>
    <w:qFormat/>
    <w:uiPriority w:val="0"/>
    <w:pPr>
      <w:adjustRightInd w:val="0"/>
      <w:snapToGrid w:val="0"/>
      <w:spacing w:line="360" w:lineRule="auto"/>
      <w:ind w:firstLine="480"/>
    </w:pPr>
    <w:rPr>
      <w:rFonts w:ascii="Times New Roman" w:eastAsia="宋体"/>
      <w:kern w:val="0"/>
      <w:sz w:val="24"/>
      <w:szCs w:val="24"/>
      <w:u w:val="none" w:color="000000"/>
    </w:rPr>
  </w:style>
  <w:style w:type="character" w:customStyle="1" w:styleId="568">
    <w:name w:val="表题 Char Char"/>
    <w:qFormat/>
    <w:uiPriority w:val="0"/>
    <w:rPr>
      <w:rFonts w:eastAsia="黑体"/>
      <w:kern w:val="2"/>
      <w:sz w:val="24"/>
      <w:lang w:val="en-US" w:eastAsia="zh-CN" w:bidi="ar-SA"/>
    </w:rPr>
  </w:style>
  <w:style w:type="character" w:customStyle="1" w:styleId="569">
    <w:name w:val="正文文本1 Char Char"/>
    <w:semiHidden/>
    <w:qFormat/>
    <w:uiPriority w:val="0"/>
    <w:rPr>
      <w:rFonts w:ascii="Verdana" w:hAnsi="Verdana" w:cs="宋体"/>
      <w:b/>
      <w:bCs/>
      <w:kern w:val="2"/>
      <w:sz w:val="24"/>
      <w:szCs w:val="24"/>
    </w:rPr>
  </w:style>
  <w:style w:type="character" w:customStyle="1" w:styleId="570">
    <w:name w:val="正文文本首行缩进 字符"/>
    <w:qFormat/>
    <w:uiPriority w:val="99"/>
  </w:style>
  <w:style w:type="character" w:customStyle="1" w:styleId="571">
    <w:name w:val="h1 Char Char"/>
    <w:qFormat/>
    <w:uiPriority w:val="0"/>
    <w:rPr>
      <w:rFonts w:ascii="Times New Roman" w:hAnsi="Times New Roman" w:eastAsia="黑体"/>
      <w:kern w:val="44"/>
      <w:sz w:val="36"/>
      <w:szCs w:val="44"/>
    </w:rPr>
  </w:style>
  <w:style w:type="character" w:customStyle="1" w:styleId="572">
    <w:name w:val="样式 标题2 + 自动设置 Char"/>
    <w:link w:val="573"/>
    <w:qFormat/>
    <w:uiPriority w:val="0"/>
    <w:rPr>
      <w:rFonts w:ascii="Arial" w:hAnsi="Arial" w:eastAsia="黑体" w:cs="Arial"/>
      <w:b/>
      <w:bCs/>
      <w:color w:val="0000FF"/>
      <w:kern w:val="44"/>
      <w:sz w:val="32"/>
      <w:szCs w:val="32"/>
    </w:rPr>
  </w:style>
  <w:style w:type="paragraph" w:customStyle="1" w:styleId="573">
    <w:name w:val="样式 标题2 + 自动设置"/>
    <w:basedOn w:val="5"/>
    <w:link w:val="572"/>
    <w:qFormat/>
    <w:uiPriority w:val="0"/>
    <w:pPr>
      <w:spacing w:before="0" w:after="0"/>
      <w:jc w:val="left"/>
    </w:pPr>
    <w:rPr>
      <w:rFonts w:ascii="Arial" w:hAnsi="Arial"/>
      <w:b/>
      <w:color w:val="0000FF"/>
      <w:kern w:val="44"/>
      <w:szCs w:val="32"/>
    </w:rPr>
  </w:style>
  <w:style w:type="character" w:customStyle="1" w:styleId="574">
    <w:name w:val="标题1.1.1.1.1.1 Char1"/>
    <w:qFormat/>
    <w:uiPriority w:val="0"/>
    <w:rPr>
      <w:rFonts w:ascii="Arial" w:hAnsi="Arial" w:eastAsia="黑体"/>
      <w:b/>
      <w:bCs/>
      <w:kern w:val="2"/>
      <w:sz w:val="24"/>
      <w:szCs w:val="24"/>
      <w:lang w:val="en-US" w:eastAsia="zh-CN" w:bidi="ar-SA"/>
    </w:rPr>
  </w:style>
  <w:style w:type="character" w:customStyle="1" w:styleId="575">
    <w:name w:val="正文 Char"/>
    <w:qFormat/>
    <w:uiPriority w:val="0"/>
    <w:rPr>
      <w:rFonts w:eastAsia="仿宋_GB2312"/>
      <w:kern w:val="2"/>
      <w:sz w:val="28"/>
      <w:szCs w:val="28"/>
      <w:lang w:val="en-US" w:eastAsia="zh-CN" w:bidi="ar-SA"/>
    </w:rPr>
  </w:style>
  <w:style w:type="character" w:customStyle="1" w:styleId="576">
    <w:name w:val="Char Char5"/>
    <w:qFormat/>
    <w:locked/>
    <w:uiPriority w:val="0"/>
    <w:rPr>
      <w:rFonts w:ascii="仿宋_GB2312" w:eastAsia="仿宋_GB2312"/>
      <w:kern w:val="2"/>
      <w:sz w:val="24"/>
      <w:lang w:val="en-US" w:eastAsia="zh-CN" w:bidi="ar-SA"/>
    </w:rPr>
  </w:style>
  <w:style w:type="character" w:customStyle="1" w:styleId="577">
    <w:name w:val="样式 样式 首行缩进:  2 字符6 + 首行缩进:  2 字符 Char"/>
    <w:link w:val="578"/>
    <w:qFormat/>
    <w:uiPriority w:val="0"/>
    <w:rPr>
      <w:rFonts w:ascii="仿宋_GB2312" w:eastAsia="仿宋_GB2312" w:cs="宋体"/>
      <w:kern w:val="2"/>
      <w:sz w:val="28"/>
    </w:rPr>
  </w:style>
  <w:style w:type="paragraph" w:customStyle="1" w:styleId="578">
    <w:name w:val="样式 样式 首行缩进:  2 字符6 + 首行缩进:  2 字符"/>
    <w:basedOn w:val="1"/>
    <w:link w:val="577"/>
    <w:qFormat/>
    <w:uiPriority w:val="0"/>
    <w:rPr>
      <w:szCs w:val="20"/>
    </w:rPr>
  </w:style>
  <w:style w:type="character" w:customStyle="1" w:styleId="579">
    <w:name w:val="标题 7 字符"/>
    <w:qFormat/>
    <w:uiPriority w:val="0"/>
    <w:rPr>
      <w:rFonts w:ascii="仿宋_GB2312" w:hAnsi="Times New Roman" w:eastAsia="仿宋_GB2312" w:cs="Times New Roman"/>
      <w:b/>
      <w:bCs/>
      <w:kern w:val="0"/>
      <w:sz w:val="24"/>
      <w:szCs w:val="24"/>
    </w:rPr>
  </w:style>
  <w:style w:type="character" w:customStyle="1" w:styleId="580">
    <w:name w:val="正文1 Char Char1 Char Char Char"/>
    <w:link w:val="581"/>
    <w:qFormat/>
    <w:uiPriority w:val="0"/>
    <w:rPr>
      <w:rFonts w:eastAsia="仿宋_GB2312"/>
      <w:sz w:val="26"/>
      <w:szCs w:val="26"/>
    </w:rPr>
  </w:style>
  <w:style w:type="paragraph" w:customStyle="1" w:styleId="581">
    <w:name w:val="正文1 Char Char1 Char Char"/>
    <w:basedOn w:val="1"/>
    <w:link w:val="580"/>
    <w:qFormat/>
    <w:uiPriority w:val="0"/>
    <w:pPr>
      <w:adjustRightInd w:val="0"/>
      <w:snapToGrid w:val="0"/>
      <w:spacing w:line="516" w:lineRule="exact"/>
    </w:pPr>
    <w:rPr>
      <w:rFonts w:ascii="Times New Roman"/>
      <w:kern w:val="0"/>
      <w:sz w:val="26"/>
      <w:szCs w:val="26"/>
    </w:rPr>
  </w:style>
  <w:style w:type="character" w:customStyle="1" w:styleId="582">
    <w:name w:val="zgj正文 Char"/>
    <w:link w:val="583"/>
    <w:qFormat/>
    <w:uiPriority w:val="0"/>
    <w:rPr>
      <w:rFonts w:hAnsi="宋体"/>
      <w:kern w:val="2"/>
      <w:sz w:val="24"/>
      <w:lang w:val="zh-CN"/>
    </w:rPr>
  </w:style>
  <w:style w:type="paragraph" w:customStyle="1" w:styleId="583">
    <w:name w:val="zgj正文"/>
    <w:basedOn w:val="1"/>
    <w:link w:val="582"/>
    <w:qFormat/>
    <w:uiPriority w:val="0"/>
    <w:pPr>
      <w:spacing w:line="400" w:lineRule="exact"/>
      <w:ind w:firstLine="480"/>
    </w:pPr>
    <w:rPr>
      <w:rFonts w:ascii="Times New Roman" w:hAnsi="宋体" w:eastAsia="宋体"/>
      <w:sz w:val="24"/>
      <w:szCs w:val="20"/>
      <w:lang w:val="zh-CN"/>
    </w:rPr>
  </w:style>
  <w:style w:type="character" w:customStyle="1" w:styleId="584">
    <w:name w:val="样式 样式 样式 首行缩进:  2 字符5 + 首行缩进:  2 字符 + 首行缩进:  2 字符 Char"/>
    <w:link w:val="585"/>
    <w:qFormat/>
    <w:uiPriority w:val="0"/>
    <w:rPr>
      <w:rFonts w:ascii="仿宋_GB2312" w:eastAsia="仿宋_GB2312" w:cs="宋体"/>
      <w:kern w:val="2"/>
      <w:sz w:val="28"/>
    </w:rPr>
  </w:style>
  <w:style w:type="paragraph" w:customStyle="1" w:styleId="585">
    <w:name w:val="样式 样式 样式 首行缩进:  2 字符5 + 首行缩进:  2 字符 + 首行缩进:  2 字符"/>
    <w:basedOn w:val="436"/>
    <w:link w:val="584"/>
    <w:qFormat/>
    <w:uiPriority w:val="0"/>
    <w:pPr>
      <w:ind w:firstLine="560"/>
    </w:pPr>
  </w:style>
  <w:style w:type="character" w:customStyle="1" w:styleId="586">
    <w:name w:val="bt Char"/>
    <w:qFormat/>
    <w:uiPriority w:val="39"/>
    <w:rPr>
      <w:rFonts w:ascii="黑体" w:hAnsi="宋体" w:eastAsia="黑体"/>
      <w:sz w:val="24"/>
      <w:szCs w:val="24"/>
      <w:lang w:val="en-US" w:eastAsia="zh-CN" w:bidi="ar-SA"/>
    </w:rPr>
  </w:style>
  <w:style w:type="character" w:customStyle="1" w:styleId="587">
    <w:name w:val="样式 宋体 四号"/>
    <w:semiHidden/>
    <w:qFormat/>
    <w:uiPriority w:val="0"/>
    <w:rPr>
      <w:rFonts w:ascii="宋体" w:hAnsi="宋体"/>
      <w:kern w:val="0"/>
      <w:sz w:val="24"/>
      <w:szCs w:val="24"/>
    </w:rPr>
  </w:style>
  <w:style w:type="character" w:customStyle="1" w:styleId="588">
    <w:name w:val="表 头 Char"/>
    <w:link w:val="589"/>
    <w:qFormat/>
    <w:uiPriority w:val="0"/>
    <w:rPr>
      <w:rFonts w:ascii="黑体" w:eastAsia="黑体"/>
      <w:sz w:val="24"/>
      <w:szCs w:val="24"/>
    </w:rPr>
  </w:style>
  <w:style w:type="paragraph" w:customStyle="1" w:styleId="589">
    <w:name w:val="表 头"/>
    <w:basedOn w:val="1"/>
    <w:link w:val="588"/>
    <w:qFormat/>
    <w:uiPriority w:val="0"/>
    <w:pPr>
      <w:spacing w:after="60" w:line="240" w:lineRule="auto"/>
      <w:ind w:firstLine="100" w:firstLineChars="100"/>
      <w:jc w:val="left"/>
      <w:textAlignment w:val="baseline"/>
    </w:pPr>
    <w:rPr>
      <w:rFonts w:ascii="黑体" w:eastAsia="黑体"/>
      <w:kern w:val="0"/>
      <w:sz w:val="24"/>
      <w:szCs w:val="24"/>
    </w:rPr>
  </w:style>
  <w:style w:type="character" w:customStyle="1" w:styleId="590">
    <w:name w:val="Char Char121"/>
    <w:qFormat/>
    <w:uiPriority w:val="0"/>
    <w:rPr>
      <w:rFonts w:eastAsia="仿宋_GB2312"/>
      <w:i/>
      <w:iCs/>
      <w:kern w:val="2"/>
      <w:sz w:val="28"/>
      <w:szCs w:val="24"/>
      <w:lang w:val="en-US" w:eastAsia="zh-CN" w:bidi="ar-SA"/>
    </w:rPr>
  </w:style>
  <w:style w:type="character" w:customStyle="1" w:styleId="591">
    <w:name w:val="正文z Char"/>
    <w:link w:val="592"/>
    <w:qFormat/>
    <w:uiPriority w:val="0"/>
    <w:rPr>
      <w:rFonts w:ascii="宋体" w:hAnsi="宋体"/>
      <w:kern w:val="2"/>
      <w:sz w:val="21"/>
      <w:szCs w:val="21"/>
    </w:rPr>
  </w:style>
  <w:style w:type="paragraph" w:customStyle="1" w:styleId="592">
    <w:name w:val="正文z"/>
    <w:basedOn w:val="1"/>
    <w:link w:val="591"/>
    <w:qFormat/>
    <w:uiPriority w:val="0"/>
    <w:pPr>
      <w:spacing w:line="360" w:lineRule="auto"/>
      <w:ind w:firstLine="67" w:firstLineChars="32"/>
    </w:pPr>
    <w:rPr>
      <w:rFonts w:ascii="宋体" w:hAnsi="宋体" w:eastAsia="宋体"/>
      <w:sz w:val="21"/>
      <w:szCs w:val="21"/>
    </w:rPr>
  </w:style>
  <w:style w:type="character" w:customStyle="1" w:styleId="593">
    <w:name w:val="正文文字4 Char Char"/>
    <w:qFormat/>
    <w:uiPriority w:val="0"/>
    <w:rPr>
      <w:rFonts w:ascii="宋体" w:hAnsi="宋体"/>
      <w:b/>
      <w:bCs/>
      <w:spacing w:val="28"/>
      <w:kern w:val="2"/>
      <w:sz w:val="36"/>
      <w:szCs w:val="24"/>
    </w:rPr>
  </w:style>
  <w:style w:type="character" w:customStyle="1" w:styleId="594">
    <w:name w:val="方案标题2 Char Char"/>
    <w:link w:val="595"/>
    <w:qFormat/>
    <w:uiPriority w:val="0"/>
    <w:rPr>
      <w:rFonts w:eastAsia="黑体"/>
      <w:bCs/>
      <w:sz w:val="32"/>
      <w:szCs w:val="32"/>
      <w:lang w:val="zh-CN"/>
    </w:rPr>
  </w:style>
  <w:style w:type="paragraph" w:customStyle="1" w:styleId="595">
    <w:name w:val="方案标题2"/>
    <w:basedOn w:val="5"/>
    <w:link w:val="594"/>
    <w:qFormat/>
    <w:uiPriority w:val="0"/>
    <w:pPr>
      <w:keepNext/>
      <w:keepLines/>
      <w:numPr>
        <w:ilvl w:val="1"/>
        <w:numId w:val="1"/>
      </w:numPr>
      <w:adjustRightInd w:val="0"/>
      <w:snapToGrid w:val="0"/>
      <w:spacing w:before="0" w:after="0" w:line="360" w:lineRule="auto"/>
    </w:pPr>
    <w:rPr>
      <w:rFonts w:ascii="Times New Roman" w:hAnsi="Times New Roman"/>
      <w:kern w:val="0"/>
      <w:szCs w:val="32"/>
      <w:lang w:val="zh-CN"/>
    </w:rPr>
  </w:style>
  <w:style w:type="character" w:customStyle="1" w:styleId="596">
    <w:name w:val="z-窗体顶端 字符2"/>
    <w:qFormat/>
    <w:uiPriority w:val="0"/>
    <w:rPr>
      <w:rFonts w:ascii="Arial" w:hAnsi="Arial" w:cs="Arial"/>
      <w:vanish/>
      <w:sz w:val="16"/>
      <w:szCs w:val="16"/>
    </w:rPr>
  </w:style>
  <w:style w:type="character" w:customStyle="1" w:styleId="597">
    <w:name w:val="正文文本 Char4"/>
    <w:qFormat/>
    <w:uiPriority w:val="0"/>
    <w:rPr>
      <w:rFonts w:ascii="仿宋_GB2312" w:hAnsi="Times New Roman" w:eastAsia="仿宋_GB2312"/>
      <w:sz w:val="28"/>
      <w:szCs w:val="28"/>
    </w:rPr>
  </w:style>
  <w:style w:type="character" w:customStyle="1" w:styleId="598">
    <w:name w:val="样式 (西文) 楷体_GB2312 (中文) 楷体_GB2312 首行缩进:  2 字符1 Char"/>
    <w:link w:val="599"/>
    <w:qFormat/>
    <w:uiPriority w:val="0"/>
    <w:rPr>
      <w:rFonts w:ascii="楷体_GB2312" w:eastAsia="楷体_GB2312" w:cs="宋体"/>
      <w:kern w:val="2"/>
      <w:sz w:val="28"/>
    </w:rPr>
  </w:style>
  <w:style w:type="paragraph" w:customStyle="1" w:styleId="599">
    <w:name w:val="样式 (西文) 楷体_GB2312 (中文) 楷体_GB2312 首行缩进:  2 字符1"/>
    <w:basedOn w:val="1"/>
    <w:link w:val="598"/>
    <w:qFormat/>
    <w:uiPriority w:val="0"/>
    <w:rPr>
      <w:rFonts w:ascii="楷体_GB2312" w:eastAsia="楷体_GB2312"/>
      <w:szCs w:val="20"/>
    </w:rPr>
  </w:style>
  <w:style w:type="character" w:customStyle="1" w:styleId="600">
    <w:name w:val="aa院图名格式 Char Char"/>
    <w:link w:val="601"/>
    <w:qFormat/>
    <w:uiPriority w:val="0"/>
    <w:rPr>
      <w:rFonts w:ascii="黑体" w:eastAsia="黑体"/>
      <w:sz w:val="24"/>
      <w:szCs w:val="24"/>
    </w:rPr>
  </w:style>
  <w:style w:type="paragraph" w:customStyle="1" w:styleId="601">
    <w:name w:val="aa院图名格式"/>
    <w:basedOn w:val="1"/>
    <w:link w:val="600"/>
    <w:qFormat/>
    <w:uiPriority w:val="0"/>
    <w:pPr>
      <w:spacing w:afterLines="50"/>
      <w:ind w:firstLine="0" w:firstLineChars="0"/>
      <w:jc w:val="center"/>
    </w:pPr>
    <w:rPr>
      <w:rFonts w:ascii="黑体" w:eastAsia="黑体"/>
      <w:kern w:val="0"/>
      <w:sz w:val="24"/>
      <w:szCs w:val="24"/>
    </w:rPr>
  </w:style>
  <w:style w:type="character" w:customStyle="1" w:styleId="602">
    <w:name w:val="ps131"/>
    <w:qFormat/>
    <w:uiPriority w:val="0"/>
  </w:style>
  <w:style w:type="character" w:customStyle="1" w:styleId="603">
    <w:name w:val="表BT Char"/>
    <w:link w:val="604"/>
    <w:qFormat/>
    <w:uiPriority w:val="0"/>
    <w:rPr>
      <w:rFonts w:eastAsia="黑体"/>
      <w:kern w:val="2"/>
      <w:sz w:val="24"/>
      <w:szCs w:val="21"/>
    </w:rPr>
  </w:style>
  <w:style w:type="paragraph" w:customStyle="1" w:styleId="604">
    <w:name w:val="表BT"/>
    <w:basedOn w:val="1"/>
    <w:link w:val="603"/>
    <w:qFormat/>
    <w:uiPriority w:val="0"/>
    <w:pPr>
      <w:ind w:firstLine="100" w:firstLineChars="100"/>
      <w:jc w:val="left"/>
    </w:pPr>
    <w:rPr>
      <w:rFonts w:ascii="Times New Roman" w:eastAsia="黑体"/>
      <w:sz w:val="24"/>
      <w:szCs w:val="21"/>
    </w:rPr>
  </w:style>
  <w:style w:type="character" w:customStyle="1" w:styleId="605">
    <w:name w:val="图 Char"/>
    <w:link w:val="606"/>
    <w:qFormat/>
    <w:uiPriority w:val="0"/>
    <w:rPr>
      <w:rFonts w:ascii="黑体" w:eastAsia="黑体"/>
      <w:spacing w:val="-4"/>
      <w:kern w:val="2"/>
      <w:sz w:val="24"/>
      <w:szCs w:val="24"/>
    </w:rPr>
  </w:style>
  <w:style w:type="paragraph" w:customStyle="1" w:styleId="606">
    <w:name w:val="图"/>
    <w:basedOn w:val="1"/>
    <w:link w:val="605"/>
    <w:qFormat/>
    <w:uiPriority w:val="0"/>
    <w:pPr>
      <w:spacing w:line="240" w:lineRule="auto"/>
      <w:ind w:firstLine="0" w:firstLineChars="0"/>
      <w:jc w:val="center"/>
    </w:pPr>
    <w:rPr>
      <w:rFonts w:ascii="黑体" w:eastAsia="黑体"/>
      <w:spacing w:val="-4"/>
      <w:sz w:val="24"/>
      <w:szCs w:val="24"/>
    </w:rPr>
  </w:style>
  <w:style w:type="character" w:customStyle="1" w:styleId="607">
    <w:name w:val="Char Char4"/>
    <w:qFormat/>
    <w:locked/>
    <w:uiPriority w:val="0"/>
    <w:rPr>
      <w:rFonts w:ascii="仿宋_GB2312" w:eastAsia="仿宋_GB2312"/>
      <w:kern w:val="2"/>
      <w:sz w:val="28"/>
      <w:szCs w:val="24"/>
      <w:lang w:val="en-US" w:eastAsia="zh-CN" w:bidi="ar-SA"/>
    </w:rPr>
  </w:style>
  <w:style w:type="character" w:customStyle="1" w:styleId="608">
    <w:name w:val="表名名 Char"/>
    <w:link w:val="609"/>
    <w:qFormat/>
    <w:uiPriority w:val="0"/>
    <w:rPr>
      <w:rFonts w:ascii="黑体" w:eastAsia="黑体"/>
      <w:kern w:val="2"/>
      <w:sz w:val="24"/>
      <w:szCs w:val="22"/>
    </w:rPr>
  </w:style>
  <w:style w:type="paragraph" w:customStyle="1" w:styleId="609">
    <w:name w:val="表名名"/>
    <w:basedOn w:val="1"/>
    <w:link w:val="608"/>
    <w:qFormat/>
    <w:uiPriority w:val="0"/>
    <w:pPr>
      <w:ind w:firstLine="240" w:firstLineChars="100"/>
      <w:jc w:val="left"/>
    </w:pPr>
    <w:rPr>
      <w:rFonts w:ascii="黑体" w:eastAsia="黑体"/>
      <w:sz w:val="24"/>
      <w:szCs w:val="22"/>
    </w:rPr>
  </w:style>
  <w:style w:type="character" w:customStyle="1" w:styleId="610">
    <w:name w:val="样式 样式 仿宋_GB2312 四号 行距: 固定值 28 磅 + 首行缩进:  2 字符 Char Char Char"/>
    <w:link w:val="611"/>
    <w:semiHidden/>
    <w:qFormat/>
    <w:uiPriority w:val="0"/>
    <w:rPr>
      <w:rFonts w:ascii="仿宋_GB2312" w:hAnsi="宋体" w:eastAsia="仿宋_GB2312" w:cs="宋体"/>
      <w:kern w:val="2"/>
      <w:sz w:val="28"/>
    </w:rPr>
  </w:style>
  <w:style w:type="paragraph" w:customStyle="1" w:styleId="611">
    <w:name w:val="样式 样式 仿宋_GB2312 四号 行距: 固定值 28 磅 + 首行缩进:  2 字符 Char Char"/>
    <w:basedOn w:val="1"/>
    <w:link w:val="610"/>
    <w:semiHidden/>
    <w:qFormat/>
    <w:uiPriority w:val="0"/>
    <w:rPr>
      <w:rFonts w:hAnsi="宋体"/>
      <w:szCs w:val="20"/>
    </w:rPr>
  </w:style>
  <w:style w:type="character" w:customStyle="1" w:styleId="612">
    <w:name w:val="图表 7 Char1"/>
    <w:qFormat/>
    <w:uiPriority w:val="0"/>
    <w:rPr>
      <w:rFonts w:ascii="仿宋_GB2312" w:eastAsia="仿宋_GB2312"/>
      <w:b/>
      <w:bCs/>
      <w:kern w:val="2"/>
      <w:sz w:val="24"/>
      <w:szCs w:val="24"/>
      <w:lang w:val="en-US" w:eastAsia="zh-CN" w:bidi="ar-SA"/>
    </w:rPr>
  </w:style>
  <w:style w:type="character" w:customStyle="1" w:styleId="613">
    <w:name w:val="结束语 Char2"/>
    <w:qFormat/>
    <w:uiPriority w:val="0"/>
    <w:rPr>
      <w:rFonts w:ascii="仿宋_GB2312" w:eastAsia="仿宋_GB2312"/>
      <w:sz w:val="28"/>
      <w:szCs w:val="28"/>
      <w:lang w:val="en-US" w:eastAsia="zh-CN" w:bidi="ar-SA"/>
    </w:rPr>
  </w:style>
  <w:style w:type="character" w:customStyle="1" w:styleId="614">
    <w:name w:val="正文文字缩进 3 Char Char"/>
    <w:qFormat/>
    <w:uiPriority w:val="0"/>
    <w:rPr>
      <w:rFonts w:ascii="仿宋_GB2312" w:eastAsia="仿宋_GB2312"/>
      <w:kern w:val="2"/>
      <w:sz w:val="28"/>
      <w:szCs w:val="24"/>
      <w:lang w:val="en-US" w:eastAsia="zh-CN" w:bidi="ar-SA"/>
    </w:rPr>
  </w:style>
  <w:style w:type="character" w:customStyle="1" w:styleId="615">
    <w:name w:val="小标 Char"/>
    <w:link w:val="616"/>
    <w:qFormat/>
    <w:uiPriority w:val="0"/>
    <w:rPr>
      <w:rFonts w:ascii="楷体_GB2312" w:eastAsia="楷体_GB2312" w:cs="宋体"/>
      <w:sz w:val="28"/>
    </w:rPr>
  </w:style>
  <w:style w:type="paragraph" w:customStyle="1" w:styleId="616">
    <w:name w:val="小标"/>
    <w:basedOn w:val="261"/>
    <w:link w:val="615"/>
    <w:qFormat/>
    <w:uiPriority w:val="0"/>
    <w:pPr>
      <w:ind w:firstLine="560"/>
      <w:outlineLvl w:val="9"/>
    </w:pPr>
  </w:style>
  <w:style w:type="character" w:customStyle="1" w:styleId="617">
    <w:name w:val="标题 5 Char Char Char4"/>
    <w:qFormat/>
    <w:uiPriority w:val="0"/>
    <w:rPr>
      <w:rFonts w:ascii="Arial" w:hAnsi="Arial" w:eastAsia="仿宋_GB2312"/>
      <w:bCs/>
      <w:sz w:val="28"/>
      <w:szCs w:val="28"/>
      <w:lang w:val="en-US" w:eastAsia="zh-CN" w:bidi="ar-SA"/>
    </w:rPr>
  </w:style>
  <w:style w:type="character" w:customStyle="1" w:styleId="618">
    <w:name w:val="z-窗体顶端 Char1"/>
    <w:qFormat/>
    <w:uiPriority w:val="0"/>
    <w:rPr>
      <w:rFonts w:ascii="Arial" w:hAnsi="Arial" w:eastAsia="仿宋_GB2312" w:cs="Arial"/>
      <w:vanish/>
      <w:sz w:val="16"/>
      <w:szCs w:val="16"/>
    </w:rPr>
  </w:style>
  <w:style w:type="character" w:customStyle="1" w:styleId="619">
    <w:name w:val="样式 zgj正文 + (符号) Times New Roman 黑色 Char"/>
    <w:link w:val="620"/>
    <w:qFormat/>
    <w:uiPriority w:val="0"/>
    <w:rPr>
      <w:rFonts w:hAnsi="宋体"/>
      <w:bCs/>
      <w:color w:val="FF0000"/>
      <w:kern w:val="2"/>
      <w:sz w:val="24"/>
      <w:szCs w:val="24"/>
    </w:rPr>
  </w:style>
  <w:style w:type="paragraph" w:customStyle="1" w:styleId="620">
    <w:name w:val="样式 zgj正文 + (符号) Times New Roman 黑色"/>
    <w:basedOn w:val="1"/>
    <w:link w:val="619"/>
    <w:qFormat/>
    <w:uiPriority w:val="0"/>
    <w:pPr>
      <w:spacing w:line="400" w:lineRule="exact"/>
      <w:ind w:firstLine="480"/>
    </w:pPr>
    <w:rPr>
      <w:rFonts w:ascii="Times New Roman" w:hAnsi="宋体" w:eastAsia="宋体"/>
      <w:bCs/>
      <w:color w:val="FF0000"/>
      <w:sz w:val="24"/>
      <w:szCs w:val="24"/>
    </w:rPr>
  </w:style>
  <w:style w:type="character" w:customStyle="1" w:styleId="621">
    <w:name w:val="正文文本 3 字符1"/>
    <w:qFormat/>
    <w:uiPriority w:val="0"/>
    <w:rPr>
      <w:kern w:val="2"/>
      <w:sz w:val="16"/>
      <w:szCs w:val="16"/>
    </w:rPr>
  </w:style>
  <w:style w:type="character" w:customStyle="1" w:styleId="622">
    <w:name w:val="样式 表名 + 首行缩进:  1 字符5 Char"/>
    <w:link w:val="623"/>
    <w:qFormat/>
    <w:uiPriority w:val="0"/>
    <w:rPr>
      <w:rFonts w:ascii="黑体" w:eastAsia="黑体" w:cs="宋体"/>
      <w:kern w:val="2"/>
      <w:sz w:val="24"/>
    </w:rPr>
  </w:style>
  <w:style w:type="paragraph" w:customStyle="1" w:styleId="623">
    <w:name w:val="样式 表名 + 首行缩进:  1 字符5"/>
    <w:basedOn w:val="624"/>
    <w:link w:val="622"/>
    <w:qFormat/>
    <w:uiPriority w:val="0"/>
    <w:rPr>
      <w:szCs w:val="20"/>
    </w:rPr>
  </w:style>
  <w:style w:type="paragraph" w:customStyle="1" w:styleId="624">
    <w:name w:val="表名"/>
    <w:basedOn w:val="1"/>
    <w:link w:val="625"/>
    <w:qFormat/>
    <w:uiPriority w:val="0"/>
    <w:pPr>
      <w:spacing w:after="60"/>
      <w:ind w:firstLine="100" w:firstLineChars="100"/>
      <w:outlineLvl w:val="4"/>
    </w:pPr>
    <w:rPr>
      <w:rFonts w:ascii="黑体" w:eastAsia="黑体"/>
      <w:sz w:val="24"/>
      <w:szCs w:val="22"/>
    </w:rPr>
  </w:style>
  <w:style w:type="character" w:customStyle="1" w:styleId="625">
    <w:name w:val="表名 Char"/>
    <w:link w:val="624"/>
    <w:qFormat/>
    <w:uiPriority w:val="0"/>
    <w:rPr>
      <w:rFonts w:ascii="黑体" w:eastAsia="黑体"/>
      <w:kern w:val="2"/>
      <w:sz w:val="24"/>
      <w:szCs w:val="22"/>
    </w:rPr>
  </w:style>
  <w:style w:type="character" w:customStyle="1" w:styleId="626">
    <w:name w:val="样式10 Char Char Char"/>
    <w:link w:val="627"/>
    <w:qFormat/>
    <w:uiPriority w:val="0"/>
    <w:rPr>
      <w:rFonts w:ascii="宋体" w:hAnsi="宋体" w:eastAsia="仿宋_GB2312"/>
      <w:sz w:val="28"/>
      <w:szCs w:val="22"/>
      <w:lang w:bidi="en-US"/>
    </w:rPr>
  </w:style>
  <w:style w:type="paragraph" w:customStyle="1" w:styleId="627">
    <w:name w:val="样式10 Char Char"/>
    <w:basedOn w:val="1"/>
    <w:link w:val="626"/>
    <w:qFormat/>
    <w:uiPriority w:val="0"/>
    <w:pPr>
      <w:widowControl/>
      <w:adjustRightInd w:val="0"/>
      <w:snapToGrid w:val="0"/>
      <w:spacing w:line="355" w:lineRule="auto"/>
    </w:pPr>
    <w:rPr>
      <w:rFonts w:ascii="宋体" w:hAnsi="宋体"/>
      <w:kern w:val="0"/>
      <w:szCs w:val="22"/>
      <w:lang w:bidi="en-US"/>
    </w:rPr>
  </w:style>
  <w:style w:type="character" w:customStyle="1" w:styleId="628">
    <w:name w:val="Char Char91"/>
    <w:qFormat/>
    <w:uiPriority w:val="0"/>
    <w:rPr>
      <w:rFonts w:eastAsia="仿宋_GB2312"/>
      <w:kern w:val="2"/>
      <w:sz w:val="28"/>
      <w:szCs w:val="24"/>
      <w:lang w:val="en-US" w:eastAsia="zh-CN" w:bidi="ar-SA"/>
    </w:rPr>
  </w:style>
  <w:style w:type="character" w:customStyle="1" w:styleId="629">
    <w:name w:val="样式 (中文) 方正小标宋简体 四号 行距: 1.5 倍行距 Char"/>
    <w:link w:val="630"/>
    <w:qFormat/>
    <w:uiPriority w:val="0"/>
    <w:rPr>
      <w:rFonts w:ascii="楷体_GB2312" w:hAnsi="Arial" w:eastAsia="楷体_GB2312" w:cs="宋体"/>
      <w:kern w:val="2"/>
      <w:sz w:val="28"/>
    </w:rPr>
  </w:style>
  <w:style w:type="paragraph" w:customStyle="1" w:styleId="630">
    <w:name w:val="样式 (中文) 方正小标宋简体 四号 行距: 1.5 倍行距"/>
    <w:basedOn w:val="1"/>
    <w:link w:val="629"/>
    <w:qFormat/>
    <w:uiPriority w:val="0"/>
    <w:pPr>
      <w:adjustRightInd w:val="0"/>
      <w:snapToGrid w:val="0"/>
      <w:spacing w:line="240" w:lineRule="auto"/>
      <w:ind w:firstLine="0" w:firstLineChars="0"/>
      <w:jc w:val="center"/>
    </w:pPr>
    <w:rPr>
      <w:rFonts w:ascii="楷体_GB2312" w:hAnsi="Arial" w:eastAsia="楷体_GB2312"/>
      <w:szCs w:val="20"/>
    </w:rPr>
  </w:style>
  <w:style w:type="character" w:customStyle="1" w:styleId="631">
    <w:name w:val="BT4 Char"/>
    <w:link w:val="632"/>
    <w:qFormat/>
    <w:uiPriority w:val="0"/>
    <w:rPr>
      <w:rFonts w:ascii="Arial" w:hAnsi="Arial"/>
      <w:bCs/>
      <w:kern w:val="2"/>
      <w:sz w:val="28"/>
      <w:szCs w:val="24"/>
    </w:rPr>
  </w:style>
  <w:style w:type="paragraph" w:customStyle="1" w:styleId="632">
    <w:name w:val="BT4"/>
    <w:basedOn w:val="8"/>
    <w:next w:val="1"/>
    <w:link w:val="631"/>
    <w:qFormat/>
    <w:uiPriority w:val="0"/>
    <w:pPr>
      <w:keepNext w:val="0"/>
      <w:keepLines w:val="0"/>
      <w:spacing w:before="0" w:after="0" w:line="560" w:lineRule="exact"/>
      <w:ind w:firstLine="0" w:firstLineChars="0"/>
      <w:jc w:val="left"/>
    </w:pPr>
    <w:rPr>
      <w:rFonts w:ascii="Arial" w:hAnsi="Arial"/>
      <w:b w:val="0"/>
      <w:szCs w:val="24"/>
    </w:rPr>
  </w:style>
  <w:style w:type="character" w:customStyle="1" w:styleId="633">
    <w:name w:val="1.1 Char Char"/>
    <w:qFormat/>
    <w:uiPriority w:val="0"/>
    <w:rPr>
      <w:rFonts w:eastAsia="黑体"/>
      <w:b/>
      <w:kern w:val="2"/>
      <w:sz w:val="32"/>
      <w:lang w:val="en-US" w:eastAsia="zh-CN" w:bidi="ar-SA"/>
    </w:rPr>
  </w:style>
  <w:style w:type="character" w:customStyle="1" w:styleId="634">
    <w:name w:val="标题 6 字符"/>
    <w:qFormat/>
    <w:uiPriority w:val="0"/>
    <w:rPr>
      <w:rFonts w:ascii="Arial" w:hAnsi="Arial" w:eastAsia="黑体" w:cs="Times New Roman"/>
      <w:b/>
      <w:bCs/>
      <w:kern w:val="0"/>
      <w:sz w:val="24"/>
      <w:szCs w:val="24"/>
    </w:rPr>
  </w:style>
  <w:style w:type="character" w:customStyle="1" w:styleId="635">
    <w:name w:val="方案正文样式 Char1"/>
    <w:qFormat/>
    <w:uiPriority w:val="0"/>
    <w:rPr>
      <w:rFonts w:eastAsia="宋体"/>
      <w:snapToGrid/>
      <w:sz w:val="24"/>
      <w:szCs w:val="24"/>
      <w:lang w:val="en-US" w:eastAsia="zh-CN" w:bidi="ar-SA"/>
    </w:rPr>
  </w:style>
  <w:style w:type="character" w:customStyle="1" w:styleId="636">
    <w:name w:val="表字五号 Char Char"/>
    <w:link w:val="637"/>
    <w:qFormat/>
    <w:uiPriority w:val="0"/>
    <w:rPr>
      <w:rFonts w:ascii="仿宋_GB2312" w:eastAsia="仿宋_GB2312"/>
      <w:sz w:val="28"/>
      <w:u w:val="none" w:color="000000"/>
    </w:rPr>
  </w:style>
  <w:style w:type="paragraph" w:customStyle="1" w:styleId="637">
    <w:name w:val="表字五号 Char"/>
    <w:basedOn w:val="1"/>
    <w:link w:val="636"/>
    <w:qFormat/>
    <w:uiPriority w:val="0"/>
    <w:pPr>
      <w:autoSpaceDE w:val="0"/>
      <w:autoSpaceDN w:val="0"/>
      <w:adjustRightInd w:val="0"/>
      <w:snapToGrid w:val="0"/>
      <w:spacing w:beforeLines="10" w:afterLines="10"/>
      <w:jc w:val="center"/>
      <w:textAlignment w:val="bottom"/>
    </w:pPr>
    <w:rPr>
      <w:kern w:val="0"/>
      <w:szCs w:val="20"/>
      <w:u w:val="none" w:color="000000"/>
    </w:rPr>
  </w:style>
  <w:style w:type="character" w:customStyle="1" w:styleId="638">
    <w:name w:val="样式 (西文) 楷体_GB2312 (中文) 楷体_GB2312 左 首行缩进:  2 字符 Char"/>
    <w:link w:val="639"/>
    <w:qFormat/>
    <w:uiPriority w:val="0"/>
    <w:rPr>
      <w:rFonts w:ascii="楷体_GB2312" w:eastAsia="楷体_GB2312" w:cs="宋体"/>
      <w:kern w:val="2"/>
      <w:sz w:val="28"/>
    </w:rPr>
  </w:style>
  <w:style w:type="paragraph" w:customStyle="1" w:styleId="639">
    <w:name w:val="样式 (西文) 楷体_GB2312 (中文) 楷体_GB2312 左 首行缩进:  2 字符"/>
    <w:basedOn w:val="1"/>
    <w:link w:val="638"/>
    <w:qFormat/>
    <w:uiPriority w:val="0"/>
    <w:pPr>
      <w:jc w:val="left"/>
    </w:pPr>
    <w:rPr>
      <w:rFonts w:ascii="楷体_GB2312" w:eastAsia="楷体_GB2312"/>
      <w:szCs w:val="20"/>
    </w:rPr>
  </w:style>
  <w:style w:type="character" w:customStyle="1" w:styleId="640">
    <w:name w:val="正文格式 Char"/>
    <w:qFormat/>
    <w:uiPriority w:val="0"/>
    <w:rPr>
      <w:rFonts w:ascii="宋体" w:eastAsia="宋体" w:cs="宋体"/>
      <w:kern w:val="2"/>
      <w:sz w:val="24"/>
      <w:szCs w:val="24"/>
      <w:lang w:val="en-US" w:eastAsia="zh-CN" w:bidi="ar-SA"/>
    </w:rPr>
  </w:style>
  <w:style w:type="character" w:customStyle="1" w:styleId="641">
    <w:name w:val="页眉 字符"/>
    <w:qFormat/>
    <w:uiPriority w:val="99"/>
    <w:rPr>
      <w:rFonts w:ascii="仿宋_GB2312" w:eastAsia="仿宋_GB2312"/>
      <w:sz w:val="18"/>
      <w:szCs w:val="18"/>
    </w:rPr>
  </w:style>
  <w:style w:type="character" w:customStyle="1" w:styleId="642">
    <w:name w:val="附表头-2 Char"/>
    <w:link w:val="643"/>
    <w:qFormat/>
    <w:uiPriority w:val="0"/>
    <w:rPr>
      <w:rFonts w:ascii="黑体" w:hAnsi="黑体" w:eastAsia="黑体"/>
      <w:bCs/>
      <w:kern w:val="44"/>
      <w:sz w:val="24"/>
      <w:szCs w:val="24"/>
    </w:rPr>
  </w:style>
  <w:style w:type="paragraph" w:customStyle="1" w:styleId="643">
    <w:name w:val="附表头-2"/>
    <w:basedOn w:val="431"/>
    <w:link w:val="642"/>
    <w:qFormat/>
    <w:uiPriority w:val="0"/>
    <w:pPr>
      <w:tabs>
        <w:tab w:val="left" w:pos="0"/>
        <w:tab w:val="center" w:pos="4480"/>
        <w:tab w:val="right" w:pos="8960"/>
      </w:tabs>
    </w:pPr>
  </w:style>
  <w:style w:type="character" w:customStyle="1" w:styleId="644">
    <w:name w:val="本文正文 Char"/>
    <w:link w:val="645"/>
    <w:qFormat/>
    <w:uiPriority w:val="0"/>
    <w:rPr>
      <w:kern w:val="2"/>
      <w:sz w:val="24"/>
      <w:szCs w:val="44"/>
    </w:rPr>
  </w:style>
  <w:style w:type="paragraph" w:customStyle="1" w:styleId="645">
    <w:name w:val="本文正文"/>
    <w:basedOn w:val="1"/>
    <w:link w:val="644"/>
    <w:qFormat/>
    <w:uiPriority w:val="0"/>
    <w:pPr>
      <w:tabs>
        <w:tab w:val="left" w:pos="4500"/>
      </w:tabs>
      <w:spacing w:line="360" w:lineRule="auto"/>
    </w:pPr>
    <w:rPr>
      <w:rFonts w:ascii="Times New Roman" w:eastAsia="宋体"/>
      <w:sz w:val="24"/>
      <w:szCs w:val="44"/>
    </w:rPr>
  </w:style>
  <w:style w:type="character" w:customStyle="1" w:styleId="646">
    <w:name w:val="Char Char161"/>
    <w:qFormat/>
    <w:uiPriority w:val="0"/>
    <w:rPr>
      <w:rFonts w:ascii="Arial" w:hAnsi="Arial" w:eastAsia="仿宋_GB2312"/>
      <w:bCs/>
      <w:sz w:val="28"/>
      <w:szCs w:val="28"/>
      <w:lang w:val="en-US" w:eastAsia="zh-CN" w:bidi="ar-SA"/>
    </w:rPr>
  </w:style>
  <w:style w:type="character" w:customStyle="1" w:styleId="647">
    <w:name w:val="已访问的超链接1"/>
    <w:qFormat/>
    <w:uiPriority w:val="0"/>
    <w:rPr>
      <w:color w:val="800080"/>
      <w:u w:val="single"/>
    </w:rPr>
  </w:style>
  <w:style w:type="character" w:customStyle="1" w:styleId="648">
    <w:name w:val="正文1 Char"/>
    <w:link w:val="649"/>
    <w:qFormat/>
    <w:uiPriority w:val="0"/>
    <w:rPr>
      <w:rFonts w:ascii="Calibri" w:hAnsi="Calibri"/>
      <w:kern w:val="2"/>
      <w:sz w:val="21"/>
      <w:szCs w:val="21"/>
      <w:lang w:val="en-US" w:eastAsia="zh-CN" w:bidi="ar-SA"/>
    </w:rPr>
  </w:style>
  <w:style w:type="paragraph" w:customStyle="1" w:styleId="649">
    <w:name w:val="正文1"/>
    <w:link w:val="648"/>
    <w:qFormat/>
    <w:uiPriority w:val="0"/>
    <w:pPr>
      <w:jc w:val="both"/>
    </w:pPr>
    <w:rPr>
      <w:rFonts w:ascii="Calibri" w:hAnsi="Calibri" w:eastAsia="宋体" w:cs="Times New Roman"/>
      <w:kern w:val="2"/>
      <w:sz w:val="21"/>
      <w:szCs w:val="21"/>
      <w:lang w:val="en-US" w:eastAsia="zh-CN" w:bidi="ar-SA"/>
    </w:rPr>
  </w:style>
  <w:style w:type="character" w:customStyle="1" w:styleId="650">
    <w:name w:val="图题 Char"/>
    <w:link w:val="651"/>
    <w:qFormat/>
    <w:uiPriority w:val="0"/>
    <w:rPr>
      <w:rFonts w:ascii="仿宋_GB2312" w:eastAsia="仿宋_GB2312"/>
      <w:szCs w:val="28"/>
      <w:u w:val="none" w:color="000000"/>
    </w:rPr>
  </w:style>
  <w:style w:type="paragraph" w:customStyle="1" w:styleId="651">
    <w:name w:val="图题"/>
    <w:basedOn w:val="1"/>
    <w:link w:val="650"/>
    <w:qFormat/>
    <w:uiPriority w:val="0"/>
    <w:pPr>
      <w:keepLines/>
      <w:spacing w:line="240" w:lineRule="auto"/>
      <w:ind w:firstLine="0" w:firstLineChars="0"/>
      <w:jc w:val="center"/>
    </w:pPr>
    <w:rPr>
      <w:kern w:val="0"/>
      <w:sz w:val="20"/>
      <w:u w:val="none" w:color="000000"/>
    </w:rPr>
  </w:style>
  <w:style w:type="character" w:customStyle="1" w:styleId="652">
    <w:name w:val="批注文字 Char2"/>
    <w:qFormat/>
    <w:uiPriority w:val="0"/>
    <w:rPr>
      <w:rFonts w:ascii="仿宋_GB2312" w:hAnsi="Times New Roman" w:eastAsia="仿宋_GB2312" w:cs="Times New Roman"/>
      <w:sz w:val="28"/>
      <w:szCs w:val="24"/>
    </w:rPr>
  </w:style>
  <w:style w:type="character" w:customStyle="1" w:styleId="653">
    <w:name w:val="time style7"/>
    <w:qFormat/>
    <w:uiPriority w:val="0"/>
  </w:style>
  <w:style w:type="character" w:customStyle="1" w:styleId="654">
    <w:name w:val="ourfont2"/>
    <w:qFormat/>
    <w:uiPriority w:val="0"/>
  </w:style>
  <w:style w:type="character" w:customStyle="1" w:styleId="655">
    <w:name w:val="小括号hy Char"/>
    <w:link w:val="656"/>
    <w:qFormat/>
    <w:uiPriority w:val="0"/>
    <w:rPr>
      <w:rFonts w:ascii="楷体_GB2312" w:eastAsia="楷体_GB2312"/>
      <w:color w:val="000000"/>
      <w:kern w:val="2"/>
      <w:sz w:val="28"/>
      <w:szCs w:val="28"/>
    </w:rPr>
  </w:style>
  <w:style w:type="paragraph" w:customStyle="1" w:styleId="656">
    <w:name w:val="小括号hy"/>
    <w:basedOn w:val="1"/>
    <w:link w:val="655"/>
    <w:qFormat/>
    <w:uiPriority w:val="0"/>
    <w:rPr>
      <w:rFonts w:ascii="楷体_GB2312" w:eastAsia="楷体_GB2312"/>
      <w:color w:val="000000"/>
    </w:rPr>
  </w:style>
  <w:style w:type="character" w:customStyle="1" w:styleId="657">
    <w:name w:val="Comma Char Char"/>
    <w:qFormat/>
    <w:uiPriority w:val="0"/>
    <w:rPr>
      <w:rFonts w:ascii="Arial" w:hAnsi="Arial" w:eastAsia="黑体"/>
      <w:b/>
      <w:bCs/>
      <w:kern w:val="2"/>
      <w:sz w:val="28"/>
      <w:szCs w:val="28"/>
      <w:lang w:val="en-US" w:eastAsia="zh-CN" w:bidi="ar-SA"/>
    </w:rPr>
  </w:style>
  <w:style w:type="character" w:customStyle="1" w:styleId="658">
    <w:name w:val="Char Char7"/>
    <w:qFormat/>
    <w:locked/>
    <w:uiPriority w:val="0"/>
    <w:rPr>
      <w:rFonts w:ascii="仿宋_GB2312" w:eastAsia="仿宋_GB2312"/>
      <w:bCs/>
      <w:kern w:val="2"/>
      <w:sz w:val="28"/>
      <w:szCs w:val="24"/>
      <w:lang w:val="en-US" w:eastAsia="zh-CN" w:bidi="ar-SA"/>
    </w:rPr>
  </w:style>
  <w:style w:type="character" w:customStyle="1" w:styleId="659">
    <w:name w:val="表名 Char1"/>
    <w:qFormat/>
    <w:uiPriority w:val="0"/>
    <w:rPr>
      <w:rFonts w:ascii="黑体" w:eastAsia="黑体"/>
      <w:sz w:val="24"/>
      <w:szCs w:val="24"/>
      <w:u w:val="none" w:color="000000"/>
      <w:lang w:val="en-US" w:eastAsia="zh-CN" w:bidi="ar-SA"/>
    </w:rPr>
  </w:style>
  <w:style w:type="character" w:customStyle="1" w:styleId="660">
    <w:name w:val="正文01 Char"/>
    <w:link w:val="661"/>
    <w:qFormat/>
    <w:uiPriority w:val="0"/>
    <w:rPr>
      <w:rFonts w:ascii="仿宋_GB2312" w:eastAsia="仿宋_GB2312" w:cs="宋体"/>
      <w:kern w:val="2"/>
      <w:sz w:val="28"/>
    </w:rPr>
  </w:style>
  <w:style w:type="paragraph" w:customStyle="1" w:styleId="661">
    <w:name w:val="正文01"/>
    <w:basedOn w:val="1"/>
    <w:link w:val="660"/>
    <w:qFormat/>
    <w:uiPriority w:val="0"/>
    <w:rPr>
      <w:szCs w:val="20"/>
    </w:rPr>
  </w:style>
  <w:style w:type="character" w:customStyle="1" w:styleId="662">
    <w:name w:val="样式 表格五号 首行缩进:  2 字符 + 小五1 Char"/>
    <w:link w:val="663"/>
    <w:qFormat/>
    <w:uiPriority w:val="0"/>
  </w:style>
  <w:style w:type="paragraph" w:customStyle="1" w:styleId="663">
    <w:name w:val="样式 表格五号 首行缩进:  2 字符 + 小五1"/>
    <w:basedOn w:val="664"/>
    <w:link w:val="662"/>
    <w:qFormat/>
    <w:uiPriority w:val="0"/>
  </w:style>
  <w:style w:type="paragraph" w:customStyle="1" w:styleId="664">
    <w:name w:val="表格五号 首行缩进:  2 字符"/>
    <w:basedOn w:val="1"/>
    <w:link w:val="665"/>
    <w:qFormat/>
    <w:uiPriority w:val="0"/>
    <w:pPr>
      <w:spacing w:line="0" w:lineRule="atLeast"/>
      <w:ind w:firstLine="0" w:firstLineChars="0"/>
      <w:jc w:val="center"/>
    </w:pPr>
    <w:rPr>
      <w:rFonts w:ascii="楷体_GB2312" w:eastAsia="楷体_GB2312"/>
      <w:sz w:val="18"/>
      <w:szCs w:val="20"/>
    </w:rPr>
  </w:style>
  <w:style w:type="character" w:customStyle="1" w:styleId="665">
    <w:name w:val="表格五号 首行缩进:  2 字符 Char"/>
    <w:link w:val="664"/>
    <w:qFormat/>
    <w:uiPriority w:val="0"/>
    <w:rPr>
      <w:rFonts w:ascii="楷体_GB2312" w:eastAsia="楷体_GB2312" w:cs="宋体"/>
      <w:kern w:val="2"/>
      <w:sz w:val="18"/>
    </w:rPr>
  </w:style>
  <w:style w:type="character" w:customStyle="1" w:styleId="666">
    <w:name w:val="正文文本缩进 2 字符2"/>
    <w:qFormat/>
    <w:uiPriority w:val="0"/>
    <w:rPr>
      <w:rFonts w:ascii="仿宋_GB2312" w:eastAsia="仿宋_GB2312"/>
      <w:kern w:val="2"/>
      <w:sz w:val="28"/>
      <w:szCs w:val="28"/>
    </w:rPr>
  </w:style>
  <w:style w:type="character" w:customStyle="1" w:styleId="667">
    <w:name w:val="1正文 Char Char Char1"/>
    <w:qFormat/>
    <w:uiPriority w:val="0"/>
    <w:rPr>
      <w:rFonts w:eastAsia="宋体"/>
      <w:kern w:val="2"/>
      <w:sz w:val="28"/>
      <w:szCs w:val="24"/>
      <w:lang w:val="en-US" w:eastAsia="zh-CN" w:bidi="ar-SA"/>
    </w:rPr>
  </w:style>
  <w:style w:type="character" w:customStyle="1" w:styleId="668">
    <w:name w:val="称呼 Char1"/>
    <w:qFormat/>
    <w:uiPriority w:val="0"/>
    <w:rPr>
      <w:rFonts w:ascii="仿宋_GB2312" w:hAnsi="Times New Roman"/>
    </w:rPr>
  </w:style>
  <w:style w:type="character" w:customStyle="1" w:styleId="669">
    <w:name w:val="Char Char8"/>
    <w:qFormat/>
    <w:locked/>
    <w:uiPriority w:val="0"/>
    <w:rPr>
      <w:rFonts w:ascii="仿宋_GB2312" w:eastAsia="仿宋_GB2312"/>
      <w:kern w:val="2"/>
      <w:sz w:val="18"/>
      <w:szCs w:val="18"/>
      <w:lang w:val="en-US" w:eastAsia="zh-CN" w:bidi="ar-SA"/>
    </w:rPr>
  </w:style>
  <w:style w:type="character" w:customStyle="1" w:styleId="670">
    <w:name w:val="样式 首行缩进:  2 字符4 Char"/>
    <w:link w:val="671"/>
    <w:qFormat/>
    <w:uiPriority w:val="99"/>
    <w:rPr>
      <w:rFonts w:ascii="仿宋_GB2312" w:eastAsia="仿宋_GB2312" w:cs="宋体"/>
      <w:sz w:val="24"/>
    </w:rPr>
  </w:style>
  <w:style w:type="paragraph" w:customStyle="1" w:styleId="671">
    <w:name w:val="样式 首行缩进:  2 字符4"/>
    <w:basedOn w:val="1"/>
    <w:link w:val="670"/>
    <w:qFormat/>
    <w:uiPriority w:val="99"/>
    <w:pPr>
      <w:adjustRightInd w:val="0"/>
    </w:pPr>
    <w:rPr>
      <w:kern w:val="0"/>
      <w:sz w:val="24"/>
      <w:szCs w:val="20"/>
    </w:rPr>
  </w:style>
  <w:style w:type="character" w:customStyle="1" w:styleId="672">
    <w:name w:val="Char Char202"/>
    <w:qFormat/>
    <w:uiPriority w:val="0"/>
    <w:rPr>
      <w:rFonts w:ascii="仿宋_GB2312" w:hAnsi="Times New Roman" w:eastAsia="仿宋_GB2312" w:cs="Times New Roman"/>
      <w:kern w:val="0"/>
      <w:sz w:val="28"/>
      <w:szCs w:val="18"/>
    </w:rPr>
  </w:style>
  <w:style w:type="character" w:customStyle="1" w:styleId="673">
    <w:name w:val="Char Char21"/>
    <w:qFormat/>
    <w:uiPriority w:val="0"/>
    <w:rPr>
      <w:rFonts w:ascii="仿宋" w:hAnsi="Times New Roman" w:eastAsia="宋体" w:cs="Times New Roman"/>
      <w:kern w:val="2"/>
      <w:sz w:val="21"/>
      <w:szCs w:val="24"/>
      <w:lang w:val="en-US" w:eastAsia="zh-CN" w:bidi="ar-SA"/>
    </w:rPr>
  </w:style>
  <w:style w:type="character" w:customStyle="1" w:styleId="674">
    <w:name w:val="正    文 Char"/>
    <w:link w:val="675"/>
    <w:qFormat/>
    <w:uiPriority w:val="0"/>
    <w:rPr>
      <w:rFonts w:ascii="仿宋_GB2312" w:hAnsi="宋体" w:eastAsia="仿宋_GB2312" w:cs="宋体"/>
      <w:kern w:val="2"/>
      <w:sz w:val="28"/>
      <w:szCs w:val="28"/>
    </w:rPr>
  </w:style>
  <w:style w:type="paragraph" w:customStyle="1" w:styleId="675">
    <w:name w:val="正    文"/>
    <w:basedOn w:val="1"/>
    <w:link w:val="674"/>
    <w:qFormat/>
    <w:uiPriority w:val="0"/>
    <w:pPr>
      <w:adjustRightInd w:val="0"/>
      <w:snapToGrid w:val="0"/>
    </w:pPr>
    <w:rPr>
      <w:rFonts w:hAnsi="宋体"/>
    </w:rPr>
  </w:style>
  <w:style w:type="character" w:customStyle="1" w:styleId="676">
    <w:name w:val="Char1 Char Char Char Char"/>
    <w:qFormat/>
    <w:uiPriority w:val="0"/>
    <w:rPr>
      <w:rFonts w:ascii="黑体" w:hAnsi="Arial" w:eastAsia="宋体" w:cs="宋体"/>
      <w:bCs/>
      <w:kern w:val="2"/>
      <w:sz w:val="28"/>
      <w:szCs w:val="32"/>
      <w:lang w:val="en-US" w:eastAsia="zh-CN" w:bidi="ar-SA"/>
    </w:rPr>
  </w:style>
  <w:style w:type="character" w:customStyle="1" w:styleId="677">
    <w:name w:val="样式 样式 样式 样式 样式 样式 首行缩进:  2 字符3 + 首行缩进:  2 字符 + 首行缩进:  2 字符 + 首行缩... Char"/>
    <w:link w:val="678"/>
    <w:qFormat/>
    <w:uiPriority w:val="0"/>
    <w:rPr>
      <w:rFonts w:ascii="仿宋_GB2312" w:eastAsia="仿宋_GB2312"/>
      <w:kern w:val="2"/>
      <w:sz w:val="28"/>
    </w:rPr>
  </w:style>
  <w:style w:type="paragraph" w:customStyle="1" w:styleId="678">
    <w:name w:val="样式 样式 样式 样式 样式 样式 首行缩进:  2 字符3 + 首行缩进:  2 字符 + 首行缩进:  2 字符 + 首行缩..."/>
    <w:basedOn w:val="1"/>
    <w:link w:val="677"/>
    <w:qFormat/>
    <w:uiPriority w:val="0"/>
    <w:rPr>
      <w:szCs w:val="20"/>
    </w:rPr>
  </w:style>
  <w:style w:type="character" w:customStyle="1" w:styleId="679">
    <w:name w:val="标准正文格式 Char2"/>
    <w:qFormat/>
    <w:uiPriority w:val="0"/>
    <w:rPr>
      <w:rFonts w:ascii="宋体" w:hAnsi="宋体" w:eastAsia="宋体" w:cs="宋体"/>
      <w:bCs/>
      <w:kern w:val="2"/>
      <w:sz w:val="24"/>
      <w:szCs w:val="24"/>
      <w:lang w:val="en-US" w:eastAsia="zh-CN" w:bidi="ar-SA"/>
    </w:rPr>
  </w:style>
  <w:style w:type="character" w:customStyle="1" w:styleId="680">
    <w:name w:val="正文h Char"/>
    <w:link w:val="681"/>
    <w:qFormat/>
    <w:uiPriority w:val="0"/>
    <w:rPr>
      <w:rFonts w:ascii="仿宋_GB2312" w:eastAsia="仿宋_GB2312" w:cs="宋体"/>
      <w:kern w:val="2"/>
      <w:sz w:val="28"/>
    </w:rPr>
  </w:style>
  <w:style w:type="paragraph" w:customStyle="1" w:styleId="681">
    <w:name w:val="正文h"/>
    <w:basedOn w:val="1"/>
    <w:link w:val="680"/>
    <w:qFormat/>
    <w:uiPriority w:val="0"/>
    <w:rPr>
      <w:szCs w:val="20"/>
    </w:rPr>
  </w:style>
  <w:style w:type="character" w:customStyle="1" w:styleId="682">
    <w:name w:val="标题 Char2"/>
    <w:qFormat/>
    <w:uiPriority w:val="0"/>
    <w:rPr>
      <w:rFonts w:ascii="Arial" w:hAnsi="Arial" w:eastAsia="仿宋_GB2312" w:cs="Arial"/>
      <w:b/>
      <w:bCs/>
      <w:sz w:val="32"/>
      <w:szCs w:val="32"/>
      <w:lang w:val="en-US" w:eastAsia="zh-CN" w:bidi="ar-SA"/>
    </w:rPr>
  </w:style>
  <w:style w:type="character" w:customStyle="1" w:styleId="683">
    <w:name w:val="正文1 Char Char1 Char + 小四 黑色1 Char Char Char"/>
    <w:qFormat/>
    <w:uiPriority w:val="0"/>
    <w:rPr>
      <w:rFonts w:eastAsia="仿宋_GB2312"/>
      <w:color w:val="000000"/>
      <w:kern w:val="2"/>
      <w:sz w:val="24"/>
      <w:szCs w:val="24"/>
      <w:lang w:val="en-US" w:eastAsia="zh-CN" w:bidi="ar-SA"/>
    </w:rPr>
  </w:style>
  <w:style w:type="character" w:customStyle="1" w:styleId="684">
    <w:name w:val="四级标题 Char"/>
    <w:qFormat/>
    <w:uiPriority w:val="0"/>
    <w:rPr>
      <w:rFonts w:eastAsia="华文中宋"/>
      <w:kern w:val="2"/>
      <w:sz w:val="28"/>
      <w:szCs w:val="24"/>
      <w:lang w:val="en-US" w:eastAsia="zh-CN" w:bidi="ar-SA"/>
    </w:rPr>
  </w:style>
  <w:style w:type="character" w:customStyle="1" w:styleId="685">
    <w:name w:val="样式 首行缩进:  0.99 厘米 Char Char"/>
    <w:link w:val="686"/>
    <w:qFormat/>
    <w:uiPriority w:val="0"/>
    <w:rPr>
      <w:rFonts w:ascii="仿宋_GB2312" w:eastAsia="仿宋_GB2312" w:cs="宋体"/>
      <w:sz w:val="28"/>
    </w:rPr>
  </w:style>
  <w:style w:type="paragraph" w:customStyle="1" w:styleId="686">
    <w:name w:val="样式 首行缩进:  0.99 厘米"/>
    <w:basedOn w:val="1"/>
    <w:link w:val="685"/>
    <w:qFormat/>
    <w:uiPriority w:val="0"/>
    <w:rPr>
      <w:kern w:val="0"/>
      <w:szCs w:val="20"/>
    </w:rPr>
  </w:style>
  <w:style w:type="character" w:customStyle="1" w:styleId="687">
    <w:name w:val="公正文1 Char Char"/>
    <w:link w:val="688"/>
    <w:qFormat/>
    <w:uiPriority w:val="0"/>
    <w:rPr>
      <w:rFonts w:ascii="宋体" w:hAnsi="宋体" w:eastAsia="仿宋_GB2312"/>
      <w:color w:val="000000"/>
      <w:sz w:val="28"/>
      <w:szCs w:val="24"/>
      <w:lang w:val="en-US" w:eastAsia="zh-CN" w:bidi="ar-SA"/>
    </w:rPr>
  </w:style>
  <w:style w:type="paragraph" w:customStyle="1" w:styleId="688">
    <w:name w:val="公正文1"/>
    <w:link w:val="687"/>
    <w:qFormat/>
    <w:uiPriority w:val="0"/>
    <w:pPr>
      <w:widowControl w:val="0"/>
      <w:adjustRightInd w:val="0"/>
      <w:snapToGrid w:val="0"/>
      <w:spacing w:line="353" w:lineRule="auto"/>
      <w:ind w:firstLine="560" w:firstLineChars="200"/>
      <w:jc w:val="both"/>
    </w:pPr>
    <w:rPr>
      <w:rFonts w:ascii="宋体" w:hAnsi="宋体" w:eastAsia="仿宋_GB2312" w:cs="Times New Roman"/>
      <w:color w:val="000000"/>
      <w:sz w:val="28"/>
      <w:szCs w:val="24"/>
      <w:lang w:val="en-US" w:eastAsia="zh-CN" w:bidi="ar-SA"/>
    </w:rPr>
  </w:style>
  <w:style w:type="character" w:customStyle="1" w:styleId="689">
    <w:name w:val="样式 标题 3SottoparagrafoChar1 Char Char Char3h33rd levelH3l3...2 Char Char Char"/>
    <w:link w:val="690"/>
    <w:qFormat/>
    <w:uiPriority w:val="0"/>
    <w:rPr>
      <w:rFonts w:ascii="Arial" w:hAnsi="Arial" w:eastAsia="方正小标宋_GBK" w:cs="Courier New"/>
      <w:bCs/>
      <w:sz w:val="28"/>
      <w:szCs w:val="21"/>
    </w:rPr>
  </w:style>
  <w:style w:type="paragraph" w:customStyle="1" w:styleId="690">
    <w:name w:val="样式 标题 3SottoparagrafoChar1 Char Char Char3h33rd levelH3l3...2 Char Char"/>
    <w:basedOn w:val="7"/>
    <w:link w:val="689"/>
    <w:qFormat/>
    <w:uiPriority w:val="0"/>
    <w:pPr>
      <w:keepNext/>
      <w:keepLines/>
      <w:adjustRightInd w:val="0"/>
      <w:jc w:val="left"/>
      <w:textAlignment w:val="baseline"/>
    </w:pPr>
    <w:rPr>
      <w:rFonts w:ascii="Arial"/>
      <w:kern w:val="0"/>
      <w:szCs w:val="21"/>
    </w:rPr>
  </w:style>
  <w:style w:type="character" w:customStyle="1" w:styleId="691">
    <w:name w:val="样式 样式 样式 样式 样式 hy正文 + 首行缩进:  2 字符 + 首行缩进:  2 字符1 + 首行缩进:  2 字符 +... Char"/>
    <w:link w:val="692"/>
    <w:qFormat/>
    <w:uiPriority w:val="0"/>
    <w:rPr>
      <w:rFonts w:ascii="仿宋_GB2312" w:eastAsia="仿宋_GB2312" w:cs="宋体"/>
      <w:sz w:val="24"/>
    </w:rPr>
  </w:style>
  <w:style w:type="paragraph" w:customStyle="1" w:styleId="692">
    <w:name w:val="样式 样式 样式 样式 样式 hy正文 + 首行缩进:  2 字符 + 首行缩进:  2 字符1 + 首行缩进:  2 字符 +..."/>
    <w:basedOn w:val="1"/>
    <w:link w:val="691"/>
    <w:qFormat/>
    <w:uiPriority w:val="0"/>
    <w:pPr>
      <w:spacing w:line="460" w:lineRule="exact"/>
      <w:ind w:firstLine="480"/>
    </w:pPr>
    <w:rPr>
      <w:kern w:val="0"/>
      <w:sz w:val="24"/>
      <w:szCs w:val="20"/>
    </w:rPr>
  </w:style>
  <w:style w:type="character" w:customStyle="1" w:styleId="693">
    <w:name w:val="Char Char101"/>
    <w:qFormat/>
    <w:uiPriority w:val="0"/>
    <w:rPr>
      <w:rFonts w:ascii="Arial" w:hAnsi="Arial" w:eastAsia="宋体" w:cs="Arial"/>
      <w:b/>
      <w:bCs/>
      <w:kern w:val="2"/>
      <w:sz w:val="32"/>
      <w:szCs w:val="32"/>
      <w:lang w:val="en-US" w:eastAsia="zh-CN" w:bidi="ar-SA"/>
    </w:rPr>
  </w:style>
  <w:style w:type="character" w:customStyle="1" w:styleId="694">
    <w:name w:val="tm Char"/>
    <w:qFormat/>
    <w:uiPriority w:val="0"/>
    <w:rPr>
      <w:rFonts w:ascii="黑体" w:hAnsi="宋体" w:eastAsia="黑体"/>
      <w:sz w:val="24"/>
      <w:szCs w:val="24"/>
      <w:lang w:val="en-US" w:eastAsia="zh-CN" w:bidi="ar-SA"/>
    </w:rPr>
  </w:style>
  <w:style w:type="character" w:customStyle="1" w:styleId="695">
    <w:name w:val="需要修改 Char"/>
    <w:qFormat/>
    <w:uiPriority w:val="0"/>
    <w:rPr>
      <w:rFonts w:ascii="宋体" w:hAnsi="宋体" w:eastAsia="宋体"/>
      <w:color w:val="FF0000"/>
      <w:spacing w:val="4"/>
      <w:kern w:val="2"/>
      <w:sz w:val="24"/>
      <w:szCs w:val="28"/>
      <w:lang w:val="en-US" w:eastAsia="zh-CN" w:bidi="ar-SA"/>
    </w:rPr>
  </w:style>
  <w:style w:type="character" w:customStyle="1" w:styleId="696">
    <w:name w:val="表格名称 Char"/>
    <w:qFormat/>
    <w:uiPriority w:val="0"/>
    <w:rPr>
      <w:rFonts w:eastAsia="黑体"/>
      <w:snapToGrid/>
      <w:w w:val="90"/>
      <w:sz w:val="28"/>
      <w:lang w:val="en-US" w:eastAsia="zh-CN" w:bidi="ar-SA"/>
    </w:rPr>
  </w:style>
  <w:style w:type="character" w:customStyle="1" w:styleId="697">
    <w:name w:val="正文文本 Char1"/>
    <w:qFormat/>
    <w:uiPriority w:val="0"/>
    <w:rPr>
      <w:rFonts w:ascii="Times New Roman" w:hAnsi="Times New Roman" w:eastAsia="仿宋_GB2312"/>
      <w:kern w:val="2"/>
      <w:sz w:val="28"/>
      <w:szCs w:val="24"/>
    </w:rPr>
  </w:style>
  <w:style w:type="character" w:customStyle="1" w:styleId="698">
    <w:name w:val="标题6 Char Char Char"/>
    <w:link w:val="699"/>
    <w:qFormat/>
    <w:uiPriority w:val="0"/>
    <w:rPr>
      <w:bCs/>
      <w:snapToGrid/>
      <w:sz w:val="24"/>
      <w:szCs w:val="24"/>
      <w:u w:val="none" w:color="000000"/>
    </w:rPr>
  </w:style>
  <w:style w:type="paragraph" w:customStyle="1" w:styleId="699">
    <w:name w:val="标题6 Char Char"/>
    <w:basedOn w:val="10"/>
    <w:link w:val="698"/>
    <w:qFormat/>
    <w:uiPriority w:val="0"/>
    <w:pPr>
      <w:keepLines w:val="0"/>
      <w:widowControl w:val="0"/>
      <w:numPr>
        <w:ilvl w:val="5"/>
        <w:numId w:val="2"/>
      </w:numPr>
      <w:tabs>
        <w:tab w:val="left" w:pos="340"/>
        <w:tab w:val="left" w:pos="1152"/>
      </w:tabs>
      <w:adjustRightInd w:val="0"/>
      <w:snapToGrid w:val="0"/>
      <w:spacing w:before="0" w:after="0" w:line="360" w:lineRule="auto"/>
      <w:ind w:firstLine="0"/>
      <w:jc w:val="both"/>
    </w:pPr>
    <w:rPr>
      <w:rFonts w:ascii="Times New Roman" w:hAnsi="Times New Roman" w:eastAsia="宋体"/>
      <w:b w:val="0"/>
      <w:bCs/>
      <w:szCs w:val="24"/>
      <w:u w:val="none" w:color="000000"/>
    </w:rPr>
  </w:style>
  <w:style w:type="character" w:customStyle="1" w:styleId="700">
    <w:name w:val="表格文字 Char1"/>
    <w:qFormat/>
    <w:uiPriority w:val="0"/>
    <w:rPr>
      <w:rFonts w:eastAsia="宋体"/>
      <w:kern w:val="2"/>
      <w:sz w:val="21"/>
      <w:szCs w:val="24"/>
      <w:lang w:val="en-US" w:eastAsia="zh-CN" w:bidi="ar-SA"/>
    </w:rPr>
  </w:style>
  <w:style w:type="character" w:customStyle="1" w:styleId="701">
    <w:name w:val="H Char"/>
    <w:qFormat/>
    <w:uiPriority w:val="0"/>
    <w:rPr>
      <w:rFonts w:ascii="Arial" w:hAnsi="Arial" w:eastAsia="宋体"/>
      <w:sz w:val="28"/>
      <w:lang w:val="en-US" w:eastAsia="zh-CN" w:bidi="ar-SA"/>
    </w:rPr>
  </w:style>
  <w:style w:type="character" w:customStyle="1" w:styleId="702">
    <w:name w:val="批注文字 字符"/>
    <w:qFormat/>
    <w:uiPriority w:val="0"/>
    <w:rPr>
      <w:rFonts w:ascii="仿宋_GB2312" w:hAnsi="Times New Roman" w:eastAsia="仿宋_GB2312" w:cs="Times New Roman"/>
      <w:kern w:val="0"/>
      <w:sz w:val="28"/>
      <w:szCs w:val="28"/>
    </w:rPr>
  </w:style>
  <w:style w:type="character" w:customStyle="1" w:styleId="703">
    <w:name w:val="Char Char43"/>
    <w:qFormat/>
    <w:uiPriority w:val="0"/>
    <w:rPr>
      <w:rFonts w:ascii="Arial" w:hAnsi="Arial" w:eastAsia="黑体"/>
      <w:color w:val="000000"/>
      <w:kern w:val="44"/>
      <w:sz w:val="36"/>
      <w:lang w:bidi="ar-SA"/>
    </w:rPr>
  </w:style>
  <w:style w:type="character" w:customStyle="1" w:styleId="704">
    <w:name w:val="图表标题 Char Char1"/>
    <w:qFormat/>
    <w:uiPriority w:val="0"/>
    <w:rPr>
      <w:rFonts w:ascii="Times New Roman" w:hAnsi="Times New Roman" w:eastAsia="黑体" w:cs="Arial"/>
      <w:kern w:val="2"/>
      <w:sz w:val="24"/>
      <w:szCs w:val="28"/>
      <w:lang w:val="en-US" w:eastAsia="zh-CN" w:bidi="ar-SA"/>
    </w:rPr>
  </w:style>
  <w:style w:type="character" w:customStyle="1" w:styleId="705">
    <w:name w:val="表格2 Char"/>
    <w:link w:val="706"/>
    <w:qFormat/>
    <w:uiPriority w:val="0"/>
    <w:rPr>
      <w:sz w:val="21"/>
      <w:szCs w:val="24"/>
    </w:rPr>
  </w:style>
  <w:style w:type="paragraph" w:customStyle="1" w:styleId="706">
    <w:name w:val="表格2"/>
    <w:basedOn w:val="1"/>
    <w:next w:val="1"/>
    <w:link w:val="705"/>
    <w:qFormat/>
    <w:uiPriority w:val="0"/>
    <w:pPr>
      <w:spacing w:line="360" w:lineRule="exact"/>
      <w:ind w:firstLine="0" w:firstLineChars="0"/>
      <w:jc w:val="center"/>
    </w:pPr>
    <w:rPr>
      <w:rFonts w:ascii="Times New Roman" w:eastAsia="宋体"/>
      <w:kern w:val="0"/>
      <w:sz w:val="21"/>
      <w:szCs w:val="24"/>
    </w:rPr>
  </w:style>
  <w:style w:type="character" w:customStyle="1" w:styleId="707">
    <w:name w:val="标题 3（石） Char Char"/>
    <w:qFormat/>
    <w:uiPriority w:val="0"/>
    <w:rPr>
      <w:rFonts w:ascii="Arial" w:hAnsi="Arial" w:eastAsia="黑体" w:cs="Verdana"/>
      <w:b/>
      <w:bCs/>
      <w:kern w:val="2"/>
      <w:sz w:val="28"/>
      <w:szCs w:val="32"/>
      <w:lang w:val="en-US" w:eastAsia="zh-CN" w:bidi="ar-SA"/>
    </w:rPr>
  </w:style>
  <w:style w:type="character" w:customStyle="1" w:styleId="708">
    <w:name w:val="Char Char22"/>
    <w:qFormat/>
    <w:uiPriority w:val="0"/>
    <w:rPr>
      <w:rFonts w:ascii="Arial" w:hAnsi="Arial" w:eastAsia="黑体" w:cs="Times New Roman"/>
      <w:sz w:val="28"/>
      <w:szCs w:val="21"/>
    </w:rPr>
  </w:style>
  <w:style w:type="character" w:customStyle="1" w:styleId="709">
    <w:name w:val="Char Char11"/>
    <w:qFormat/>
    <w:uiPriority w:val="0"/>
    <w:rPr>
      <w:rFonts w:eastAsia="宋体"/>
      <w:b/>
      <w:bCs/>
      <w:kern w:val="44"/>
      <w:sz w:val="44"/>
      <w:szCs w:val="44"/>
      <w:lang w:val="en-US" w:eastAsia="zh-CN" w:bidi="ar-SA"/>
    </w:rPr>
  </w:style>
  <w:style w:type="character" w:customStyle="1" w:styleId="710">
    <w:name w:val="题注 字符"/>
    <w:qFormat/>
    <w:uiPriority w:val="0"/>
    <w:rPr>
      <w:rFonts w:ascii="Arial" w:hAnsi="Arial" w:eastAsia="黑体" w:cs="Arial"/>
      <w:sz w:val="20"/>
      <w:szCs w:val="20"/>
    </w:rPr>
  </w:style>
  <w:style w:type="character" w:customStyle="1" w:styleId="711">
    <w:name w:val="Char Char24"/>
    <w:qFormat/>
    <w:uiPriority w:val="0"/>
    <w:rPr>
      <w:rFonts w:ascii="宋体" w:hAnsi="宋体" w:eastAsia="宋体" w:cs="Times New Roman"/>
      <w:color w:val="000000"/>
      <w:sz w:val="20"/>
      <w:szCs w:val="20"/>
    </w:rPr>
  </w:style>
  <w:style w:type="character" w:customStyle="1" w:styleId="712">
    <w:name w:val="样式 (中文) 方正小标宋简体 四号 行距: 1.5 倍行距 Char Char"/>
    <w:qFormat/>
    <w:uiPriority w:val="0"/>
    <w:rPr>
      <w:rFonts w:ascii="楷体_GB2312" w:hAnsi="Arial" w:eastAsia="楷体_GB2312" w:cs="宋体"/>
      <w:kern w:val="2"/>
      <w:sz w:val="28"/>
      <w:szCs w:val="24"/>
      <w:lang w:val="en-US" w:eastAsia="zh-CN" w:bidi="ar-SA"/>
    </w:rPr>
  </w:style>
  <w:style w:type="character" w:customStyle="1" w:styleId="713">
    <w:name w:val="样式 样式 表文 + 左  -0.5 字符 + 加粗 左侧:  -0.5 字符 右侧:  -0.5 字符 段前: 11.6... Char"/>
    <w:qFormat/>
    <w:uiPriority w:val="0"/>
    <w:rPr>
      <w:rFonts w:ascii="Times New Roman" w:hAnsi="Times New Roman" w:eastAsia="宋体" w:cs="宋体"/>
      <w:snapToGrid w:val="0"/>
      <w:color w:val="000000"/>
      <w:kern w:val="2"/>
      <w:sz w:val="21"/>
      <w:szCs w:val="21"/>
      <w:lang w:val="en-US" w:eastAsia="zh-CN" w:bidi="ar-SA"/>
    </w:rPr>
  </w:style>
  <w:style w:type="character" w:customStyle="1" w:styleId="714">
    <w:name w:val="标题 5 字符"/>
    <w:qFormat/>
    <w:uiPriority w:val="0"/>
    <w:rPr>
      <w:rFonts w:ascii="Arial" w:hAnsi="Arial" w:eastAsia="仿宋_GB2312"/>
      <w:bCs/>
      <w:sz w:val="28"/>
      <w:szCs w:val="28"/>
    </w:rPr>
  </w:style>
  <w:style w:type="character" w:customStyle="1" w:styleId="715">
    <w:name w:val="博士论文题注 Char"/>
    <w:link w:val="716"/>
    <w:qFormat/>
    <w:uiPriority w:val="0"/>
    <w:rPr>
      <w:b/>
      <w:kern w:val="2"/>
      <w:sz w:val="21"/>
      <w:szCs w:val="24"/>
    </w:rPr>
  </w:style>
  <w:style w:type="paragraph" w:customStyle="1" w:styleId="716">
    <w:name w:val="博士论文题注"/>
    <w:basedOn w:val="1"/>
    <w:link w:val="715"/>
    <w:qFormat/>
    <w:uiPriority w:val="0"/>
    <w:pPr>
      <w:spacing w:beforeLines="50" w:afterLines="50" w:line="240" w:lineRule="auto"/>
      <w:ind w:firstLine="0" w:firstLineChars="0"/>
      <w:jc w:val="center"/>
      <w:textAlignment w:val="center"/>
    </w:pPr>
    <w:rPr>
      <w:rFonts w:ascii="Times New Roman" w:eastAsia="宋体"/>
      <w:b/>
      <w:sz w:val="21"/>
      <w:szCs w:val="24"/>
    </w:rPr>
  </w:style>
  <w:style w:type="character" w:customStyle="1" w:styleId="717">
    <w:name w:val="grame"/>
    <w:semiHidden/>
    <w:qFormat/>
    <w:uiPriority w:val="0"/>
  </w:style>
  <w:style w:type="character" w:customStyle="1" w:styleId="718">
    <w:name w:val="仿宋四28磅 Char"/>
    <w:link w:val="719"/>
    <w:qFormat/>
    <w:uiPriority w:val="0"/>
    <w:rPr>
      <w:rFonts w:eastAsia="仿宋_GB2312"/>
      <w:sz w:val="28"/>
      <w:szCs w:val="24"/>
      <w:u w:val="none" w:color="000000"/>
    </w:rPr>
  </w:style>
  <w:style w:type="paragraph" w:customStyle="1" w:styleId="719">
    <w:name w:val="仿宋四28磅"/>
    <w:basedOn w:val="1"/>
    <w:link w:val="718"/>
    <w:qFormat/>
    <w:uiPriority w:val="0"/>
    <w:pPr>
      <w:spacing w:line="360" w:lineRule="auto"/>
      <w:ind w:firstLine="560"/>
    </w:pPr>
    <w:rPr>
      <w:rFonts w:ascii="Times New Roman"/>
      <w:kern w:val="0"/>
      <w:szCs w:val="24"/>
      <w:u w:val="none" w:color="000000"/>
    </w:rPr>
  </w:style>
  <w:style w:type="character" w:customStyle="1" w:styleId="720">
    <w:name w:val="样式 标题 3SottoparagrafoChar1 Char Char Char3h33rd levelH3l3...3 Char"/>
    <w:link w:val="721"/>
    <w:qFormat/>
    <w:uiPriority w:val="0"/>
    <w:rPr>
      <w:rFonts w:ascii="Arial" w:hAnsi="Arial" w:eastAsia="方正小标宋_GBK" w:cs="Courier New"/>
      <w:sz w:val="28"/>
      <w:szCs w:val="21"/>
    </w:rPr>
  </w:style>
  <w:style w:type="paragraph" w:customStyle="1" w:styleId="721">
    <w:name w:val="样式 标题 3SottoparagrafoChar1 Char Char Char3h33rd levelH3l3...3"/>
    <w:basedOn w:val="7"/>
    <w:link w:val="720"/>
    <w:qFormat/>
    <w:uiPriority w:val="0"/>
    <w:pPr>
      <w:keepNext/>
      <w:keepLines/>
      <w:jc w:val="left"/>
    </w:pPr>
    <w:rPr>
      <w:rFonts w:ascii="Arial"/>
      <w:bCs w:val="0"/>
      <w:kern w:val="0"/>
      <w:szCs w:val="21"/>
    </w:rPr>
  </w:style>
  <w:style w:type="character" w:customStyle="1" w:styleId="722">
    <w:name w:val="ldl正文 Char"/>
    <w:link w:val="723"/>
    <w:qFormat/>
    <w:uiPriority w:val="0"/>
    <w:rPr>
      <w:color w:val="000000"/>
      <w:kern w:val="2"/>
      <w:sz w:val="24"/>
      <w:szCs w:val="24"/>
    </w:rPr>
  </w:style>
  <w:style w:type="paragraph" w:customStyle="1" w:styleId="723">
    <w:name w:val="ldl正文"/>
    <w:basedOn w:val="1"/>
    <w:link w:val="722"/>
    <w:qFormat/>
    <w:uiPriority w:val="0"/>
    <w:pPr>
      <w:spacing w:line="360" w:lineRule="auto"/>
    </w:pPr>
    <w:rPr>
      <w:rFonts w:ascii="Times New Roman" w:eastAsia="宋体"/>
      <w:color w:val="000000"/>
      <w:sz w:val="24"/>
      <w:szCs w:val="24"/>
    </w:rPr>
  </w:style>
  <w:style w:type="character" w:customStyle="1" w:styleId="724">
    <w:name w:val="页眉 字符1"/>
    <w:qFormat/>
    <w:uiPriority w:val="0"/>
    <w:rPr>
      <w:kern w:val="2"/>
      <w:sz w:val="18"/>
      <w:szCs w:val="18"/>
    </w:rPr>
  </w:style>
  <w:style w:type="character" w:customStyle="1" w:styleId="725">
    <w:name w:val="宏文本 字符"/>
    <w:qFormat/>
    <w:uiPriority w:val="0"/>
    <w:rPr>
      <w:rFonts w:ascii="Courier New" w:hAnsi="Courier New" w:eastAsia="宋体" w:cs="Courier New"/>
      <w:kern w:val="0"/>
      <w:sz w:val="24"/>
      <w:szCs w:val="24"/>
    </w:rPr>
  </w:style>
  <w:style w:type="character" w:customStyle="1" w:styleId="726">
    <w:name w:val="页脚 字符1"/>
    <w:qFormat/>
    <w:uiPriority w:val="99"/>
    <w:rPr>
      <w:kern w:val="2"/>
      <w:sz w:val="18"/>
      <w:szCs w:val="18"/>
    </w:rPr>
  </w:style>
  <w:style w:type="character" w:customStyle="1" w:styleId="727">
    <w:name w:val="ddd Char"/>
    <w:link w:val="728"/>
    <w:qFormat/>
    <w:uiPriority w:val="0"/>
    <w:rPr>
      <w:rFonts w:ascii="黑体" w:eastAsia="黑体"/>
      <w:color w:val="000000"/>
      <w:sz w:val="24"/>
      <w:szCs w:val="24"/>
      <w:lang w:val="zh-CN"/>
    </w:rPr>
  </w:style>
  <w:style w:type="paragraph" w:customStyle="1" w:styleId="728">
    <w:name w:val="ddd"/>
    <w:basedOn w:val="544"/>
    <w:link w:val="727"/>
    <w:qFormat/>
    <w:uiPriority w:val="0"/>
    <w:pPr>
      <w:autoSpaceDE w:val="0"/>
      <w:autoSpaceDN w:val="0"/>
      <w:adjustRightInd/>
      <w:snapToGrid/>
      <w:ind w:firstLine="0" w:firstLineChars="0"/>
      <w:jc w:val="center"/>
    </w:pPr>
    <w:rPr>
      <w:color w:val="000000"/>
      <w:kern w:val="0"/>
      <w:lang w:val="zh-CN"/>
    </w:rPr>
  </w:style>
  <w:style w:type="character" w:customStyle="1" w:styleId="729">
    <w:name w:val="z-窗体底端 字符1"/>
    <w:qFormat/>
    <w:uiPriority w:val="0"/>
    <w:rPr>
      <w:rFonts w:ascii="Arial" w:hAnsi="Arial" w:cs="Arial"/>
      <w:vanish/>
      <w:sz w:val="16"/>
      <w:szCs w:val="16"/>
    </w:rPr>
  </w:style>
  <w:style w:type="character" w:customStyle="1" w:styleId="730">
    <w:name w:val="第二级 节 Char"/>
    <w:link w:val="731"/>
    <w:qFormat/>
    <w:locked/>
    <w:uiPriority w:val="0"/>
    <w:rPr>
      <w:rFonts w:ascii="Arial" w:hAnsi="Arial" w:eastAsia="黑体"/>
      <w:sz w:val="24"/>
    </w:rPr>
  </w:style>
  <w:style w:type="paragraph" w:customStyle="1" w:styleId="731">
    <w:name w:val="第二级 节"/>
    <w:basedOn w:val="5"/>
    <w:next w:val="1"/>
    <w:link w:val="730"/>
    <w:qFormat/>
    <w:uiPriority w:val="0"/>
    <w:pPr>
      <w:keepNext/>
      <w:keepLines/>
      <w:tabs>
        <w:tab w:val="left" w:pos="567"/>
      </w:tabs>
      <w:spacing w:before="0" w:beforeLines="600" w:after="0" w:afterLines="600" w:line="416" w:lineRule="auto"/>
      <w:ind w:left="567" w:hanging="567"/>
      <w:jc w:val="center"/>
    </w:pPr>
    <w:rPr>
      <w:rFonts w:ascii="Arial" w:hAnsi="Arial"/>
      <w:bCs w:val="0"/>
      <w:kern w:val="0"/>
      <w:sz w:val="24"/>
      <w:szCs w:val="20"/>
    </w:rPr>
  </w:style>
  <w:style w:type="character" w:customStyle="1" w:styleId="732">
    <w:name w:val="报告正文 Char1"/>
    <w:qFormat/>
    <w:uiPriority w:val="0"/>
    <w:rPr>
      <w:rFonts w:eastAsia="宋体"/>
      <w:kern w:val="2"/>
      <w:sz w:val="24"/>
      <w:lang w:val="en-US" w:eastAsia="zh-CN" w:bidi="ar-SA"/>
    </w:rPr>
  </w:style>
  <w:style w:type="character" w:customStyle="1" w:styleId="733">
    <w:name w:val="样式4 Char4"/>
    <w:semiHidden/>
    <w:qFormat/>
    <w:uiPriority w:val="0"/>
    <w:rPr>
      <w:rFonts w:ascii="仿宋_GB2312" w:hAnsi="Times New Roman" w:eastAsia="仿宋_GB2312" w:cs="Times New Roman"/>
      <w:sz w:val="28"/>
      <w:szCs w:val="24"/>
    </w:rPr>
  </w:style>
  <w:style w:type="character" w:customStyle="1" w:styleId="734">
    <w:name w:val="表格标题 Char Char Char Char"/>
    <w:semiHidden/>
    <w:qFormat/>
    <w:uiPriority w:val="0"/>
    <w:rPr>
      <w:rFonts w:ascii="Arial" w:hAnsi="Arial" w:eastAsia="黑体"/>
      <w:snapToGrid/>
      <w:spacing w:val="14"/>
      <w:kern w:val="24"/>
      <w:sz w:val="24"/>
      <w:szCs w:val="24"/>
      <w:lang w:val="en-US" w:eastAsia="zh-CN" w:bidi="ar-SA"/>
    </w:rPr>
  </w:style>
  <w:style w:type="character" w:customStyle="1" w:styleId="735">
    <w:name w:val="正  文 Char2"/>
    <w:qFormat/>
    <w:uiPriority w:val="0"/>
    <w:rPr>
      <w:rFonts w:ascii="Times New Roman" w:hAnsi="Times New Roman" w:eastAsia="仿宋_GB2312" w:cs="Times New Roman"/>
      <w:kern w:val="0"/>
      <w:sz w:val="28"/>
      <w:szCs w:val="28"/>
    </w:rPr>
  </w:style>
  <w:style w:type="character" w:customStyle="1" w:styleId="736">
    <w:name w:val="表格1 Char"/>
    <w:qFormat/>
    <w:uiPriority w:val="0"/>
    <w:rPr>
      <w:rFonts w:ascii="楷体_GB2312" w:eastAsia="楷体_GB2312"/>
      <w:sz w:val="21"/>
      <w:szCs w:val="21"/>
      <w:lang w:val="en-US" w:eastAsia="zh-CN" w:bidi="ar-SA"/>
    </w:rPr>
  </w:style>
  <w:style w:type="character" w:customStyle="1" w:styleId="737">
    <w:name w:val="font31"/>
    <w:qFormat/>
    <w:uiPriority w:val="0"/>
    <w:rPr>
      <w:rFonts w:hint="default" w:ascii="Times New Roman" w:hAnsi="Times New Roman" w:cs="Times New Roman"/>
      <w:color w:val="0000FF"/>
      <w:sz w:val="24"/>
      <w:szCs w:val="24"/>
      <w:u w:val="none"/>
    </w:rPr>
  </w:style>
  <w:style w:type="character" w:customStyle="1" w:styleId="738">
    <w:name w:val="正文hy 首行缩进:  2 字符1 + (西文) Times New Roman 首行缩进:  2 字符 Char"/>
    <w:link w:val="739"/>
    <w:qFormat/>
    <w:uiPriority w:val="0"/>
    <w:rPr>
      <w:rFonts w:eastAsia="仿宋_GB2312"/>
      <w:kern w:val="2"/>
      <w:sz w:val="28"/>
    </w:rPr>
  </w:style>
  <w:style w:type="paragraph" w:customStyle="1" w:styleId="739">
    <w:name w:val="正文hy 首行缩进:  2 字符1 + (西文) Times New Roman 首行缩进:  2 字符"/>
    <w:basedOn w:val="1"/>
    <w:link w:val="738"/>
    <w:qFormat/>
    <w:uiPriority w:val="0"/>
    <w:pPr>
      <w:ind w:firstLine="560"/>
    </w:pPr>
    <w:rPr>
      <w:rFonts w:ascii="Times New Roman"/>
      <w:szCs w:val="20"/>
    </w:rPr>
  </w:style>
  <w:style w:type="character" w:customStyle="1" w:styleId="740">
    <w:name w:val="正文文本 2 字符2"/>
    <w:qFormat/>
    <w:uiPriority w:val="0"/>
    <w:rPr>
      <w:kern w:val="2"/>
      <w:sz w:val="21"/>
      <w:szCs w:val="24"/>
    </w:rPr>
  </w:style>
  <w:style w:type="character" w:customStyle="1" w:styleId="741">
    <w:name w:val="样式 表名 + 首行缩进:  1 字符2 Char"/>
    <w:link w:val="742"/>
    <w:qFormat/>
    <w:uiPriority w:val="0"/>
    <w:rPr>
      <w:rFonts w:ascii="黑体" w:hAnsi="宋体" w:eastAsia="黑体" w:cs="宋体"/>
      <w:sz w:val="24"/>
    </w:rPr>
  </w:style>
  <w:style w:type="paragraph" w:customStyle="1" w:styleId="742">
    <w:name w:val="样式 表名 + 首行缩进:  1 字符2"/>
    <w:basedOn w:val="1"/>
    <w:link w:val="741"/>
    <w:qFormat/>
    <w:uiPriority w:val="0"/>
    <w:pPr>
      <w:adjustRightInd w:val="0"/>
      <w:spacing w:after="60"/>
      <w:ind w:firstLine="100" w:firstLineChars="100"/>
      <w:textAlignment w:val="baseline"/>
    </w:pPr>
    <w:rPr>
      <w:rFonts w:ascii="黑体" w:hAnsi="宋体" w:eastAsia="黑体"/>
      <w:kern w:val="0"/>
      <w:sz w:val="24"/>
      <w:szCs w:val="20"/>
    </w:rPr>
  </w:style>
  <w:style w:type="character" w:customStyle="1" w:styleId="743">
    <w:name w:val="正正文 Char"/>
    <w:link w:val="744"/>
    <w:qFormat/>
    <w:uiPriority w:val="0"/>
    <w:rPr>
      <w:rFonts w:eastAsia="仿宋_GB2312"/>
      <w:sz w:val="28"/>
      <w:szCs w:val="28"/>
      <w:lang w:val="zh-CN"/>
    </w:rPr>
  </w:style>
  <w:style w:type="paragraph" w:customStyle="1" w:styleId="744">
    <w:name w:val="正正文"/>
    <w:basedOn w:val="1"/>
    <w:link w:val="743"/>
    <w:qFormat/>
    <w:uiPriority w:val="0"/>
    <w:pPr>
      <w:widowControl/>
      <w:spacing w:line="240" w:lineRule="auto"/>
      <w:jc w:val="left"/>
      <w:textAlignment w:val="baseline"/>
    </w:pPr>
    <w:rPr>
      <w:rFonts w:ascii="Times New Roman"/>
      <w:kern w:val="0"/>
      <w:lang w:val="zh-CN"/>
    </w:rPr>
  </w:style>
  <w:style w:type="character" w:customStyle="1" w:styleId="745">
    <w:name w:val="样式 正文1 + 首行缩进:  1 字符 段后: 0.5 行 Char"/>
    <w:link w:val="746"/>
    <w:qFormat/>
    <w:uiPriority w:val="0"/>
    <w:rPr>
      <w:rFonts w:ascii="楷体_GB2312" w:eastAsia="楷体_GB2312" w:cs="宋体"/>
      <w:kern w:val="2"/>
      <w:sz w:val="28"/>
    </w:rPr>
  </w:style>
  <w:style w:type="paragraph" w:customStyle="1" w:styleId="746">
    <w:name w:val="样式 正文1 + 首行缩进:  1 字符 段后: 0.5 行"/>
    <w:basedOn w:val="649"/>
    <w:link w:val="745"/>
    <w:qFormat/>
    <w:uiPriority w:val="0"/>
    <w:pPr>
      <w:widowControl w:val="0"/>
      <w:spacing w:line="560" w:lineRule="exact"/>
      <w:ind w:firstLine="200" w:firstLineChars="200"/>
    </w:pPr>
    <w:rPr>
      <w:rFonts w:ascii="楷体_GB2312" w:hAnsi="Times New Roman" w:eastAsia="楷体_GB2312"/>
      <w:sz w:val="28"/>
      <w:szCs w:val="20"/>
    </w:rPr>
  </w:style>
  <w:style w:type="character" w:customStyle="1" w:styleId="747">
    <w:name w:val="公表序 Char"/>
    <w:link w:val="748"/>
    <w:qFormat/>
    <w:uiPriority w:val="0"/>
    <w:rPr>
      <w:rFonts w:ascii="黑体" w:eastAsia="黑体"/>
      <w:kern w:val="2"/>
      <w:sz w:val="24"/>
      <w:szCs w:val="24"/>
    </w:rPr>
  </w:style>
  <w:style w:type="paragraph" w:customStyle="1" w:styleId="748">
    <w:name w:val="公表序"/>
    <w:basedOn w:val="1"/>
    <w:link w:val="747"/>
    <w:qFormat/>
    <w:uiPriority w:val="0"/>
    <w:pPr>
      <w:adjustRightInd w:val="0"/>
      <w:snapToGrid w:val="0"/>
      <w:spacing w:line="300" w:lineRule="auto"/>
      <w:ind w:firstLine="100" w:firstLineChars="100"/>
    </w:pPr>
    <w:rPr>
      <w:rFonts w:ascii="黑体" w:eastAsia="黑体"/>
      <w:sz w:val="24"/>
      <w:szCs w:val="24"/>
    </w:rPr>
  </w:style>
  <w:style w:type="character" w:customStyle="1" w:styleId="749">
    <w:name w:val="Char Char151"/>
    <w:qFormat/>
    <w:uiPriority w:val="0"/>
    <w:rPr>
      <w:rFonts w:ascii="仿宋_GB2312" w:eastAsia="仿宋_GB2312"/>
      <w:b/>
      <w:bCs/>
      <w:sz w:val="28"/>
      <w:szCs w:val="28"/>
      <w:lang w:val="en-US" w:eastAsia="zh-CN" w:bidi="ar-SA"/>
    </w:rPr>
  </w:style>
  <w:style w:type="character" w:customStyle="1" w:styleId="750">
    <w:name w:val="Char Char3"/>
    <w:qFormat/>
    <w:locked/>
    <w:uiPriority w:val="0"/>
    <w:rPr>
      <w:rFonts w:ascii="仿宋_GB2312" w:hAnsi="Times New Roman" w:eastAsia="宋体" w:cs="Times New Roman"/>
      <w:kern w:val="2"/>
      <w:sz w:val="21"/>
      <w:szCs w:val="24"/>
      <w:lang w:val="en-US" w:eastAsia="zh-CN" w:bidi="ar-SA"/>
    </w:rPr>
  </w:style>
  <w:style w:type="character" w:customStyle="1" w:styleId="751">
    <w:name w:val="题注 字符2"/>
    <w:qFormat/>
    <w:uiPriority w:val="0"/>
    <w:rPr>
      <w:rFonts w:ascii="Arial" w:hAnsi="Arial" w:eastAsia="黑体" w:cs="Arial"/>
      <w:kern w:val="2"/>
    </w:rPr>
  </w:style>
  <w:style w:type="character" w:customStyle="1" w:styleId="752">
    <w:name w:val="正文~ Char"/>
    <w:link w:val="753"/>
    <w:qFormat/>
    <w:uiPriority w:val="0"/>
    <w:rPr>
      <w:rFonts w:eastAsia="仿宋_GB2312" w:cs="宋体"/>
      <w:kern w:val="2"/>
      <w:sz w:val="28"/>
      <w:szCs w:val="28"/>
    </w:rPr>
  </w:style>
  <w:style w:type="paragraph" w:customStyle="1" w:styleId="753">
    <w:name w:val="正文~"/>
    <w:basedOn w:val="1"/>
    <w:link w:val="752"/>
    <w:qFormat/>
    <w:uiPriority w:val="0"/>
    <w:rPr>
      <w:rFonts w:ascii="Times New Roman"/>
    </w:rPr>
  </w:style>
  <w:style w:type="character" w:customStyle="1" w:styleId="754">
    <w:name w:val="正文文本 (2) + 7 pt"/>
    <w:qFormat/>
    <w:uiPriority w:val="0"/>
    <w:rPr>
      <w:rFonts w:ascii="MingLiU" w:eastAsia="MingLiU" w:cs="MingLiU"/>
      <w:spacing w:val="20"/>
      <w:sz w:val="14"/>
      <w:szCs w:val="14"/>
      <w:u w:val="none"/>
      <w:shd w:val="clear" w:color="auto" w:fill="FFFFFF"/>
    </w:rPr>
  </w:style>
  <w:style w:type="character" w:customStyle="1" w:styleId="755">
    <w:name w:val="目录 1 Char1"/>
    <w:qFormat/>
    <w:uiPriority w:val="39"/>
    <w:rPr>
      <w:rFonts w:ascii="Times New Roman" w:hAnsi="Times New Roman" w:eastAsia="黑体" w:cs="Times New Roman"/>
      <w:kern w:val="0"/>
      <w:sz w:val="28"/>
      <w:szCs w:val="28"/>
      <w:lang w:val="en-US" w:eastAsia="zh-CN"/>
    </w:rPr>
  </w:style>
  <w:style w:type="character" w:customStyle="1" w:styleId="756">
    <w:name w:val="Char Char401"/>
    <w:qFormat/>
    <w:uiPriority w:val="0"/>
    <w:rPr>
      <w:rFonts w:ascii="Arial" w:hAnsi="Arial" w:eastAsia="宋体"/>
      <w:bCs/>
      <w:kern w:val="2"/>
      <w:sz w:val="28"/>
      <w:szCs w:val="28"/>
      <w:lang w:bidi="ar-SA"/>
    </w:rPr>
  </w:style>
  <w:style w:type="character" w:customStyle="1" w:styleId="757">
    <w:name w:val="正文文本缩进 字符1"/>
    <w:qFormat/>
    <w:uiPriority w:val="0"/>
    <w:rPr>
      <w:kern w:val="2"/>
      <w:sz w:val="28"/>
    </w:rPr>
  </w:style>
  <w:style w:type="character" w:customStyle="1" w:styleId="758">
    <w:name w:val="font91"/>
    <w:qFormat/>
    <w:uiPriority w:val="0"/>
    <w:rPr>
      <w:rFonts w:hint="default" w:ascii="Times New Roman" w:hAnsi="Times New Roman" w:cs="Times New Roman"/>
      <w:color w:val="000000"/>
      <w:sz w:val="21"/>
      <w:szCs w:val="21"/>
      <w:u w:val="none"/>
    </w:rPr>
  </w:style>
  <w:style w:type="character" w:customStyle="1" w:styleId="759">
    <w:name w:val="方案标题3 Char"/>
    <w:link w:val="760"/>
    <w:qFormat/>
    <w:uiPriority w:val="0"/>
    <w:rPr>
      <w:rFonts w:hAnsi="黑体" w:eastAsia="黑体"/>
      <w:bCs/>
      <w:lang w:val="zh-CN"/>
    </w:rPr>
  </w:style>
  <w:style w:type="paragraph" w:customStyle="1" w:styleId="760">
    <w:name w:val="方案标题3"/>
    <w:basedOn w:val="595"/>
    <w:next w:val="235"/>
    <w:link w:val="759"/>
    <w:qFormat/>
    <w:uiPriority w:val="0"/>
    <w:pPr>
      <w:numPr>
        <w:ilvl w:val="0"/>
        <w:numId w:val="0"/>
      </w:numPr>
      <w:spacing w:beforeLines="50" w:afterLines="50"/>
      <w:ind w:left="900" w:hanging="900"/>
      <w:jc w:val="left"/>
      <w:outlineLvl w:val="2"/>
    </w:pPr>
    <w:rPr>
      <w:rFonts w:hAnsi="黑体"/>
      <w:sz w:val="20"/>
      <w:szCs w:val="20"/>
    </w:rPr>
  </w:style>
  <w:style w:type="character" w:customStyle="1" w:styleId="761">
    <w:name w:val="正文文本 Char2"/>
    <w:qFormat/>
    <w:uiPriority w:val="99"/>
    <w:rPr>
      <w:rFonts w:eastAsia="仿宋_GB2312"/>
      <w:kern w:val="2"/>
      <w:sz w:val="28"/>
      <w:szCs w:val="22"/>
    </w:rPr>
  </w:style>
  <w:style w:type="character" w:customStyle="1" w:styleId="762">
    <w:name w:val="txt14"/>
    <w:semiHidden/>
    <w:qFormat/>
    <w:uiPriority w:val="0"/>
  </w:style>
  <w:style w:type="character" w:customStyle="1" w:styleId="763">
    <w:name w:val="邓杰表头 Char"/>
    <w:link w:val="764"/>
    <w:qFormat/>
    <w:uiPriority w:val="0"/>
    <w:rPr>
      <w:rFonts w:eastAsia="黑体"/>
      <w:bCs/>
      <w:kern w:val="44"/>
      <w:sz w:val="24"/>
      <w:szCs w:val="44"/>
    </w:rPr>
  </w:style>
  <w:style w:type="paragraph" w:customStyle="1" w:styleId="764">
    <w:name w:val="邓杰表头"/>
    <w:basedOn w:val="1"/>
    <w:link w:val="763"/>
    <w:qFormat/>
    <w:uiPriority w:val="0"/>
    <w:pPr>
      <w:widowControl/>
      <w:snapToGrid w:val="0"/>
      <w:ind w:firstLine="240" w:firstLineChars="100"/>
    </w:pPr>
    <w:rPr>
      <w:rFonts w:ascii="Times New Roman" w:eastAsia="黑体"/>
      <w:bCs/>
      <w:kern w:val="44"/>
      <w:sz w:val="24"/>
      <w:szCs w:val="44"/>
    </w:rPr>
  </w:style>
  <w:style w:type="character" w:customStyle="1" w:styleId="765">
    <w:name w:val="样式 表名 + 居中 Char"/>
    <w:link w:val="766"/>
    <w:qFormat/>
    <w:uiPriority w:val="0"/>
    <w:rPr>
      <w:rFonts w:ascii="黑体" w:eastAsia="黑体"/>
      <w:sz w:val="24"/>
      <w:szCs w:val="24"/>
    </w:rPr>
  </w:style>
  <w:style w:type="paragraph" w:customStyle="1" w:styleId="766">
    <w:name w:val="样式 表名 + 居中"/>
    <w:basedOn w:val="624"/>
    <w:link w:val="765"/>
    <w:qFormat/>
    <w:uiPriority w:val="0"/>
    <w:rPr>
      <w:kern w:val="0"/>
      <w:szCs w:val="24"/>
    </w:rPr>
  </w:style>
  <w:style w:type="character" w:customStyle="1" w:styleId="767">
    <w:name w:val="b Char"/>
    <w:link w:val="768"/>
    <w:qFormat/>
    <w:uiPriority w:val="0"/>
    <w:rPr>
      <w:rFonts w:ascii="楷体_GB2312" w:hAnsi="宋体" w:eastAsia="楷体_GB2312"/>
      <w:sz w:val="21"/>
      <w:szCs w:val="21"/>
    </w:rPr>
  </w:style>
  <w:style w:type="paragraph" w:customStyle="1" w:styleId="768">
    <w:name w:val="b"/>
    <w:basedOn w:val="1"/>
    <w:link w:val="767"/>
    <w:qFormat/>
    <w:uiPriority w:val="0"/>
    <w:pPr>
      <w:spacing w:line="240" w:lineRule="auto"/>
      <w:ind w:firstLine="0" w:firstLineChars="0"/>
      <w:jc w:val="center"/>
    </w:pPr>
    <w:rPr>
      <w:rFonts w:ascii="楷体_GB2312" w:hAnsi="宋体" w:eastAsia="楷体_GB2312"/>
      <w:kern w:val="0"/>
      <w:sz w:val="21"/>
      <w:szCs w:val="21"/>
    </w:rPr>
  </w:style>
  <w:style w:type="character" w:customStyle="1" w:styleId="769">
    <w:name w:val="样式 (西文) 仿宋_GB2312 (中文) 仿宋_GB2312 四号 行距: 固定值 28 磅 首行缩进:  2 字符 Char"/>
    <w:link w:val="770"/>
    <w:qFormat/>
    <w:uiPriority w:val="0"/>
    <w:rPr>
      <w:rFonts w:ascii="仿宋_GB2312" w:hAnsi="Calibri" w:eastAsia="仿宋_GB2312"/>
      <w:kern w:val="2"/>
      <w:sz w:val="28"/>
    </w:rPr>
  </w:style>
  <w:style w:type="paragraph" w:customStyle="1" w:styleId="770">
    <w:name w:val="样式 (西文) 仿宋_GB2312 (中文) 仿宋_GB2312 四号 行距: 固定值 28 磅 首行缩进:  2 字符"/>
    <w:basedOn w:val="1"/>
    <w:link w:val="769"/>
    <w:qFormat/>
    <w:uiPriority w:val="0"/>
    <w:rPr>
      <w:rFonts w:hAnsi="Calibri"/>
      <w:szCs w:val="20"/>
    </w:rPr>
  </w:style>
  <w:style w:type="character" w:customStyle="1" w:styleId="771">
    <w:name w:val="样式 首行缩进:  2 字符3 Char Char Char"/>
    <w:link w:val="772"/>
    <w:semiHidden/>
    <w:qFormat/>
    <w:uiPriority w:val="0"/>
    <w:rPr>
      <w:rFonts w:eastAsia="仿宋_GB2312" w:cs="宋体"/>
      <w:sz w:val="28"/>
    </w:rPr>
  </w:style>
  <w:style w:type="paragraph" w:customStyle="1" w:styleId="772">
    <w:name w:val="样式 首行缩进:  2 字符3 Char Char"/>
    <w:basedOn w:val="1"/>
    <w:link w:val="771"/>
    <w:semiHidden/>
    <w:qFormat/>
    <w:uiPriority w:val="0"/>
    <w:pPr>
      <w:spacing w:line="240" w:lineRule="auto"/>
      <w:ind w:firstLine="560"/>
      <w:textAlignment w:val="baseline"/>
    </w:pPr>
    <w:rPr>
      <w:rFonts w:ascii="Times New Roman"/>
      <w:kern w:val="0"/>
      <w:szCs w:val="20"/>
    </w:rPr>
  </w:style>
  <w:style w:type="character" w:customStyle="1" w:styleId="773">
    <w:name w:val="t1"/>
    <w:qFormat/>
    <w:uiPriority w:val="0"/>
  </w:style>
  <w:style w:type="character" w:customStyle="1" w:styleId="774">
    <w:name w:val="样式 黑体 小四 首行缩进:  2 字符 Char"/>
    <w:link w:val="775"/>
    <w:semiHidden/>
    <w:qFormat/>
    <w:uiPriority w:val="0"/>
    <w:rPr>
      <w:rFonts w:ascii="黑体" w:eastAsia="黑体"/>
      <w:kern w:val="2"/>
      <w:sz w:val="24"/>
    </w:rPr>
  </w:style>
  <w:style w:type="paragraph" w:customStyle="1" w:styleId="775">
    <w:name w:val="样式 黑体 小四 首行缩进:  2 字符"/>
    <w:basedOn w:val="1"/>
    <w:link w:val="774"/>
    <w:semiHidden/>
    <w:qFormat/>
    <w:uiPriority w:val="0"/>
    <w:pPr>
      <w:spacing w:after="60"/>
      <w:ind w:firstLine="100" w:firstLineChars="100"/>
    </w:pPr>
    <w:rPr>
      <w:rFonts w:ascii="黑体" w:eastAsia="黑体"/>
      <w:sz w:val="24"/>
      <w:szCs w:val="20"/>
    </w:rPr>
  </w:style>
  <w:style w:type="character" w:customStyle="1" w:styleId="776">
    <w:name w:val="样式 标题 1 + 黑体 小三 黑色 段前: 10 磅 段后: 10 磅 行距: 固定值 20 磅 Char"/>
    <w:qFormat/>
    <w:uiPriority w:val="0"/>
    <w:rPr>
      <w:rFonts w:ascii="黑体" w:hAnsi="宋体" w:eastAsia="黑体" w:cs="宋体"/>
      <w:b/>
      <w:bCs/>
      <w:color w:val="000000"/>
      <w:kern w:val="44"/>
      <w:sz w:val="30"/>
      <w:szCs w:val="32"/>
      <w:lang w:val="en-US" w:eastAsia="zh-CN" w:bidi="ar-SA"/>
    </w:rPr>
  </w:style>
  <w:style w:type="character" w:customStyle="1" w:styleId="777">
    <w:name w:val="表格标题1 Char Char"/>
    <w:semiHidden/>
    <w:qFormat/>
    <w:uiPriority w:val="0"/>
    <w:rPr>
      <w:rFonts w:eastAsia="黑体"/>
      <w:spacing w:val="14"/>
      <w:kern w:val="2"/>
      <w:sz w:val="24"/>
      <w:lang w:val="en-US" w:eastAsia="zh-CN" w:bidi="ar-SA"/>
    </w:rPr>
  </w:style>
  <w:style w:type="character" w:customStyle="1" w:styleId="778">
    <w:name w:val="样式 左 首行缩进:  2 字符 Char"/>
    <w:link w:val="779"/>
    <w:qFormat/>
    <w:uiPriority w:val="0"/>
    <w:rPr>
      <w:rFonts w:ascii="仿宋_GB2312" w:eastAsia="仿宋_GB2312" w:cs="宋体"/>
      <w:kern w:val="2"/>
      <w:sz w:val="28"/>
    </w:rPr>
  </w:style>
  <w:style w:type="paragraph" w:customStyle="1" w:styleId="779">
    <w:name w:val="样式 左 首行缩进:  2 字符"/>
    <w:basedOn w:val="1"/>
    <w:link w:val="778"/>
    <w:qFormat/>
    <w:uiPriority w:val="0"/>
    <w:pPr>
      <w:jc w:val="left"/>
    </w:pPr>
    <w:rPr>
      <w:szCs w:val="20"/>
    </w:rPr>
  </w:style>
  <w:style w:type="character" w:customStyle="1" w:styleId="780">
    <w:name w:val="称呼 字符1"/>
    <w:qFormat/>
    <w:uiPriority w:val="0"/>
    <w:rPr>
      <w:kern w:val="2"/>
      <w:sz w:val="24"/>
    </w:rPr>
  </w:style>
  <w:style w:type="character" w:customStyle="1" w:styleId="781">
    <w:name w:val="z-窗体顶端 字符3"/>
    <w:link w:val="782"/>
    <w:qFormat/>
    <w:uiPriority w:val="0"/>
    <w:rPr>
      <w:rFonts w:ascii="Arial" w:hAnsi="Arial" w:cs="Arial"/>
      <w:vanish/>
      <w:sz w:val="16"/>
      <w:szCs w:val="16"/>
    </w:rPr>
  </w:style>
  <w:style w:type="paragraph" w:customStyle="1" w:styleId="782">
    <w:name w:val="_Style 781"/>
    <w:basedOn w:val="1"/>
    <w:next w:val="1"/>
    <w:link w:val="781"/>
    <w:qFormat/>
    <w:uiPriority w:val="0"/>
    <w:pPr>
      <w:widowControl/>
      <w:pBdr>
        <w:bottom w:val="single" w:color="auto" w:sz="6" w:space="1"/>
      </w:pBdr>
      <w:spacing w:line="240" w:lineRule="auto"/>
      <w:ind w:firstLine="0" w:firstLineChars="0"/>
      <w:jc w:val="center"/>
    </w:pPr>
    <w:rPr>
      <w:rFonts w:ascii="Arial" w:hAnsi="Arial" w:eastAsia="宋体"/>
      <w:vanish/>
      <w:kern w:val="0"/>
      <w:sz w:val="16"/>
      <w:szCs w:val="16"/>
    </w:rPr>
  </w:style>
  <w:style w:type="character" w:customStyle="1" w:styleId="783">
    <w:name w:val="批注主题 Char3"/>
    <w:qFormat/>
    <w:uiPriority w:val="0"/>
    <w:rPr>
      <w:rFonts w:ascii="仿宋_GB2312" w:hAnsi="Times New Roman" w:eastAsia="仿宋_GB2312" w:cs="Times New Roman"/>
      <w:b/>
      <w:bCs/>
      <w:sz w:val="28"/>
      <w:szCs w:val="24"/>
    </w:rPr>
  </w:style>
  <w:style w:type="character" w:customStyle="1" w:styleId="784">
    <w:name w:val="样式 标题 3 + 黑色 Char"/>
    <w:link w:val="785"/>
    <w:qFormat/>
    <w:uiPriority w:val="0"/>
    <w:rPr>
      <w:rFonts w:eastAsia="黑体"/>
      <w:color w:val="000000"/>
      <w:kern w:val="2"/>
      <w:sz w:val="24"/>
      <w:szCs w:val="32"/>
    </w:rPr>
  </w:style>
  <w:style w:type="paragraph" w:customStyle="1" w:styleId="785">
    <w:name w:val="样式 标题 3 + 黑色"/>
    <w:basedOn w:val="7"/>
    <w:link w:val="784"/>
    <w:qFormat/>
    <w:uiPriority w:val="0"/>
    <w:pPr>
      <w:keepNext/>
      <w:keepLines/>
      <w:tabs>
        <w:tab w:val="left" w:pos="540"/>
        <w:tab w:val="left" w:pos="2977"/>
      </w:tabs>
      <w:adjustRightInd w:val="0"/>
      <w:spacing w:before="260" w:beforeLines="100" w:line="400" w:lineRule="atLeast"/>
      <w:jc w:val="left"/>
    </w:pPr>
    <w:rPr>
      <w:rFonts w:ascii="Times New Roman" w:hAnsi="Times New Roman" w:eastAsia="黑体"/>
      <w:bCs w:val="0"/>
      <w:color w:val="000000"/>
      <w:sz w:val="24"/>
      <w:szCs w:val="32"/>
    </w:rPr>
  </w:style>
  <w:style w:type="character" w:customStyle="1" w:styleId="786">
    <w:name w:val="图BT Char"/>
    <w:link w:val="787"/>
    <w:qFormat/>
    <w:uiPriority w:val="0"/>
    <w:rPr>
      <w:rFonts w:eastAsia="黑体"/>
      <w:kern w:val="2"/>
      <w:sz w:val="24"/>
      <w:szCs w:val="22"/>
    </w:rPr>
  </w:style>
  <w:style w:type="paragraph" w:customStyle="1" w:styleId="787">
    <w:name w:val="图BT"/>
    <w:basedOn w:val="1"/>
    <w:link w:val="786"/>
    <w:qFormat/>
    <w:uiPriority w:val="0"/>
    <w:pPr>
      <w:spacing w:line="240" w:lineRule="auto"/>
      <w:ind w:firstLine="0" w:firstLineChars="0"/>
      <w:jc w:val="center"/>
    </w:pPr>
    <w:rPr>
      <w:rFonts w:ascii="Times New Roman" w:eastAsia="黑体"/>
      <w:sz w:val="24"/>
      <w:szCs w:val="22"/>
    </w:rPr>
  </w:style>
  <w:style w:type="character" w:customStyle="1" w:styleId="788">
    <w:name w:val="style1"/>
    <w:qFormat/>
    <w:uiPriority w:val="0"/>
  </w:style>
  <w:style w:type="character" w:customStyle="1" w:styleId="789">
    <w:name w:val="正文文本缩进 2 字符"/>
    <w:qFormat/>
    <w:uiPriority w:val="0"/>
    <w:rPr>
      <w:rFonts w:ascii="仿宋_GB2312" w:hAnsi="Times New Roman" w:eastAsia="仿宋_GB2312" w:cs="Times New Roman"/>
      <w:color w:val="FF0000"/>
      <w:kern w:val="0"/>
      <w:sz w:val="24"/>
      <w:szCs w:val="28"/>
    </w:rPr>
  </w:style>
  <w:style w:type="character" w:customStyle="1" w:styleId="790">
    <w:name w:val="脚注文本 Char2"/>
    <w:qFormat/>
    <w:uiPriority w:val="0"/>
    <w:rPr>
      <w:rFonts w:ascii="宋体" w:eastAsia="仿宋_GB2312"/>
      <w:sz w:val="24"/>
      <w:szCs w:val="28"/>
    </w:rPr>
  </w:style>
  <w:style w:type="character" w:customStyle="1" w:styleId="791">
    <w:name w:val="标题 3 Char1 Char Char Char Char Char Char Char Char Char Char Char2"/>
    <w:qFormat/>
    <w:uiPriority w:val="0"/>
    <w:rPr>
      <w:rFonts w:ascii="Arial" w:hAnsi="Arial" w:eastAsia="黑体"/>
      <w:sz w:val="28"/>
      <w:szCs w:val="32"/>
      <w:lang w:val="en-US" w:eastAsia="zh-CN" w:bidi="ar-SA"/>
    </w:rPr>
  </w:style>
  <w:style w:type="character" w:customStyle="1" w:styleId="792">
    <w:name w:val="样式8 Char"/>
    <w:qFormat/>
    <w:uiPriority w:val="0"/>
    <w:rPr>
      <w:rFonts w:eastAsia="华文中宋"/>
      <w:color w:val="000000"/>
      <w:sz w:val="21"/>
      <w:szCs w:val="21"/>
      <w:lang w:val="en-US" w:eastAsia="zh-CN" w:bidi="ar-SA"/>
    </w:rPr>
  </w:style>
  <w:style w:type="character" w:customStyle="1" w:styleId="793">
    <w:name w:val="HTML 预设格式 Char2"/>
    <w:qFormat/>
    <w:uiPriority w:val="0"/>
    <w:rPr>
      <w:rFonts w:ascii="Courier New" w:hAnsi="Courier New" w:eastAsia="仿宋_GB2312" w:cs="Courier New"/>
      <w:szCs w:val="28"/>
      <w:lang w:val="en-US" w:eastAsia="zh-CN" w:bidi="ar-SA"/>
    </w:rPr>
  </w:style>
  <w:style w:type="character" w:customStyle="1" w:styleId="794">
    <w:name w:val="图名 Char"/>
    <w:link w:val="795"/>
    <w:qFormat/>
    <w:uiPriority w:val="0"/>
    <w:rPr>
      <w:rFonts w:ascii="黑体" w:eastAsia="黑体"/>
      <w:kern w:val="2"/>
      <w:sz w:val="24"/>
      <w:szCs w:val="22"/>
    </w:rPr>
  </w:style>
  <w:style w:type="paragraph" w:customStyle="1" w:styleId="795">
    <w:name w:val="图名"/>
    <w:basedOn w:val="1"/>
    <w:next w:val="1"/>
    <w:link w:val="794"/>
    <w:qFormat/>
    <w:uiPriority w:val="0"/>
    <w:pPr>
      <w:spacing w:line="240" w:lineRule="auto"/>
      <w:ind w:firstLine="0" w:firstLineChars="0"/>
      <w:jc w:val="center"/>
    </w:pPr>
    <w:rPr>
      <w:rFonts w:ascii="黑体" w:eastAsia="黑体"/>
      <w:sz w:val="24"/>
      <w:szCs w:val="22"/>
    </w:rPr>
  </w:style>
  <w:style w:type="character" w:customStyle="1" w:styleId="796">
    <w:name w:val="Char Char222"/>
    <w:qFormat/>
    <w:uiPriority w:val="0"/>
    <w:rPr>
      <w:rFonts w:ascii="Arial" w:hAnsi="Arial" w:eastAsia="黑体"/>
      <w:spacing w:val="4"/>
      <w:kern w:val="44"/>
      <w:sz w:val="32"/>
      <w:szCs w:val="36"/>
      <w:lang w:val="en-US" w:eastAsia="zh-CN" w:bidi="ar-SA"/>
    </w:rPr>
  </w:style>
  <w:style w:type="character" w:customStyle="1" w:styleId="797">
    <w:name w:val="Char Char411"/>
    <w:qFormat/>
    <w:uiPriority w:val="0"/>
    <w:rPr>
      <w:rFonts w:ascii="Arial" w:hAnsi="Arial" w:eastAsia="方正小标宋_GBK"/>
      <w:bCs/>
      <w:kern w:val="2"/>
      <w:sz w:val="28"/>
      <w:szCs w:val="32"/>
      <w:lang w:bidi="ar-SA"/>
    </w:rPr>
  </w:style>
  <w:style w:type="character" w:customStyle="1" w:styleId="798">
    <w:name w:val="标正文 Char"/>
    <w:qFormat/>
    <w:uiPriority w:val="0"/>
    <w:rPr>
      <w:rFonts w:ascii="仿宋_GB2312" w:eastAsia="仿宋_GB2312"/>
      <w:sz w:val="28"/>
      <w:lang w:val="en-GB" w:eastAsia="zh-CN" w:bidi="ar-SA"/>
    </w:rPr>
  </w:style>
  <w:style w:type="character" w:customStyle="1" w:styleId="799">
    <w:name w:val="表格题目"/>
    <w:semiHidden/>
    <w:qFormat/>
    <w:uiPriority w:val="0"/>
    <w:rPr>
      <w:rFonts w:eastAsia="宋体"/>
      <w:b/>
      <w:sz w:val="24"/>
      <w:szCs w:val="24"/>
    </w:rPr>
  </w:style>
  <w:style w:type="character" w:customStyle="1" w:styleId="800">
    <w:name w:val="tdc5"/>
    <w:qFormat/>
    <w:uiPriority w:val="0"/>
    <w:rPr>
      <w:rFonts w:hint="eastAsia" w:ascii="宋体" w:hAnsi="宋体" w:eastAsia="宋体"/>
      <w:color w:val="0000FF"/>
      <w:sz w:val="18"/>
      <w:szCs w:val="18"/>
    </w:rPr>
  </w:style>
  <w:style w:type="character" w:customStyle="1" w:styleId="801">
    <w:name w:val="页脚 字符2"/>
    <w:qFormat/>
    <w:uiPriority w:val="99"/>
    <w:rPr>
      <w:kern w:val="2"/>
      <w:sz w:val="18"/>
      <w:szCs w:val="18"/>
    </w:rPr>
  </w:style>
  <w:style w:type="character" w:customStyle="1" w:styleId="802">
    <w:name w:val="正文文本缩进 3 Char1"/>
    <w:qFormat/>
    <w:uiPriority w:val="99"/>
    <w:rPr>
      <w:rFonts w:eastAsia="仿宋_GB2312"/>
      <w:kern w:val="2"/>
      <w:sz w:val="16"/>
      <w:szCs w:val="16"/>
    </w:rPr>
  </w:style>
  <w:style w:type="character" w:customStyle="1" w:styleId="803">
    <w:name w:val="正文缩进 字符"/>
    <w:qFormat/>
    <w:uiPriority w:val="0"/>
    <w:rPr>
      <w:rFonts w:ascii="仿宋_GB2312" w:hAnsi="Times New Roman" w:eastAsia="仿宋_GB2312" w:cs="Times New Roman"/>
      <w:kern w:val="0"/>
      <w:sz w:val="28"/>
      <w:szCs w:val="28"/>
    </w:rPr>
  </w:style>
  <w:style w:type="character" w:customStyle="1" w:styleId="804">
    <w:name w:val="Char1 Char Char Char Char Char"/>
    <w:semiHidden/>
    <w:qFormat/>
    <w:uiPriority w:val="0"/>
    <w:rPr>
      <w:rFonts w:eastAsia="宋体"/>
      <w:b/>
      <w:bCs/>
      <w:kern w:val="2"/>
      <w:sz w:val="32"/>
      <w:szCs w:val="32"/>
      <w:lang w:val="en-US" w:eastAsia="zh-CN" w:bidi="ar-SA"/>
    </w:rPr>
  </w:style>
  <w:style w:type="character" w:customStyle="1" w:styleId="805">
    <w:name w:val="标题 3 Char3"/>
    <w:qFormat/>
    <w:uiPriority w:val="0"/>
    <w:rPr>
      <w:b/>
      <w:bCs/>
      <w:kern w:val="2"/>
      <w:sz w:val="32"/>
      <w:szCs w:val="32"/>
    </w:rPr>
  </w:style>
  <w:style w:type="character" w:customStyle="1" w:styleId="806">
    <w:name w:val="方案标题1 + 段前 Char"/>
    <w:link w:val="807"/>
    <w:qFormat/>
    <w:uiPriority w:val="0"/>
    <w:rPr>
      <w:rFonts w:ascii="黑体" w:hAnsi="Calibri" w:eastAsia="黑体"/>
      <w:bCs/>
      <w:spacing w:val="12"/>
      <w:kern w:val="44"/>
      <w:sz w:val="30"/>
      <w:szCs w:val="30"/>
    </w:rPr>
  </w:style>
  <w:style w:type="paragraph" w:customStyle="1" w:styleId="807">
    <w:name w:val="方案标题1 + 段前"/>
    <w:basedOn w:val="1"/>
    <w:link w:val="806"/>
    <w:qFormat/>
    <w:uiPriority w:val="0"/>
    <w:pPr>
      <w:keepNext/>
      <w:keepLines/>
      <w:numPr>
        <w:ilvl w:val="0"/>
        <w:numId w:val="1"/>
      </w:numPr>
      <w:adjustRightInd w:val="0"/>
      <w:snapToGrid w:val="0"/>
      <w:spacing w:before="300" w:line="360" w:lineRule="auto"/>
      <w:ind w:firstLine="0" w:firstLineChars="0"/>
      <w:jc w:val="left"/>
      <w:outlineLvl w:val="0"/>
    </w:pPr>
    <w:rPr>
      <w:rFonts w:ascii="黑体" w:hAnsi="Calibri" w:eastAsia="黑体"/>
      <w:bCs/>
      <w:spacing w:val="12"/>
      <w:kern w:val="44"/>
      <w:sz w:val="30"/>
      <w:szCs w:val="30"/>
    </w:rPr>
  </w:style>
  <w:style w:type="character" w:customStyle="1" w:styleId="808">
    <w:name w:val="font101"/>
    <w:qFormat/>
    <w:uiPriority w:val="0"/>
    <w:rPr>
      <w:rFonts w:hint="default" w:ascii="Times New Roman" w:hAnsi="Times New Roman" w:cs="Times New Roman"/>
      <w:color w:val="000000"/>
      <w:sz w:val="21"/>
      <w:szCs w:val="21"/>
      <w:u w:val="none"/>
    </w:rPr>
  </w:style>
  <w:style w:type="character" w:customStyle="1" w:styleId="809">
    <w:name w:val="样式 首行缩进:  0.85 厘米 Char"/>
    <w:link w:val="810"/>
    <w:qFormat/>
    <w:uiPriority w:val="0"/>
    <w:rPr>
      <w:rFonts w:ascii="宋体" w:hAnsi="Calibri" w:cs="宋体"/>
      <w:kern w:val="2"/>
      <w:sz w:val="24"/>
    </w:rPr>
  </w:style>
  <w:style w:type="paragraph" w:customStyle="1" w:styleId="810">
    <w:name w:val="样式 首行缩进:  0.85 厘米"/>
    <w:basedOn w:val="1"/>
    <w:link w:val="809"/>
    <w:qFormat/>
    <w:uiPriority w:val="0"/>
    <w:pPr>
      <w:spacing w:line="480" w:lineRule="exact"/>
    </w:pPr>
    <w:rPr>
      <w:rFonts w:ascii="宋体" w:hAnsi="Calibri" w:eastAsia="宋体"/>
      <w:sz w:val="24"/>
      <w:szCs w:val="20"/>
    </w:rPr>
  </w:style>
  <w:style w:type="character" w:customStyle="1" w:styleId="811">
    <w:name w:val="9gray"/>
    <w:qFormat/>
    <w:uiPriority w:val="0"/>
  </w:style>
  <w:style w:type="character" w:customStyle="1" w:styleId="812">
    <w:name w:val="标题2 Char"/>
    <w:qFormat/>
    <w:uiPriority w:val="0"/>
    <w:rPr>
      <w:rFonts w:ascii="Arial" w:hAnsi="Arial" w:eastAsia="黑体" w:cs="Arial"/>
      <w:b/>
      <w:bCs/>
      <w:color w:val="0000FF"/>
      <w:kern w:val="44"/>
      <w:sz w:val="32"/>
      <w:szCs w:val="32"/>
    </w:rPr>
  </w:style>
  <w:style w:type="character" w:customStyle="1" w:styleId="813">
    <w:name w:val="Heading 5 Char"/>
    <w:qFormat/>
    <w:uiPriority w:val="0"/>
    <w:rPr>
      <w:rFonts w:ascii="Calibri" w:hAnsi="Calibri" w:eastAsia="宋体"/>
      <w:b/>
      <w:bCs/>
      <w:i/>
      <w:iCs/>
      <w:sz w:val="26"/>
      <w:szCs w:val="26"/>
      <w:lang w:val="en-US" w:eastAsia="en-US" w:bidi="ar-SA"/>
    </w:rPr>
  </w:style>
  <w:style w:type="character" w:customStyle="1" w:styleId="814">
    <w:name w:val="Char Char20"/>
    <w:qFormat/>
    <w:uiPriority w:val="0"/>
    <w:rPr>
      <w:rFonts w:ascii="仿宋_GB2312" w:hAnsi="Times New Roman" w:eastAsia="仿宋_GB2312" w:cs="Times New Roman"/>
      <w:kern w:val="0"/>
      <w:sz w:val="28"/>
      <w:szCs w:val="18"/>
    </w:rPr>
  </w:style>
  <w:style w:type="character" w:customStyle="1" w:styleId="815">
    <w:name w:val="font01"/>
    <w:qFormat/>
    <w:uiPriority w:val="0"/>
    <w:rPr>
      <w:rFonts w:hint="eastAsia" w:ascii="宋体" w:hAnsi="宋体" w:eastAsia="宋体" w:cs="宋体"/>
      <w:color w:val="000000"/>
      <w:sz w:val="22"/>
      <w:szCs w:val="22"/>
      <w:u w:val="none"/>
      <w:vertAlign w:val="superscript"/>
    </w:rPr>
  </w:style>
  <w:style w:type="character" w:customStyle="1" w:styleId="816">
    <w:name w:val="标题 5 Char Char Char3"/>
    <w:qFormat/>
    <w:uiPriority w:val="0"/>
    <w:rPr>
      <w:rFonts w:ascii="Arial" w:hAnsi="Arial" w:eastAsia="仿宋_GB2312"/>
      <w:bCs/>
      <w:sz w:val="28"/>
      <w:szCs w:val="28"/>
      <w:lang w:val="en-US" w:eastAsia="zh-CN" w:bidi="ar-SA"/>
    </w:rPr>
  </w:style>
  <w:style w:type="character" w:customStyle="1" w:styleId="817">
    <w:name w:val="报告正文 Char Char Char Char Char"/>
    <w:semiHidden/>
    <w:qFormat/>
    <w:uiPriority w:val="0"/>
    <w:rPr>
      <w:rFonts w:eastAsia="宋体"/>
      <w:spacing w:val="14"/>
      <w:kern w:val="2"/>
      <w:sz w:val="24"/>
      <w:lang w:val="en-US" w:eastAsia="zh-CN" w:bidi="ar-SA"/>
    </w:rPr>
  </w:style>
  <w:style w:type="character" w:customStyle="1" w:styleId="818">
    <w:name w:val="Body Text Indent 3 Char"/>
    <w:semiHidden/>
    <w:qFormat/>
    <w:uiPriority w:val="0"/>
    <w:rPr>
      <w:rFonts w:ascii="Times New Roman" w:hAnsi="Times New Roman" w:eastAsia="仿宋_GB2312" w:cs="Times New Roman"/>
      <w:sz w:val="16"/>
      <w:szCs w:val="16"/>
    </w:rPr>
  </w:style>
  <w:style w:type="character" w:customStyle="1" w:styleId="819">
    <w:name w:val="正文文本 2 字符"/>
    <w:qFormat/>
    <w:uiPriority w:val="0"/>
    <w:rPr>
      <w:rFonts w:ascii="Times New Roman" w:hAnsi="Times New Roman" w:eastAsia="宋体" w:cs="Times New Roman"/>
      <w:szCs w:val="24"/>
    </w:rPr>
  </w:style>
  <w:style w:type="character" w:customStyle="1" w:styleId="820">
    <w:name w:val="样式 样式 样式 公正文 + 首行缩进:  2 字符2 + 首行缩进:  2 字符 + 首行缩进:  2 字符 Char"/>
    <w:link w:val="821"/>
    <w:semiHidden/>
    <w:qFormat/>
    <w:uiPriority w:val="0"/>
    <w:rPr>
      <w:rFonts w:ascii="仿宋_GB2312" w:hAnsi="宋体" w:eastAsia="仿宋_GB2312"/>
      <w:kern w:val="2"/>
      <w:sz w:val="28"/>
    </w:rPr>
  </w:style>
  <w:style w:type="paragraph" w:customStyle="1" w:styleId="821">
    <w:name w:val="样式 样式 样式 公正文 + 首行缩进:  2 字符2 + 首行缩进:  2 字符 + 首行缩进:  2 字符"/>
    <w:basedOn w:val="1"/>
    <w:link w:val="820"/>
    <w:semiHidden/>
    <w:qFormat/>
    <w:uiPriority w:val="0"/>
    <w:pPr>
      <w:adjustRightInd w:val="0"/>
      <w:snapToGrid w:val="0"/>
    </w:pPr>
    <w:rPr>
      <w:rFonts w:hAnsi="宋体"/>
      <w:szCs w:val="20"/>
    </w:rPr>
  </w:style>
  <w:style w:type="character" w:customStyle="1" w:styleId="822">
    <w:name w:val="尾注文本 字符"/>
    <w:qFormat/>
    <w:uiPriority w:val="0"/>
    <w:rPr>
      <w:rFonts w:ascii="宋体" w:hAnsi="Times New Roman" w:eastAsia="宋体" w:cs="Times New Roman"/>
      <w:snapToGrid/>
      <w:color w:val="000000"/>
      <w:kern w:val="0"/>
      <w:sz w:val="28"/>
      <w:szCs w:val="28"/>
    </w:rPr>
  </w:style>
  <w:style w:type="character" w:customStyle="1" w:styleId="823">
    <w:name w:val="表标题 Char"/>
    <w:qFormat/>
    <w:uiPriority w:val="0"/>
    <w:rPr>
      <w:rFonts w:ascii="黑体" w:hAnsi="Arial" w:eastAsia="黑体"/>
      <w:bCs/>
      <w:kern w:val="44"/>
      <w:sz w:val="24"/>
      <w:szCs w:val="44"/>
      <w:lang w:val="en-US" w:eastAsia="zh-CN" w:bidi="ar-SA"/>
    </w:rPr>
  </w:style>
  <w:style w:type="character" w:customStyle="1" w:styleId="824">
    <w:name w:val="样式 首行缩进:  2 字符 行距: 固定值 28 磅 Char"/>
    <w:link w:val="825"/>
    <w:qFormat/>
    <w:uiPriority w:val="0"/>
    <w:rPr>
      <w:rFonts w:ascii="仿宋_GB2312" w:eastAsia="仿宋_GB2312" w:cs="宋体"/>
      <w:kern w:val="2"/>
      <w:sz w:val="28"/>
    </w:rPr>
  </w:style>
  <w:style w:type="paragraph" w:customStyle="1" w:styleId="825">
    <w:name w:val="样式 首行缩进:  2 字符 行距: 固定值 28 磅"/>
    <w:basedOn w:val="1"/>
    <w:link w:val="824"/>
    <w:qFormat/>
    <w:uiPriority w:val="0"/>
    <w:rPr>
      <w:szCs w:val="20"/>
    </w:rPr>
  </w:style>
  <w:style w:type="character" w:customStyle="1" w:styleId="826">
    <w:name w:val="Char Char71"/>
    <w:qFormat/>
    <w:uiPriority w:val="0"/>
    <w:rPr>
      <w:rFonts w:ascii="Courier New" w:hAnsi="Courier New" w:eastAsia="宋体" w:cs="Courier New"/>
      <w:kern w:val="2"/>
      <w:sz w:val="24"/>
      <w:szCs w:val="24"/>
      <w:lang w:val="en-US" w:eastAsia="zh-CN" w:bidi="ar-SA"/>
    </w:rPr>
  </w:style>
  <w:style w:type="character" w:customStyle="1" w:styleId="827">
    <w:name w:val="Heading 6 Char"/>
    <w:qFormat/>
    <w:uiPriority w:val="0"/>
    <w:rPr>
      <w:rFonts w:ascii="Calibri" w:hAnsi="Calibri" w:eastAsia="宋体"/>
      <w:b/>
      <w:bCs/>
      <w:sz w:val="22"/>
      <w:szCs w:val="22"/>
      <w:lang w:val="en-US" w:eastAsia="en-US" w:bidi="ar-SA"/>
    </w:rPr>
  </w:style>
  <w:style w:type="character" w:customStyle="1" w:styleId="828">
    <w:name w:val="表格-标题 Char"/>
    <w:link w:val="829"/>
    <w:qFormat/>
    <w:uiPriority w:val="0"/>
    <w:rPr>
      <w:rFonts w:ascii="黑体" w:eastAsia="黑体" w:cs="宋体"/>
      <w:kern w:val="2"/>
      <w:sz w:val="24"/>
    </w:rPr>
  </w:style>
  <w:style w:type="paragraph" w:customStyle="1" w:styleId="829">
    <w:name w:val="表格-标题"/>
    <w:basedOn w:val="623"/>
    <w:link w:val="828"/>
    <w:qFormat/>
    <w:uiPriority w:val="0"/>
    <w:pPr>
      <w:outlineLvl w:val="5"/>
    </w:pPr>
  </w:style>
  <w:style w:type="character" w:customStyle="1" w:styleId="830">
    <w:name w:val="正文文本首行缩进 字符1"/>
    <w:qFormat/>
    <w:uiPriority w:val="0"/>
    <w:rPr>
      <w:kern w:val="2"/>
      <w:sz w:val="21"/>
      <w:szCs w:val="24"/>
    </w:rPr>
  </w:style>
  <w:style w:type="character" w:customStyle="1" w:styleId="831">
    <w:name w:val="样式 标题 4白鹤滩标题 4第三层条标题 4 Char款标题1.1.1.1标题 4XW Char标题 4XW Cha... Char"/>
    <w:link w:val="832"/>
    <w:qFormat/>
    <w:uiPriority w:val="0"/>
    <w:rPr>
      <w:rFonts w:ascii="Arial" w:hAnsi="Arial"/>
      <w:color w:val="000000"/>
      <w:kern w:val="2"/>
      <w:sz w:val="28"/>
    </w:rPr>
  </w:style>
  <w:style w:type="paragraph" w:customStyle="1" w:styleId="832">
    <w:name w:val="样式 标题 4白鹤滩标题 4第三层条标题 4 Char款标题1.1.1.1标题 4XW Char标题 4XW Cha..."/>
    <w:basedOn w:val="8"/>
    <w:link w:val="831"/>
    <w:qFormat/>
    <w:uiPriority w:val="0"/>
    <w:pPr>
      <w:spacing w:before="0" w:after="0" w:line="560" w:lineRule="exact"/>
      <w:ind w:left="1120" w:hanging="1120" w:hangingChars="400"/>
      <w:jc w:val="left"/>
    </w:pPr>
    <w:rPr>
      <w:rFonts w:ascii="Arial" w:hAnsi="Arial"/>
      <w:b w:val="0"/>
      <w:bCs w:val="0"/>
      <w:color w:val="000000"/>
      <w:szCs w:val="20"/>
    </w:rPr>
  </w:style>
  <w:style w:type="character" w:customStyle="1" w:styleId="833">
    <w:name w:val="hy标题 4 + 首行缩进:  0 字符 + Times New Roman + Char Char"/>
    <w:link w:val="834"/>
    <w:qFormat/>
    <w:uiPriority w:val="0"/>
    <w:rPr>
      <w:rFonts w:ascii="Arial" w:hAnsi="Arial"/>
      <w:sz w:val="28"/>
    </w:rPr>
  </w:style>
  <w:style w:type="paragraph" w:customStyle="1" w:styleId="834">
    <w:name w:val="hy标题 4 + 首行缩进:  0 字符 + Times New Roman +"/>
    <w:basedOn w:val="1"/>
    <w:link w:val="833"/>
    <w:qFormat/>
    <w:uiPriority w:val="0"/>
    <w:pPr>
      <w:keepNext/>
      <w:ind w:firstLine="0" w:firstLineChars="0"/>
      <w:outlineLvl w:val="3"/>
    </w:pPr>
    <w:rPr>
      <w:rFonts w:ascii="Arial" w:hAnsi="Arial" w:eastAsia="宋体"/>
      <w:kern w:val="0"/>
      <w:szCs w:val="20"/>
    </w:rPr>
  </w:style>
  <w:style w:type="character" w:customStyle="1" w:styleId="835">
    <w:name w:val="表附注 Char1"/>
    <w:semiHidden/>
    <w:qFormat/>
    <w:uiPriority w:val="0"/>
    <w:rPr>
      <w:rFonts w:eastAsia="楷体_GB2312"/>
      <w:sz w:val="18"/>
      <w:lang w:val="en-US" w:eastAsia="zh-CN" w:bidi="ar-SA"/>
    </w:rPr>
  </w:style>
  <w:style w:type="character" w:customStyle="1" w:styleId="836">
    <w:name w:val="标题 5 字符2"/>
    <w:qFormat/>
    <w:uiPriority w:val="0"/>
    <w:rPr>
      <w:rFonts w:ascii="宋体" w:hAnsi="宋体" w:cs="宋体"/>
      <w:b/>
      <w:sz w:val="24"/>
    </w:rPr>
  </w:style>
  <w:style w:type="character" w:customStyle="1" w:styleId="837">
    <w:name w:val="样式 Times New Roman 首行缩进:  2 字符1 Char"/>
    <w:link w:val="838"/>
    <w:qFormat/>
    <w:uiPriority w:val="0"/>
    <w:rPr>
      <w:rFonts w:ascii="仿宋_GB2312" w:eastAsia="仿宋_GB2312" w:cs="宋体"/>
      <w:sz w:val="28"/>
    </w:rPr>
  </w:style>
  <w:style w:type="paragraph" w:customStyle="1" w:styleId="838">
    <w:name w:val="样式 Times New Roman 首行缩进:  2 字符1"/>
    <w:basedOn w:val="1"/>
    <w:link w:val="837"/>
    <w:qFormat/>
    <w:uiPriority w:val="0"/>
    <w:pPr>
      <w:textAlignment w:val="baseline"/>
    </w:pPr>
    <w:rPr>
      <w:kern w:val="0"/>
      <w:szCs w:val="20"/>
    </w:rPr>
  </w:style>
  <w:style w:type="character" w:customStyle="1" w:styleId="839">
    <w:name w:val="正文文本 (2) + 12 pt4"/>
    <w:qFormat/>
    <w:uiPriority w:val="0"/>
    <w:rPr>
      <w:rFonts w:ascii="MingLiU" w:eastAsia="MingLiU" w:cs="MingLiU"/>
      <w:spacing w:val="0"/>
      <w:w w:val="75"/>
      <w:sz w:val="24"/>
      <w:szCs w:val="24"/>
      <w:u w:val="none"/>
      <w:shd w:val="clear" w:color="auto" w:fill="FFFFFF"/>
    </w:rPr>
  </w:style>
  <w:style w:type="character" w:customStyle="1" w:styleId="840">
    <w:name w:val="正文文字缩进4 Char Char"/>
    <w:qFormat/>
    <w:uiPriority w:val="0"/>
    <w:rPr>
      <w:rFonts w:ascii="Arial" w:hAnsi="Arial" w:eastAsia="宋体"/>
      <w:kern w:val="2"/>
      <w:sz w:val="24"/>
      <w:szCs w:val="24"/>
      <w:lang w:val="en-US" w:eastAsia="zh-CN" w:bidi="ar-SA"/>
    </w:rPr>
  </w:style>
  <w:style w:type="character" w:customStyle="1" w:styleId="841">
    <w:name w:val="职务 Char"/>
    <w:link w:val="842"/>
    <w:qFormat/>
    <w:uiPriority w:val="0"/>
    <w:rPr>
      <w:rFonts w:eastAsia="黑体"/>
      <w:kern w:val="2"/>
      <w:sz w:val="30"/>
      <w:szCs w:val="30"/>
      <w:lang w:val="en-US" w:eastAsia="zh-CN" w:bidi="ar-SA"/>
    </w:rPr>
  </w:style>
  <w:style w:type="paragraph" w:customStyle="1" w:styleId="842">
    <w:name w:val="职务"/>
    <w:next w:val="1"/>
    <w:link w:val="841"/>
    <w:qFormat/>
    <w:uiPriority w:val="0"/>
    <w:pPr>
      <w:widowControl w:val="0"/>
      <w:suppressLineNumbers/>
      <w:spacing w:after="200" w:line="288" w:lineRule="auto"/>
      <w:ind w:left="200" w:leftChars="200"/>
    </w:pPr>
    <w:rPr>
      <w:rFonts w:ascii="Times New Roman" w:hAnsi="Times New Roman" w:eastAsia="黑体" w:cs="Times New Roman"/>
      <w:kern w:val="2"/>
      <w:sz w:val="30"/>
      <w:szCs w:val="30"/>
      <w:lang w:val="en-US" w:eastAsia="zh-CN" w:bidi="ar-SA"/>
    </w:rPr>
  </w:style>
  <w:style w:type="character" w:customStyle="1" w:styleId="843">
    <w:name w:val="正文文本 字符"/>
    <w:qFormat/>
    <w:uiPriority w:val="0"/>
    <w:rPr>
      <w:rFonts w:ascii="Times New Roman" w:hAnsi="Times New Roman" w:eastAsia="宋体" w:cs="Times New Roman"/>
      <w:sz w:val="24"/>
      <w:szCs w:val="24"/>
    </w:rPr>
  </w:style>
  <w:style w:type="character" w:customStyle="1" w:styleId="844">
    <w:name w:val="标题 1 字符1"/>
    <w:qFormat/>
    <w:uiPriority w:val="9"/>
    <w:rPr>
      <w:rFonts w:ascii="黑体" w:hAnsi="黑体" w:eastAsia="黑体"/>
      <w:bCs/>
      <w:kern w:val="44"/>
      <w:sz w:val="36"/>
      <w:szCs w:val="36"/>
    </w:rPr>
  </w:style>
  <w:style w:type="character" w:customStyle="1" w:styleId="845">
    <w:name w:val="批注主题 字符2"/>
    <w:qFormat/>
    <w:uiPriority w:val="0"/>
    <w:rPr>
      <w:rFonts w:ascii="仿宋_GB2312" w:eastAsia="仿宋_GB2312"/>
      <w:b/>
      <w:bCs/>
      <w:kern w:val="2"/>
      <w:sz w:val="28"/>
      <w:szCs w:val="28"/>
    </w:rPr>
  </w:style>
  <w:style w:type="character" w:customStyle="1" w:styleId="846">
    <w:name w:val="标题1.1.1.1.1 Char1"/>
    <w:qFormat/>
    <w:uiPriority w:val="0"/>
    <w:rPr>
      <w:rFonts w:ascii="Times New Roman" w:hAnsi="Times New Roman" w:eastAsia="仿宋_GB2312"/>
      <w:b/>
      <w:bCs/>
      <w:kern w:val="2"/>
      <w:sz w:val="28"/>
      <w:szCs w:val="28"/>
    </w:rPr>
  </w:style>
  <w:style w:type="character" w:customStyle="1" w:styleId="847">
    <w:name w:val="样式 楷体_GB2312 首行缩进:  2 字符1 Char"/>
    <w:link w:val="848"/>
    <w:qFormat/>
    <w:uiPriority w:val="0"/>
    <w:rPr>
      <w:rFonts w:ascii="楷体_GB2312" w:eastAsia="楷体_GB2312" w:cs="宋体"/>
      <w:kern w:val="2"/>
      <w:sz w:val="28"/>
    </w:rPr>
  </w:style>
  <w:style w:type="paragraph" w:customStyle="1" w:styleId="848">
    <w:name w:val="样式 楷体_GB2312 首行缩进:  2 字符1"/>
    <w:basedOn w:val="1"/>
    <w:link w:val="847"/>
    <w:qFormat/>
    <w:uiPriority w:val="0"/>
    <w:rPr>
      <w:rFonts w:ascii="楷体_GB2312" w:eastAsia="楷体_GB2312"/>
      <w:szCs w:val="20"/>
    </w:rPr>
  </w:style>
  <w:style w:type="character" w:customStyle="1" w:styleId="849">
    <w:name w:val="标题 6 字符2"/>
    <w:qFormat/>
    <w:uiPriority w:val="0"/>
    <w:rPr>
      <w:rFonts w:ascii="Arial" w:hAnsi="Arial" w:eastAsia="黑体" w:cs="宋体"/>
      <w:b/>
      <w:sz w:val="24"/>
    </w:rPr>
  </w:style>
  <w:style w:type="character" w:customStyle="1" w:styleId="850">
    <w:name w:val="样式 样式 样式 (西文) 宋体 首行缩进:  2 字符 + 楷体_GB2312 小四 + 首行缩进:  2 字符 Char Char"/>
    <w:qFormat/>
    <w:uiPriority w:val="0"/>
    <w:rPr>
      <w:rFonts w:ascii="楷体_GB2312" w:hAnsi="楷体_GB2312" w:eastAsia="楷体_GB2312" w:cs="宋体"/>
      <w:kern w:val="2"/>
      <w:sz w:val="28"/>
      <w:szCs w:val="28"/>
      <w:lang w:val="en-US" w:eastAsia="zh-CN" w:bidi="ar-SA"/>
    </w:rPr>
  </w:style>
  <w:style w:type="character" w:customStyle="1" w:styleId="851">
    <w:name w:val="文 Char"/>
    <w:link w:val="852"/>
    <w:qFormat/>
    <w:uiPriority w:val="0"/>
    <w:rPr>
      <w:rFonts w:eastAsia="仿宋_GB2312" w:cs="宋体"/>
      <w:sz w:val="28"/>
      <w:szCs w:val="28"/>
    </w:rPr>
  </w:style>
  <w:style w:type="paragraph" w:customStyle="1" w:styleId="852">
    <w:name w:val="文"/>
    <w:basedOn w:val="853"/>
    <w:link w:val="851"/>
    <w:qFormat/>
    <w:uiPriority w:val="0"/>
    <w:pPr>
      <w:ind w:firstLine="560"/>
    </w:pPr>
    <w:rPr>
      <w:rFonts w:ascii="Times New Roman"/>
    </w:rPr>
  </w:style>
  <w:style w:type="paragraph" w:customStyle="1" w:styleId="853">
    <w:name w:val="样式 样式32 + 首行缩进:  2 字符"/>
    <w:basedOn w:val="1"/>
    <w:link w:val="854"/>
    <w:qFormat/>
    <w:uiPriority w:val="0"/>
    <w:pPr>
      <w:adjustRightInd w:val="0"/>
      <w:textAlignment w:val="baseline"/>
    </w:pPr>
    <w:rPr>
      <w:kern w:val="0"/>
    </w:rPr>
  </w:style>
  <w:style w:type="character" w:customStyle="1" w:styleId="854">
    <w:name w:val="样式 样式32 + 首行缩进:  2 字符 Char"/>
    <w:link w:val="853"/>
    <w:qFormat/>
    <w:uiPriority w:val="0"/>
    <w:rPr>
      <w:rFonts w:ascii="仿宋_GB2312" w:eastAsia="仿宋_GB2312" w:cs="宋体"/>
      <w:sz w:val="28"/>
      <w:szCs w:val="28"/>
    </w:rPr>
  </w:style>
  <w:style w:type="character" w:customStyle="1" w:styleId="855">
    <w:name w:val="正文# Char"/>
    <w:link w:val="856"/>
    <w:qFormat/>
    <w:uiPriority w:val="0"/>
    <w:rPr>
      <w:rFonts w:cs="宋体"/>
      <w:kern w:val="2"/>
      <w:sz w:val="24"/>
    </w:rPr>
  </w:style>
  <w:style w:type="paragraph" w:customStyle="1" w:styleId="856">
    <w:name w:val="正文#"/>
    <w:basedOn w:val="1"/>
    <w:link w:val="855"/>
    <w:qFormat/>
    <w:uiPriority w:val="0"/>
    <w:pPr>
      <w:spacing w:line="360" w:lineRule="auto"/>
      <w:ind w:firstLine="480"/>
    </w:pPr>
    <w:rPr>
      <w:rFonts w:ascii="Times New Roman" w:eastAsia="宋体"/>
      <w:sz w:val="24"/>
      <w:szCs w:val="20"/>
    </w:rPr>
  </w:style>
  <w:style w:type="character" w:customStyle="1" w:styleId="857">
    <w:name w:val="Char Char35"/>
    <w:qFormat/>
    <w:uiPriority w:val="0"/>
    <w:rPr>
      <w:rFonts w:ascii="仿宋_GB2312" w:eastAsia="华文新魏"/>
      <w:bCs/>
      <w:kern w:val="2"/>
      <w:sz w:val="32"/>
      <w:szCs w:val="24"/>
      <w:lang w:val="en-US" w:eastAsia="zh-CN" w:bidi="ar-SA"/>
    </w:rPr>
  </w:style>
  <w:style w:type="character" w:customStyle="1" w:styleId="858">
    <w:name w:val="样式 (西文) 宋体 首行缩进:  2 字符 段前: 9.5 磅 行距: 1.5 倍行距 Char"/>
    <w:link w:val="859"/>
    <w:qFormat/>
    <w:uiPriority w:val="0"/>
    <w:rPr>
      <w:rFonts w:eastAsia="黑体" w:cs="宋体"/>
      <w:kern w:val="2"/>
      <w:sz w:val="24"/>
    </w:rPr>
  </w:style>
  <w:style w:type="paragraph" w:customStyle="1" w:styleId="859">
    <w:name w:val="样式 (西文) 宋体 首行缩进:  2 字符 段前: 9.5 磅 行距: 1.5 倍行距"/>
    <w:basedOn w:val="1"/>
    <w:link w:val="858"/>
    <w:qFormat/>
    <w:uiPriority w:val="0"/>
    <w:pPr>
      <w:spacing w:after="60"/>
      <w:ind w:firstLine="100" w:firstLineChars="100"/>
    </w:pPr>
    <w:rPr>
      <w:rFonts w:ascii="Times New Roman" w:eastAsia="黑体"/>
      <w:sz w:val="24"/>
      <w:szCs w:val="20"/>
    </w:rPr>
  </w:style>
  <w:style w:type="character" w:customStyle="1" w:styleId="860">
    <w:name w:val="图件 Char"/>
    <w:link w:val="861"/>
    <w:qFormat/>
    <w:uiPriority w:val="0"/>
    <w:rPr>
      <w:rFonts w:ascii="仿宋_GB2312" w:hAnsi="Calibri" w:eastAsia="仿宋_GB2312"/>
      <w:kern w:val="2"/>
      <w:sz w:val="28"/>
      <w:szCs w:val="21"/>
    </w:rPr>
  </w:style>
  <w:style w:type="paragraph" w:customStyle="1" w:styleId="861">
    <w:name w:val="图件"/>
    <w:basedOn w:val="1"/>
    <w:link w:val="860"/>
    <w:qFormat/>
    <w:uiPriority w:val="0"/>
    <w:pPr>
      <w:spacing w:line="240" w:lineRule="auto"/>
      <w:ind w:firstLine="0" w:firstLineChars="0"/>
      <w:jc w:val="center"/>
    </w:pPr>
    <w:rPr>
      <w:rFonts w:hAnsi="Calibri"/>
      <w:szCs w:val="21"/>
    </w:rPr>
  </w:style>
  <w:style w:type="character" w:customStyle="1" w:styleId="862">
    <w:name w:val="Heading 4 Char"/>
    <w:semiHidden/>
    <w:qFormat/>
    <w:uiPriority w:val="0"/>
    <w:rPr>
      <w:rFonts w:ascii="Cambria" w:hAnsi="Cambria" w:eastAsia="宋体" w:cs="Times New Roman"/>
      <w:b/>
      <w:bCs/>
      <w:sz w:val="28"/>
      <w:szCs w:val="28"/>
    </w:rPr>
  </w:style>
  <w:style w:type="character" w:customStyle="1" w:styleId="863">
    <w:name w:val="正文文字缩进 3 Char Char Char Char Char Char Char Char Char Char Char Char Char Char Char Char Char Char Char Char Char Char Char Char Char Char Char Char Char Char Char Char Char Char Char Char Char Char1"/>
    <w:qFormat/>
    <w:uiPriority w:val="0"/>
    <w:rPr>
      <w:rFonts w:ascii="仿宋_GB2312" w:eastAsia="仿宋_GB2312"/>
      <w:kern w:val="2"/>
      <w:sz w:val="28"/>
      <w:szCs w:val="24"/>
      <w:lang w:val="en-US" w:eastAsia="zh-CN" w:bidi="ar-SA"/>
    </w:rPr>
  </w:style>
  <w:style w:type="character" w:customStyle="1" w:styleId="864">
    <w:name w:val="表名1 Char Char Char Char Char Char"/>
    <w:link w:val="865"/>
    <w:qFormat/>
    <w:uiPriority w:val="0"/>
    <w:rPr>
      <w:b/>
      <w:bCs/>
      <w:kern w:val="2"/>
      <w:sz w:val="24"/>
      <w:szCs w:val="24"/>
    </w:rPr>
  </w:style>
  <w:style w:type="paragraph" w:customStyle="1" w:styleId="865">
    <w:name w:val="表名1 Char Char Char Char Char"/>
    <w:basedOn w:val="1"/>
    <w:link w:val="864"/>
    <w:qFormat/>
    <w:uiPriority w:val="0"/>
    <w:pPr>
      <w:adjustRightInd w:val="0"/>
      <w:snapToGrid w:val="0"/>
      <w:spacing w:beforeLines="50" w:line="300" w:lineRule="auto"/>
      <w:ind w:firstLine="480"/>
      <w:jc w:val="left"/>
    </w:pPr>
    <w:rPr>
      <w:rFonts w:ascii="Times New Roman" w:eastAsia="宋体"/>
      <w:b/>
      <w:bCs/>
      <w:sz w:val="24"/>
      <w:szCs w:val="24"/>
    </w:rPr>
  </w:style>
  <w:style w:type="character" w:customStyle="1" w:styleId="866">
    <w:name w:val="Char Char231"/>
    <w:qFormat/>
    <w:uiPriority w:val="0"/>
    <w:rPr>
      <w:rFonts w:hint="default" w:ascii="Arial" w:hAnsi="Arial" w:eastAsia="仿宋_GB2312" w:cs="Times New Roman"/>
      <w:bCs/>
      <w:kern w:val="0"/>
      <w:sz w:val="28"/>
      <w:szCs w:val="28"/>
    </w:rPr>
  </w:style>
  <w:style w:type="character" w:customStyle="1" w:styleId="867">
    <w:name w:val="Char Char12"/>
    <w:qFormat/>
    <w:uiPriority w:val="0"/>
    <w:rPr>
      <w:rFonts w:eastAsia="宋体"/>
      <w:b/>
      <w:bCs/>
      <w:kern w:val="44"/>
      <w:sz w:val="44"/>
      <w:szCs w:val="44"/>
      <w:lang w:val="en-US" w:eastAsia="zh-CN" w:bidi="ar-SA"/>
    </w:rPr>
  </w:style>
  <w:style w:type="character" w:customStyle="1" w:styleId="868">
    <w:name w:val="公标题4 Char"/>
    <w:link w:val="869"/>
    <w:qFormat/>
    <w:uiPriority w:val="0"/>
    <w:rPr>
      <w:sz w:val="28"/>
      <w:szCs w:val="24"/>
    </w:rPr>
  </w:style>
  <w:style w:type="paragraph" w:customStyle="1" w:styleId="869">
    <w:name w:val="公标题4"/>
    <w:basedOn w:val="1"/>
    <w:link w:val="868"/>
    <w:qFormat/>
    <w:uiPriority w:val="0"/>
    <w:pPr>
      <w:adjustRightInd w:val="0"/>
      <w:snapToGrid w:val="0"/>
      <w:spacing w:line="353" w:lineRule="auto"/>
      <w:outlineLvl w:val="3"/>
    </w:pPr>
    <w:rPr>
      <w:rFonts w:ascii="Times New Roman" w:eastAsia="宋体"/>
      <w:kern w:val="0"/>
      <w:szCs w:val="24"/>
    </w:rPr>
  </w:style>
  <w:style w:type="character" w:customStyle="1" w:styleId="870">
    <w:name w:val="链接"/>
    <w:qFormat/>
    <w:uiPriority w:val="0"/>
    <w:rPr>
      <w:rFonts w:ascii="Times New Roman" w:eastAsia="宋体"/>
      <w:color w:val="0000FF"/>
      <w:sz w:val="21"/>
      <w:u w:val="single" w:color="0000FF"/>
      <w:vertAlign w:val="baseline"/>
      <w:lang w:val="en-US" w:eastAsia="zh-CN"/>
    </w:rPr>
  </w:style>
  <w:style w:type="character" w:customStyle="1" w:styleId="871">
    <w:name w:val="Char Char201"/>
    <w:qFormat/>
    <w:uiPriority w:val="0"/>
    <w:rPr>
      <w:rFonts w:hint="eastAsia" w:ascii="仿宋_GB2312" w:hAnsi="Times New Roman" w:eastAsia="仿宋_GB2312" w:cs="Times New Roman"/>
      <w:kern w:val="0"/>
      <w:sz w:val="28"/>
      <w:szCs w:val="18"/>
    </w:rPr>
  </w:style>
  <w:style w:type="character" w:customStyle="1" w:styleId="872">
    <w:name w:val="标题 2 字符2"/>
    <w:qFormat/>
    <w:uiPriority w:val="0"/>
    <w:rPr>
      <w:rFonts w:ascii="黑体" w:hAnsi="黑体" w:eastAsia="黑体"/>
      <w:bCs/>
      <w:kern w:val="2"/>
      <w:sz w:val="32"/>
      <w:szCs w:val="28"/>
    </w:rPr>
  </w:style>
  <w:style w:type="character" w:customStyle="1" w:styleId="873">
    <w:name w:val="样式 样式 首行缩进:  2 字符7 + 首行缩进:  2 字符1 Char"/>
    <w:link w:val="874"/>
    <w:qFormat/>
    <w:uiPriority w:val="0"/>
    <w:rPr>
      <w:rFonts w:ascii="仿宋_GB2312" w:eastAsia="仿宋_GB2312" w:cs="宋体"/>
      <w:kern w:val="2"/>
      <w:sz w:val="28"/>
    </w:rPr>
  </w:style>
  <w:style w:type="paragraph" w:customStyle="1" w:styleId="874">
    <w:name w:val="样式 样式 首行缩进:  2 字符7 + 首行缩进:  2 字符1"/>
    <w:basedOn w:val="1"/>
    <w:link w:val="873"/>
    <w:qFormat/>
    <w:uiPriority w:val="0"/>
    <w:rPr>
      <w:szCs w:val="20"/>
    </w:rPr>
  </w:style>
  <w:style w:type="character" w:customStyle="1" w:styleId="875">
    <w:name w:val="样式 样式 (西文) 楷体_GB2312 (中文) 楷体_GB2312 首行缩进:  2 字符 + Times New Roman Char"/>
    <w:link w:val="876"/>
    <w:qFormat/>
    <w:uiPriority w:val="0"/>
    <w:rPr>
      <w:rFonts w:ascii="楷体_GB2312" w:eastAsia="楷体_GB2312" w:cs="宋体"/>
      <w:kern w:val="2"/>
      <w:sz w:val="28"/>
    </w:rPr>
  </w:style>
  <w:style w:type="paragraph" w:customStyle="1" w:styleId="876">
    <w:name w:val="样式 样式 (西文) 楷体_GB2312 (中文) 楷体_GB2312 首行缩进:  2 字符 + Times New Roman"/>
    <w:basedOn w:val="877"/>
    <w:link w:val="875"/>
    <w:qFormat/>
    <w:uiPriority w:val="0"/>
  </w:style>
  <w:style w:type="paragraph" w:customStyle="1" w:styleId="877">
    <w:name w:val="样式 (西文) 楷体_GB2312 (中文) 楷体_GB2312 首行缩进:  2 字符"/>
    <w:basedOn w:val="1"/>
    <w:link w:val="878"/>
    <w:qFormat/>
    <w:uiPriority w:val="0"/>
    <w:pPr>
      <w:ind w:firstLine="560"/>
    </w:pPr>
    <w:rPr>
      <w:rFonts w:ascii="楷体_GB2312" w:eastAsia="楷体_GB2312"/>
      <w:szCs w:val="20"/>
    </w:rPr>
  </w:style>
  <w:style w:type="character" w:customStyle="1" w:styleId="878">
    <w:name w:val="样式 (西文) 楷体_GB2312 (中文) 楷体_GB2312 首行缩进:  2 字符 Char"/>
    <w:link w:val="877"/>
    <w:qFormat/>
    <w:uiPriority w:val="0"/>
    <w:rPr>
      <w:rFonts w:ascii="楷体_GB2312" w:eastAsia="楷体_GB2312" w:cs="宋体"/>
      <w:kern w:val="2"/>
      <w:sz w:val="28"/>
    </w:rPr>
  </w:style>
  <w:style w:type="character" w:customStyle="1" w:styleId="879">
    <w:name w:val="表题 Char Char1"/>
    <w:qFormat/>
    <w:uiPriority w:val="0"/>
    <w:rPr>
      <w:rFonts w:eastAsia="黑体"/>
      <w:kern w:val="2"/>
      <w:sz w:val="24"/>
      <w:lang w:val="en-US" w:eastAsia="zh-CN" w:bidi="ar-SA"/>
    </w:rPr>
  </w:style>
  <w:style w:type="character" w:customStyle="1" w:styleId="880">
    <w:name w:val="单位石 Char Char"/>
    <w:link w:val="881"/>
    <w:qFormat/>
    <w:uiPriority w:val="0"/>
    <w:rPr>
      <w:kern w:val="2"/>
      <w:sz w:val="21"/>
      <w:szCs w:val="24"/>
      <w:lang w:val="en-US" w:eastAsia="zh-CN" w:bidi="ar-SA"/>
    </w:rPr>
  </w:style>
  <w:style w:type="paragraph" w:customStyle="1" w:styleId="881">
    <w:name w:val="单位石"/>
    <w:next w:val="87"/>
    <w:link w:val="880"/>
    <w:qFormat/>
    <w:uiPriority w:val="0"/>
    <w:pPr>
      <w:keepNext/>
      <w:adjustRightInd w:val="0"/>
      <w:snapToGrid w:val="0"/>
      <w:spacing w:line="360" w:lineRule="auto"/>
      <w:ind w:right="50" w:rightChars="50"/>
      <w:jc w:val="right"/>
    </w:pPr>
    <w:rPr>
      <w:rFonts w:ascii="Times New Roman" w:hAnsi="Times New Roman" w:eastAsia="宋体" w:cs="Times New Roman"/>
      <w:kern w:val="2"/>
      <w:sz w:val="21"/>
      <w:szCs w:val="24"/>
      <w:lang w:val="en-US" w:eastAsia="zh-CN" w:bidi="ar-SA"/>
    </w:rPr>
  </w:style>
  <w:style w:type="character" w:customStyle="1" w:styleId="882">
    <w:name w:val="Char Char301"/>
    <w:qFormat/>
    <w:uiPriority w:val="0"/>
    <w:rPr>
      <w:rFonts w:ascii="Arial" w:hAnsi="Arial" w:eastAsia="黑体"/>
      <w:bCs/>
      <w:kern w:val="2"/>
      <w:sz w:val="32"/>
      <w:szCs w:val="32"/>
    </w:rPr>
  </w:style>
  <w:style w:type="character" w:customStyle="1" w:styleId="883">
    <w:name w:val="标题04 Char"/>
    <w:link w:val="884"/>
    <w:qFormat/>
    <w:uiPriority w:val="0"/>
    <w:rPr>
      <w:rFonts w:ascii="Arial" w:hAnsi="Arial" w:cs="宋体"/>
      <w:sz w:val="28"/>
    </w:rPr>
  </w:style>
  <w:style w:type="paragraph" w:customStyle="1" w:styleId="884">
    <w:name w:val="标题04"/>
    <w:basedOn w:val="8"/>
    <w:link w:val="883"/>
    <w:qFormat/>
    <w:uiPriority w:val="0"/>
    <w:pPr>
      <w:spacing w:before="0" w:after="0" w:line="560" w:lineRule="exact"/>
      <w:ind w:firstLine="0" w:firstLineChars="0"/>
      <w:jc w:val="left"/>
    </w:pPr>
    <w:rPr>
      <w:rFonts w:ascii="Arial" w:hAnsi="Arial"/>
      <w:b w:val="0"/>
      <w:bCs w:val="0"/>
      <w:kern w:val="0"/>
      <w:szCs w:val="20"/>
    </w:rPr>
  </w:style>
  <w:style w:type="character" w:customStyle="1" w:styleId="885">
    <w:name w:val="样式 1 + 华文中宋 30 磅 加粗 Char"/>
    <w:qFormat/>
    <w:uiPriority w:val="0"/>
    <w:rPr>
      <w:rFonts w:ascii="华文中宋" w:hAnsi="华文中宋" w:eastAsia="华文中宋"/>
      <w:b/>
      <w:bCs/>
      <w:spacing w:val="72"/>
      <w:kern w:val="2"/>
      <w:sz w:val="60"/>
      <w:szCs w:val="52"/>
      <w:lang w:val="en-US" w:eastAsia="zh-CN" w:bidi="ar-SA"/>
    </w:rPr>
  </w:style>
  <w:style w:type="character" w:customStyle="1" w:styleId="886">
    <w:name w:val="标题 5 Char Char Char1"/>
    <w:qFormat/>
    <w:uiPriority w:val="0"/>
    <w:rPr>
      <w:rFonts w:ascii="Arial" w:hAnsi="Arial" w:eastAsia="仿宋_GB2312"/>
      <w:bCs/>
      <w:sz w:val="28"/>
      <w:szCs w:val="28"/>
      <w:lang w:val="en-US" w:eastAsia="zh-CN" w:bidi="ar-SA"/>
    </w:rPr>
  </w:style>
  <w:style w:type="character" w:customStyle="1" w:styleId="887">
    <w:name w:val="1级 Char"/>
    <w:link w:val="888"/>
    <w:qFormat/>
    <w:uiPriority w:val="0"/>
    <w:rPr>
      <w:rFonts w:ascii="黑体" w:eastAsia="黑体" w:cs="宋体"/>
      <w:bCs/>
      <w:snapToGrid/>
      <w:spacing w:val="12"/>
      <w:kern w:val="44"/>
      <w:sz w:val="30"/>
      <w:szCs w:val="30"/>
    </w:rPr>
  </w:style>
  <w:style w:type="paragraph" w:customStyle="1" w:styleId="888">
    <w:name w:val="1级"/>
    <w:basedOn w:val="807"/>
    <w:link w:val="887"/>
    <w:qFormat/>
    <w:uiPriority w:val="0"/>
    <w:pPr>
      <w:numPr>
        <w:ilvl w:val="0"/>
        <w:numId w:val="0"/>
      </w:numPr>
      <w:ind w:left="431" w:hanging="431"/>
    </w:pPr>
    <w:rPr>
      <w:rFonts w:hAnsi="Times New Roman"/>
    </w:rPr>
  </w:style>
  <w:style w:type="character" w:customStyle="1" w:styleId="889">
    <w:name w:val="正文文本 3 字符2"/>
    <w:qFormat/>
    <w:uiPriority w:val="0"/>
    <w:rPr>
      <w:kern w:val="2"/>
      <w:sz w:val="16"/>
      <w:szCs w:val="16"/>
    </w:rPr>
  </w:style>
  <w:style w:type="character" w:customStyle="1" w:styleId="890">
    <w:name w:val="样式 样式 宋体 四号 首行缩进:  0.98 厘米 行距: 1.5 倍行距 + 首行缩进:  2 字符 Char"/>
    <w:link w:val="891"/>
    <w:qFormat/>
    <w:uiPriority w:val="0"/>
    <w:rPr>
      <w:rFonts w:ascii="仿宋_GB2312" w:hAnsi="宋体" w:eastAsia="仿宋_GB2312" w:cs="宋体"/>
      <w:kern w:val="2"/>
      <w:sz w:val="28"/>
    </w:rPr>
  </w:style>
  <w:style w:type="paragraph" w:customStyle="1" w:styleId="891">
    <w:name w:val="样式 样式 宋体 四号 首行缩进:  0.98 厘米 行距: 1.5 倍行距 + 首行缩进:  2 字符"/>
    <w:basedOn w:val="892"/>
    <w:link w:val="890"/>
    <w:qFormat/>
    <w:uiPriority w:val="0"/>
  </w:style>
  <w:style w:type="paragraph" w:customStyle="1" w:styleId="892">
    <w:name w:val="样式 宋体 四号 首行缩进:  0.98 厘米 行距: 1.5 倍行距"/>
    <w:basedOn w:val="1"/>
    <w:link w:val="893"/>
    <w:qFormat/>
    <w:uiPriority w:val="0"/>
    <w:rPr>
      <w:rFonts w:hAnsi="宋体"/>
      <w:szCs w:val="20"/>
    </w:rPr>
  </w:style>
  <w:style w:type="character" w:customStyle="1" w:styleId="893">
    <w:name w:val="样式 宋体 四号 首行缩进:  0.98 厘米 行距: 1.5 倍行距 Char"/>
    <w:link w:val="892"/>
    <w:qFormat/>
    <w:uiPriority w:val="0"/>
    <w:rPr>
      <w:rFonts w:ascii="仿宋_GB2312" w:hAnsi="宋体" w:eastAsia="仿宋_GB2312" w:cs="宋体"/>
      <w:kern w:val="2"/>
      <w:sz w:val="28"/>
    </w:rPr>
  </w:style>
  <w:style w:type="character" w:customStyle="1" w:styleId="894">
    <w:name w:val="content"/>
    <w:qFormat/>
    <w:uiPriority w:val="0"/>
  </w:style>
  <w:style w:type="character" w:customStyle="1" w:styleId="895">
    <w:name w:val="正文 Char Char Char Char"/>
    <w:qFormat/>
    <w:uiPriority w:val="0"/>
    <w:rPr>
      <w:rFonts w:ascii="仿宋_GB2312" w:hAnsi="仿宋_GB2312" w:eastAsia="仿宋_GB2312" w:cs="Courier New"/>
      <w:kern w:val="2"/>
      <w:sz w:val="28"/>
      <w:szCs w:val="21"/>
      <w:lang w:val="en-US" w:eastAsia="zh-CN" w:bidi="ar-SA"/>
    </w:rPr>
  </w:style>
  <w:style w:type="character" w:customStyle="1" w:styleId="896">
    <w:name w:val="标题3 Char1"/>
    <w:link w:val="897"/>
    <w:qFormat/>
    <w:uiPriority w:val="0"/>
    <w:rPr>
      <w:rFonts w:ascii="Arial" w:hAnsi="Arial" w:eastAsia="方正小标宋_GBK"/>
      <w:b/>
      <w:spacing w:val="-6"/>
      <w:sz w:val="28"/>
      <w:szCs w:val="28"/>
    </w:rPr>
  </w:style>
  <w:style w:type="paragraph" w:customStyle="1" w:styleId="897">
    <w:name w:val="标题3"/>
    <w:basedOn w:val="7"/>
    <w:link w:val="896"/>
    <w:qFormat/>
    <w:uiPriority w:val="0"/>
    <w:pPr>
      <w:spacing w:before="0" w:after="0" w:line="560" w:lineRule="exact"/>
      <w:jc w:val="left"/>
    </w:pPr>
    <w:rPr>
      <w:rFonts w:ascii="Arial"/>
      <w:b/>
      <w:bCs w:val="0"/>
      <w:spacing w:val="-6"/>
      <w:kern w:val="0"/>
    </w:rPr>
  </w:style>
  <w:style w:type="character" w:customStyle="1" w:styleId="898">
    <w:name w:val="Char Char23"/>
    <w:qFormat/>
    <w:uiPriority w:val="0"/>
    <w:rPr>
      <w:rFonts w:ascii="Arial" w:hAnsi="Arial" w:eastAsia="仿宋_GB2312" w:cs="Times New Roman"/>
      <w:bCs/>
      <w:kern w:val="0"/>
      <w:sz w:val="28"/>
      <w:szCs w:val="28"/>
    </w:rPr>
  </w:style>
  <w:style w:type="character" w:customStyle="1" w:styleId="899">
    <w:name w:val="表格标题1 Char"/>
    <w:qFormat/>
    <w:uiPriority w:val="0"/>
    <w:rPr>
      <w:rFonts w:eastAsia="黑体"/>
      <w:spacing w:val="14"/>
      <w:kern w:val="2"/>
      <w:sz w:val="24"/>
      <w:szCs w:val="24"/>
      <w:lang w:val="en-US" w:eastAsia="zh-CN" w:bidi="ar-SA"/>
    </w:rPr>
  </w:style>
  <w:style w:type="character" w:customStyle="1" w:styleId="900">
    <w:name w:val="表格 Char Char"/>
    <w:qFormat/>
    <w:uiPriority w:val="0"/>
    <w:rPr>
      <w:rFonts w:ascii="楷体_GB2312" w:eastAsia="楷体_GB2312"/>
      <w:sz w:val="21"/>
      <w:lang w:val="en-US" w:eastAsia="zh-CN" w:bidi="ar-SA"/>
    </w:rPr>
  </w:style>
  <w:style w:type="character" w:customStyle="1" w:styleId="901">
    <w:name w:val="123YJ Char2"/>
    <w:qFormat/>
    <w:uiPriority w:val="0"/>
    <w:rPr>
      <w:rFonts w:ascii="Calibri" w:hAnsi="Calibri" w:eastAsia="宋体"/>
      <w:kern w:val="2"/>
      <w:sz w:val="18"/>
      <w:szCs w:val="18"/>
      <w:lang w:bidi="ar-SA"/>
    </w:rPr>
  </w:style>
  <w:style w:type="character" w:customStyle="1" w:styleId="902">
    <w:name w:val="样式 正文首行缩进 + (西文) 宋体 (中文) 仿宋_GB2312 Char"/>
    <w:qFormat/>
    <w:uiPriority w:val="0"/>
    <w:rPr>
      <w:rFonts w:ascii="Calibri" w:hAnsi="Calibri"/>
      <w:kern w:val="2"/>
      <w:sz w:val="21"/>
      <w:szCs w:val="22"/>
    </w:rPr>
  </w:style>
  <w:style w:type="character" w:customStyle="1" w:styleId="903">
    <w:name w:val="正文文本1"/>
    <w:qFormat/>
    <w:uiPriority w:val="0"/>
    <w:rPr>
      <w:rFonts w:eastAsia="宋体"/>
      <w:kern w:val="2"/>
      <w:sz w:val="21"/>
      <w:szCs w:val="24"/>
      <w:lang w:val="en-US" w:eastAsia="zh-CN" w:bidi="ar-SA"/>
    </w:rPr>
  </w:style>
  <w:style w:type="character" w:customStyle="1" w:styleId="904">
    <w:name w:val="Intense Quote Char"/>
    <w:link w:val="905"/>
    <w:qFormat/>
    <w:uiPriority w:val="0"/>
    <w:rPr>
      <w:b/>
      <w:i/>
      <w:sz w:val="24"/>
      <w:lang w:eastAsia="en-US"/>
    </w:rPr>
  </w:style>
  <w:style w:type="paragraph" w:customStyle="1" w:styleId="905">
    <w:name w:val="明显引用1"/>
    <w:basedOn w:val="1"/>
    <w:next w:val="1"/>
    <w:link w:val="904"/>
    <w:qFormat/>
    <w:uiPriority w:val="0"/>
    <w:pPr>
      <w:widowControl/>
      <w:spacing w:line="240" w:lineRule="auto"/>
      <w:ind w:left="720" w:right="720" w:firstLine="0" w:firstLineChars="0"/>
      <w:jc w:val="left"/>
    </w:pPr>
    <w:rPr>
      <w:rFonts w:ascii="Times New Roman" w:eastAsia="宋体"/>
      <w:b/>
      <w:i/>
      <w:kern w:val="0"/>
      <w:sz w:val="24"/>
      <w:szCs w:val="20"/>
      <w:lang w:eastAsia="en-US"/>
    </w:rPr>
  </w:style>
  <w:style w:type="character" w:customStyle="1" w:styleId="906">
    <w:name w:val="Heading 1 Char"/>
    <w:qFormat/>
    <w:uiPriority w:val="0"/>
    <w:rPr>
      <w:rFonts w:ascii="Cambria" w:hAnsi="Cambria" w:eastAsia="宋体"/>
      <w:b/>
      <w:bCs/>
      <w:kern w:val="32"/>
      <w:sz w:val="32"/>
      <w:szCs w:val="32"/>
      <w:lang w:val="en-US" w:eastAsia="en-US" w:bidi="ar-SA"/>
    </w:rPr>
  </w:style>
  <w:style w:type="character" w:customStyle="1" w:styleId="907">
    <w:name w:val="单位-r Char Char"/>
    <w:link w:val="908"/>
    <w:qFormat/>
    <w:uiPriority w:val="0"/>
    <w:rPr>
      <w:kern w:val="2"/>
      <w:sz w:val="21"/>
      <w:szCs w:val="24"/>
      <w:lang w:val="en-US" w:eastAsia="zh-CN" w:bidi="ar-SA"/>
    </w:rPr>
  </w:style>
  <w:style w:type="paragraph" w:customStyle="1" w:styleId="908">
    <w:name w:val="单位-r"/>
    <w:next w:val="87"/>
    <w:link w:val="907"/>
    <w:qFormat/>
    <w:uiPriority w:val="0"/>
    <w:pPr>
      <w:keepNext/>
      <w:adjustRightInd w:val="0"/>
      <w:snapToGrid w:val="0"/>
      <w:spacing w:line="360" w:lineRule="auto"/>
      <w:ind w:right="50" w:rightChars="50"/>
      <w:jc w:val="right"/>
    </w:pPr>
    <w:rPr>
      <w:rFonts w:ascii="Times New Roman" w:hAnsi="Times New Roman" w:eastAsia="宋体" w:cs="Times New Roman"/>
      <w:kern w:val="2"/>
      <w:sz w:val="21"/>
      <w:szCs w:val="24"/>
      <w:lang w:val="en-US" w:eastAsia="zh-CN" w:bidi="ar-SA"/>
    </w:rPr>
  </w:style>
  <w:style w:type="character" w:customStyle="1" w:styleId="909">
    <w:name w:val="样式 报告正文 + 红色 Char"/>
    <w:link w:val="910"/>
    <w:qFormat/>
    <w:uiPriority w:val="0"/>
    <w:rPr>
      <w:snapToGrid/>
      <w:spacing w:val="4"/>
      <w:sz w:val="24"/>
      <w:szCs w:val="24"/>
    </w:rPr>
  </w:style>
  <w:style w:type="paragraph" w:customStyle="1" w:styleId="910">
    <w:name w:val="样式 报告正文 + 红色"/>
    <w:basedOn w:val="911"/>
    <w:link w:val="909"/>
    <w:qFormat/>
    <w:uiPriority w:val="0"/>
    <w:pPr>
      <w:adjustRightInd w:val="0"/>
      <w:snapToGrid w:val="0"/>
      <w:ind w:firstLine="454"/>
    </w:pPr>
    <w:rPr>
      <w:rFonts w:cs="Times New Roman"/>
      <w:kern w:val="0"/>
      <w:szCs w:val="24"/>
    </w:rPr>
  </w:style>
  <w:style w:type="paragraph" w:customStyle="1" w:styleId="911">
    <w:name w:val="报告正文"/>
    <w:basedOn w:val="87"/>
    <w:qFormat/>
    <w:uiPriority w:val="0"/>
    <w:pPr>
      <w:spacing w:after="0" w:line="360" w:lineRule="auto"/>
      <w:ind w:left="0" w:firstLine="200" w:firstLineChars="200"/>
    </w:pPr>
    <w:rPr>
      <w:rFonts w:cs="宋体"/>
      <w:spacing w:val="4"/>
      <w:sz w:val="24"/>
    </w:rPr>
  </w:style>
  <w:style w:type="character" w:customStyle="1" w:styleId="912">
    <w:name w:val="文档结构图 字符1"/>
    <w:qFormat/>
    <w:uiPriority w:val="0"/>
    <w:rPr>
      <w:rFonts w:ascii="仿宋_GB2312" w:eastAsia="仿宋_GB2312"/>
      <w:kern w:val="2"/>
      <w:sz w:val="28"/>
      <w:szCs w:val="28"/>
      <w:shd w:val="clear" w:color="auto" w:fill="000080"/>
    </w:rPr>
  </w:style>
  <w:style w:type="character" w:customStyle="1" w:styleId="913">
    <w:name w:val="正文1 Char1"/>
    <w:qFormat/>
    <w:uiPriority w:val="0"/>
    <w:rPr>
      <w:rFonts w:eastAsia="仿宋_GB2312"/>
      <w:kern w:val="2"/>
      <w:sz w:val="24"/>
      <w:szCs w:val="24"/>
      <w:lang w:val="en-US" w:eastAsia="zh-CN" w:bidi="ar-SA"/>
    </w:rPr>
  </w:style>
  <w:style w:type="character" w:customStyle="1" w:styleId="914">
    <w:name w:val="标准正文c Char"/>
    <w:qFormat/>
    <w:uiPriority w:val="0"/>
    <w:rPr>
      <w:rFonts w:ascii="Times" w:hAnsi="Times" w:eastAsia="宋体"/>
      <w:color w:val="000000"/>
      <w:spacing w:val="4"/>
      <w:kern w:val="2"/>
      <w:sz w:val="28"/>
      <w:szCs w:val="28"/>
      <w:lang w:val="en-US" w:eastAsia="zh-CN" w:bidi="ar-SA"/>
    </w:rPr>
  </w:style>
  <w:style w:type="character" w:customStyle="1" w:styleId="915">
    <w:name w:val="标题4 Char Char Char Char Char Char"/>
    <w:semiHidden/>
    <w:qFormat/>
    <w:uiPriority w:val="0"/>
    <w:rPr>
      <w:rFonts w:eastAsia="宋体"/>
      <w:b/>
      <w:bCs/>
      <w:kern w:val="2"/>
      <w:sz w:val="28"/>
      <w:szCs w:val="28"/>
      <w:lang w:val="en-US" w:eastAsia="zh-CN" w:bidi="ar-SA"/>
    </w:rPr>
  </w:style>
  <w:style w:type="character" w:customStyle="1" w:styleId="916">
    <w:name w:val="表格标题 Char Char Char"/>
    <w:semiHidden/>
    <w:qFormat/>
    <w:uiPriority w:val="0"/>
    <w:rPr>
      <w:rFonts w:ascii="Arial" w:hAnsi="Arial" w:eastAsia="黑体"/>
      <w:snapToGrid/>
      <w:spacing w:val="14"/>
      <w:kern w:val="24"/>
      <w:sz w:val="24"/>
      <w:szCs w:val="24"/>
      <w:lang w:val="en-US" w:eastAsia="zh-CN" w:bidi="ar-SA"/>
    </w:rPr>
  </w:style>
  <w:style w:type="character" w:customStyle="1" w:styleId="917">
    <w:name w:val="需要修改 Char Char1"/>
    <w:qFormat/>
    <w:uiPriority w:val="0"/>
    <w:rPr>
      <w:rFonts w:ascii="宋体" w:hAnsi="宋体" w:eastAsia="宋体"/>
      <w:color w:val="FF0000"/>
      <w:kern w:val="2"/>
      <w:sz w:val="21"/>
      <w:szCs w:val="21"/>
      <w:lang w:val="en-US" w:eastAsia="zh-CN" w:bidi="ar-SA"/>
    </w:rPr>
  </w:style>
  <w:style w:type="character" w:customStyle="1" w:styleId="918">
    <w:name w:val="ZZWW Char"/>
    <w:link w:val="919"/>
    <w:qFormat/>
    <w:uiPriority w:val="0"/>
    <w:rPr>
      <w:rFonts w:ascii="仿宋_GB2312" w:eastAsia="仿宋_GB2312" w:cs="仿宋_GB2312"/>
      <w:color w:val="000000"/>
      <w:kern w:val="2"/>
      <w:sz w:val="28"/>
      <w:szCs w:val="28"/>
    </w:rPr>
  </w:style>
  <w:style w:type="paragraph" w:customStyle="1" w:styleId="919">
    <w:name w:val="ZZWW"/>
    <w:basedOn w:val="1"/>
    <w:link w:val="918"/>
    <w:qFormat/>
    <w:uiPriority w:val="0"/>
    <w:rPr>
      <w:color w:val="000000"/>
    </w:rPr>
  </w:style>
  <w:style w:type="character" w:customStyle="1" w:styleId="920">
    <w:name w:val="尾注文本 字符1"/>
    <w:qFormat/>
    <w:uiPriority w:val="0"/>
    <w:rPr>
      <w:rFonts w:ascii="仿宋_GB2312" w:eastAsia="仿宋_GB2312"/>
      <w:kern w:val="2"/>
      <w:sz w:val="28"/>
      <w:szCs w:val="28"/>
    </w:rPr>
  </w:style>
  <w:style w:type="character" w:customStyle="1" w:styleId="921">
    <w:name w:val="正文1 Char Char Char Char"/>
    <w:qFormat/>
    <w:uiPriority w:val="0"/>
    <w:rPr>
      <w:rFonts w:eastAsia="宋体"/>
      <w:kern w:val="2"/>
      <w:sz w:val="24"/>
      <w:szCs w:val="24"/>
      <w:lang w:val="en-US" w:eastAsia="zh-CN" w:bidi="ar-SA"/>
    </w:rPr>
  </w:style>
  <w:style w:type="character" w:customStyle="1" w:styleId="922">
    <w:name w:val="Char Char38"/>
    <w:qFormat/>
    <w:uiPriority w:val="0"/>
    <w:rPr>
      <w:rFonts w:ascii="仿宋_GB2312" w:eastAsia="仿宋_GB2312"/>
      <w:kern w:val="2"/>
      <w:sz w:val="18"/>
      <w:szCs w:val="18"/>
      <w:lang w:bidi="ar-SA"/>
    </w:rPr>
  </w:style>
  <w:style w:type="character" w:customStyle="1" w:styleId="923">
    <w:name w:val="标题03 Char"/>
    <w:link w:val="924"/>
    <w:qFormat/>
    <w:uiPriority w:val="0"/>
    <w:rPr>
      <w:rFonts w:ascii="Arial" w:hAnsi="Arial" w:eastAsia="方正小标宋_GBK" w:cs="宋体"/>
      <w:sz w:val="28"/>
    </w:rPr>
  </w:style>
  <w:style w:type="paragraph" w:customStyle="1" w:styleId="924">
    <w:name w:val="标题03"/>
    <w:basedOn w:val="7"/>
    <w:link w:val="923"/>
    <w:qFormat/>
    <w:uiPriority w:val="0"/>
    <w:pPr>
      <w:keepNext/>
      <w:keepLines/>
      <w:ind w:firstLine="560"/>
      <w:jc w:val="left"/>
    </w:pPr>
    <w:rPr>
      <w:rFonts w:ascii="Arial"/>
      <w:bCs w:val="0"/>
      <w:kern w:val="0"/>
      <w:szCs w:val="20"/>
    </w:rPr>
  </w:style>
  <w:style w:type="character" w:customStyle="1" w:styleId="925">
    <w:name w:val="Body Text 2 Char Char"/>
    <w:qFormat/>
    <w:uiPriority w:val="0"/>
    <w:rPr>
      <w:rFonts w:ascii="仿宋_GB2312" w:hAnsi="宋体" w:eastAsia="仿宋_GB2312" w:cs="Times New Roman"/>
      <w:sz w:val="28"/>
      <w:szCs w:val="28"/>
    </w:rPr>
  </w:style>
  <w:style w:type="character" w:customStyle="1" w:styleId="926">
    <w:name w:val="样式 样式 样式 宋体 四号 首行缩进:  0.98 厘米 行距: 1.5 倍行距 + 首行缩进:  2 字符 + 首行缩进: ... Char"/>
    <w:link w:val="927"/>
    <w:qFormat/>
    <w:uiPriority w:val="0"/>
    <w:rPr>
      <w:rFonts w:ascii="仿宋_GB2312" w:hAnsi="宋体" w:eastAsia="仿宋_GB2312" w:cs="宋体"/>
      <w:kern w:val="2"/>
      <w:sz w:val="28"/>
      <w:szCs w:val="28"/>
    </w:rPr>
  </w:style>
  <w:style w:type="paragraph" w:customStyle="1" w:styleId="927">
    <w:name w:val="样式 样式 样式 宋体 四号 首行缩进:  0.98 厘米 行距: 1.5 倍行距 + 首行缩进:  2 字符 + 首行缩进: ..."/>
    <w:basedOn w:val="891"/>
    <w:link w:val="926"/>
    <w:qFormat/>
    <w:uiPriority w:val="0"/>
    <w:rPr>
      <w:szCs w:val="28"/>
    </w:rPr>
  </w:style>
  <w:style w:type="character" w:customStyle="1" w:styleId="928">
    <w:name w:val="样式6 Char1"/>
    <w:qFormat/>
    <w:uiPriority w:val="0"/>
    <w:rPr>
      <w:rFonts w:eastAsia="华文中宋"/>
      <w:color w:val="000000"/>
      <w:kern w:val="2"/>
      <w:sz w:val="21"/>
      <w:szCs w:val="24"/>
      <w:lang w:val="en-US" w:eastAsia="zh-CN" w:bidi="ar-SA"/>
    </w:rPr>
  </w:style>
  <w:style w:type="character" w:customStyle="1" w:styleId="929">
    <w:name w:val="信息标题 字符"/>
    <w:qFormat/>
    <w:uiPriority w:val="0"/>
    <w:rPr>
      <w:rFonts w:ascii="Arial" w:hAnsi="Arial" w:eastAsia="宋体" w:cs="Arial"/>
      <w:sz w:val="24"/>
      <w:szCs w:val="24"/>
      <w:shd w:val="pct20" w:color="auto" w:fill="auto"/>
    </w:rPr>
  </w:style>
  <w:style w:type="character" w:customStyle="1" w:styleId="930">
    <w:name w:val="批注文字 Char1"/>
    <w:qFormat/>
    <w:uiPriority w:val="0"/>
    <w:rPr>
      <w:sz w:val="21"/>
    </w:rPr>
  </w:style>
  <w:style w:type="character" w:customStyle="1" w:styleId="931">
    <w:name w:val="4级标题 Char"/>
    <w:qFormat/>
    <w:uiPriority w:val="0"/>
    <w:rPr>
      <w:rFonts w:ascii="Arial" w:hAnsi="Arial"/>
      <w:bCs/>
      <w:sz w:val="28"/>
      <w:szCs w:val="28"/>
    </w:rPr>
  </w:style>
  <w:style w:type="character" w:customStyle="1" w:styleId="932">
    <w:name w:val="Char Char33"/>
    <w:qFormat/>
    <w:uiPriority w:val="0"/>
    <w:rPr>
      <w:rFonts w:ascii="仿宋_GB2312" w:eastAsia="仿宋_GB2312"/>
      <w:kern w:val="2"/>
      <w:sz w:val="28"/>
      <w:szCs w:val="24"/>
      <w:lang w:val="en-US" w:eastAsia="zh-CN" w:bidi="ar-SA"/>
    </w:rPr>
  </w:style>
  <w:style w:type="character" w:customStyle="1" w:styleId="933">
    <w:name w:val="标题05 Char"/>
    <w:link w:val="934"/>
    <w:qFormat/>
    <w:uiPriority w:val="0"/>
    <w:rPr>
      <w:rFonts w:ascii="Arial" w:hAnsi="Arial" w:eastAsia="仿宋_GB2312"/>
      <w:bCs/>
      <w:color w:val="000000"/>
      <w:kern w:val="2"/>
      <w:sz w:val="28"/>
      <w:szCs w:val="24"/>
    </w:rPr>
  </w:style>
  <w:style w:type="paragraph" w:customStyle="1" w:styleId="934">
    <w:name w:val="标题05"/>
    <w:basedOn w:val="327"/>
    <w:link w:val="933"/>
    <w:qFormat/>
    <w:uiPriority w:val="0"/>
    <w:pPr>
      <w:outlineLvl w:val="4"/>
    </w:pPr>
    <w:rPr>
      <w:rFonts w:eastAsia="仿宋_GB2312"/>
      <w:b w:val="0"/>
    </w:rPr>
  </w:style>
  <w:style w:type="character" w:customStyle="1" w:styleId="935">
    <w:name w:val="f141"/>
    <w:qFormat/>
    <w:uiPriority w:val="0"/>
    <w:rPr>
      <w:spacing w:val="336"/>
      <w:sz w:val="21"/>
      <w:szCs w:val="21"/>
    </w:rPr>
  </w:style>
  <w:style w:type="character" w:customStyle="1" w:styleId="936">
    <w:name w:val="duanluo2"/>
    <w:qFormat/>
    <w:uiPriority w:val="0"/>
    <w:rPr>
      <w:rFonts w:hint="default" w:ascii="_GB2312" w:hAnsi="_GB2312"/>
      <w:color w:val="000000"/>
      <w:spacing w:val="432"/>
      <w:sz w:val="21"/>
      <w:szCs w:val="21"/>
    </w:rPr>
  </w:style>
  <w:style w:type="character" w:customStyle="1" w:styleId="937">
    <w:name w:val="文档结构图 字符2"/>
    <w:qFormat/>
    <w:uiPriority w:val="0"/>
    <w:rPr>
      <w:rFonts w:ascii="仿宋_GB2312" w:eastAsia="仿宋_GB2312"/>
      <w:kern w:val="2"/>
      <w:sz w:val="28"/>
      <w:szCs w:val="28"/>
      <w:shd w:val="clear" w:color="auto" w:fill="000080"/>
    </w:rPr>
  </w:style>
  <w:style w:type="character" w:customStyle="1" w:styleId="938">
    <w:name w:val="纯文本 字符2"/>
    <w:qFormat/>
    <w:uiPriority w:val="0"/>
    <w:rPr>
      <w:rFonts w:ascii="宋体"/>
      <w:color w:val="000000"/>
      <w:sz w:val="21"/>
      <w:u w:val="none" w:color="000000"/>
    </w:rPr>
  </w:style>
  <w:style w:type="character" w:customStyle="1" w:styleId="939">
    <w:name w:val="Sottoparagrafo Char Char"/>
    <w:qFormat/>
    <w:uiPriority w:val="0"/>
    <w:rPr>
      <w:rFonts w:ascii="Arial" w:hAnsi="Arial" w:eastAsia="黑体"/>
      <w:kern w:val="2"/>
      <w:sz w:val="24"/>
      <w:lang w:val="en-US" w:eastAsia="zh-CN"/>
    </w:rPr>
  </w:style>
  <w:style w:type="character" w:customStyle="1" w:styleId="940">
    <w:name w:val="结束语 字符2"/>
    <w:qFormat/>
    <w:uiPriority w:val="0"/>
    <w:rPr>
      <w:kern w:val="2"/>
      <w:sz w:val="24"/>
    </w:rPr>
  </w:style>
  <w:style w:type="character" w:customStyle="1" w:styleId="941">
    <w:name w:val="样式 样式5 + 三号 加粗 自动设置 Char Char"/>
    <w:qFormat/>
    <w:uiPriority w:val="0"/>
    <w:rPr>
      <w:rFonts w:eastAsia="黑体"/>
      <w:b/>
      <w:bCs/>
      <w:color w:val="000000"/>
      <w:kern w:val="2"/>
      <w:sz w:val="32"/>
      <w:szCs w:val="32"/>
      <w:lang w:val="en-US" w:eastAsia="zh-CN" w:bidi="ar-SA"/>
    </w:rPr>
  </w:style>
  <w:style w:type="character" w:customStyle="1" w:styleId="942">
    <w:name w:val="标题7"/>
    <w:qFormat/>
    <w:uiPriority w:val="0"/>
  </w:style>
  <w:style w:type="character" w:customStyle="1" w:styleId="943">
    <w:name w:val="批注框文本 Char1"/>
    <w:qFormat/>
    <w:uiPriority w:val="0"/>
    <w:rPr>
      <w:rFonts w:ascii="Times New Roman" w:hAnsi="Times New Roman" w:eastAsia="宋体" w:cs="Times New Roman"/>
      <w:sz w:val="18"/>
      <w:szCs w:val="18"/>
    </w:rPr>
  </w:style>
  <w:style w:type="character" w:customStyle="1" w:styleId="944">
    <w:name w:val="Char Char17"/>
    <w:qFormat/>
    <w:locked/>
    <w:uiPriority w:val="0"/>
    <w:rPr>
      <w:rFonts w:ascii="Arial" w:hAnsi="Arial" w:eastAsia="黑体"/>
      <w:b/>
      <w:bCs/>
      <w:kern w:val="2"/>
      <w:sz w:val="24"/>
      <w:szCs w:val="24"/>
      <w:lang w:val="en-US" w:eastAsia="zh-CN" w:bidi="ar-SA"/>
    </w:rPr>
  </w:style>
  <w:style w:type="character" w:customStyle="1" w:styleId="945">
    <w:name w:val="doc-header-title"/>
    <w:qFormat/>
    <w:uiPriority w:val="0"/>
  </w:style>
  <w:style w:type="character" w:customStyle="1" w:styleId="946">
    <w:name w:val="列表名称 Char"/>
    <w:link w:val="947"/>
    <w:qFormat/>
    <w:uiPriority w:val="0"/>
    <w:rPr>
      <w:rFonts w:ascii="仿宋_GB2312" w:eastAsia="黑体"/>
      <w:bCs/>
      <w:kern w:val="2"/>
      <w:sz w:val="24"/>
      <w:szCs w:val="28"/>
      <w:u w:val="none" w:color="000000"/>
    </w:rPr>
  </w:style>
  <w:style w:type="paragraph" w:customStyle="1" w:styleId="947">
    <w:name w:val="列表名称"/>
    <w:basedOn w:val="1"/>
    <w:link w:val="946"/>
    <w:qFormat/>
    <w:uiPriority w:val="0"/>
    <w:pPr>
      <w:tabs>
        <w:tab w:val="left" w:pos="3777"/>
        <w:tab w:val="left" w:pos="5106"/>
        <w:tab w:val="left" w:pos="6313"/>
        <w:tab w:val="left" w:pos="7998"/>
        <w:tab w:val="left" w:pos="9238"/>
      </w:tabs>
      <w:jc w:val="center"/>
    </w:pPr>
    <w:rPr>
      <w:rFonts w:eastAsia="黑体"/>
      <w:bCs/>
      <w:sz w:val="24"/>
      <w:u w:val="none" w:color="000000"/>
    </w:rPr>
  </w:style>
  <w:style w:type="character" w:customStyle="1" w:styleId="948">
    <w:name w:val="样式4 Char3"/>
    <w:qFormat/>
    <w:uiPriority w:val="0"/>
    <w:rPr>
      <w:rFonts w:eastAsia="宋体"/>
      <w:color w:val="000000"/>
      <w:sz w:val="24"/>
      <w:szCs w:val="24"/>
      <w:lang w:val="en-US" w:eastAsia="zh-CN" w:bidi="ar-SA"/>
    </w:rPr>
  </w:style>
  <w:style w:type="character" w:customStyle="1" w:styleId="949">
    <w:name w:val="javascript"/>
    <w:qFormat/>
    <w:uiPriority w:val="0"/>
  </w:style>
  <w:style w:type="character" w:customStyle="1" w:styleId="950">
    <w:name w:val="标准正文格式 Char4"/>
    <w:link w:val="951"/>
    <w:qFormat/>
    <w:uiPriority w:val="0"/>
    <w:rPr>
      <w:rFonts w:ascii="宋体" w:hAnsi="宋体" w:cs="宋体"/>
      <w:bCs/>
      <w:color w:val="FF0000"/>
      <w:spacing w:val="-10"/>
      <w:kern w:val="2"/>
      <w:sz w:val="28"/>
      <w:szCs w:val="28"/>
    </w:rPr>
  </w:style>
  <w:style w:type="paragraph" w:customStyle="1" w:styleId="951">
    <w:name w:val="标准正文格式"/>
    <w:basedOn w:val="1"/>
    <w:link w:val="950"/>
    <w:qFormat/>
    <w:uiPriority w:val="0"/>
    <w:pPr>
      <w:tabs>
        <w:tab w:val="left" w:pos="3204"/>
      </w:tabs>
      <w:spacing w:line="520" w:lineRule="exact"/>
      <w:ind w:firstLine="450" w:firstLineChars="173"/>
    </w:pPr>
    <w:rPr>
      <w:rFonts w:ascii="宋体" w:hAnsi="宋体" w:eastAsia="宋体"/>
      <w:bCs/>
      <w:color w:val="FF0000"/>
      <w:spacing w:val="-10"/>
    </w:rPr>
  </w:style>
  <w:style w:type="character" w:customStyle="1" w:styleId="952">
    <w:name w:val="Char Char13"/>
    <w:qFormat/>
    <w:locked/>
    <w:uiPriority w:val="0"/>
    <w:rPr>
      <w:rFonts w:ascii="仿宋" w:hAnsi="仿宋" w:eastAsia="宋体" w:cs="Times New Roman"/>
      <w:kern w:val="2"/>
      <w:sz w:val="21"/>
      <w:szCs w:val="24"/>
      <w:lang w:val="en-US" w:eastAsia="zh-CN" w:bidi="ar-SA"/>
    </w:rPr>
  </w:style>
  <w:style w:type="character" w:customStyle="1" w:styleId="953">
    <w:name w:val="图 名 Char"/>
    <w:link w:val="954"/>
    <w:qFormat/>
    <w:uiPriority w:val="0"/>
    <w:rPr>
      <w:rFonts w:ascii="黑体" w:eastAsia="黑体"/>
      <w:kern w:val="2"/>
      <w:sz w:val="24"/>
      <w:szCs w:val="24"/>
    </w:rPr>
  </w:style>
  <w:style w:type="paragraph" w:customStyle="1" w:styleId="954">
    <w:name w:val="图 名"/>
    <w:basedOn w:val="1"/>
    <w:link w:val="953"/>
    <w:qFormat/>
    <w:uiPriority w:val="0"/>
    <w:pPr>
      <w:adjustRightInd w:val="0"/>
      <w:snapToGrid w:val="0"/>
      <w:spacing w:line="360" w:lineRule="auto"/>
      <w:ind w:firstLine="0" w:firstLineChars="0"/>
      <w:jc w:val="center"/>
    </w:pPr>
    <w:rPr>
      <w:rFonts w:ascii="黑体" w:eastAsia="黑体"/>
      <w:sz w:val="24"/>
      <w:szCs w:val="24"/>
    </w:rPr>
  </w:style>
  <w:style w:type="character" w:customStyle="1" w:styleId="955">
    <w:name w:val="正文标准 Char"/>
    <w:link w:val="956"/>
    <w:qFormat/>
    <w:uiPriority w:val="0"/>
    <w:rPr>
      <w:sz w:val="24"/>
      <w:szCs w:val="24"/>
      <w:u w:val="none" w:color="000000"/>
    </w:rPr>
  </w:style>
  <w:style w:type="paragraph" w:customStyle="1" w:styleId="956">
    <w:name w:val="正文标准"/>
    <w:basedOn w:val="1"/>
    <w:link w:val="955"/>
    <w:qFormat/>
    <w:uiPriority w:val="0"/>
    <w:pPr>
      <w:widowControl/>
      <w:tabs>
        <w:tab w:val="left" w:pos="868"/>
      </w:tabs>
      <w:topLinePunct/>
      <w:adjustRightInd w:val="0"/>
      <w:snapToGrid w:val="0"/>
      <w:spacing w:line="360" w:lineRule="auto"/>
      <w:ind w:firstLine="560"/>
      <w:jc w:val="left"/>
    </w:pPr>
    <w:rPr>
      <w:rFonts w:ascii="Times New Roman" w:eastAsia="宋体"/>
      <w:kern w:val="0"/>
      <w:sz w:val="24"/>
      <w:szCs w:val="24"/>
      <w:u w:val="none" w:color="000000"/>
    </w:rPr>
  </w:style>
  <w:style w:type="character" w:customStyle="1" w:styleId="957">
    <w:name w:val="修改 Char Char Char"/>
    <w:link w:val="958"/>
    <w:qFormat/>
    <w:uiPriority w:val="0"/>
    <w:rPr>
      <w:color w:val="FF0000"/>
      <w:spacing w:val="4"/>
      <w:kern w:val="2"/>
      <w:sz w:val="24"/>
      <w:szCs w:val="28"/>
    </w:rPr>
  </w:style>
  <w:style w:type="paragraph" w:customStyle="1" w:styleId="958">
    <w:name w:val="修改 Char Char"/>
    <w:basedOn w:val="87"/>
    <w:next w:val="87"/>
    <w:link w:val="957"/>
    <w:qFormat/>
    <w:uiPriority w:val="0"/>
    <w:pPr>
      <w:spacing w:after="0" w:line="360" w:lineRule="auto"/>
      <w:ind w:left="0" w:firstLine="200" w:firstLineChars="200"/>
    </w:pPr>
    <w:rPr>
      <w:color w:val="FF0000"/>
      <w:spacing w:val="4"/>
      <w:sz w:val="24"/>
      <w:szCs w:val="28"/>
    </w:rPr>
  </w:style>
  <w:style w:type="character" w:customStyle="1" w:styleId="959">
    <w:name w:val="结束语 字符"/>
    <w:qFormat/>
    <w:uiPriority w:val="0"/>
    <w:rPr>
      <w:rFonts w:ascii="Times New Roman" w:hAnsi="Times New Roman" w:eastAsia="宋体" w:cs="Times New Roman"/>
      <w:sz w:val="24"/>
      <w:szCs w:val="20"/>
    </w:rPr>
  </w:style>
  <w:style w:type="character" w:customStyle="1" w:styleId="960">
    <w:name w:val="标准正文格式 Char3"/>
    <w:qFormat/>
    <w:uiPriority w:val="0"/>
    <w:rPr>
      <w:rFonts w:ascii="宋体" w:hAnsi="宋体" w:eastAsia="宋体" w:cs="宋体"/>
      <w:bCs/>
      <w:kern w:val="2"/>
      <w:sz w:val="28"/>
      <w:szCs w:val="28"/>
      <w:lang w:val="en-US" w:eastAsia="zh-CN" w:bidi="ar-SA"/>
    </w:rPr>
  </w:style>
  <w:style w:type="character" w:customStyle="1" w:styleId="961">
    <w:name w:val="HTML 地址 Char2"/>
    <w:qFormat/>
    <w:uiPriority w:val="0"/>
    <w:rPr>
      <w:rFonts w:ascii="仿宋_GB2312" w:eastAsia="仿宋_GB2312"/>
      <w:i/>
      <w:iCs/>
      <w:sz w:val="28"/>
      <w:szCs w:val="28"/>
      <w:lang w:val="en-US" w:eastAsia="zh-CN" w:bidi="ar-SA"/>
    </w:rPr>
  </w:style>
  <w:style w:type="character" w:customStyle="1" w:styleId="962">
    <w:name w:val="标题三 Char Char"/>
    <w:link w:val="963"/>
    <w:qFormat/>
    <w:uiPriority w:val="0"/>
    <w:rPr>
      <w:rFonts w:ascii="方正小标宋_GBK" w:hAnsi="Arial" w:eastAsia="方正小标宋_GBK" w:cs="Courier New"/>
      <w:sz w:val="28"/>
      <w:szCs w:val="21"/>
    </w:rPr>
  </w:style>
  <w:style w:type="paragraph" w:customStyle="1" w:styleId="963">
    <w:name w:val="标题三"/>
    <w:basedOn w:val="7"/>
    <w:link w:val="962"/>
    <w:qFormat/>
    <w:uiPriority w:val="0"/>
    <w:pPr>
      <w:keepNext/>
      <w:keepLines/>
      <w:jc w:val="left"/>
    </w:pPr>
    <w:rPr>
      <w:bCs w:val="0"/>
      <w:kern w:val="0"/>
      <w:szCs w:val="21"/>
    </w:rPr>
  </w:style>
  <w:style w:type="character" w:customStyle="1" w:styleId="964">
    <w:name w:val="样式2 Char1"/>
    <w:link w:val="965"/>
    <w:qFormat/>
    <w:uiPriority w:val="0"/>
    <w:rPr>
      <w:rFonts w:ascii="楷体_GB2312" w:eastAsia="楷体_GB2312"/>
      <w:kern w:val="2"/>
      <w:sz w:val="21"/>
      <w:szCs w:val="28"/>
    </w:rPr>
  </w:style>
  <w:style w:type="paragraph" w:customStyle="1" w:styleId="965">
    <w:name w:val="样式2"/>
    <w:basedOn w:val="1"/>
    <w:link w:val="964"/>
    <w:qFormat/>
    <w:uiPriority w:val="0"/>
    <w:pPr>
      <w:adjustRightInd w:val="0"/>
      <w:snapToGrid w:val="0"/>
      <w:spacing w:line="0" w:lineRule="atLeast"/>
      <w:ind w:firstLine="0" w:firstLineChars="0"/>
      <w:jc w:val="center"/>
    </w:pPr>
    <w:rPr>
      <w:rFonts w:ascii="楷体_GB2312" w:eastAsia="楷体_GB2312"/>
      <w:sz w:val="21"/>
    </w:rPr>
  </w:style>
  <w:style w:type="character" w:customStyle="1" w:styleId="966">
    <w:name w:val="正文（首行缩进两字） Cha Char Char Char Char Char"/>
    <w:qFormat/>
    <w:uiPriority w:val="0"/>
    <w:rPr>
      <w:rFonts w:ascii="宋体" w:hAnsi="宋体" w:eastAsia="仿宋_GB2312"/>
      <w:kern w:val="2"/>
      <w:sz w:val="28"/>
      <w:lang w:val="en-US" w:eastAsia="zh-CN"/>
    </w:rPr>
  </w:style>
  <w:style w:type="character" w:customStyle="1" w:styleId="967">
    <w:name w:val="dd Char Char"/>
    <w:qFormat/>
    <w:uiPriority w:val="0"/>
    <w:rPr>
      <w:rFonts w:ascii="黑体" w:hAnsi="宋体" w:eastAsia="黑体"/>
      <w:sz w:val="24"/>
      <w:szCs w:val="24"/>
      <w:lang w:val="en-US" w:eastAsia="zh-CN" w:bidi="ar-SA"/>
    </w:rPr>
  </w:style>
  <w:style w:type="character" w:customStyle="1" w:styleId="968">
    <w:name w:val="批注文字 字符2"/>
    <w:qFormat/>
    <w:uiPriority w:val="0"/>
    <w:rPr>
      <w:rFonts w:ascii="仿宋_GB2312" w:eastAsia="仿宋_GB2312"/>
      <w:kern w:val="2"/>
      <w:sz w:val="28"/>
      <w:szCs w:val="28"/>
    </w:rPr>
  </w:style>
  <w:style w:type="character" w:customStyle="1" w:styleId="969">
    <w:name w:val="注释标题 字符1"/>
    <w:qFormat/>
    <w:uiPriority w:val="0"/>
    <w:rPr>
      <w:kern w:val="2"/>
      <w:sz w:val="24"/>
    </w:rPr>
  </w:style>
  <w:style w:type="character" w:customStyle="1" w:styleId="970">
    <w:name w:val="正文1 Char Char Char"/>
    <w:link w:val="971"/>
    <w:qFormat/>
    <w:uiPriority w:val="0"/>
    <w:rPr>
      <w:rFonts w:ascii="仿宋_GB2312" w:eastAsia="黑体"/>
      <w:kern w:val="2"/>
      <w:sz w:val="24"/>
    </w:rPr>
  </w:style>
  <w:style w:type="paragraph" w:customStyle="1" w:styleId="971">
    <w:name w:val="正文1 Char Char"/>
    <w:basedOn w:val="1"/>
    <w:link w:val="970"/>
    <w:qFormat/>
    <w:uiPriority w:val="0"/>
    <w:pPr>
      <w:spacing w:afterLines="50"/>
      <w:ind w:firstLine="100" w:firstLineChars="100"/>
      <w:jc w:val="left"/>
    </w:pPr>
    <w:rPr>
      <w:rFonts w:eastAsia="黑体"/>
      <w:sz w:val="24"/>
      <w:szCs w:val="20"/>
    </w:rPr>
  </w:style>
  <w:style w:type="character" w:customStyle="1" w:styleId="972">
    <w:name w:val="Char Char212"/>
    <w:qFormat/>
    <w:uiPriority w:val="0"/>
    <w:rPr>
      <w:rFonts w:ascii="宋体" w:hAnsi="宋体" w:eastAsia="仿宋_GB2312" w:cs="Times New Roman"/>
      <w:sz w:val="18"/>
      <w:szCs w:val="18"/>
    </w:rPr>
  </w:style>
  <w:style w:type="character" w:customStyle="1" w:styleId="973">
    <w:name w:val="样式 样式 标题 4白鹤滩标题 4第三层条标题 4 Char款标题1.1.1.1标题 4XW Char标题 4XW Cha...... Char"/>
    <w:link w:val="974"/>
    <w:semiHidden/>
    <w:qFormat/>
    <w:uiPriority w:val="0"/>
    <w:rPr>
      <w:rFonts w:ascii="Arial" w:hAnsi="Arial"/>
      <w:b/>
      <w:color w:val="000000"/>
      <w:kern w:val="2"/>
      <w:sz w:val="28"/>
    </w:rPr>
  </w:style>
  <w:style w:type="paragraph" w:customStyle="1" w:styleId="974">
    <w:name w:val="样式 样式 标题 4白鹤滩标题 4第三层条标题 4 Char款标题1.1.1.1标题 4XW Char标题 4XW Cha......"/>
    <w:basedOn w:val="832"/>
    <w:link w:val="973"/>
    <w:semiHidden/>
    <w:qFormat/>
    <w:uiPriority w:val="0"/>
    <w:pPr>
      <w:ind w:left="0" w:firstLine="0" w:firstLineChars="0"/>
      <w:textAlignment w:val="baseline"/>
    </w:pPr>
    <w:rPr>
      <w:b/>
    </w:rPr>
  </w:style>
  <w:style w:type="character" w:customStyle="1" w:styleId="975">
    <w:name w:val="表5＃ Char"/>
    <w:qFormat/>
    <w:uiPriority w:val="0"/>
    <w:rPr>
      <w:rFonts w:eastAsia="宋体"/>
      <w:bCs/>
      <w:spacing w:val="4"/>
      <w:kern w:val="2"/>
      <w:sz w:val="21"/>
      <w:szCs w:val="21"/>
      <w:lang w:val="en-US" w:eastAsia="zh-CN" w:bidi="ar-SA"/>
    </w:rPr>
  </w:style>
  <w:style w:type="character" w:customStyle="1" w:styleId="976">
    <w:name w:val="Char Char191"/>
    <w:qFormat/>
    <w:uiPriority w:val="0"/>
    <w:rPr>
      <w:rFonts w:hint="eastAsia" w:ascii="仿宋_GB2312" w:hAnsi="Times New Roman" w:eastAsia="仿宋_GB2312" w:cs="Times New Roman"/>
      <w:sz w:val="28"/>
      <w:szCs w:val="24"/>
      <w:shd w:val="clear" w:color="auto" w:fill="000080"/>
    </w:rPr>
  </w:style>
  <w:style w:type="character" w:customStyle="1" w:styleId="977">
    <w:name w:val="无间隔 字符1"/>
    <w:qFormat/>
    <w:uiPriority w:val="0"/>
    <w:rPr>
      <w:rFonts w:ascii="Calibri" w:hAnsi="Calibri"/>
      <w:sz w:val="22"/>
      <w:szCs w:val="22"/>
      <w:lang w:val="en-US" w:eastAsia="zh-CN" w:bidi="ar-SA"/>
    </w:rPr>
  </w:style>
  <w:style w:type="character" w:customStyle="1" w:styleId="978">
    <w:name w:val="页眉2 Char Char"/>
    <w:qFormat/>
    <w:uiPriority w:val="0"/>
    <w:rPr>
      <w:rFonts w:ascii="宋体" w:hAnsi="宋体" w:eastAsia="宋体"/>
      <w:color w:val="000000"/>
      <w:kern w:val="2"/>
      <w:sz w:val="18"/>
      <w:szCs w:val="18"/>
      <w:lang w:val="en-US" w:eastAsia="zh-CN" w:bidi="ar-SA"/>
    </w:rPr>
  </w:style>
  <w:style w:type="character" w:customStyle="1" w:styleId="979">
    <w:name w:val="表序 Char"/>
    <w:qFormat/>
    <w:uiPriority w:val="0"/>
    <w:rPr>
      <w:rFonts w:eastAsia="黑体"/>
      <w:sz w:val="24"/>
      <w:lang w:val="en-US" w:eastAsia="zh-CN" w:bidi="ar-SA"/>
    </w:rPr>
  </w:style>
  <w:style w:type="character" w:customStyle="1" w:styleId="980">
    <w:name w:val="表中文字6 Char"/>
    <w:link w:val="981"/>
    <w:qFormat/>
    <w:uiPriority w:val="0"/>
    <w:rPr>
      <w:rFonts w:eastAsia="仿宋_GB2312"/>
      <w:snapToGrid w:val="0"/>
      <w:sz w:val="21"/>
      <w:szCs w:val="24"/>
      <w:lang w:val="en-US" w:eastAsia="zh-CN" w:bidi="ar-SA"/>
    </w:rPr>
  </w:style>
  <w:style w:type="paragraph" w:customStyle="1" w:styleId="981">
    <w:name w:val="表中文字6"/>
    <w:next w:val="1"/>
    <w:link w:val="980"/>
    <w:qFormat/>
    <w:uiPriority w:val="0"/>
    <w:pPr>
      <w:widowControl w:val="0"/>
      <w:adjustRightInd w:val="0"/>
      <w:snapToGrid w:val="0"/>
      <w:ind w:firstLine="420" w:firstLineChars="200"/>
    </w:pPr>
    <w:rPr>
      <w:rFonts w:ascii="Times New Roman" w:hAnsi="Times New Roman" w:eastAsia="仿宋_GB2312" w:cs="Times New Roman"/>
      <w:snapToGrid w:val="0"/>
      <w:sz w:val="21"/>
      <w:szCs w:val="24"/>
      <w:lang w:val="en-US" w:eastAsia="zh-CN" w:bidi="ar-SA"/>
    </w:rPr>
  </w:style>
  <w:style w:type="character" w:customStyle="1" w:styleId="982">
    <w:name w:val="标题 9 字符"/>
    <w:qFormat/>
    <w:uiPriority w:val="0"/>
    <w:rPr>
      <w:rFonts w:ascii="Arial" w:hAnsi="Arial" w:eastAsia="黑体" w:cs="Times New Roman"/>
      <w:kern w:val="0"/>
      <w:sz w:val="28"/>
      <w:szCs w:val="21"/>
    </w:rPr>
  </w:style>
  <w:style w:type="character" w:customStyle="1" w:styleId="983">
    <w:name w:val="插图 Char"/>
    <w:link w:val="984"/>
    <w:qFormat/>
    <w:uiPriority w:val="0"/>
    <w:rPr>
      <w:rFonts w:ascii="黑体" w:hAnsi="宋体" w:eastAsia="黑体"/>
      <w:kern w:val="2"/>
      <w:sz w:val="24"/>
      <w:szCs w:val="24"/>
    </w:rPr>
  </w:style>
  <w:style w:type="paragraph" w:customStyle="1" w:styleId="984">
    <w:name w:val="插图"/>
    <w:basedOn w:val="1"/>
    <w:next w:val="1"/>
    <w:link w:val="983"/>
    <w:qFormat/>
    <w:uiPriority w:val="0"/>
    <w:pPr>
      <w:adjustRightInd w:val="0"/>
      <w:snapToGrid w:val="0"/>
      <w:spacing w:line="360" w:lineRule="auto"/>
      <w:ind w:firstLine="0" w:firstLineChars="0"/>
      <w:jc w:val="center"/>
    </w:pPr>
    <w:rPr>
      <w:rFonts w:ascii="黑体" w:hAnsi="宋体" w:eastAsia="黑体"/>
      <w:sz w:val="24"/>
      <w:szCs w:val="24"/>
    </w:rPr>
  </w:style>
  <w:style w:type="character" w:customStyle="1" w:styleId="985">
    <w:name w:val="样式 样式 标题 3SottoparagrafoChar1 Char Char Char3h33rd levelH3l3...2... Char"/>
    <w:link w:val="986"/>
    <w:qFormat/>
    <w:uiPriority w:val="0"/>
    <w:rPr>
      <w:rFonts w:ascii="Arial" w:hAnsi="Arial" w:eastAsia="方正小标宋_GBK" w:cs="Courier New"/>
      <w:bCs/>
      <w:sz w:val="28"/>
      <w:szCs w:val="21"/>
    </w:rPr>
  </w:style>
  <w:style w:type="paragraph" w:customStyle="1" w:styleId="986">
    <w:name w:val="样式 样式 标题 3SottoparagrafoChar1 Char Char Char3h33rd levelH3l3...2..."/>
    <w:basedOn w:val="417"/>
    <w:link w:val="985"/>
    <w:qFormat/>
    <w:uiPriority w:val="0"/>
  </w:style>
  <w:style w:type="character" w:customStyle="1" w:styleId="987">
    <w:name w:val="标题 3石 Char Char"/>
    <w:qFormat/>
    <w:uiPriority w:val="0"/>
    <w:rPr>
      <w:rFonts w:ascii="Arial" w:hAnsi="Arial" w:eastAsia="黑体"/>
      <w:kern w:val="2"/>
      <w:sz w:val="28"/>
      <w:szCs w:val="32"/>
      <w:lang w:val="en-US" w:eastAsia="zh-CN" w:bidi="ar-SA"/>
    </w:rPr>
  </w:style>
  <w:style w:type="character" w:customStyle="1" w:styleId="988">
    <w:name w:val="表文 Char"/>
    <w:link w:val="989"/>
    <w:qFormat/>
    <w:uiPriority w:val="0"/>
    <w:rPr>
      <w:rFonts w:ascii="宋体"/>
      <w:bCs/>
      <w:snapToGrid/>
    </w:rPr>
  </w:style>
  <w:style w:type="paragraph" w:customStyle="1" w:styleId="989">
    <w:name w:val="表文"/>
    <w:basedOn w:val="1"/>
    <w:link w:val="988"/>
    <w:qFormat/>
    <w:uiPriority w:val="0"/>
    <w:pPr>
      <w:snapToGrid w:val="0"/>
      <w:spacing w:line="240" w:lineRule="auto"/>
      <w:ind w:firstLine="0" w:firstLineChars="0"/>
      <w:jc w:val="center"/>
    </w:pPr>
    <w:rPr>
      <w:rFonts w:ascii="宋体" w:eastAsia="宋体"/>
      <w:bCs/>
      <w:kern w:val="0"/>
      <w:sz w:val="20"/>
      <w:szCs w:val="20"/>
    </w:rPr>
  </w:style>
  <w:style w:type="character" w:customStyle="1" w:styleId="990">
    <w:name w:val="样式 样式 楷体_GB2312 首行缩进:  2 字符1 + 首行缩进:  2 字符 Char Char"/>
    <w:qFormat/>
    <w:uiPriority w:val="0"/>
    <w:rPr>
      <w:rFonts w:ascii="楷体_GB2312" w:eastAsia="楷体_GB2312" w:cs="宋体"/>
      <w:kern w:val="2"/>
      <w:sz w:val="28"/>
      <w:lang w:val="en-US" w:eastAsia="zh-CN" w:bidi="ar-SA"/>
    </w:rPr>
  </w:style>
  <w:style w:type="character" w:customStyle="1" w:styleId="991">
    <w:name w:val="表格注解 Char1"/>
    <w:qFormat/>
    <w:uiPriority w:val="0"/>
    <w:rPr>
      <w:rFonts w:ascii="Arial" w:hAnsi="Arial" w:eastAsia="黑体" w:cs="Times New Roman"/>
      <w:kern w:val="24"/>
      <w:sz w:val="28"/>
      <w:szCs w:val="28"/>
    </w:rPr>
  </w:style>
  <w:style w:type="character" w:customStyle="1" w:styleId="992">
    <w:name w:val="默认段落字体1"/>
    <w:qFormat/>
    <w:uiPriority w:val="0"/>
    <w:rPr>
      <w:rFonts w:ascii="Times New Roman" w:eastAsia="宋体"/>
      <w:color w:val="000000"/>
      <w:spacing w:val="0"/>
      <w:w w:val="100"/>
      <w:sz w:val="21"/>
      <w:u w:val="none" w:color="000000"/>
      <w:vertAlign w:val="baseline"/>
      <w:lang w:val="en-US" w:eastAsia="zh-CN"/>
    </w:rPr>
  </w:style>
  <w:style w:type="character" w:customStyle="1" w:styleId="993">
    <w:name w:val="样式 样式 首行缩进:  2 字符 行距: 最小值 28 磅 + 首行缩进:  2 字符 Char"/>
    <w:link w:val="994"/>
    <w:semiHidden/>
    <w:qFormat/>
    <w:uiPriority w:val="0"/>
    <w:rPr>
      <w:rFonts w:ascii="仿宋_GB2312" w:eastAsia="仿宋_GB2312" w:cs="宋体"/>
      <w:kern w:val="2"/>
      <w:sz w:val="28"/>
    </w:rPr>
  </w:style>
  <w:style w:type="paragraph" w:customStyle="1" w:styleId="994">
    <w:name w:val="样式 样式 首行缩进:  2 字符 行距: 最小值 28 磅 + 首行缩进:  2 字符"/>
    <w:basedOn w:val="1"/>
    <w:link w:val="993"/>
    <w:semiHidden/>
    <w:qFormat/>
    <w:uiPriority w:val="0"/>
    <w:rPr>
      <w:szCs w:val="20"/>
    </w:rPr>
  </w:style>
  <w:style w:type="character" w:customStyle="1" w:styleId="995">
    <w:name w:val="说明或注释 Char"/>
    <w:link w:val="996"/>
    <w:qFormat/>
    <w:uiPriority w:val="0"/>
    <w:rPr>
      <w:rFonts w:eastAsia="楷体_GB2312"/>
      <w:kern w:val="2"/>
      <w:sz w:val="18"/>
      <w:szCs w:val="24"/>
      <w:lang w:val="en-US" w:eastAsia="zh-CN" w:bidi="ar-SA"/>
    </w:rPr>
  </w:style>
  <w:style w:type="paragraph" w:customStyle="1" w:styleId="996">
    <w:name w:val="说明或注释"/>
    <w:next w:val="87"/>
    <w:link w:val="995"/>
    <w:qFormat/>
    <w:uiPriority w:val="0"/>
    <w:pPr>
      <w:adjustRightInd w:val="0"/>
      <w:snapToGrid w:val="0"/>
      <w:ind w:firstLine="200" w:firstLineChars="200"/>
    </w:pPr>
    <w:rPr>
      <w:rFonts w:ascii="Times New Roman" w:hAnsi="Times New Roman" w:eastAsia="楷体_GB2312" w:cs="Times New Roman"/>
      <w:kern w:val="2"/>
      <w:sz w:val="18"/>
      <w:szCs w:val="24"/>
      <w:lang w:val="en-US" w:eastAsia="zh-CN" w:bidi="ar-SA"/>
    </w:rPr>
  </w:style>
  <w:style w:type="character" w:customStyle="1" w:styleId="997">
    <w:name w:val="样式 样式 仿宋_GB2312 四号 行距: 固定值 28 磅 + 首行缩进:  2 字符 Char"/>
    <w:link w:val="998"/>
    <w:semiHidden/>
    <w:qFormat/>
    <w:uiPriority w:val="0"/>
    <w:rPr>
      <w:rFonts w:ascii="仿宋_GB2312" w:hAnsi="宋体" w:eastAsia="仿宋_GB2312" w:cs="宋体"/>
      <w:kern w:val="2"/>
      <w:sz w:val="28"/>
    </w:rPr>
  </w:style>
  <w:style w:type="paragraph" w:customStyle="1" w:styleId="998">
    <w:name w:val="样式 样式 仿宋_GB2312 四号 行距: 固定值 28 磅 + 首行缩进:  2 字符"/>
    <w:basedOn w:val="1"/>
    <w:link w:val="997"/>
    <w:semiHidden/>
    <w:qFormat/>
    <w:uiPriority w:val="0"/>
    <w:rPr>
      <w:rFonts w:hAnsi="宋体"/>
      <w:szCs w:val="20"/>
    </w:rPr>
  </w:style>
  <w:style w:type="character" w:customStyle="1" w:styleId="999">
    <w:name w:val="表格文字 Char"/>
    <w:link w:val="1000"/>
    <w:qFormat/>
    <w:uiPriority w:val="0"/>
    <w:rPr>
      <w:rFonts w:ascii="宋体" w:hAnsi="宋体" w:eastAsia="楷体_GB2312"/>
      <w:kern w:val="2"/>
      <w:sz w:val="28"/>
      <w:szCs w:val="21"/>
    </w:rPr>
  </w:style>
  <w:style w:type="paragraph" w:customStyle="1" w:styleId="1000">
    <w:name w:val="表格文字"/>
    <w:basedOn w:val="1"/>
    <w:link w:val="999"/>
    <w:qFormat/>
    <w:uiPriority w:val="0"/>
    <w:pPr>
      <w:adjustRightInd w:val="0"/>
      <w:snapToGrid w:val="0"/>
      <w:spacing w:beforeLines="20" w:afterLines="20" w:line="240" w:lineRule="auto"/>
      <w:jc w:val="center"/>
    </w:pPr>
    <w:rPr>
      <w:rFonts w:ascii="宋体" w:hAnsi="宋体" w:eastAsia="楷体_GB2312"/>
      <w:szCs w:val="21"/>
    </w:rPr>
  </w:style>
  <w:style w:type="character" w:customStyle="1" w:styleId="1001">
    <w:name w:val="附表头 Char"/>
    <w:link w:val="1002"/>
    <w:qFormat/>
    <w:uiPriority w:val="0"/>
    <w:rPr>
      <w:rFonts w:ascii="Arial" w:hAnsi="Arial" w:eastAsia="黑体"/>
      <w:bCs/>
      <w:kern w:val="44"/>
      <w:sz w:val="28"/>
      <w:szCs w:val="44"/>
    </w:rPr>
  </w:style>
  <w:style w:type="paragraph" w:customStyle="1" w:styleId="1002">
    <w:name w:val="附表头"/>
    <w:basedOn w:val="4"/>
    <w:link w:val="1001"/>
    <w:qFormat/>
    <w:uiPriority w:val="0"/>
    <w:pPr>
      <w:keepNext/>
      <w:keepLines/>
    </w:pPr>
    <w:rPr>
      <w:rFonts w:ascii="Arial" w:hAnsi="Arial"/>
      <w:sz w:val="28"/>
      <w:szCs w:val="44"/>
    </w:rPr>
  </w:style>
  <w:style w:type="character" w:customStyle="1" w:styleId="1003">
    <w:name w:val="样式 表头 + 首行缩进:  1 字符 Char1"/>
    <w:link w:val="1004"/>
    <w:qFormat/>
    <w:uiPriority w:val="0"/>
    <w:rPr>
      <w:rFonts w:ascii="宋体" w:hAnsi="宋体" w:eastAsia="黑体"/>
      <w:kern w:val="2"/>
      <w:sz w:val="28"/>
    </w:rPr>
  </w:style>
  <w:style w:type="paragraph" w:customStyle="1" w:styleId="1004">
    <w:name w:val="样式 表头 + 首行缩进:  1 字符"/>
    <w:basedOn w:val="1"/>
    <w:link w:val="1003"/>
    <w:qFormat/>
    <w:uiPriority w:val="0"/>
    <w:pPr>
      <w:adjustRightInd w:val="0"/>
      <w:snapToGrid w:val="0"/>
      <w:spacing w:before="93" w:after="93" w:line="240" w:lineRule="auto"/>
      <w:ind w:firstLine="280" w:firstLineChars="100"/>
      <w:jc w:val="left"/>
    </w:pPr>
    <w:rPr>
      <w:rFonts w:ascii="宋体" w:hAnsi="宋体" w:eastAsia="黑体"/>
      <w:szCs w:val="20"/>
    </w:rPr>
  </w:style>
  <w:style w:type="character" w:customStyle="1" w:styleId="1005">
    <w:name w:val="样式 样式6 + (西文) Times New Roman (中文) 华文中宋 加粗 Char Char"/>
    <w:qFormat/>
    <w:uiPriority w:val="0"/>
    <w:rPr>
      <w:rFonts w:eastAsia="华文中宋"/>
      <w:b/>
      <w:bCs/>
      <w:kern w:val="2"/>
      <w:sz w:val="28"/>
      <w:szCs w:val="28"/>
      <w:lang w:val="en-US" w:eastAsia="zh-CN" w:bidi="ar-SA"/>
    </w:rPr>
  </w:style>
  <w:style w:type="character" w:customStyle="1" w:styleId="1006">
    <w:name w:val="样式 (中文) 黑体"/>
    <w:qFormat/>
    <w:uiPriority w:val="0"/>
    <w:rPr>
      <w:rFonts w:eastAsia="黑体"/>
    </w:rPr>
  </w:style>
  <w:style w:type="character" w:customStyle="1" w:styleId="1007">
    <w:name w:val="电子邮件签名 Char1"/>
    <w:semiHidden/>
    <w:qFormat/>
    <w:uiPriority w:val="0"/>
    <w:rPr>
      <w:rFonts w:ascii="仿宋_GB2312" w:hAnsi="Times New Roman" w:eastAsia="仿宋_GB2312" w:cs="Times New Roman"/>
      <w:kern w:val="0"/>
      <w:sz w:val="28"/>
      <w:szCs w:val="28"/>
    </w:rPr>
  </w:style>
  <w:style w:type="character" w:customStyle="1" w:styleId="1008">
    <w:name w:val="Char Char40"/>
    <w:qFormat/>
    <w:uiPriority w:val="0"/>
    <w:rPr>
      <w:rFonts w:ascii="Arial" w:hAnsi="Arial" w:eastAsia="宋体"/>
      <w:bCs/>
      <w:kern w:val="2"/>
      <w:sz w:val="28"/>
      <w:szCs w:val="28"/>
      <w:lang w:bidi="ar-SA"/>
    </w:rPr>
  </w:style>
  <w:style w:type="character" w:customStyle="1" w:styleId="1009">
    <w:name w:val="3级 Char"/>
    <w:link w:val="1010"/>
    <w:qFormat/>
    <w:uiPriority w:val="0"/>
    <w:rPr>
      <w:rFonts w:hAnsi="黑体" w:eastAsia="黑体"/>
      <w:bCs/>
      <w:snapToGrid/>
      <w:lang w:val="zh-CN"/>
    </w:rPr>
  </w:style>
  <w:style w:type="paragraph" w:customStyle="1" w:styleId="1010">
    <w:name w:val="3级"/>
    <w:basedOn w:val="760"/>
    <w:link w:val="1009"/>
    <w:qFormat/>
    <w:uiPriority w:val="0"/>
    <w:pPr>
      <w:tabs>
        <w:tab w:val="left" w:pos="794"/>
      </w:tabs>
      <w:spacing w:afterLines="0"/>
    </w:pPr>
  </w:style>
  <w:style w:type="character" w:customStyle="1" w:styleId="1011">
    <w:name w:val="样式 表文 + 两端对齐 Char"/>
    <w:qFormat/>
    <w:uiPriority w:val="0"/>
    <w:rPr>
      <w:rFonts w:ascii="Times New Roman" w:hAnsi="Times New Roman" w:eastAsia="宋体" w:cs="宋体"/>
      <w:bCs/>
      <w:snapToGrid w:val="0"/>
      <w:color w:val="000000"/>
      <w:kern w:val="2"/>
      <w:sz w:val="21"/>
      <w:szCs w:val="21"/>
      <w:lang w:val="en-US" w:eastAsia="zh-CN" w:bidi="ar-SA"/>
    </w:rPr>
  </w:style>
  <w:style w:type="character" w:customStyle="1" w:styleId="1012">
    <w:name w:val="样式 首行缩进:  2 字符 行距: 固定值 30 磅 Char"/>
    <w:link w:val="1013"/>
    <w:qFormat/>
    <w:uiPriority w:val="0"/>
    <w:rPr>
      <w:rFonts w:ascii="宋体" w:hAnsi="宋体" w:eastAsia="仿宋_GB2312"/>
      <w:kern w:val="2"/>
      <w:sz w:val="28"/>
    </w:rPr>
  </w:style>
  <w:style w:type="paragraph" w:customStyle="1" w:styleId="1013">
    <w:name w:val="样式 首行缩进:  2 字符 行距: 固定值 30 磅"/>
    <w:basedOn w:val="1"/>
    <w:link w:val="1012"/>
    <w:qFormat/>
    <w:uiPriority w:val="0"/>
    <w:pPr>
      <w:adjustRightInd w:val="0"/>
      <w:snapToGrid w:val="0"/>
    </w:pPr>
    <w:rPr>
      <w:rFonts w:ascii="宋体" w:hAnsi="宋体"/>
      <w:szCs w:val="20"/>
    </w:rPr>
  </w:style>
  <w:style w:type="character" w:customStyle="1" w:styleId="1014">
    <w:name w:val="正文 + 仿宋_GB2312 Char"/>
    <w:qFormat/>
    <w:uiPriority w:val="0"/>
    <w:rPr>
      <w:rFonts w:ascii="仿宋_GB2312" w:eastAsia="仿宋_GB2312"/>
      <w:kern w:val="2"/>
      <w:sz w:val="24"/>
      <w:szCs w:val="24"/>
      <w:lang w:val="en-US" w:eastAsia="zh-CN" w:bidi="ar-SA"/>
    </w:rPr>
  </w:style>
  <w:style w:type="character" w:customStyle="1" w:styleId="1015">
    <w:name w:val="bbt Char"/>
    <w:qFormat/>
    <w:uiPriority w:val="0"/>
    <w:rPr>
      <w:rFonts w:ascii="黑体" w:eastAsia="黑体"/>
      <w:color w:val="000000"/>
      <w:sz w:val="24"/>
      <w:szCs w:val="24"/>
      <w:lang w:val="en-US" w:eastAsia="zh-CN" w:bidi="ar-SA"/>
    </w:rPr>
  </w:style>
  <w:style w:type="character" w:customStyle="1" w:styleId="1016">
    <w:name w:val="信息标题 字符2"/>
    <w:qFormat/>
    <w:uiPriority w:val="0"/>
    <w:rPr>
      <w:rFonts w:ascii="Arial" w:hAnsi="Arial" w:cs="Arial"/>
      <w:kern w:val="2"/>
      <w:sz w:val="24"/>
      <w:szCs w:val="24"/>
      <w:shd w:val="pct20" w:color="auto" w:fill="auto"/>
    </w:rPr>
  </w:style>
  <w:style w:type="character" w:customStyle="1" w:styleId="1017">
    <w:name w:val="标题 3 Char Char1"/>
    <w:qFormat/>
    <w:uiPriority w:val="0"/>
    <w:rPr>
      <w:rFonts w:ascii="Arial" w:hAnsi="Arial" w:eastAsia="方正小标宋_GBK" w:cs="Courier New"/>
      <w:bCs/>
      <w:sz w:val="28"/>
      <w:szCs w:val="21"/>
      <w:lang w:val="en-US" w:eastAsia="zh-CN" w:bidi="ar-SA"/>
    </w:rPr>
  </w:style>
  <w:style w:type="character" w:customStyle="1" w:styleId="1018">
    <w:name w:val="图名名 Char"/>
    <w:link w:val="1019"/>
    <w:qFormat/>
    <w:uiPriority w:val="0"/>
    <w:rPr>
      <w:rFonts w:ascii="黑体" w:eastAsia="黑体"/>
      <w:sz w:val="24"/>
    </w:rPr>
  </w:style>
  <w:style w:type="paragraph" w:customStyle="1" w:styleId="1019">
    <w:name w:val="图名名"/>
    <w:basedOn w:val="1"/>
    <w:link w:val="1018"/>
    <w:qFormat/>
    <w:uiPriority w:val="0"/>
    <w:pPr>
      <w:spacing w:line="240" w:lineRule="auto"/>
      <w:ind w:firstLine="0" w:firstLineChars="0"/>
      <w:jc w:val="center"/>
    </w:pPr>
    <w:rPr>
      <w:rFonts w:ascii="黑体" w:eastAsia="黑体"/>
      <w:kern w:val="0"/>
      <w:sz w:val="24"/>
      <w:szCs w:val="20"/>
    </w:rPr>
  </w:style>
  <w:style w:type="character" w:customStyle="1" w:styleId="1020">
    <w:name w:val="标准标题1格式 Char Char"/>
    <w:qFormat/>
    <w:uiPriority w:val="0"/>
    <w:rPr>
      <w:rFonts w:eastAsia="黑体"/>
      <w:b/>
      <w:color w:val="000000"/>
      <w:kern w:val="44"/>
      <w:sz w:val="30"/>
      <w:szCs w:val="32"/>
      <w:lang w:val="en-US" w:eastAsia="zh-CN" w:bidi="ar-SA"/>
    </w:rPr>
  </w:style>
  <w:style w:type="character" w:customStyle="1" w:styleId="1021">
    <w:name w:val="公图名 Char"/>
    <w:link w:val="1022"/>
    <w:qFormat/>
    <w:uiPriority w:val="0"/>
    <w:rPr>
      <w:rFonts w:ascii="黑体" w:eastAsia="黑体"/>
      <w:kern w:val="2"/>
      <w:sz w:val="24"/>
      <w:szCs w:val="28"/>
    </w:rPr>
  </w:style>
  <w:style w:type="paragraph" w:customStyle="1" w:styleId="1022">
    <w:name w:val="公图名"/>
    <w:basedOn w:val="1"/>
    <w:link w:val="1021"/>
    <w:qFormat/>
    <w:uiPriority w:val="0"/>
    <w:pPr>
      <w:spacing w:line="240" w:lineRule="auto"/>
      <w:ind w:firstLine="0" w:firstLineChars="0"/>
      <w:jc w:val="center"/>
    </w:pPr>
    <w:rPr>
      <w:rFonts w:ascii="黑体" w:eastAsia="黑体"/>
      <w:sz w:val="24"/>
    </w:rPr>
  </w:style>
  <w:style w:type="character" w:customStyle="1" w:styleId="1023">
    <w:name w:val="正文文本缩进 3 字符2"/>
    <w:qFormat/>
    <w:uiPriority w:val="0"/>
    <w:rPr>
      <w:kern w:val="2"/>
      <w:sz w:val="16"/>
      <w:szCs w:val="16"/>
    </w:rPr>
  </w:style>
  <w:style w:type="character" w:customStyle="1" w:styleId="1024">
    <w:name w:val="detail_style"/>
    <w:qFormat/>
    <w:uiPriority w:val="0"/>
  </w:style>
  <w:style w:type="character" w:customStyle="1" w:styleId="1025">
    <w:name w:val="Char Char221"/>
    <w:qFormat/>
    <w:uiPriority w:val="0"/>
    <w:rPr>
      <w:rFonts w:hint="default" w:ascii="Arial" w:hAnsi="Arial" w:eastAsia="黑体" w:cs="Times New Roman"/>
      <w:sz w:val="28"/>
      <w:szCs w:val="21"/>
    </w:rPr>
  </w:style>
  <w:style w:type="character" w:customStyle="1" w:styleId="1026">
    <w:name w:val="需要修改 Char1"/>
    <w:qFormat/>
    <w:uiPriority w:val="0"/>
    <w:rPr>
      <w:rFonts w:ascii="宋体" w:hAnsi="宋体" w:eastAsia="仿宋_GB2312"/>
      <w:b/>
      <w:color w:val="FF0000"/>
      <w:spacing w:val="4"/>
      <w:kern w:val="2"/>
      <w:sz w:val="24"/>
      <w:szCs w:val="28"/>
      <w:lang w:val="en-US" w:eastAsia="zh-CN" w:bidi="ar-SA"/>
    </w:rPr>
  </w:style>
  <w:style w:type="character" w:customStyle="1" w:styleId="1027">
    <w:name w:val="Char Char141"/>
    <w:qFormat/>
    <w:uiPriority w:val="0"/>
    <w:rPr>
      <w:rFonts w:ascii="仿宋_GB2312" w:eastAsia="仿宋_GB2312"/>
      <w:kern w:val="2"/>
      <w:sz w:val="28"/>
      <w:szCs w:val="28"/>
      <w:lang w:val="en-US" w:eastAsia="zh-CN" w:bidi="ar-SA"/>
    </w:rPr>
  </w:style>
  <w:style w:type="character" w:customStyle="1" w:styleId="1028">
    <w:name w:val="正文文字 Char Char Char Char Char Char Char Char Char Char Char Char Char Char Char"/>
    <w:qFormat/>
    <w:uiPriority w:val="0"/>
    <w:rPr>
      <w:rFonts w:eastAsia="宋体"/>
      <w:kern w:val="2"/>
      <w:sz w:val="28"/>
      <w:szCs w:val="24"/>
      <w:lang w:val="en-US" w:eastAsia="zh-CN" w:bidi="ar-SA"/>
    </w:rPr>
  </w:style>
  <w:style w:type="character" w:customStyle="1" w:styleId="1029">
    <w:name w:val="normalclass1"/>
    <w:semiHidden/>
    <w:qFormat/>
    <w:uiPriority w:val="0"/>
  </w:style>
  <w:style w:type="character" w:customStyle="1" w:styleId="1030">
    <w:name w:val="图表名称 Char"/>
    <w:link w:val="1031"/>
    <w:qFormat/>
    <w:uiPriority w:val="0"/>
    <w:rPr>
      <w:b/>
      <w:kern w:val="2"/>
      <w:sz w:val="24"/>
      <w:szCs w:val="24"/>
      <w:lang w:val="en-US" w:eastAsia="zh-CN" w:bidi="ar-SA"/>
    </w:rPr>
  </w:style>
  <w:style w:type="paragraph" w:customStyle="1" w:styleId="1031">
    <w:name w:val="图表名称"/>
    <w:link w:val="1030"/>
    <w:qFormat/>
    <w:uiPriority w:val="0"/>
    <w:pPr>
      <w:spacing w:line="360" w:lineRule="auto"/>
      <w:jc w:val="center"/>
    </w:pPr>
    <w:rPr>
      <w:rFonts w:ascii="Times New Roman" w:hAnsi="Times New Roman" w:eastAsia="宋体" w:cs="Times New Roman"/>
      <w:b/>
      <w:kern w:val="2"/>
      <w:sz w:val="24"/>
      <w:szCs w:val="24"/>
      <w:lang w:val="en-US" w:eastAsia="zh-CN" w:bidi="ar-SA"/>
    </w:rPr>
  </w:style>
  <w:style w:type="character" w:customStyle="1" w:styleId="1032">
    <w:name w:val="正文A Char"/>
    <w:link w:val="1033"/>
    <w:qFormat/>
    <w:uiPriority w:val="0"/>
    <w:rPr>
      <w:snapToGrid/>
      <w:sz w:val="24"/>
      <w:szCs w:val="24"/>
    </w:rPr>
  </w:style>
  <w:style w:type="paragraph" w:customStyle="1" w:styleId="1033">
    <w:name w:val="正文A"/>
    <w:basedOn w:val="1"/>
    <w:link w:val="1032"/>
    <w:qFormat/>
    <w:uiPriority w:val="0"/>
    <w:pPr>
      <w:adjustRightInd w:val="0"/>
      <w:spacing w:line="480" w:lineRule="exact"/>
      <w:textAlignment w:val="baseline"/>
    </w:pPr>
    <w:rPr>
      <w:rFonts w:ascii="Times New Roman" w:eastAsia="宋体"/>
      <w:kern w:val="0"/>
      <w:sz w:val="24"/>
      <w:szCs w:val="24"/>
    </w:rPr>
  </w:style>
  <w:style w:type="character" w:customStyle="1" w:styleId="1034">
    <w:name w:val="批注框文本 字符2"/>
    <w:qFormat/>
    <w:uiPriority w:val="0"/>
    <w:rPr>
      <w:rFonts w:ascii="仿宋_GB2312" w:eastAsia="仿宋_GB2312"/>
      <w:kern w:val="2"/>
      <w:sz w:val="18"/>
      <w:szCs w:val="18"/>
    </w:rPr>
  </w:style>
  <w:style w:type="character" w:customStyle="1" w:styleId="1035">
    <w:name w:val="样式9 Char"/>
    <w:link w:val="1036"/>
    <w:qFormat/>
    <w:uiPriority w:val="0"/>
    <w:rPr>
      <w:rFonts w:ascii="宋体" w:hAnsi="宋体"/>
      <w:color w:val="000000"/>
      <w:kern w:val="2"/>
      <w:sz w:val="24"/>
      <w:szCs w:val="24"/>
    </w:rPr>
  </w:style>
  <w:style w:type="paragraph" w:customStyle="1" w:styleId="1036">
    <w:name w:val="样式9"/>
    <w:basedOn w:val="723"/>
    <w:link w:val="1035"/>
    <w:qFormat/>
    <w:uiPriority w:val="0"/>
    <w:pPr>
      <w:spacing w:line="440" w:lineRule="exact"/>
      <w:ind w:firstLine="480"/>
      <w:jc w:val="left"/>
    </w:pPr>
    <w:rPr>
      <w:rFonts w:ascii="宋体" w:hAnsi="宋体"/>
    </w:rPr>
  </w:style>
  <w:style w:type="character" w:customStyle="1" w:styleId="1037">
    <w:name w:val="标题 #5_"/>
    <w:link w:val="1038"/>
    <w:qFormat/>
    <w:uiPriority w:val="0"/>
    <w:rPr>
      <w:rFonts w:ascii="MingLiU" w:eastAsia="MingLiU" w:cs="MingLiU"/>
      <w:spacing w:val="20"/>
      <w:sz w:val="28"/>
      <w:szCs w:val="28"/>
      <w:shd w:val="clear" w:color="auto" w:fill="FFFFFF"/>
    </w:rPr>
  </w:style>
  <w:style w:type="paragraph" w:customStyle="1" w:styleId="1038">
    <w:name w:val="标题 #5"/>
    <w:basedOn w:val="1"/>
    <w:link w:val="1037"/>
    <w:qFormat/>
    <w:uiPriority w:val="0"/>
    <w:pPr>
      <w:shd w:val="clear" w:color="auto" w:fill="FFFFFF"/>
      <w:spacing w:line="1051" w:lineRule="exact"/>
      <w:ind w:firstLine="0" w:firstLineChars="0"/>
      <w:jc w:val="left"/>
      <w:outlineLvl w:val="4"/>
    </w:pPr>
    <w:rPr>
      <w:rFonts w:ascii="MingLiU" w:eastAsia="MingLiU"/>
      <w:spacing w:val="20"/>
      <w:kern w:val="0"/>
    </w:rPr>
  </w:style>
  <w:style w:type="character" w:customStyle="1" w:styleId="1039">
    <w:name w:val="正文缩进 字符2"/>
    <w:qFormat/>
    <w:uiPriority w:val="0"/>
    <w:rPr>
      <w:rFonts w:ascii="仿宋_GB2312" w:eastAsia="仿宋_GB2312"/>
      <w:kern w:val="2"/>
      <w:sz w:val="28"/>
      <w:szCs w:val="28"/>
    </w:rPr>
  </w:style>
  <w:style w:type="character" w:customStyle="1" w:styleId="1040">
    <w:name w:val="样式10 Char2"/>
    <w:qFormat/>
    <w:uiPriority w:val="0"/>
    <w:rPr>
      <w:rFonts w:eastAsia="华文中宋"/>
      <w:kern w:val="2"/>
      <w:sz w:val="24"/>
      <w:szCs w:val="24"/>
      <w:lang w:val="en-US" w:eastAsia="zh-CN" w:bidi="ar-SA"/>
    </w:rPr>
  </w:style>
  <w:style w:type="character" w:customStyle="1" w:styleId="1041">
    <w:name w:val="大君 表 Char"/>
    <w:link w:val="1042"/>
    <w:qFormat/>
    <w:locked/>
    <w:uiPriority w:val="0"/>
    <w:rPr>
      <w:rFonts w:ascii="楷体_GB2312" w:hAnsi="Arial" w:eastAsia="楷体_GB2312"/>
      <w:bCs/>
      <w:sz w:val="21"/>
      <w:szCs w:val="28"/>
    </w:rPr>
  </w:style>
  <w:style w:type="paragraph" w:customStyle="1" w:styleId="1042">
    <w:name w:val="大君 表"/>
    <w:basedOn w:val="1"/>
    <w:link w:val="1041"/>
    <w:qFormat/>
    <w:uiPriority w:val="0"/>
    <w:pPr>
      <w:spacing w:line="0" w:lineRule="atLeast"/>
      <w:ind w:firstLine="0" w:firstLineChars="0"/>
      <w:jc w:val="center"/>
    </w:pPr>
    <w:rPr>
      <w:rFonts w:ascii="楷体_GB2312" w:hAnsi="Arial" w:eastAsia="楷体_GB2312"/>
      <w:bCs/>
      <w:kern w:val="0"/>
      <w:sz w:val="21"/>
    </w:rPr>
  </w:style>
  <w:style w:type="character" w:customStyle="1" w:styleId="1043">
    <w:name w:val="占位符文本1"/>
    <w:qFormat/>
    <w:uiPriority w:val="0"/>
    <w:rPr>
      <w:color w:val="808080"/>
    </w:rPr>
  </w:style>
  <w:style w:type="character" w:customStyle="1" w:styleId="1044">
    <w:name w:val="样式 样式 样式 (西文) 仿宋_GB2312 (中文) 仿宋_GB2312 四号 首行缩进:  0.99 厘米 + 首行缩进:... Char"/>
    <w:link w:val="1045"/>
    <w:qFormat/>
    <w:uiPriority w:val="0"/>
    <w:rPr>
      <w:rFonts w:ascii="仿宋_GB2312" w:eastAsia="仿宋_GB2312"/>
      <w:kern w:val="2"/>
      <w:sz w:val="28"/>
    </w:rPr>
  </w:style>
  <w:style w:type="paragraph" w:customStyle="1" w:styleId="1045">
    <w:name w:val="样式 样式 样式 (西文) 仿宋_GB2312 (中文) 仿宋_GB2312 四号 首行缩进:  0.99 厘米 + 首行缩进:..."/>
    <w:basedOn w:val="1"/>
    <w:link w:val="1044"/>
    <w:qFormat/>
    <w:uiPriority w:val="0"/>
    <w:rPr>
      <w:szCs w:val="20"/>
    </w:rPr>
  </w:style>
  <w:style w:type="character" w:customStyle="1" w:styleId="1046">
    <w:name w:val="Char Char42"/>
    <w:qFormat/>
    <w:uiPriority w:val="0"/>
    <w:rPr>
      <w:rFonts w:ascii="Arial" w:hAnsi="Arial" w:eastAsia="黑体"/>
      <w:snapToGrid/>
      <w:sz w:val="32"/>
      <w:lang w:val="en-US" w:eastAsia="zh-CN" w:bidi="ar-SA"/>
    </w:rPr>
  </w:style>
  <w:style w:type="character" w:customStyle="1" w:styleId="1047">
    <w:name w:val="Char Char25"/>
    <w:qFormat/>
    <w:uiPriority w:val="0"/>
    <w:rPr>
      <w:rFonts w:ascii="宋体" w:hAnsi="宋体" w:eastAsia="仿宋_GB2312" w:cs="Times New Roman"/>
      <w:b/>
      <w:bCs/>
      <w:sz w:val="28"/>
      <w:szCs w:val="28"/>
    </w:rPr>
  </w:style>
  <w:style w:type="character" w:customStyle="1" w:styleId="1048">
    <w:name w:val="font61"/>
    <w:qFormat/>
    <w:uiPriority w:val="0"/>
    <w:rPr>
      <w:rFonts w:hint="eastAsia" w:ascii="宋体" w:hAnsi="宋体" w:eastAsia="宋体" w:cs="宋体"/>
      <w:color w:val="0000FF"/>
      <w:sz w:val="21"/>
      <w:szCs w:val="21"/>
      <w:u w:val="none"/>
    </w:rPr>
  </w:style>
  <w:style w:type="character" w:customStyle="1" w:styleId="1049">
    <w:name w:val="正文文本 (2) + 7 pt1"/>
    <w:qFormat/>
    <w:uiPriority w:val="0"/>
    <w:rPr>
      <w:rFonts w:ascii="MingLiU" w:eastAsia="MingLiU" w:cs="MingLiU"/>
      <w:spacing w:val="20"/>
      <w:sz w:val="14"/>
      <w:szCs w:val="14"/>
      <w:u w:val="none"/>
      <w:shd w:val="clear" w:color="auto" w:fill="FFFFFF"/>
      <w:lang w:val="en-US" w:eastAsia="en-US"/>
    </w:rPr>
  </w:style>
  <w:style w:type="character" w:customStyle="1" w:styleId="1050">
    <w:name w:val="表中文字 Char"/>
    <w:link w:val="1051"/>
    <w:qFormat/>
    <w:uiPriority w:val="0"/>
    <w:rPr>
      <w:rFonts w:eastAsia="华文中宋"/>
      <w:sz w:val="18"/>
      <w:lang w:val="en-US" w:eastAsia="zh-CN" w:bidi="ar-SA"/>
    </w:rPr>
  </w:style>
  <w:style w:type="paragraph" w:customStyle="1" w:styleId="1051">
    <w:name w:val="表中文字"/>
    <w:link w:val="1050"/>
    <w:qFormat/>
    <w:uiPriority w:val="0"/>
    <w:pPr>
      <w:widowControl w:val="0"/>
      <w:adjustRightInd w:val="0"/>
      <w:snapToGrid w:val="0"/>
      <w:spacing w:line="300" w:lineRule="exact"/>
      <w:jc w:val="center"/>
    </w:pPr>
    <w:rPr>
      <w:rFonts w:ascii="Times New Roman" w:hAnsi="Times New Roman" w:eastAsia="华文中宋" w:cs="Times New Roman"/>
      <w:sz w:val="18"/>
      <w:lang w:val="en-US" w:eastAsia="zh-CN" w:bidi="ar-SA"/>
    </w:rPr>
  </w:style>
  <w:style w:type="character" w:customStyle="1" w:styleId="1052">
    <w:name w:val="001 Char Char"/>
    <w:qFormat/>
    <w:uiPriority w:val="0"/>
    <w:rPr>
      <w:rFonts w:eastAsia="宋体"/>
      <w:kern w:val="2"/>
      <w:sz w:val="21"/>
      <w:szCs w:val="24"/>
      <w:lang w:val="en-US" w:eastAsia="zh-CN" w:bidi="ar-SA"/>
    </w:rPr>
  </w:style>
  <w:style w:type="character" w:customStyle="1" w:styleId="1053">
    <w:name w:val="Char Char211"/>
    <w:qFormat/>
    <w:uiPriority w:val="0"/>
    <w:rPr>
      <w:rFonts w:ascii="仿宋" w:hAnsi="Times New Roman" w:eastAsia="宋体" w:cs="Times New Roman"/>
      <w:kern w:val="2"/>
      <w:sz w:val="21"/>
      <w:szCs w:val="24"/>
      <w:lang w:val="en-US" w:eastAsia="zh-CN" w:bidi="ar-SA"/>
    </w:rPr>
  </w:style>
  <w:style w:type="character" w:customStyle="1" w:styleId="1054">
    <w:name w:val="样式6 Char"/>
    <w:qFormat/>
    <w:uiPriority w:val="0"/>
    <w:rPr>
      <w:rFonts w:ascii="Swis721 BT" w:hAnsi="Swis721 BT" w:eastAsia="华文中宋" w:cs="Times New Roman"/>
      <w:bCs/>
      <w:snapToGrid w:val="0"/>
      <w:kern w:val="10"/>
      <w:sz w:val="21"/>
      <w:szCs w:val="28"/>
      <w:lang w:val="en-US" w:eastAsia="zh-CN" w:bidi="ar-SA"/>
    </w:rPr>
  </w:style>
  <w:style w:type="character" w:customStyle="1" w:styleId="1055">
    <w:name w:val="表   格 Char"/>
    <w:link w:val="1056"/>
    <w:qFormat/>
    <w:uiPriority w:val="0"/>
    <w:rPr>
      <w:rFonts w:ascii="楷体_GB2312" w:hAnsi="宋体" w:eastAsia="楷体_GB2312" w:cs="宋体"/>
      <w:color w:val="000000"/>
      <w:sz w:val="21"/>
    </w:rPr>
  </w:style>
  <w:style w:type="paragraph" w:customStyle="1" w:styleId="1056">
    <w:name w:val="表   格"/>
    <w:basedOn w:val="1"/>
    <w:link w:val="1055"/>
    <w:qFormat/>
    <w:uiPriority w:val="0"/>
    <w:pPr>
      <w:widowControl/>
      <w:spacing w:line="0" w:lineRule="atLeast"/>
      <w:ind w:firstLine="0" w:firstLineChars="0"/>
      <w:jc w:val="center"/>
    </w:pPr>
    <w:rPr>
      <w:rFonts w:ascii="楷体_GB2312" w:hAnsi="宋体" w:eastAsia="楷体_GB2312"/>
      <w:color w:val="000000"/>
      <w:kern w:val="0"/>
      <w:sz w:val="21"/>
      <w:szCs w:val="20"/>
    </w:rPr>
  </w:style>
  <w:style w:type="character" w:customStyle="1" w:styleId="1057">
    <w:name w:val="正文首行缩进 2（石） Char Char"/>
    <w:qFormat/>
    <w:uiPriority w:val="0"/>
    <w:rPr>
      <w:rFonts w:ascii="Verdana" w:hAnsi="Verdana" w:eastAsia="宋体" w:cs="Verdana"/>
      <w:b/>
      <w:bCs/>
      <w:spacing w:val="4"/>
      <w:kern w:val="2"/>
      <w:sz w:val="24"/>
      <w:szCs w:val="28"/>
      <w:lang w:val="en-US" w:eastAsia="zh-CN" w:bidi="ar-SA"/>
    </w:rPr>
  </w:style>
  <w:style w:type="character" w:customStyle="1" w:styleId="1058">
    <w:name w:val="题注 Char Char"/>
    <w:qFormat/>
    <w:uiPriority w:val="0"/>
    <w:rPr>
      <w:rFonts w:ascii="Verdana" w:hAnsi="Verdana" w:eastAsia="黑体" w:cs="Arial"/>
      <w:spacing w:val="4"/>
      <w:kern w:val="2"/>
      <w:sz w:val="24"/>
      <w:szCs w:val="28"/>
      <w:lang w:val="en-US" w:eastAsia="zh-CN" w:bidi="ar-SA"/>
    </w:rPr>
  </w:style>
  <w:style w:type="character" w:customStyle="1" w:styleId="1059">
    <w:name w:val="标题 6 字符1"/>
    <w:qFormat/>
    <w:uiPriority w:val="0"/>
    <w:rPr>
      <w:rFonts w:ascii="Arial" w:hAnsi="Arial" w:eastAsia="黑体" w:cs="宋体"/>
      <w:b/>
      <w:sz w:val="24"/>
    </w:rPr>
  </w:style>
  <w:style w:type="character" w:customStyle="1" w:styleId="1060">
    <w:name w:val="Char Char162"/>
    <w:qFormat/>
    <w:uiPriority w:val="0"/>
    <w:rPr>
      <w:rFonts w:ascii="Arial" w:hAnsi="Arial" w:eastAsia="仿宋_GB2312"/>
      <w:bCs/>
      <w:sz w:val="28"/>
      <w:szCs w:val="28"/>
      <w:lang w:val="en-US" w:eastAsia="zh-CN" w:bidi="ar-SA"/>
    </w:rPr>
  </w:style>
  <w:style w:type="character" w:customStyle="1" w:styleId="1061">
    <w:name w:val="样式 样式 首行缩进:  2 字符6 + 首行缩进:  2 字符2 Char"/>
    <w:link w:val="1062"/>
    <w:qFormat/>
    <w:uiPriority w:val="0"/>
    <w:rPr>
      <w:rFonts w:ascii="仿宋_GB2312" w:eastAsia="仿宋_GB2312" w:cs="宋体"/>
      <w:kern w:val="2"/>
      <w:sz w:val="28"/>
      <w:szCs w:val="28"/>
    </w:rPr>
  </w:style>
  <w:style w:type="paragraph" w:customStyle="1" w:styleId="1062">
    <w:name w:val="样式 样式 首行缩进:  2 字符6 + 首行缩进:  2 字符2"/>
    <w:basedOn w:val="563"/>
    <w:link w:val="1061"/>
    <w:qFormat/>
    <w:uiPriority w:val="0"/>
    <w:pPr>
      <w:ind w:firstLine="200"/>
    </w:pPr>
    <w:rPr>
      <w:szCs w:val="28"/>
    </w:rPr>
  </w:style>
  <w:style w:type="character" w:customStyle="1" w:styleId="1063">
    <w:name w:val="样式 样式 楷体_GB2312 首行缩进:  2 字符 + 仿宋_GB2312 首行缩进:  2 字符 Char"/>
    <w:link w:val="1064"/>
    <w:qFormat/>
    <w:uiPriority w:val="0"/>
    <w:rPr>
      <w:rFonts w:ascii="楷体_GB2312" w:eastAsia="楷体_GB2312" w:cs="宋体"/>
      <w:kern w:val="2"/>
      <w:sz w:val="28"/>
    </w:rPr>
  </w:style>
  <w:style w:type="paragraph" w:customStyle="1" w:styleId="1064">
    <w:name w:val="样式 样式 楷体_GB2312 首行缩进:  2 字符 + 仿宋_GB2312 首行缩进:  2 字符"/>
    <w:basedOn w:val="1065"/>
    <w:link w:val="1063"/>
    <w:qFormat/>
    <w:uiPriority w:val="0"/>
    <w:pPr>
      <w:textAlignment w:val="baseline"/>
    </w:pPr>
    <w:rPr>
      <w:rFonts w:hAnsi="Times New Roman" w:cs="Times New Roman"/>
    </w:rPr>
  </w:style>
  <w:style w:type="paragraph" w:customStyle="1" w:styleId="1065">
    <w:name w:val="样式 楷体_GB2312 首行缩进:  2 字符"/>
    <w:basedOn w:val="1"/>
    <w:qFormat/>
    <w:uiPriority w:val="0"/>
    <w:rPr>
      <w:rFonts w:ascii="楷体_GB2312" w:hAnsi="宋体" w:eastAsia="楷体_GB2312" w:cs="宋体"/>
      <w:szCs w:val="20"/>
    </w:rPr>
  </w:style>
  <w:style w:type="character" w:customStyle="1" w:styleId="1066">
    <w:name w:val="featurehead"/>
    <w:qFormat/>
    <w:uiPriority w:val="0"/>
    <w:rPr>
      <w:rFonts w:eastAsia="宋体"/>
      <w:b/>
      <w:bCs/>
      <w:kern w:val="44"/>
      <w:sz w:val="44"/>
      <w:szCs w:val="44"/>
      <w:lang w:val="en-US" w:eastAsia="zh-CN" w:bidi="ar-SA"/>
    </w:rPr>
  </w:style>
  <w:style w:type="character" w:customStyle="1" w:styleId="1067">
    <w:name w:val="无间隔 字符3"/>
    <w:link w:val="1068"/>
    <w:qFormat/>
    <w:uiPriority w:val="0"/>
    <w:rPr>
      <w:rFonts w:ascii="Calibri" w:hAnsi="Calibri"/>
      <w:sz w:val="22"/>
      <w:szCs w:val="22"/>
      <w:lang w:val="en-US" w:eastAsia="zh-CN" w:bidi="ar-SA"/>
    </w:rPr>
  </w:style>
  <w:style w:type="paragraph" w:styleId="1068">
    <w:name w:val="No Spacing"/>
    <w:link w:val="1067"/>
    <w:qFormat/>
    <w:uiPriority w:val="0"/>
    <w:rPr>
      <w:rFonts w:ascii="Calibri" w:hAnsi="Calibri" w:eastAsia="宋体" w:cs="Times New Roman"/>
      <w:sz w:val="22"/>
      <w:szCs w:val="22"/>
      <w:lang w:val="en-US" w:eastAsia="zh-CN" w:bidi="ar-SA"/>
    </w:rPr>
  </w:style>
  <w:style w:type="character" w:customStyle="1" w:styleId="1069">
    <w:name w:val="Char Char65"/>
    <w:qFormat/>
    <w:uiPriority w:val="0"/>
    <w:rPr>
      <w:rFonts w:ascii="宋体" w:eastAsia="仿宋_GB2312"/>
      <w:sz w:val="21"/>
      <w:szCs w:val="28"/>
      <w:lang w:val="en-US" w:eastAsia="zh-CN" w:bidi="ar-SA"/>
    </w:rPr>
  </w:style>
  <w:style w:type="character" w:customStyle="1" w:styleId="1070">
    <w:name w:val="Char Char241"/>
    <w:qFormat/>
    <w:uiPriority w:val="0"/>
    <w:rPr>
      <w:rFonts w:ascii="宋体" w:hAnsi="宋体" w:eastAsia="宋体" w:cs="Times New Roman"/>
      <w:color w:val="000000"/>
      <w:sz w:val="20"/>
      <w:szCs w:val="20"/>
    </w:rPr>
  </w:style>
  <w:style w:type="character" w:customStyle="1" w:styleId="1071">
    <w:name w:val="图名 Char Char"/>
    <w:qFormat/>
    <w:uiPriority w:val="0"/>
    <w:rPr>
      <w:rFonts w:ascii="黑体" w:eastAsia="黑体"/>
      <w:b/>
      <w:bCs/>
      <w:sz w:val="24"/>
      <w:szCs w:val="28"/>
      <w:lang w:val="en-US" w:eastAsia="zh-CN" w:bidi="ar-SA"/>
    </w:rPr>
  </w:style>
  <w:style w:type="character" w:customStyle="1" w:styleId="1072">
    <w:name w:val="BT3 Char"/>
    <w:link w:val="1073"/>
    <w:qFormat/>
    <w:uiPriority w:val="0"/>
    <w:rPr>
      <w:rFonts w:ascii="Arial" w:hAnsi="Arial" w:eastAsia="方正小标宋_GBK"/>
      <w:kern w:val="2"/>
      <w:sz w:val="28"/>
      <w:szCs w:val="28"/>
    </w:rPr>
  </w:style>
  <w:style w:type="paragraph" w:customStyle="1" w:styleId="1073">
    <w:name w:val="BT3"/>
    <w:basedOn w:val="7"/>
    <w:link w:val="1072"/>
    <w:qFormat/>
    <w:uiPriority w:val="0"/>
    <w:pPr>
      <w:jc w:val="left"/>
    </w:pPr>
    <w:rPr>
      <w:rFonts w:ascii="Arial"/>
      <w:bCs w:val="0"/>
    </w:rPr>
  </w:style>
  <w:style w:type="character" w:customStyle="1" w:styleId="1074">
    <w:name w:val="样式 首行缩进:  2 字符 Char Char Char"/>
    <w:qFormat/>
    <w:uiPriority w:val="0"/>
    <w:rPr>
      <w:rFonts w:ascii="仿宋_GB2312" w:eastAsia="仿宋_GB2312" w:cs="宋体"/>
      <w:kern w:val="2"/>
      <w:sz w:val="28"/>
      <w:lang w:val="en-US" w:eastAsia="zh-CN" w:bidi="ar-SA"/>
    </w:rPr>
  </w:style>
  <w:style w:type="character" w:customStyle="1" w:styleId="1075">
    <w:name w:val="标题 4 字符2"/>
    <w:qFormat/>
    <w:uiPriority w:val="0"/>
    <w:rPr>
      <w:rFonts w:ascii="Cambria" w:hAnsi="Cambria" w:eastAsia="宋体" w:cs="Times New Roman"/>
      <w:b/>
      <w:bCs/>
      <w:kern w:val="2"/>
      <w:sz w:val="28"/>
      <w:szCs w:val="28"/>
    </w:rPr>
  </w:style>
  <w:style w:type="character" w:customStyle="1" w:styleId="1076">
    <w:name w:val="电子邮件签名 Char3"/>
    <w:qFormat/>
    <w:uiPriority w:val="0"/>
    <w:rPr>
      <w:rFonts w:ascii="仿宋_GB2312" w:eastAsia="仿宋_GB2312"/>
      <w:sz w:val="28"/>
      <w:szCs w:val="28"/>
      <w:lang w:val="en-US" w:eastAsia="zh-CN" w:bidi="ar-SA"/>
    </w:rPr>
  </w:style>
  <w:style w:type="character" w:customStyle="1" w:styleId="1077">
    <w:name w:val="表格注释 Char"/>
    <w:qFormat/>
    <w:uiPriority w:val="0"/>
    <w:rPr>
      <w:rFonts w:eastAsia="楷体_GB2312"/>
      <w:w w:val="90"/>
      <w:sz w:val="21"/>
      <w:szCs w:val="21"/>
      <w:lang w:val="en-US" w:eastAsia="zh-CN" w:bidi="ar-SA"/>
    </w:rPr>
  </w:style>
  <w:style w:type="character" w:customStyle="1" w:styleId="1078">
    <w:name w:val="标题 3hy Char Char"/>
    <w:qFormat/>
    <w:uiPriority w:val="0"/>
    <w:rPr>
      <w:rFonts w:ascii="Arial" w:hAnsi="Arial" w:eastAsia="方正小标宋_GBK"/>
      <w:bCs/>
      <w:sz w:val="28"/>
      <w:szCs w:val="28"/>
      <w:lang w:bidi="ar-SA"/>
    </w:rPr>
  </w:style>
  <w:style w:type="character" w:customStyle="1" w:styleId="1079">
    <w:name w:val="批注主题 字符1"/>
    <w:qFormat/>
    <w:uiPriority w:val="0"/>
    <w:rPr>
      <w:rFonts w:ascii="仿宋_GB2312" w:eastAsia="仿宋_GB2312"/>
      <w:b/>
      <w:bCs/>
      <w:kern w:val="2"/>
      <w:sz w:val="28"/>
      <w:szCs w:val="28"/>
    </w:rPr>
  </w:style>
  <w:style w:type="character" w:customStyle="1" w:styleId="1080">
    <w:name w:val="正文小标题 Char1"/>
    <w:qFormat/>
    <w:uiPriority w:val="0"/>
    <w:rPr>
      <w:rFonts w:ascii="宋体" w:hAnsi="宋体" w:eastAsia="仿宋_GB2312" w:cs="Times New Roman"/>
      <w:bCs/>
      <w:sz w:val="24"/>
      <w:szCs w:val="28"/>
    </w:rPr>
  </w:style>
  <w:style w:type="character" w:customStyle="1" w:styleId="1081">
    <w:name w:val="标1 Char"/>
    <w:link w:val="1082"/>
    <w:qFormat/>
    <w:uiPriority w:val="0"/>
    <w:rPr>
      <w:rFonts w:ascii="黑体" w:eastAsia="黑体"/>
      <w:bCs/>
      <w:kern w:val="44"/>
      <w:sz w:val="36"/>
      <w:szCs w:val="44"/>
    </w:rPr>
  </w:style>
  <w:style w:type="paragraph" w:customStyle="1" w:styleId="1082">
    <w:name w:val="标1"/>
    <w:basedOn w:val="4"/>
    <w:link w:val="1081"/>
    <w:qFormat/>
    <w:uiPriority w:val="0"/>
    <w:pPr>
      <w:keepNext/>
      <w:keepLines/>
      <w:spacing w:beforeLines="100" w:after="120" w:line="480" w:lineRule="auto"/>
      <w:jc w:val="left"/>
    </w:pPr>
    <w:rPr>
      <w:rFonts w:hAnsi="Times New Roman"/>
      <w:szCs w:val="44"/>
    </w:rPr>
  </w:style>
  <w:style w:type="character" w:customStyle="1" w:styleId="1083">
    <w:name w:val="Char Char192"/>
    <w:qFormat/>
    <w:uiPriority w:val="0"/>
    <w:rPr>
      <w:rFonts w:ascii="仿宋_GB2312" w:hAnsi="Times New Roman" w:eastAsia="仿宋_GB2312" w:cs="Times New Roman"/>
      <w:sz w:val="28"/>
      <w:szCs w:val="24"/>
      <w:shd w:val="clear" w:color="auto" w:fill="000080"/>
    </w:rPr>
  </w:style>
  <w:style w:type="character" w:customStyle="1" w:styleId="1084">
    <w:name w:val="样式 样式 首行缩进:  2 字符 + 首行缩进:  2 字符 Char Char"/>
    <w:link w:val="1085"/>
    <w:qFormat/>
    <w:uiPriority w:val="0"/>
    <w:rPr>
      <w:rFonts w:ascii="仿宋_GB2312" w:hAnsi="Calibri" w:eastAsia="仿宋_GB2312" w:cs="宋体"/>
      <w:kern w:val="2"/>
      <w:sz w:val="28"/>
    </w:rPr>
  </w:style>
  <w:style w:type="paragraph" w:customStyle="1" w:styleId="1085">
    <w:name w:val="样式 样式 首行缩进:  2 字符 + 首行缩进:  2 字符"/>
    <w:basedOn w:val="1"/>
    <w:link w:val="1084"/>
    <w:qFormat/>
    <w:uiPriority w:val="0"/>
    <w:rPr>
      <w:rFonts w:hAnsi="Calibri"/>
      <w:szCs w:val="20"/>
    </w:rPr>
  </w:style>
  <w:style w:type="character" w:customStyle="1" w:styleId="1086">
    <w:name w:val="Char Char171"/>
    <w:qFormat/>
    <w:uiPriority w:val="0"/>
    <w:rPr>
      <w:rFonts w:ascii="宋体" w:hAnsi="宋体" w:eastAsia="宋体"/>
      <w:color w:val="000000"/>
      <w:spacing w:val="4"/>
      <w:kern w:val="2"/>
      <w:sz w:val="18"/>
      <w:szCs w:val="18"/>
      <w:lang w:val="en-US" w:eastAsia="zh-CN" w:bidi="ar-SA"/>
    </w:rPr>
  </w:style>
  <w:style w:type="character" w:customStyle="1" w:styleId="1087">
    <w:name w:val="正文文本 (2) + 7.5 pt1"/>
    <w:qFormat/>
    <w:uiPriority w:val="0"/>
    <w:rPr>
      <w:rFonts w:ascii="MingLiU" w:eastAsia="MingLiU" w:cs="MingLiU"/>
      <w:spacing w:val="-20"/>
      <w:sz w:val="15"/>
      <w:szCs w:val="15"/>
      <w:u w:val="none"/>
      <w:shd w:val="clear" w:color="auto" w:fill="FFFFFF"/>
    </w:rPr>
  </w:style>
  <w:style w:type="character" w:customStyle="1" w:styleId="1088">
    <w:name w:val="日期 字符1"/>
    <w:qFormat/>
    <w:uiPriority w:val="0"/>
    <w:rPr>
      <w:kern w:val="2"/>
      <w:sz w:val="21"/>
      <w:szCs w:val="24"/>
    </w:rPr>
  </w:style>
  <w:style w:type="character" w:customStyle="1" w:styleId="1089">
    <w:name w:val="样式 首行缩进:  2 字符2 Char Char Char"/>
    <w:link w:val="1090"/>
    <w:qFormat/>
    <w:uiPriority w:val="0"/>
    <w:rPr>
      <w:rFonts w:ascii="仿宋_GB2312" w:eastAsia="仿宋_GB2312" w:cs="宋体"/>
      <w:kern w:val="2"/>
      <w:sz w:val="28"/>
    </w:rPr>
  </w:style>
  <w:style w:type="paragraph" w:customStyle="1" w:styleId="1090">
    <w:name w:val="样式 首行缩进:  2 字符2 Char Char"/>
    <w:basedOn w:val="1"/>
    <w:link w:val="1089"/>
    <w:qFormat/>
    <w:uiPriority w:val="0"/>
    <w:rPr>
      <w:szCs w:val="20"/>
    </w:rPr>
  </w:style>
  <w:style w:type="character" w:customStyle="1" w:styleId="1091">
    <w:name w:val="Char Char172"/>
    <w:qFormat/>
    <w:uiPriority w:val="0"/>
    <w:rPr>
      <w:rFonts w:ascii="宋体" w:hAnsi="宋体" w:eastAsia="仿宋_GB2312"/>
      <w:kern w:val="2"/>
      <w:sz w:val="18"/>
      <w:szCs w:val="18"/>
      <w:lang w:val="en-US" w:eastAsia="zh-CN" w:bidi="ar-SA"/>
    </w:rPr>
  </w:style>
  <w:style w:type="character" w:customStyle="1" w:styleId="1092">
    <w:name w:val="正文文本首行缩进 2 字符2"/>
    <w:qFormat/>
    <w:uiPriority w:val="0"/>
    <w:rPr>
      <w:kern w:val="2"/>
      <w:sz w:val="21"/>
    </w:rPr>
  </w:style>
  <w:style w:type="character" w:customStyle="1" w:styleId="1093">
    <w:name w:val="正文文本缩进 字符2"/>
    <w:qFormat/>
    <w:uiPriority w:val="0"/>
    <w:rPr>
      <w:kern w:val="2"/>
      <w:sz w:val="28"/>
    </w:rPr>
  </w:style>
  <w:style w:type="character" w:customStyle="1" w:styleId="1094">
    <w:name w:val="表号 Char Char"/>
    <w:qFormat/>
    <w:uiPriority w:val="0"/>
    <w:rPr>
      <w:rFonts w:ascii="CG Times" w:hAnsi="CG Times" w:eastAsia="宋体"/>
      <w:kern w:val="2"/>
      <w:sz w:val="21"/>
      <w:lang w:val="en-US" w:eastAsia="zh-CN" w:bidi="ar-SA"/>
    </w:rPr>
  </w:style>
  <w:style w:type="character" w:customStyle="1" w:styleId="1095">
    <w:name w:val="图表标题 Char2"/>
    <w:qFormat/>
    <w:uiPriority w:val="0"/>
    <w:rPr>
      <w:rFonts w:ascii="Arial" w:hAnsi="Arial" w:eastAsia="黑体" w:cs="Arial"/>
      <w:spacing w:val="14"/>
      <w:lang w:val="en-US" w:eastAsia="zh-CN" w:bidi="ar-SA"/>
    </w:rPr>
  </w:style>
  <w:style w:type="character" w:customStyle="1" w:styleId="1096">
    <w:name w:val="封面"/>
    <w:qFormat/>
    <w:uiPriority w:val="0"/>
    <w:rPr>
      <w:rFonts w:ascii="黑体" w:hAnsi="Verdana" w:eastAsia="黑体"/>
      <w:spacing w:val="4"/>
      <w:sz w:val="32"/>
      <w:szCs w:val="21"/>
      <w:lang w:val="en-US" w:eastAsia="en-US" w:bidi="ar-SA"/>
    </w:rPr>
  </w:style>
  <w:style w:type="character" w:customStyle="1" w:styleId="1097">
    <w:name w:val="标题 2 字符1"/>
    <w:qFormat/>
    <w:uiPriority w:val="0"/>
    <w:rPr>
      <w:rFonts w:ascii="黑体" w:hAnsi="黑体" w:eastAsia="黑体"/>
      <w:bCs/>
      <w:kern w:val="2"/>
      <w:sz w:val="32"/>
      <w:szCs w:val="28"/>
    </w:rPr>
  </w:style>
  <w:style w:type="character" w:customStyle="1" w:styleId="1098">
    <w:name w:val="样式 正文01 + 首行缩进:  2 字符 Char"/>
    <w:link w:val="1099"/>
    <w:qFormat/>
    <w:uiPriority w:val="0"/>
    <w:rPr>
      <w:rFonts w:ascii="仿宋_GB2312" w:eastAsia="仿宋_GB2312" w:cs="宋体"/>
      <w:kern w:val="2"/>
      <w:sz w:val="28"/>
    </w:rPr>
  </w:style>
  <w:style w:type="paragraph" w:customStyle="1" w:styleId="1099">
    <w:name w:val="样式 正文01 + 首行缩进:  2 字符"/>
    <w:basedOn w:val="661"/>
    <w:link w:val="1098"/>
    <w:qFormat/>
    <w:uiPriority w:val="0"/>
  </w:style>
  <w:style w:type="character" w:customStyle="1" w:styleId="1100">
    <w:name w:val="标题 8 字符"/>
    <w:qFormat/>
    <w:uiPriority w:val="0"/>
    <w:rPr>
      <w:rFonts w:ascii="Arial" w:hAnsi="Arial" w:eastAsia="黑体" w:cs="Times New Roman"/>
      <w:kern w:val="0"/>
      <w:sz w:val="24"/>
      <w:szCs w:val="24"/>
    </w:rPr>
  </w:style>
  <w:style w:type="character" w:customStyle="1" w:styleId="1101">
    <w:name w:val="脚注文本 字符1"/>
    <w:qFormat/>
    <w:uiPriority w:val="0"/>
    <w:rPr>
      <w:rFonts w:eastAsia="华文中宋"/>
      <w:kern w:val="2"/>
      <w:sz w:val="18"/>
      <w:szCs w:val="18"/>
    </w:rPr>
  </w:style>
  <w:style w:type="character" w:customStyle="1" w:styleId="1102">
    <w:name w:val="表格注解 Char Char"/>
    <w:qFormat/>
    <w:uiPriority w:val="0"/>
    <w:rPr>
      <w:rFonts w:ascii="Arial" w:hAnsi="Arial" w:eastAsia="黑体"/>
      <w:sz w:val="24"/>
    </w:rPr>
  </w:style>
  <w:style w:type="character" w:customStyle="1" w:styleId="1103">
    <w:name w:val="正文文本 3 字符"/>
    <w:qFormat/>
    <w:uiPriority w:val="0"/>
    <w:rPr>
      <w:rFonts w:ascii="Times New Roman" w:hAnsi="Times New Roman" w:eastAsia="宋体" w:cs="Times New Roman"/>
      <w:sz w:val="16"/>
      <w:szCs w:val="16"/>
    </w:rPr>
  </w:style>
  <w:style w:type="character" w:customStyle="1" w:styleId="1104">
    <w:name w:val="标题4 Char1"/>
    <w:qFormat/>
    <w:uiPriority w:val="0"/>
    <w:rPr>
      <w:rFonts w:ascii="Times New Roman" w:hAnsi="Times New Roman"/>
      <w:kern w:val="2"/>
      <w:sz w:val="28"/>
      <w:szCs w:val="28"/>
      <w:lang w:val="sq-AL" w:eastAsia="zh-CN"/>
    </w:rPr>
  </w:style>
  <w:style w:type="character" w:customStyle="1" w:styleId="1105">
    <w:name w:val="图名表名 Char"/>
    <w:link w:val="1106"/>
    <w:semiHidden/>
    <w:qFormat/>
    <w:uiPriority w:val="0"/>
    <w:rPr>
      <w:rFonts w:ascii="仿宋_GB2312" w:hAnsi="Calibri" w:eastAsia="黑体"/>
      <w:color w:val="800080"/>
      <w:sz w:val="24"/>
      <w:szCs w:val="24"/>
      <w:u w:val="none" w:color="000000"/>
    </w:rPr>
  </w:style>
  <w:style w:type="paragraph" w:customStyle="1" w:styleId="1106">
    <w:name w:val="图名表名"/>
    <w:basedOn w:val="73"/>
    <w:link w:val="1105"/>
    <w:semiHidden/>
    <w:qFormat/>
    <w:uiPriority w:val="0"/>
    <w:pPr>
      <w:adjustRightInd/>
      <w:spacing w:before="120" w:after="60" w:line="240" w:lineRule="auto"/>
      <w:ind w:left="0" w:firstLine="0" w:firstLineChars="0"/>
      <w:jc w:val="center"/>
      <w:textAlignment w:val="auto"/>
    </w:pPr>
    <w:rPr>
      <w:rFonts w:hAnsi="Calibri" w:eastAsia="黑体"/>
      <w:caps w:val="0"/>
      <w:color w:val="800080"/>
      <w:sz w:val="24"/>
      <w:szCs w:val="24"/>
      <w:u w:val="none" w:color="000000"/>
    </w:rPr>
  </w:style>
  <w:style w:type="character" w:customStyle="1" w:styleId="1107">
    <w:name w:val="邓杰表 Char"/>
    <w:link w:val="1108"/>
    <w:qFormat/>
    <w:uiPriority w:val="0"/>
    <w:rPr>
      <w:rFonts w:eastAsia="楷体_GB2312"/>
      <w:sz w:val="21"/>
      <w:szCs w:val="18"/>
    </w:rPr>
  </w:style>
  <w:style w:type="paragraph" w:customStyle="1" w:styleId="1108">
    <w:name w:val="邓杰表"/>
    <w:basedOn w:val="1"/>
    <w:link w:val="1107"/>
    <w:qFormat/>
    <w:uiPriority w:val="0"/>
    <w:pPr>
      <w:adjustRightInd w:val="0"/>
      <w:snapToGrid w:val="0"/>
      <w:spacing w:line="240" w:lineRule="auto"/>
      <w:ind w:firstLine="0" w:firstLineChars="0"/>
      <w:jc w:val="center"/>
      <w:textAlignment w:val="center"/>
    </w:pPr>
    <w:rPr>
      <w:rFonts w:ascii="Times New Roman" w:eastAsia="楷体_GB2312"/>
      <w:kern w:val="0"/>
      <w:sz w:val="21"/>
      <w:szCs w:val="18"/>
    </w:rPr>
  </w:style>
  <w:style w:type="character" w:customStyle="1" w:styleId="1109">
    <w:name w:val="样式 公正文 + 首行缩进:  2 字符2 Char"/>
    <w:link w:val="1110"/>
    <w:semiHidden/>
    <w:qFormat/>
    <w:uiPriority w:val="0"/>
    <w:rPr>
      <w:rFonts w:ascii="仿宋_GB2312" w:hAnsi="宋体" w:eastAsia="仿宋_GB2312"/>
      <w:sz w:val="28"/>
      <w:szCs w:val="24"/>
    </w:rPr>
  </w:style>
  <w:style w:type="paragraph" w:customStyle="1" w:styleId="1110">
    <w:name w:val="样式 公正文 + 首行缩进:  2 字符2"/>
    <w:basedOn w:val="1"/>
    <w:link w:val="1109"/>
    <w:semiHidden/>
    <w:qFormat/>
    <w:uiPriority w:val="0"/>
    <w:pPr>
      <w:adjustRightInd w:val="0"/>
      <w:snapToGrid w:val="0"/>
    </w:pPr>
    <w:rPr>
      <w:rFonts w:hAnsi="宋体"/>
      <w:kern w:val="0"/>
      <w:szCs w:val="24"/>
    </w:rPr>
  </w:style>
  <w:style w:type="character" w:customStyle="1" w:styleId="1111">
    <w:name w:val="需要修改石 Char Char"/>
    <w:link w:val="1112"/>
    <w:qFormat/>
    <w:uiPriority w:val="0"/>
    <w:rPr>
      <w:rFonts w:ascii="宋体" w:hAnsi="宋体"/>
      <w:color w:val="FF0000"/>
      <w:spacing w:val="4"/>
      <w:kern w:val="2"/>
      <w:sz w:val="24"/>
      <w:szCs w:val="28"/>
    </w:rPr>
  </w:style>
  <w:style w:type="paragraph" w:customStyle="1" w:styleId="1112">
    <w:name w:val="需要修改石"/>
    <w:basedOn w:val="87"/>
    <w:next w:val="87"/>
    <w:link w:val="1111"/>
    <w:qFormat/>
    <w:uiPriority w:val="0"/>
    <w:pPr>
      <w:spacing w:after="0" w:line="360" w:lineRule="auto"/>
      <w:ind w:left="0" w:firstLine="200" w:firstLineChars="200"/>
    </w:pPr>
    <w:rPr>
      <w:rFonts w:ascii="宋体" w:hAnsi="宋体"/>
      <w:color w:val="FF0000"/>
      <w:spacing w:val="4"/>
      <w:sz w:val="24"/>
      <w:szCs w:val="28"/>
    </w:rPr>
  </w:style>
  <w:style w:type="character" w:customStyle="1" w:styleId="1113">
    <w:name w:val="11小括号 Char"/>
    <w:link w:val="1114"/>
    <w:qFormat/>
    <w:uiPriority w:val="0"/>
    <w:rPr>
      <w:rFonts w:ascii="楷体" w:hAnsi="楷体" w:eastAsia="楷体" w:cs="宋体"/>
      <w:sz w:val="28"/>
    </w:rPr>
  </w:style>
  <w:style w:type="paragraph" w:customStyle="1" w:styleId="1114">
    <w:name w:val="11小括号"/>
    <w:basedOn w:val="1"/>
    <w:link w:val="1113"/>
    <w:qFormat/>
    <w:uiPriority w:val="0"/>
    <w:pPr>
      <w:ind w:firstLine="560"/>
      <w:textAlignment w:val="baseline"/>
      <w:outlineLvl w:val="5"/>
    </w:pPr>
    <w:rPr>
      <w:rFonts w:ascii="楷体" w:hAnsi="楷体" w:eastAsia="楷体"/>
      <w:kern w:val="0"/>
      <w:szCs w:val="20"/>
    </w:rPr>
  </w:style>
  <w:style w:type="character" w:customStyle="1" w:styleId="1115">
    <w:name w:val="123YJ Char Char1"/>
    <w:qFormat/>
    <w:uiPriority w:val="0"/>
    <w:rPr>
      <w:kern w:val="2"/>
      <w:sz w:val="18"/>
      <w:szCs w:val="18"/>
    </w:rPr>
  </w:style>
  <w:style w:type="character" w:customStyle="1" w:styleId="1116">
    <w:name w:val="报告正文 Char Char1"/>
    <w:semiHidden/>
    <w:qFormat/>
    <w:uiPriority w:val="0"/>
    <w:rPr>
      <w:rFonts w:eastAsia="宋体"/>
      <w:spacing w:val="14"/>
      <w:kern w:val="2"/>
      <w:sz w:val="24"/>
      <w:lang w:val="en-US" w:eastAsia="zh-CN" w:bidi="ar-SA"/>
    </w:rPr>
  </w:style>
  <w:style w:type="character" w:customStyle="1" w:styleId="1117">
    <w:name w:val="批注框文本 字符"/>
    <w:qFormat/>
    <w:uiPriority w:val="0"/>
    <w:rPr>
      <w:rFonts w:ascii="仿宋_GB2312" w:hAnsi="Times New Roman" w:eastAsia="仿宋_GB2312" w:cs="Times New Roman"/>
      <w:kern w:val="0"/>
      <w:sz w:val="18"/>
      <w:szCs w:val="18"/>
    </w:rPr>
  </w:style>
  <w:style w:type="character" w:customStyle="1" w:styleId="1118">
    <w:name w:val="电子邮件签名 字符2"/>
    <w:qFormat/>
    <w:uiPriority w:val="0"/>
    <w:rPr>
      <w:kern w:val="2"/>
      <w:sz w:val="24"/>
    </w:rPr>
  </w:style>
  <w:style w:type="character" w:customStyle="1" w:styleId="1119">
    <w:name w:val="样式 首行缩进:  2 字符5 Char"/>
    <w:link w:val="1120"/>
    <w:qFormat/>
    <w:uiPriority w:val="0"/>
    <w:rPr>
      <w:rFonts w:ascii="仿宋_GB2312" w:eastAsia="仿宋_GB2312" w:cs="宋体"/>
      <w:kern w:val="2"/>
      <w:sz w:val="28"/>
    </w:rPr>
  </w:style>
  <w:style w:type="paragraph" w:customStyle="1" w:styleId="1120">
    <w:name w:val="样式 首行缩进:  2 字符5"/>
    <w:basedOn w:val="1"/>
    <w:link w:val="1119"/>
    <w:qFormat/>
    <w:uiPriority w:val="0"/>
    <w:rPr>
      <w:szCs w:val="20"/>
    </w:rPr>
  </w:style>
  <w:style w:type="character" w:customStyle="1" w:styleId="1121">
    <w:name w:val="标题5 Char Char3 Char"/>
    <w:qFormat/>
    <w:uiPriority w:val="0"/>
    <w:rPr>
      <w:rFonts w:ascii="Times New Roman" w:hAnsi="Times New Roman"/>
      <w:color w:val="000000"/>
      <w:sz w:val="24"/>
      <w:szCs w:val="24"/>
      <w:u w:val="none" w:color="000000"/>
    </w:rPr>
  </w:style>
  <w:style w:type="character" w:customStyle="1" w:styleId="1122">
    <w:name w:val="5号正文 Char"/>
    <w:link w:val="1123"/>
    <w:qFormat/>
    <w:uiPriority w:val="0"/>
    <w:rPr>
      <w:rFonts w:ascii="楷体_GB2312" w:hAnsi="宋体" w:eastAsia="楷体_GB2312"/>
      <w:snapToGrid w:val="0"/>
      <w:sz w:val="24"/>
      <w:szCs w:val="28"/>
      <w:lang w:val="en-US" w:eastAsia="zh-CN" w:bidi="ar-SA"/>
    </w:rPr>
  </w:style>
  <w:style w:type="paragraph" w:customStyle="1" w:styleId="1123">
    <w:name w:val="5号正文"/>
    <w:link w:val="1122"/>
    <w:qFormat/>
    <w:uiPriority w:val="0"/>
    <w:pPr>
      <w:widowControl w:val="0"/>
      <w:adjustRightInd w:val="0"/>
      <w:snapToGrid w:val="0"/>
      <w:spacing w:line="360" w:lineRule="auto"/>
      <w:ind w:firstLine="480" w:firstLineChars="200"/>
      <w:jc w:val="both"/>
    </w:pPr>
    <w:rPr>
      <w:rFonts w:ascii="楷体_GB2312" w:hAnsi="宋体" w:eastAsia="楷体_GB2312" w:cs="Times New Roman"/>
      <w:snapToGrid w:val="0"/>
      <w:sz w:val="24"/>
      <w:szCs w:val="28"/>
      <w:lang w:val="en-US" w:eastAsia="zh-CN" w:bidi="ar-SA"/>
    </w:rPr>
  </w:style>
  <w:style w:type="character" w:customStyle="1" w:styleId="1124">
    <w:name w:val="001 Char"/>
    <w:qFormat/>
    <w:uiPriority w:val="0"/>
    <w:rPr>
      <w:rFonts w:eastAsia="宋体"/>
      <w:kern w:val="2"/>
      <w:sz w:val="21"/>
      <w:szCs w:val="24"/>
      <w:lang w:val="en-US" w:eastAsia="zh-CN" w:bidi="ar-SA"/>
    </w:rPr>
  </w:style>
  <w:style w:type="character" w:customStyle="1" w:styleId="1125">
    <w:name w:val="白鹤滩标题 4 Char"/>
    <w:qFormat/>
    <w:uiPriority w:val="0"/>
    <w:rPr>
      <w:rFonts w:ascii="Arial" w:hAnsi="Arial" w:eastAsia="宋体"/>
      <w:bCs/>
      <w:sz w:val="28"/>
      <w:szCs w:val="28"/>
      <w:lang w:val="vi-VN" w:eastAsia="zh-CN" w:bidi="ar-SA"/>
    </w:rPr>
  </w:style>
  <w:style w:type="character" w:customStyle="1" w:styleId="1126">
    <w:name w:val="样式 表格01 + Char"/>
    <w:link w:val="1127"/>
    <w:qFormat/>
    <w:uiPriority w:val="0"/>
    <w:rPr>
      <w:rFonts w:ascii="楷体_GB2312" w:eastAsia="楷体_GB2312"/>
      <w:sz w:val="21"/>
      <w:szCs w:val="21"/>
    </w:rPr>
  </w:style>
  <w:style w:type="paragraph" w:customStyle="1" w:styleId="1127">
    <w:name w:val="样式 表格01 +"/>
    <w:basedOn w:val="1128"/>
    <w:link w:val="1126"/>
    <w:qFormat/>
    <w:uiPriority w:val="0"/>
    <w:rPr>
      <w:kern w:val="0"/>
    </w:rPr>
  </w:style>
  <w:style w:type="paragraph" w:customStyle="1" w:styleId="1128">
    <w:name w:val="表格01"/>
    <w:basedOn w:val="1"/>
    <w:link w:val="1129"/>
    <w:qFormat/>
    <w:uiPriority w:val="0"/>
    <w:pPr>
      <w:spacing w:line="0" w:lineRule="atLeast"/>
      <w:ind w:firstLine="0" w:firstLineChars="0"/>
      <w:jc w:val="center"/>
    </w:pPr>
    <w:rPr>
      <w:rFonts w:ascii="楷体_GB2312" w:eastAsia="楷体_GB2312"/>
      <w:sz w:val="21"/>
      <w:szCs w:val="21"/>
    </w:rPr>
  </w:style>
  <w:style w:type="character" w:customStyle="1" w:styleId="1129">
    <w:name w:val="表格01 Char"/>
    <w:link w:val="1128"/>
    <w:qFormat/>
    <w:uiPriority w:val="0"/>
    <w:rPr>
      <w:rFonts w:ascii="楷体_GB2312" w:eastAsia="楷体_GB2312"/>
      <w:kern w:val="2"/>
      <w:sz w:val="21"/>
      <w:szCs w:val="21"/>
    </w:rPr>
  </w:style>
  <w:style w:type="character" w:customStyle="1" w:styleId="1130">
    <w:name w:val="干标题(a) Char"/>
    <w:qFormat/>
    <w:uiPriority w:val="0"/>
    <w:rPr>
      <w:rFonts w:ascii="Arial" w:hAnsi="Arial" w:eastAsia="黑体"/>
      <w:color w:val="000000"/>
      <w:kern w:val="2"/>
      <w:sz w:val="21"/>
      <w:szCs w:val="21"/>
    </w:rPr>
  </w:style>
  <w:style w:type="character" w:customStyle="1" w:styleId="1131">
    <w:name w:val="样式 标题 4 + (西文) Times New Roman (中文) 华文细黑 行距: 固定值 28 磅 Char"/>
    <w:link w:val="1132"/>
    <w:qFormat/>
    <w:uiPriority w:val="0"/>
    <w:rPr>
      <w:rFonts w:ascii="Cambria" w:hAnsi="Cambria" w:eastAsia="仿宋_GB2312"/>
      <w:b/>
      <w:bCs/>
      <w:kern w:val="2"/>
      <w:sz w:val="28"/>
      <w:szCs w:val="28"/>
    </w:rPr>
  </w:style>
  <w:style w:type="paragraph" w:customStyle="1" w:styleId="1132">
    <w:name w:val="样式 标题 4 + (西文) Times New Roman (中文) 华文细黑 行距: 固定值 28 磅"/>
    <w:basedOn w:val="8"/>
    <w:next w:val="1"/>
    <w:link w:val="1131"/>
    <w:qFormat/>
    <w:uiPriority w:val="0"/>
    <w:pPr>
      <w:keepNext w:val="0"/>
      <w:keepLines w:val="0"/>
      <w:spacing w:before="0" w:after="0" w:line="560" w:lineRule="exact"/>
      <w:ind w:firstLine="420" w:firstLineChars="0"/>
      <w:jc w:val="center"/>
    </w:pPr>
    <w:rPr>
      <w:rFonts w:eastAsia="仿宋_GB2312"/>
    </w:rPr>
  </w:style>
  <w:style w:type="character" w:customStyle="1" w:styleId="1133">
    <w:name w:val="标题 1 字符2"/>
    <w:qFormat/>
    <w:uiPriority w:val="9"/>
    <w:rPr>
      <w:rFonts w:ascii="黑体" w:hAnsi="黑体" w:eastAsia="黑体"/>
      <w:bCs/>
      <w:kern w:val="44"/>
      <w:sz w:val="36"/>
      <w:szCs w:val="36"/>
    </w:rPr>
  </w:style>
  <w:style w:type="character" w:customStyle="1" w:styleId="1134">
    <w:name w:val="标题 1 Char2"/>
    <w:qFormat/>
    <w:uiPriority w:val="0"/>
    <w:rPr>
      <w:rFonts w:ascii="Arial" w:hAnsi="Arial" w:eastAsia="黑体"/>
      <w:b/>
      <w:color w:val="auto"/>
      <w:kern w:val="44"/>
      <w:sz w:val="32"/>
    </w:rPr>
  </w:style>
  <w:style w:type="character" w:customStyle="1" w:styleId="1135">
    <w:name w:val="标题 7 字符1"/>
    <w:qFormat/>
    <w:uiPriority w:val="0"/>
    <w:rPr>
      <w:rFonts w:ascii="仿宋_GB2312" w:eastAsia="仿宋_GB2312"/>
      <w:b/>
      <w:bCs/>
      <w:sz w:val="24"/>
      <w:szCs w:val="24"/>
    </w:rPr>
  </w:style>
  <w:style w:type="character" w:customStyle="1" w:styleId="1136">
    <w:name w:val="正文文本首行缩进 2 字符1"/>
    <w:qFormat/>
    <w:uiPriority w:val="0"/>
    <w:rPr>
      <w:kern w:val="2"/>
      <w:sz w:val="21"/>
    </w:rPr>
  </w:style>
  <w:style w:type="character" w:customStyle="1" w:styleId="1137">
    <w:name w:val="标题 2 Char2"/>
    <w:qFormat/>
    <w:uiPriority w:val="0"/>
    <w:rPr>
      <w:rFonts w:ascii="Arial" w:hAnsi="Arial" w:eastAsia="黑体"/>
      <w:snapToGrid/>
      <w:sz w:val="32"/>
      <w:lang w:val="en-US" w:eastAsia="zh-CN" w:bidi="ar-SA"/>
    </w:rPr>
  </w:style>
  <w:style w:type="character" w:customStyle="1" w:styleId="1138">
    <w:name w:val="正  文 Char"/>
    <w:link w:val="1139"/>
    <w:qFormat/>
    <w:uiPriority w:val="0"/>
    <w:rPr>
      <w:rFonts w:eastAsia="仿宋_GB2312"/>
      <w:sz w:val="28"/>
      <w:szCs w:val="28"/>
    </w:rPr>
  </w:style>
  <w:style w:type="paragraph" w:customStyle="1" w:styleId="1139">
    <w:name w:val="正  文"/>
    <w:basedOn w:val="1"/>
    <w:link w:val="1138"/>
    <w:qFormat/>
    <w:uiPriority w:val="0"/>
    <w:pPr>
      <w:spacing w:line="240" w:lineRule="auto"/>
      <w:textAlignment w:val="baseline"/>
    </w:pPr>
    <w:rPr>
      <w:rFonts w:ascii="Times New Roman"/>
      <w:kern w:val="0"/>
    </w:rPr>
  </w:style>
  <w:style w:type="character" w:customStyle="1" w:styleId="1140">
    <w:name w:val="标准正文格式 Char Char Char Char"/>
    <w:qFormat/>
    <w:uiPriority w:val="0"/>
    <w:rPr>
      <w:rFonts w:eastAsia="宋体"/>
      <w:sz w:val="24"/>
      <w:szCs w:val="24"/>
      <w:lang w:val="en-US" w:eastAsia="zh-CN" w:bidi="ar-SA"/>
    </w:rPr>
  </w:style>
  <w:style w:type="character" w:customStyle="1" w:styleId="1141">
    <w:name w:val="签名 字符1"/>
    <w:qFormat/>
    <w:uiPriority w:val="0"/>
    <w:rPr>
      <w:kern w:val="2"/>
      <w:sz w:val="24"/>
    </w:rPr>
  </w:style>
  <w:style w:type="character" w:customStyle="1" w:styleId="1142">
    <w:name w:val="标准正文格式 Char1"/>
    <w:qFormat/>
    <w:uiPriority w:val="0"/>
    <w:rPr>
      <w:rFonts w:eastAsia="宋体"/>
      <w:color w:val="000000"/>
      <w:spacing w:val="15"/>
      <w:sz w:val="24"/>
      <w:szCs w:val="24"/>
      <w:lang w:val="en-US" w:eastAsia="zh-CN" w:bidi="ar-SA"/>
    </w:rPr>
  </w:style>
  <w:style w:type="character" w:customStyle="1" w:styleId="1143">
    <w:name w:val="Char Char15"/>
    <w:qFormat/>
    <w:locked/>
    <w:uiPriority w:val="0"/>
    <w:rPr>
      <w:rFonts w:ascii="Arial" w:hAnsi="Arial" w:eastAsia="黑体"/>
      <w:kern w:val="2"/>
      <w:sz w:val="24"/>
      <w:szCs w:val="24"/>
      <w:lang w:val="en-US" w:eastAsia="zh-CN" w:bidi="ar-SA"/>
    </w:rPr>
  </w:style>
  <w:style w:type="character" w:customStyle="1" w:styleId="1144">
    <w:name w:val="信息标题 字符1"/>
    <w:qFormat/>
    <w:uiPriority w:val="0"/>
    <w:rPr>
      <w:rFonts w:ascii="Arial" w:hAnsi="Arial" w:cs="Arial"/>
      <w:kern w:val="2"/>
      <w:sz w:val="24"/>
      <w:szCs w:val="24"/>
      <w:shd w:val="pct20" w:color="auto" w:fill="auto"/>
    </w:rPr>
  </w:style>
  <w:style w:type="character" w:customStyle="1" w:styleId="1145">
    <w:name w:val="Char Char46"/>
    <w:qFormat/>
    <w:uiPriority w:val="0"/>
    <w:rPr>
      <w:rFonts w:ascii="Arial" w:hAnsi="Arial" w:eastAsia="黑体"/>
      <w:b/>
      <w:bCs/>
      <w:kern w:val="2"/>
      <w:sz w:val="32"/>
      <w:szCs w:val="32"/>
      <w:lang w:val="en-US" w:eastAsia="zh-CN" w:bidi="ar-SA"/>
    </w:rPr>
  </w:style>
  <w:style w:type="character" w:customStyle="1" w:styleId="1146">
    <w:name w:val="标题 4 字符"/>
    <w:qFormat/>
    <w:uiPriority w:val="0"/>
    <w:rPr>
      <w:rFonts w:ascii="Arial" w:hAnsi="Arial" w:eastAsia="宋体" w:cs="Times New Roman"/>
      <w:bCs/>
      <w:sz w:val="28"/>
      <w:szCs w:val="28"/>
    </w:rPr>
  </w:style>
  <w:style w:type="character" w:customStyle="1" w:styleId="1147">
    <w:name w:val="Document Map Char"/>
    <w:semiHidden/>
    <w:qFormat/>
    <w:locked/>
    <w:uiPriority w:val="0"/>
    <w:rPr>
      <w:rFonts w:ascii="宋体" w:hAnsi="宋体" w:eastAsia="宋体"/>
      <w:color w:val="000000"/>
      <w:kern w:val="2"/>
      <w:sz w:val="21"/>
      <w:szCs w:val="21"/>
      <w:lang w:val="en-US" w:eastAsia="zh-CN" w:bidi="ar-SA"/>
    </w:rPr>
  </w:style>
  <w:style w:type="character" w:customStyle="1" w:styleId="1148">
    <w:name w:val="样式 样式 标题 3SottoparagrafoChar1 Char Char Char3h33rd levelH3l3...2... Char Char Char"/>
    <w:link w:val="1149"/>
    <w:qFormat/>
    <w:uiPriority w:val="0"/>
    <w:rPr>
      <w:rFonts w:ascii="Arial" w:hAnsi="Arial" w:eastAsia="方正小标宋_GBK" w:cs="Courier New"/>
      <w:bCs/>
      <w:sz w:val="28"/>
      <w:szCs w:val="21"/>
    </w:rPr>
  </w:style>
  <w:style w:type="paragraph" w:customStyle="1" w:styleId="1149">
    <w:name w:val="样式 样式 标题 3SottoparagrafoChar1 Char Char Char3h33rd levelH3l3...2... Char Char"/>
    <w:basedOn w:val="690"/>
    <w:link w:val="1148"/>
    <w:qFormat/>
    <w:uiPriority w:val="0"/>
  </w:style>
  <w:style w:type="character" w:customStyle="1" w:styleId="1150">
    <w:name w:val="结束语 字符1"/>
    <w:qFormat/>
    <w:uiPriority w:val="0"/>
    <w:rPr>
      <w:kern w:val="2"/>
      <w:sz w:val="24"/>
    </w:rPr>
  </w:style>
  <w:style w:type="character" w:customStyle="1" w:styleId="1151">
    <w:name w:val="纯文本 字符"/>
    <w:qFormat/>
    <w:uiPriority w:val="0"/>
    <w:rPr>
      <w:rFonts w:ascii="宋体" w:hAnsi="Courier New" w:eastAsia="宋体" w:cs="Times New Roman"/>
      <w:sz w:val="28"/>
      <w:szCs w:val="20"/>
    </w:rPr>
  </w:style>
  <w:style w:type="character" w:customStyle="1" w:styleId="1152">
    <w:name w:val="表文文 Char"/>
    <w:link w:val="1153"/>
    <w:qFormat/>
    <w:uiPriority w:val="0"/>
    <w:rPr>
      <w:snapToGrid/>
      <w:sz w:val="21"/>
    </w:rPr>
  </w:style>
  <w:style w:type="paragraph" w:customStyle="1" w:styleId="1153">
    <w:name w:val="表文文"/>
    <w:basedOn w:val="1"/>
    <w:link w:val="1152"/>
    <w:qFormat/>
    <w:uiPriority w:val="0"/>
    <w:pPr>
      <w:spacing w:line="320" w:lineRule="exact"/>
      <w:ind w:firstLine="0" w:firstLineChars="0"/>
      <w:jc w:val="center"/>
    </w:pPr>
    <w:rPr>
      <w:rFonts w:ascii="Times New Roman" w:eastAsia="宋体"/>
      <w:kern w:val="0"/>
      <w:sz w:val="21"/>
      <w:szCs w:val="20"/>
    </w:rPr>
  </w:style>
  <w:style w:type="character" w:customStyle="1" w:styleId="1154">
    <w:name w:val="样式5 Char1"/>
    <w:qFormat/>
    <w:uiPriority w:val="0"/>
    <w:rPr>
      <w:rFonts w:eastAsia="黑体"/>
      <w:color w:val="000000"/>
      <w:sz w:val="24"/>
      <w:szCs w:val="24"/>
      <w:lang w:val="en-US" w:eastAsia="zh-CN" w:bidi="ar-SA"/>
    </w:rPr>
  </w:style>
  <w:style w:type="character" w:customStyle="1" w:styleId="1155">
    <w:name w:val="段 Char"/>
    <w:link w:val="1156"/>
    <w:qFormat/>
    <w:uiPriority w:val="0"/>
    <w:rPr>
      <w:rFonts w:ascii="宋体"/>
      <w:sz w:val="21"/>
      <w:lang w:val="en-US" w:eastAsia="zh-CN" w:bidi="ar-SA"/>
    </w:rPr>
  </w:style>
  <w:style w:type="paragraph" w:customStyle="1" w:styleId="1156">
    <w:name w:val="段"/>
    <w:link w:val="1155"/>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character" w:customStyle="1" w:styleId="1157">
    <w:name w:val="标题1.1.1.1.1.1 Char"/>
    <w:qFormat/>
    <w:uiPriority w:val="0"/>
    <w:rPr>
      <w:rFonts w:ascii="Arial" w:hAnsi="Arial" w:eastAsia="黑体" w:cs="Times New Roman"/>
      <w:b/>
      <w:bCs/>
      <w:sz w:val="24"/>
      <w:szCs w:val="24"/>
    </w:rPr>
  </w:style>
  <w:style w:type="character" w:customStyle="1" w:styleId="1158">
    <w:name w:val="Char Char9"/>
    <w:qFormat/>
    <w:locked/>
    <w:uiPriority w:val="0"/>
    <w:rPr>
      <w:rFonts w:ascii="仿宋_GB2312" w:eastAsia="仿宋_GB2312"/>
      <w:kern w:val="2"/>
      <w:sz w:val="28"/>
      <w:szCs w:val="24"/>
      <w:lang w:val="en-US" w:eastAsia="zh-CN" w:bidi="ar-SA"/>
    </w:rPr>
  </w:style>
  <w:style w:type="character" w:customStyle="1" w:styleId="1159">
    <w:name w:val="_Style 1158"/>
    <w:qFormat/>
    <w:uiPriority w:val="31"/>
    <w:rPr>
      <w:smallCaps/>
      <w:color w:val="5A5A5A"/>
    </w:rPr>
  </w:style>
  <w:style w:type="character" w:customStyle="1" w:styleId="1160">
    <w:name w:val="表题 Char Char Char Char Char"/>
    <w:qFormat/>
    <w:uiPriority w:val="0"/>
    <w:rPr>
      <w:rFonts w:eastAsia="黑体"/>
      <w:kern w:val="2"/>
      <w:sz w:val="24"/>
      <w:szCs w:val="24"/>
      <w:lang w:val="en-US" w:eastAsia="zh-CN" w:bidi="ar-SA"/>
    </w:rPr>
  </w:style>
  <w:style w:type="character" w:customStyle="1" w:styleId="1161">
    <w:name w:val="标题 3 字符"/>
    <w:qFormat/>
    <w:uiPriority w:val="0"/>
    <w:rPr>
      <w:rFonts w:ascii="Arial" w:hAnsi="Arial" w:eastAsia="方正小标宋_GBK"/>
      <w:bCs/>
      <w:sz w:val="28"/>
      <w:szCs w:val="32"/>
    </w:rPr>
  </w:style>
  <w:style w:type="character" w:customStyle="1" w:styleId="1162">
    <w:name w:val="表头 Char Char Char"/>
    <w:link w:val="1163"/>
    <w:qFormat/>
    <w:uiPriority w:val="0"/>
    <w:rPr>
      <w:rFonts w:ascii="黑体" w:eastAsia="黑体"/>
      <w:kern w:val="2"/>
      <w:sz w:val="24"/>
      <w:szCs w:val="24"/>
    </w:rPr>
  </w:style>
  <w:style w:type="paragraph" w:customStyle="1" w:styleId="1163">
    <w:name w:val="表头 Char Char"/>
    <w:basedOn w:val="1"/>
    <w:link w:val="1162"/>
    <w:qFormat/>
    <w:uiPriority w:val="0"/>
    <w:pPr>
      <w:adjustRightInd w:val="0"/>
      <w:spacing w:after="60"/>
      <w:ind w:firstLine="100" w:firstLineChars="100"/>
    </w:pPr>
    <w:rPr>
      <w:rFonts w:ascii="黑体" w:eastAsia="黑体"/>
      <w:sz w:val="24"/>
      <w:szCs w:val="24"/>
    </w:rPr>
  </w:style>
  <w:style w:type="character" w:customStyle="1" w:styleId="1164">
    <w:name w:val="脚注文本 字符2"/>
    <w:qFormat/>
    <w:uiPriority w:val="0"/>
    <w:rPr>
      <w:rFonts w:eastAsia="华文中宋"/>
      <w:kern w:val="2"/>
      <w:sz w:val="18"/>
      <w:szCs w:val="18"/>
    </w:rPr>
  </w:style>
  <w:style w:type="character" w:customStyle="1" w:styleId="1165">
    <w:name w:val="正文文本 (2) + Candara"/>
    <w:qFormat/>
    <w:uiPriority w:val="0"/>
    <w:rPr>
      <w:rFonts w:ascii="Candara" w:hAnsi="Candara" w:eastAsia="MingLiU" w:cs="Candara"/>
      <w:spacing w:val="0"/>
      <w:sz w:val="15"/>
      <w:szCs w:val="15"/>
      <w:u w:val="none"/>
      <w:shd w:val="clear" w:color="auto" w:fill="FFFFFF"/>
      <w:lang w:val="en-US" w:eastAsia="en-US"/>
    </w:rPr>
  </w:style>
  <w:style w:type="character" w:customStyle="1" w:styleId="1166">
    <w:name w:val="正文2 Char"/>
    <w:link w:val="1167"/>
    <w:qFormat/>
    <w:uiPriority w:val="0"/>
    <w:rPr>
      <w:rFonts w:ascii="楷体_GB2312" w:eastAsia="楷体_GB2312"/>
      <w:kern w:val="2"/>
      <w:sz w:val="28"/>
      <w:szCs w:val="28"/>
    </w:rPr>
  </w:style>
  <w:style w:type="paragraph" w:customStyle="1" w:styleId="1167">
    <w:name w:val="正文2"/>
    <w:basedOn w:val="1"/>
    <w:link w:val="1166"/>
    <w:qFormat/>
    <w:uiPriority w:val="0"/>
    <w:rPr>
      <w:rFonts w:ascii="楷体_GB2312" w:eastAsia="楷体_GB2312"/>
    </w:rPr>
  </w:style>
  <w:style w:type="character" w:customStyle="1" w:styleId="1168">
    <w:name w:val="标准标题3格式 Char Char"/>
    <w:link w:val="1169"/>
    <w:qFormat/>
    <w:uiPriority w:val="0"/>
    <w:rPr>
      <w:rFonts w:ascii="宋体" w:hAnsi="宋体"/>
      <w:b/>
      <w:bCs/>
      <w:kern w:val="2"/>
      <w:sz w:val="28"/>
      <w:szCs w:val="28"/>
    </w:rPr>
  </w:style>
  <w:style w:type="paragraph" w:customStyle="1" w:styleId="1169">
    <w:name w:val="标准标题3格式 Char"/>
    <w:basedOn w:val="7"/>
    <w:next w:val="1"/>
    <w:link w:val="1168"/>
    <w:qFormat/>
    <w:uiPriority w:val="0"/>
    <w:pPr>
      <w:keepLines/>
      <w:tabs>
        <w:tab w:val="left" w:pos="720"/>
      </w:tabs>
      <w:spacing w:before="60" w:after="60" w:line="520" w:lineRule="exact"/>
      <w:outlineLvl w:val="9"/>
    </w:pPr>
    <w:rPr>
      <w:rFonts w:ascii="宋体" w:hAnsi="宋体" w:eastAsia="宋体"/>
      <w:b/>
    </w:rPr>
  </w:style>
  <w:style w:type="character" w:customStyle="1" w:styleId="1170">
    <w:name w:val="样式 样式 样式 首行缩进:  2 字符6 + 首行缩进:  2 字符 + 黑色 Char"/>
    <w:link w:val="1171"/>
    <w:qFormat/>
    <w:uiPriority w:val="0"/>
    <w:rPr>
      <w:rFonts w:ascii="仿宋_GB2312" w:eastAsia="仿宋_GB2312" w:cs="宋体"/>
      <w:color w:val="000000"/>
      <w:kern w:val="2"/>
      <w:sz w:val="28"/>
    </w:rPr>
  </w:style>
  <w:style w:type="paragraph" w:customStyle="1" w:styleId="1171">
    <w:name w:val="样式 样式 样式 首行缩进:  2 字符6 + 首行缩进:  2 字符 + 黑色"/>
    <w:basedOn w:val="578"/>
    <w:link w:val="1170"/>
    <w:qFormat/>
    <w:uiPriority w:val="0"/>
    <w:rPr>
      <w:color w:val="000000"/>
    </w:rPr>
  </w:style>
  <w:style w:type="character" w:customStyle="1" w:styleId="1172">
    <w:name w:val="样式 正文01 + 楷体_GB2312 首行缩进:  2 字符 Char"/>
    <w:link w:val="1173"/>
    <w:qFormat/>
    <w:uiPriority w:val="0"/>
    <w:rPr>
      <w:rFonts w:ascii="楷体_GB2312" w:eastAsia="楷体_GB2312" w:cs="宋体"/>
      <w:kern w:val="2"/>
      <w:sz w:val="28"/>
    </w:rPr>
  </w:style>
  <w:style w:type="paragraph" w:customStyle="1" w:styleId="1173">
    <w:name w:val="样式 正文01 + 楷体_GB2312 首行缩进:  2 字符"/>
    <w:basedOn w:val="661"/>
    <w:link w:val="1172"/>
    <w:qFormat/>
    <w:uiPriority w:val="0"/>
    <w:rPr>
      <w:rFonts w:ascii="楷体_GB2312" w:eastAsia="楷体_GB2312"/>
    </w:rPr>
  </w:style>
  <w:style w:type="character" w:customStyle="1" w:styleId="1174">
    <w:name w:val="表格 Char1"/>
    <w:qFormat/>
    <w:uiPriority w:val="0"/>
    <w:rPr>
      <w:rFonts w:ascii="楷体_GB2312" w:hAnsi="宋体" w:eastAsia="楷体_GB2312"/>
      <w:sz w:val="21"/>
      <w:szCs w:val="21"/>
      <w:lang w:val="en-US" w:eastAsia="zh-CN" w:bidi="ar-SA"/>
    </w:rPr>
  </w:style>
  <w:style w:type="character" w:customStyle="1" w:styleId="1175">
    <w:name w:val="Char Char47"/>
    <w:qFormat/>
    <w:uiPriority w:val="0"/>
    <w:rPr>
      <w:rFonts w:ascii="黑体" w:hAnsi="Arial" w:eastAsia="黑体" w:cs="黑体"/>
      <w:sz w:val="36"/>
      <w:szCs w:val="36"/>
      <w:lang w:val="en-US" w:eastAsia="zh-CN" w:bidi="ar-SA"/>
    </w:rPr>
  </w:style>
  <w:style w:type="character" w:customStyle="1" w:styleId="1176">
    <w:name w:val="1.1 标题 2"/>
    <w:qFormat/>
    <w:uiPriority w:val="0"/>
    <w:rPr>
      <w:rFonts w:ascii="Arial" w:hAnsi="Arial" w:eastAsia="黑体"/>
      <w:snapToGrid/>
      <w:kern w:val="24"/>
      <w:sz w:val="32"/>
      <w:lang w:val="en-US" w:eastAsia="zh-CN" w:bidi="ar-SA"/>
    </w:rPr>
  </w:style>
  <w:style w:type="character" w:customStyle="1" w:styleId="1177">
    <w:name w:val="批注文字 Char3"/>
    <w:qFormat/>
    <w:uiPriority w:val="0"/>
    <w:rPr>
      <w:rFonts w:eastAsia="宋体"/>
      <w:kern w:val="2"/>
      <w:sz w:val="21"/>
      <w:szCs w:val="24"/>
      <w:lang w:val="en-US" w:eastAsia="zh-CN" w:bidi="ar-SA"/>
    </w:rPr>
  </w:style>
  <w:style w:type="character" w:customStyle="1" w:styleId="1178">
    <w:name w:val="样式 图名 Ln + 首行缩进:  0.99 厘米 Char"/>
    <w:link w:val="1179"/>
    <w:qFormat/>
    <w:uiPriority w:val="0"/>
    <w:rPr>
      <w:rFonts w:ascii="黑体" w:hAnsi="黑体" w:eastAsia="黑体" w:cs="宋体"/>
      <w:sz w:val="24"/>
    </w:rPr>
  </w:style>
  <w:style w:type="paragraph" w:customStyle="1" w:styleId="1179">
    <w:name w:val="样式 图名 Ln + 首行缩进:  0.99 厘米"/>
    <w:basedOn w:val="1"/>
    <w:link w:val="1178"/>
    <w:qFormat/>
    <w:uiPriority w:val="0"/>
    <w:pPr>
      <w:spacing w:line="240" w:lineRule="auto"/>
      <w:ind w:firstLine="0" w:firstLineChars="0"/>
      <w:jc w:val="center"/>
      <w:outlineLvl w:val="7"/>
    </w:pPr>
    <w:rPr>
      <w:rFonts w:ascii="黑体" w:hAnsi="黑体" w:eastAsia="黑体"/>
      <w:kern w:val="0"/>
      <w:sz w:val="24"/>
      <w:szCs w:val="20"/>
    </w:rPr>
  </w:style>
  <w:style w:type="character" w:customStyle="1" w:styleId="1180">
    <w:name w:val="单位（石） Char Char"/>
    <w:link w:val="1181"/>
    <w:qFormat/>
    <w:uiPriority w:val="0"/>
    <w:rPr>
      <w:kern w:val="2"/>
      <w:sz w:val="21"/>
      <w:szCs w:val="24"/>
      <w:lang w:val="en-US" w:eastAsia="zh-CN" w:bidi="ar-SA"/>
    </w:rPr>
  </w:style>
  <w:style w:type="paragraph" w:customStyle="1" w:styleId="1181">
    <w:name w:val="单位（石）"/>
    <w:next w:val="87"/>
    <w:link w:val="1180"/>
    <w:qFormat/>
    <w:uiPriority w:val="0"/>
    <w:pPr>
      <w:keepNext/>
      <w:adjustRightInd w:val="0"/>
      <w:snapToGrid w:val="0"/>
      <w:spacing w:line="360" w:lineRule="auto"/>
      <w:ind w:right="50" w:rightChars="50"/>
      <w:jc w:val="right"/>
    </w:pPr>
    <w:rPr>
      <w:rFonts w:ascii="Times New Roman" w:hAnsi="Times New Roman" w:eastAsia="宋体" w:cs="Times New Roman"/>
      <w:kern w:val="2"/>
      <w:sz w:val="21"/>
      <w:szCs w:val="24"/>
      <w:lang w:val="en-US" w:eastAsia="zh-CN" w:bidi="ar-SA"/>
    </w:rPr>
  </w:style>
  <w:style w:type="character" w:customStyle="1" w:styleId="1182">
    <w:name w:val="表hy Char Char"/>
    <w:link w:val="1183"/>
    <w:qFormat/>
    <w:uiPriority w:val="0"/>
    <w:rPr>
      <w:rFonts w:ascii="楷体_GB2312" w:hAnsi="宋体" w:eastAsia="楷体_GB2312"/>
      <w:snapToGrid/>
      <w:color w:val="000000"/>
      <w:sz w:val="21"/>
      <w:szCs w:val="18"/>
    </w:rPr>
  </w:style>
  <w:style w:type="paragraph" w:customStyle="1" w:styleId="1183">
    <w:name w:val="表hy"/>
    <w:basedOn w:val="1"/>
    <w:link w:val="1182"/>
    <w:qFormat/>
    <w:uiPriority w:val="0"/>
    <w:pPr>
      <w:widowControl/>
      <w:adjustRightInd w:val="0"/>
      <w:snapToGrid w:val="0"/>
      <w:spacing w:line="0" w:lineRule="atLeast"/>
      <w:ind w:firstLine="0" w:firstLineChars="0"/>
      <w:jc w:val="center"/>
    </w:pPr>
    <w:rPr>
      <w:rFonts w:ascii="楷体_GB2312" w:hAnsi="宋体" w:eastAsia="楷体_GB2312"/>
      <w:color w:val="000000"/>
      <w:kern w:val="0"/>
      <w:sz w:val="21"/>
      <w:szCs w:val="18"/>
    </w:rPr>
  </w:style>
  <w:style w:type="character" w:customStyle="1" w:styleId="1184">
    <w:name w:val="表格NN Char"/>
    <w:link w:val="1185"/>
    <w:qFormat/>
    <w:uiPriority w:val="0"/>
    <w:rPr>
      <w:rFonts w:ascii="黑体" w:hAnsi="黑体" w:eastAsia="楷体_GB2312" w:cs="宋体"/>
      <w:sz w:val="21"/>
      <w:szCs w:val="21"/>
    </w:rPr>
  </w:style>
  <w:style w:type="paragraph" w:customStyle="1" w:styleId="1185">
    <w:name w:val="表格NN"/>
    <w:basedOn w:val="1179"/>
    <w:link w:val="1184"/>
    <w:qFormat/>
    <w:uiPriority w:val="0"/>
    <w:pPr>
      <w:spacing w:line="0" w:lineRule="atLeast"/>
      <w:outlineLvl w:val="9"/>
    </w:pPr>
    <w:rPr>
      <w:rFonts w:eastAsia="楷体_GB2312"/>
      <w:sz w:val="21"/>
      <w:szCs w:val="21"/>
    </w:rPr>
  </w:style>
  <w:style w:type="character" w:customStyle="1" w:styleId="1186">
    <w:name w:val="样式 样式 样式 行距: 固定值 22 磅 + 首行缩进:  2 字符 + 首行缩进:  2 字符 Char Char"/>
    <w:qFormat/>
    <w:uiPriority w:val="0"/>
    <w:rPr>
      <w:rFonts w:eastAsia="华文中宋" w:cs="宋体"/>
      <w:kern w:val="2"/>
      <w:sz w:val="24"/>
      <w:lang w:val="en-US" w:eastAsia="zh-CN" w:bidi="ar-SA"/>
    </w:rPr>
  </w:style>
  <w:style w:type="character" w:customStyle="1" w:styleId="1187">
    <w:name w:val="样式 样式 样式4 + 黑色 + 自动设置 Char"/>
    <w:qFormat/>
    <w:uiPriority w:val="0"/>
    <w:rPr>
      <w:rFonts w:eastAsia="华文中宋"/>
      <w:color w:val="000000"/>
      <w:kern w:val="2"/>
      <w:sz w:val="24"/>
      <w:szCs w:val="24"/>
      <w:lang w:val="en-US" w:eastAsia="zh-CN"/>
    </w:rPr>
  </w:style>
  <w:style w:type="character" w:customStyle="1" w:styleId="1188">
    <w:name w:val="图名 Char Char Char"/>
    <w:qFormat/>
    <w:uiPriority w:val="0"/>
    <w:rPr>
      <w:rFonts w:eastAsia="黑体"/>
      <w:kern w:val="2"/>
      <w:sz w:val="24"/>
      <w:szCs w:val="24"/>
      <w:lang w:val="en-US" w:eastAsia="zh-CN" w:bidi="ar-SA"/>
    </w:rPr>
  </w:style>
  <w:style w:type="character" w:customStyle="1" w:styleId="1189">
    <w:name w:val="样式 首行缩进:  2 字符2 Char Char1"/>
    <w:qFormat/>
    <w:uiPriority w:val="0"/>
    <w:rPr>
      <w:rFonts w:ascii="仿宋_GB2312" w:eastAsia="仿宋_GB2312" w:cs="宋体"/>
      <w:kern w:val="2"/>
      <w:sz w:val="28"/>
      <w:lang w:val="en-US" w:eastAsia="zh-CN" w:bidi="ar-SA"/>
    </w:rPr>
  </w:style>
  <w:style w:type="character" w:customStyle="1" w:styleId="1190">
    <w:name w:val="标题 2 字符"/>
    <w:qFormat/>
    <w:uiPriority w:val="0"/>
    <w:rPr>
      <w:rFonts w:ascii="Arial" w:hAnsi="Arial" w:eastAsia="黑体" w:cs="Times New Roman"/>
      <w:bCs/>
      <w:sz w:val="32"/>
      <w:szCs w:val="32"/>
    </w:rPr>
  </w:style>
  <w:style w:type="character" w:customStyle="1" w:styleId="1191">
    <w:name w:val="Char Char10"/>
    <w:qFormat/>
    <w:locked/>
    <w:uiPriority w:val="0"/>
    <w:rPr>
      <w:rFonts w:ascii="仿宋_GB2312" w:eastAsia="仿宋_GB2312"/>
      <w:kern w:val="2"/>
      <w:sz w:val="18"/>
      <w:szCs w:val="18"/>
      <w:lang w:val="en-US" w:eastAsia="zh-CN" w:bidi="ar-SA"/>
    </w:rPr>
  </w:style>
  <w:style w:type="character" w:customStyle="1" w:styleId="1192">
    <w:name w:val="日期 字符2"/>
    <w:qFormat/>
    <w:uiPriority w:val="0"/>
    <w:rPr>
      <w:kern w:val="2"/>
      <w:sz w:val="21"/>
      <w:szCs w:val="24"/>
    </w:rPr>
  </w:style>
  <w:style w:type="character" w:customStyle="1" w:styleId="1193">
    <w:name w:val="正  文 Char Char Char Char1"/>
    <w:link w:val="1194"/>
    <w:qFormat/>
    <w:uiPriority w:val="0"/>
    <w:rPr>
      <w:rFonts w:eastAsia="仿宋_GB2312"/>
      <w:sz w:val="28"/>
      <w:szCs w:val="28"/>
    </w:rPr>
  </w:style>
  <w:style w:type="paragraph" w:customStyle="1" w:styleId="1194">
    <w:name w:val="正  文 Char Char Char"/>
    <w:basedOn w:val="1"/>
    <w:link w:val="1193"/>
    <w:qFormat/>
    <w:uiPriority w:val="0"/>
    <w:pPr>
      <w:spacing w:line="240" w:lineRule="auto"/>
      <w:textAlignment w:val="baseline"/>
    </w:pPr>
    <w:rPr>
      <w:rFonts w:ascii="Times New Roman"/>
      <w:kern w:val="0"/>
    </w:rPr>
  </w:style>
  <w:style w:type="character" w:customStyle="1" w:styleId="1195">
    <w:name w:val="页眉 Char2"/>
    <w:qFormat/>
    <w:uiPriority w:val="0"/>
    <w:rPr>
      <w:kern w:val="2"/>
      <w:sz w:val="18"/>
      <w:szCs w:val="18"/>
    </w:rPr>
  </w:style>
  <w:style w:type="character" w:customStyle="1" w:styleId="1196">
    <w:name w:val="样式75 Char"/>
    <w:link w:val="1197"/>
    <w:qFormat/>
    <w:uiPriority w:val="0"/>
    <w:rPr>
      <w:rFonts w:ascii="宋体" w:hAnsi="宋体" w:eastAsia="仿宋_GB2312"/>
      <w:sz w:val="28"/>
      <w:szCs w:val="28"/>
    </w:rPr>
  </w:style>
  <w:style w:type="paragraph" w:customStyle="1" w:styleId="1197">
    <w:name w:val="样式75"/>
    <w:basedOn w:val="1"/>
    <w:link w:val="1196"/>
    <w:qFormat/>
    <w:uiPriority w:val="0"/>
    <w:pPr>
      <w:adjustRightInd w:val="0"/>
      <w:snapToGrid w:val="0"/>
      <w:spacing w:line="353" w:lineRule="auto"/>
    </w:pPr>
    <w:rPr>
      <w:rFonts w:ascii="宋体" w:hAnsi="宋体"/>
      <w:kern w:val="0"/>
    </w:rPr>
  </w:style>
  <w:style w:type="character" w:customStyle="1" w:styleId="1198">
    <w:name w:val="副标题 字符"/>
    <w:qFormat/>
    <w:uiPriority w:val="0"/>
    <w:rPr>
      <w:rFonts w:ascii="Cambria" w:hAnsi="Cambria" w:eastAsia="宋体" w:cs="Times New Roman"/>
      <w:b/>
      <w:bCs/>
      <w:kern w:val="28"/>
      <w:sz w:val="32"/>
      <w:szCs w:val="32"/>
    </w:rPr>
  </w:style>
  <w:style w:type="character" w:customStyle="1" w:styleId="1199">
    <w:name w:val="表名 Char Char Char2"/>
    <w:qFormat/>
    <w:uiPriority w:val="0"/>
    <w:rPr>
      <w:rFonts w:ascii="黑体" w:eastAsia="黑体"/>
      <w:sz w:val="24"/>
      <w:szCs w:val="27"/>
      <w:lang w:val="zh-CN" w:eastAsia="zh-CN" w:bidi="ar-SA"/>
    </w:rPr>
  </w:style>
  <w:style w:type="character" w:customStyle="1" w:styleId="1200">
    <w:name w:val="样式 样式 首行缩进:  2 字符2 + 首行缩进:  2 字符1 Char"/>
    <w:link w:val="1201"/>
    <w:semiHidden/>
    <w:qFormat/>
    <w:uiPriority w:val="0"/>
    <w:rPr>
      <w:rFonts w:ascii="仿宋_GB2312" w:eastAsia="仿宋_GB2312" w:cs="宋体"/>
      <w:kern w:val="2"/>
      <w:sz w:val="28"/>
    </w:rPr>
  </w:style>
  <w:style w:type="paragraph" w:customStyle="1" w:styleId="1201">
    <w:name w:val="样式 样式 首行缩进:  2 字符2 + 首行缩进:  2 字符1"/>
    <w:basedOn w:val="457"/>
    <w:link w:val="1200"/>
    <w:semiHidden/>
    <w:qFormat/>
    <w:uiPriority w:val="0"/>
    <w:pPr>
      <w:spacing w:line="560" w:lineRule="exact"/>
      <w:ind w:firstLine="200"/>
      <w:jc w:val="both"/>
    </w:pPr>
    <w:rPr>
      <w:rFonts w:ascii="仿宋_GB2312" w:eastAsia="仿宋_GB2312"/>
      <w:sz w:val="28"/>
    </w:rPr>
  </w:style>
  <w:style w:type="character" w:customStyle="1" w:styleId="1202">
    <w:name w:val="样式 字距调整四号"/>
    <w:qFormat/>
    <w:uiPriority w:val="0"/>
    <w:rPr>
      <w:rFonts w:eastAsia="宋体"/>
      <w:kern w:val="28"/>
      <w:sz w:val="28"/>
      <w:szCs w:val="28"/>
    </w:rPr>
  </w:style>
  <w:style w:type="character" w:customStyle="1" w:styleId="1203">
    <w:name w:val="样式 黑色 首行缩进:  2 字符 行距: 固定值 23 磅 Char"/>
    <w:qFormat/>
    <w:uiPriority w:val="0"/>
    <w:rPr>
      <w:rFonts w:eastAsia="宋体" w:cs="宋体"/>
      <w:color w:val="000000"/>
      <w:kern w:val="2"/>
      <w:sz w:val="24"/>
      <w:lang w:val="en-US" w:eastAsia="zh-CN" w:bidi="ar-SA"/>
    </w:rPr>
  </w:style>
  <w:style w:type="character" w:customStyle="1" w:styleId="1204">
    <w:name w:val="Char Char36"/>
    <w:qFormat/>
    <w:uiPriority w:val="0"/>
    <w:rPr>
      <w:rFonts w:ascii="仿宋_GB2312" w:eastAsia="仿宋_GB2312"/>
      <w:kern w:val="2"/>
      <w:sz w:val="28"/>
      <w:szCs w:val="24"/>
      <w:lang w:val="en-US" w:eastAsia="zh-CN" w:bidi="ar-SA"/>
    </w:rPr>
  </w:style>
  <w:style w:type="character" w:customStyle="1" w:styleId="1205">
    <w:name w:val="页脚2 Char Char1"/>
    <w:qFormat/>
    <w:uiPriority w:val="0"/>
    <w:rPr>
      <w:kern w:val="2"/>
      <w:sz w:val="18"/>
      <w:szCs w:val="18"/>
    </w:rPr>
  </w:style>
  <w:style w:type="character" w:customStyle="1" w:styleId="1206">
    <w:name w:val="正文文字缩进 3 Char Char Char Char Char Char Char Char Char Char Char Char Char Char Char Char Char Char Char Char Char Char Char Char Char Char Char Char Char Char Char Char Char Char Char Char Char Char"/>
    <w:semiHidden/>
    <w:qFormat/>
    <w:uiPriority w:val="0"/>
    <w:rPr>
      <w:rFonts w:ascii="仿宋_GB2312" w:eastAsia="仿宋_GB2312"/>
      <w:kern w:val="2"/>
      <w:sz w:val="28"/>
      <w:szCs w:val="24"/>
      <w:lang w:val="en-US" w:eastAsia="zh-CN" w:bidi="ar-SA"/>
    </w:rPr>
  </w:style>
  <w:style w:type="character" w:customStyle="1" w:styleId="1207">
    <w:name w:val="viewcount2"/>
    <w:qFormat/>
    <w:uiPriority w:val="0"/>
  </w:style>
  <w:style w:type="character" w:customStyle="1" w:styleId="1208">
    <w:name w:val="aa院正文 Char Char"/>
    <w:link w:val="1209"/>
    <w:qFormat/>
    <w:uiPriority w:val="0"/>
    <w:rPr>
      <w:rFonts w:eastAsia="仿宋_GB2312"/>
      <w:sz w:val="24"/>
      <w:szCs w:val="28"/>
    </w:rPr>
  </w:style>
  <w:style w:type="paragraph" w:customStyle="1" w:styleId="1209">
    <w:name w:val="aa院正文"/>
    <w:basedOn w:val="1"/>
    <w:link w:val="1208"/>
    <w:qFormat/>
    <w:uiPriority w:val="0"/>
    <w:pPr>
      <w:topLinePunct/>
      <w:spacing w:line="480" w:lineRule="exact"/>
    </w:pPr>
    <w:rPr>
      <w:rFonts w:ascii="Times New Roman"/>
      <w:kern w:val="0"/>
      <w:sz w:val="24"/>
    </w:rPr>
  </w:style>
  <w:style w:type="character" w:customStyle="1" w:styleId="1210">
    <w:name w:val="正文文本 Char3"/>
    <w:qFormat/>
    <w:uiPriority w:val="0"/>
    <w:rPr>
      <w:rFonts w:ascii="仿宋_GB2312" w:hAnsi="Times New Roman" w:eastAsia="仿宋_GB2312"/>
      <w:sz w:val="28"/>
      <w:szCs w:val="28"/>
    </w:rPr>
  </w:style>
  <w:style w:type="character" w:customStyle="1" w:styleId="1211">
    <w:name w:val="标题 8 字符2"/>
    <w:qFormat/>
    <w:uiPriority w:val="0"/>
    <w:rPr>
      <w:rFonts w:ascii="Arial" w:hAnsi="Arial" w:eastAsia="黑体"/>
      <w:sz w:val="24"/>
      <w:szCs w:val="24"/>
    </w:rPr>
  </w:style>
  <w:style w:type="character" w:customStyle="1" w:styleId="1212">
    <w:name w:val="标准正文格式 Char Char Char Char Char1"/>
    <w:qFormat/>
    <w:uiPriority w:val="0"/>
    <w:rPr>
      <w:rFonts w:eastAsia="宋体"/>
      <w:sz w:val="24"/>
      <w:szCs w:val="24"/>
      <w:lang w:val="en-US" w:eastAsia="zh-CN" w:bidi="ar-SA"/>
    </w:rPr>
  </w:style>
  <w:style w:type="character" w:customStyle="1" w:styleId="1213">
    <w:name w:val="注释标题 字符"/>
    <w:qFormat/>
    <w:uiPriority w:val="0"/>
    <w:rPr>
      <w:rFonts w:ascii="Times New Roman" w:hAnsi="Times New Roman" w:eastAsia="宋体" w:cs="Times New Roman"/>
      <w:sz w:val="24"/>
      <w:szCs w:val="20"/>
    </w:rPr>
  </w:style>
  <w:style w:type="character" w:customStyle="1" w:styleId="1214">
    <w:name w:val="正文文字缩进 2 Char Char5"/>
    <w:semiHidden/>
    <w:qFormat/>
    <w:uiPriority w:val="0"/>
    <w:rPr>
      <w:rFonts w:ascii="仿宋_GB2312" w:hAnsi="Times New Roman" w:eastAsia="仿宋_GB2312" w:cs="Times New Roman"/>
      <w:bCs/>
      <w:sz w:val="28"/>
      <w:szCs w:val="24"/>
    </w:rPr>
  </w:style>
  <w:style w:type="character" w:customStyle="1" w:styleId="1215">
    <w:name w:val="样式 样式 Times New Roman 首行缩进:  2 字符1 + 首行缩进:  2 字符 Char"/>
    <w:link w:val="1216"/>
    <w:qFormat/>
    <w:uiPriority w:val="0"/>
    <w:rPr>
      <w:rFonts w:ascii="仿宋_GB2312" w:eastAsia="仿宋_GB2312" w:cs="宋体"/>
      <w:sz w:val="28"/>
    </w:rPr>
  </w:style>
  <w:style w:type="paragraph" w:customStyle="1" w:styleId="1216">
    <w:name w:val="样式 样式 Times New Roman 首行缩进:  2 字符1 + 首行缩进:  2 字符"/>
    <w:basedOn w:val="1"/>
    <w:link w:val="1215"/>
    <w:qFormat/>
    <w:uiPriority w:val="0"/>
    <w:pPr>
      <w:textAlignment w:val="baseline"/>
    </w:pPr>
    <w:rPr>
      <w:kern w:val="0"/>
      <w:szCs w:val="20"/>
    </w:rPr>
  </w:style>
  <w:style w:type="character" w:customStyle="1" w:styleId="1217">
    <w:name w:val="Char Char26"/>
    <w:qFormat/>
    <w:uiPriority w:val="0"/>
    <w:rPr>
      <w:rFonts w:ascii="宋体" w:hAnsi="宋体" w:eastAsia="楷体_GB2312" w:cs="Times New Roman"/>
      <w:b/>
      <w:bCs/>
      <w:sz w:val="28"/>
      <w:szCs w:val="32"/>
    </w:rPr>
  </w:style>
  <w:style w:type="character" w:customStyle="1" w:styleId="1218">
    <w:name w:val="单位 Char"/>
    <w:qFormat/>
    <w:uiPriority w:val="0"/>
    <w:rPr>
      <w:rFonts w:ascii="Times New Roman" w:hAnsi="Times New Roman" w:eastAsia="宋体" w:cs="Arial"/>
      <w:szCs w:val="24"/>
    </w:rPr>
  </w:style>
  <w:style w:type="character" w:customStyle="1" w:styleId="1219">
    <w:name w:val="样式34 Char"/>
    <w:link w:val="1220"/>
    <w:qFormat/>
    <w:uiPriority w:val="0"/>
    <w:rPr>
      <w:rFonts w:ascii="Arial" w:hAnsi="Arial" w:eastAsia="方正小标宋_GBK"/>
      <w:bCs/>
      <w:sz w:val="28"/>
      <w:szCs w:val="32"/>
    </w:rPr>
  </w:style>
  <w:style w:type="paragraph" w:customStyle="1" w:styleId="1220">
    <w:name w:val="样式34"/>
    <w:basedOn w:val="7"/>
    <w:link w:val="1219"/>
    <w:qFormat/>
    <w:uiPriority w:val="0"/>
    <w:pPr>
      <w:keepNext/>
      <w:keepLines/>
      <w:adjustRightInd w:val="0"/>
      <w:jc w:val="left"/>
      <w:textAlignment w:val="baseline"/>
    </w:pPr>
    <w:rPr>
      <w:rFonts w:ascii="Arial"/>
      <w:kern w:val="0"/>
      <w:szCs w:val="32"/>
    </w:rPr>
  </w:style>
  <w:style w:type="character" w:customStyle="1" w:styleId="1221">
    <w:name w:val="Char Char32"/>
    <w:qFormat/>
    <w:uiPriority w:val="0"/>
    <w:rPr>
      <w:rFonts w:ascii="仿宋_GB2312" w:eastAsia="仿宋_GB2312"/>
      <w:kern w:val="2"/>
      <w:sz w:val="16"/>
      <w:szCs w:val="16"/>
      <w:lang w:val="en-US" w:eastAsia="zh-CN" w:bidi="ar-SA"/>
    </w:rPr>
  </w:style>
  <w:style w:type="character" w:customStyle="1" w:styleId="1222">
    <w:name w:val="Char Char39"/>
    <w:qFormat/>
    <w:uiPriority w:val="0"/>
    <w:rPr>
      <w:rFonts w:ascii="仿宋_GB2312" w:eastAsia="仿宋_GB2312"/>
      <w:kern w:val="2"/>
      <w:sz w:val="28"/>
      <w:szCs w:val="24"/>
      <w:lang w:val="en-US" w:eastAsia="zh-CN" w:bidi="ar-SA"/>
    </w:rPr>
  </w:style>
  <w:style w:type="character" w:customStyle="1" w:styleId="1223">
    <w:name w:val="样式 标准正文格式 + 宋体 Char"/>
    <w:link w:val="1224"/>
    <w:qFormat/>
    <w:uiPriority w:val="0"/>
    <w:rPr>
      <w:rFonts w:ascii="宋体" w:hAnsi="宋体" w:cs="宋体"/>
      <w:bCs/>
      <w:smallCaps/>
      <w:color w:val="000000"/>
      <w:kern w:val="2"/>
      <w:sz w:val="24"/>
      <w:szCs w:val="24"/>
    </w:rPr>
  </w:style>
  <w:style w:type="paragraph" w:customStyle="1" w:styleId="1224">
    <w:name w:val="样式 标准正文格式 + 宋体"/>
    <w:basedOn w:val="1"/>
    <w:link w:val="1223"/>
    <w:qFormat/>
    <w:uiPriority w:val="0"/>
    <w:pPr>
      <w:spacing w:line="360" w:lineRule="auto"/>
      <w:ind w:firstLine="480"/>
      <w:jc w:val="left"/>
    </w:pPr>
    <w:rPr>
      <w:rFonts w:ascii="宋体" w:hAnsi="宋体" w:eastAsia="宋体"/>
      <w:bCs/>
      <w:smallCaps/>
      <w:color w:val="000000"/>
      <w:sz w:val="24"/>
      <w:szCs w:val="24"/>
    </w:rPr>
  </w:style>
  <w:style w:type="character" w:customStyle="1" w:styleId="1225">
    <w:name w:val="xjb表名 Char"/>
    <w:link w:val="1226"/>
    <w:qFormat/>
    <w:uiPriority w:val="0"/>
    <w:rPr>
      <w:rFonts w:ascii="黑体" w:hAnsi="Calibri" w:eastAsia="黑体"/>
      <w:kern w:val="44"/>
      <w:sz w:val="18"/>
      <w:szCs w:val="18"/>
      <w:lang w:val="zh-CN"/>
    </w:rPr>
  </w:style>
  <w:style w:type="paragraph" w:customStyle="1" w:styleId="1226">
    <w:name w:val="xjb表名"/>
    <w:basedOn w:val="1"/>
    <w:link w:val="1225"/>
    <w:qFormat/>
    <w:uiPriority w:val="0"/>
    <w:pPr>
      <w:spacing w:line="240" w:lineRule="exact"/>
      <w:ind w:firstLine="0" w:firstLineChars="0"/>
    </w:pPr>
    <w:rPr>
      <w:rFonts w:ascii="黑体" w:hAnsi="Calibri" w:eastAsia="黑体"/>
      <w:kern w:val="44"/>
      <w:sz w:val="18"/>
      <w:szCs w:val="18"/>
      <w:lang w:val="zh-CN"/>
    </w:rPr>
  </w:style>
  <w:style w:type="character" w:customStyle="1" w:styleId="1227">
    <w:name w:val="标题 字符"/>
    <w:qFormat/>
    <w:uiPriority w:val="0"/>
    <w:rPr>
      <w:rFonts w:ascii="Cambria" w:hAnsi="Cambria" w:eastAsia="宋体" w:cs="Times New Roman"/>
      <w:b/>
      <w:bCs/>
      <w:sz w:val="32"/>
      <w:szCs w:val="32"/>
    </w:rPr>
  </w:style>
  <w:style w:type="character" w:customStyle="1" w:styleId="1228">
    <w:name w:val="无间隔 字符"/>
    <w:qFormat/>
    <w:uiPriority w:val="1"/>
    <w:rPr>
      <w:rFonts w:ascii="Calibri" w:hAnsi="Calibri" w:eastAsia="宋体" w:cs="Times New Roman"/>
      <w:kern w:val="0"/>
      <w:sz w:val="22"/>
    </w:rPr>
  </w:style>
  <w:style w:type="character" w:customStyle="1" w:styleId="1229">
    <w:name w:val="纯文本 Char1"/>
    <w:qFormat/>
    <w:uiPriority w:val="0"/>
    <w:rPr>
      <w:rFonts w:ascii="宋体" w:hAnsi="Courier New" w:eastAsia="宋体" w:cs="Times New Roman"/>
      <w:sz w:val="28"/>
      <w:szCs w:val="20"/>
    </w:rPr>
  </w:style>
  <w:style w:type="character" w:customStyle="1" w:styleId="1230">
    <w:name w:val="图表标题 Char"/>
    <w:qFormat/>
    <w:uiPriority w:val="0"/>
    <w:rPr>
      <w:rFonts w:ascii="Times New Roman" w:hAnsi="Times New Roman" w:eastAsia="黑体" w:cs="Arial"/>
      <w:kern w:val="2"/>
      <w:sz w:val="28"/>
      <w:szCs w:val="28"/>
    </w:rPr>
  </w:style>
  <w:style w:type="character" w:customStyle="1" w:styleId="1231">
    <w:name w:val="表文字 Char"/>
    <w:qFormat/>
    <w:uiPriority w:val="0"/>
    <w:rPr>
      <w:rFonts w:eastAsia="宋体" w:cs="Arial"/>
      <w:snapToGrid w:val="0"/>
      <w:color w:val="000000"/>
      <w:kern w:val="2"/>
      <w:sz w:val="21"/>
      <w:szCs w:val="24"/>
      <w:lang w:val="en-US" w:eastAsia="zh-CN" w:bidi="ar-SA"/>
    </w:rPr>
  </w:style>
  <w:style w:type="character" w:customStyle="1" w:styleId="1232">
    <w:name w:val="正文+首行2 Char"/>
    <w:link w:val="1233"/>
    <w:qFormat/>
    <w:uiPriority w:val="0"/>
    <w:rPr>
      <w:rFonts w:ascii="宋体" w:hAnsi="宋体" w:cs="宋体"/>
      <w:kern w:val="28"/>
      <w:sz w:val="24"/>
      <w:szCs w:val="24"/>
    </w:rPr>
  </w:style>
  <w:style w:type="paragraph" w:customStyle="1" w:styleId="1233">
    <w:name w:val="正文+首行2"/>
    <w:basedOn w:val="86"/>
    <w:link w:val="1232"/>
    <w:qFormat/>
    <w:uiPriority w:val="0"/>
    <w:pPr>
      <w:spacing w:after="0"/>
      <w:ind w:firstLine="525" w:firstLineChars="200"/>
    </w:pPr>
    <w:rPr>
      <w:rFonts w:ascii="宋体" w:hAnsi="宋体"/>
      <w:kern w:val="28"/>
      <w:sz w:val="24"/>
    </w:rPr>
  </w:style>
  <w:style w:type="character" w:customStyle="1" w:styleId="1234">
    <w:name w:val="正文段落 Char"/>
    <w:qFormat/>
    <w:uiPriority w:val="0"/>
    <w:rPr>
      <w:rFonts w:ascii="宋体" w:hAnsi="宋体" w:eastAsia="宋体" w:cs="Arial"/>
      <w:bCs/>
      <w:kern w:val="2"/>
      <w:sz w:val="24"/>
      <w:szCs w:val="24"/>
      <w:lang w:val="en-US" w:eastAsia="zh-CN" w:bidi="ar-SA"/>
    </w:rPr>
  </w:style>
  <w:style w:type="character" w:customStyle="1" w:styleId="1235">
    <w:name w:val="Heading 9 Char"/>
    <w:qFormat/>
    <w:uiPriority w:val="0"/>
    <w:rPr>
      <w:rFonts w:ascii="Cambria" w:hAnsi="Cambria" w:eastAsia="宋体"/>
      <w:sz w:val="22"/>
      <w:szCs w:val="22"/>
      <w:lang w:val="en-US" w:eastAsia="en-US" w:bidi="ar-SA"/>
    </w:rPr>
  </w:style>
  <w:style w:type="character" w:customStyle="1" w:styleId="1236">
    <w:name w:val="正文文字缩进 2 Char Char Char Char1"/>
    <w:qFormat/>
    <w:uiPriority w:val="0"/>
    <w:rPr>
      <w:rFonts w:ascii="仿宋_GB2312" w:eastAsia="仿宋_GB2312"/>
      <w:bCs/>
      <w:kern w:val="2"/>
      <w:sz w:val="28"/>
      <w:szCs w:val="24"/>
      <w:lang w:val="en-US" w:eastAsia="zh-CN" w:bidi="ar-SA"/>
    </w:rPr>
  </w:style>
  <w:style w:type="character" w:customStyle="1" w:styleId="1237">
    <w:name w:val="报告插图 Char"/>
    <w:semiHidden/>
    <w:qFormat/>
    <w:uiPriority w:val="0"/>
    <w:rPr>
      <w:rFonts w:ascii="宋体" w:eastAsia="黑体"/>
      <w:bCs/>
      <w:spacing w:val="14"/>
      <w:kern w:val="2"/>
      <w:sz w:val="24"/>
      <w:szCs w:val="24"/>
      <w:lang w:val="en-US" w:eastAsia="zh-CN" w:bidi="ar-SA"/>
    </w:rPr>
  </w:style>
  <w:style w:type="character" w:customStyle="1" w:styleId="1238">
    <w:name w:val="Sottoparagrafo Char3"/>
    <w:qFormat/>
    <w:uiPriority w:val="0"/>
    <w:rPr>
      <w:rFonts w:ascii="Arial" w:hAnsi="Arial" w:eastAsia="方正小标宋_GBK"/>
      <w:bCs/>
      <w:kern w:val="2"/>
      <w:sz w:val="28"/>
      <w:szCs w:val="28"/>
      <w:lang w:val="en-US" w:eastAsia="zh-CN" w:bidi="ar-SA"/>
    </w:rPr>
  </w:style>
  <w:style w:type="character" w:customStyle="1" w:styleId="1239">
    <w:name w:val="Char Char251"/>
    <w:qFormat/>
    <w:uiPriority w:val="0"/>
    <w:rPr>
      <w:rFonts w:ascii="宋体" w:hAnsi="宋体" w:eastAsia="仿宋_GB2312" w:cs="Times New Roman"/>
      <w:b/>
      <w:bCs/>
      <w:sz w:val="28"/>
      <w:szCs w:val="28"/>
    </w:rPr>
  </w:style>
  <w:style w:type="character" w:customStyle="1" w:styleId="1240">
    <w:name w:val="样式 标题 1 + 四号 Char Char"/>
    <w:semiHidden/>
    <w:qFormat/>
    <w:uiPriority w:val="0"/>
    <w:rPr>
      <w:rFonts w:eastAsia="黑体"/>
      <w:b/>
      <w:bCs/>
      <w:kern w:val="44"/>
      <w:sz w:val="28"/>
      <w:szCs w:val="24"/>
      <w:lang w:val="en-US" w:eastAsia="zh-CN" w:bidi="ar-SA"/>
    </w:rPr>
  </w:style>
  <w:style w:type="character" w:customStyle="1" w:styleId="1241">
    <w:name w:val="报告插图 Char1"/>
    <w:semiHidden/>
    <w:qFormat/>
    <w:uiPriority w:val="0"/>
    <w:rPr>
      <w:rFonts w:eastAsia="黑体"/>
      <w:bCs/>
      <w:spacing w:val="14"/>
      <w:kern w:val="2"/>
      <w:sz w:val="24"/>
      <w:szCs w:val="24"/>
      <w:lang w:val="en-US" w:eastAsia="zh-CN" w:bidi="ar-SA"/>
    </w:rPr>
  </w:style>
  <w:style w:type="character" w:customStyle="1" w:styleId="1242">
    <w:name w:val="Footer Char"/>
    <w:semiHidden/>
    <w:qFormat/>
    <w:locked/>
    <w:uiPriority w:val="0"/>
    <w:rPr>
      <w:rFonts w:cs="Times New Roman"/>
      <w:sz w:val="18"/>
      <w:szCs w:val="18"/>
    </w:rPr>
  </w:style>
  <w:style w:type="character" w:customStyle="1" w:styleId="1243">
    <w:name w:val="正文首行缩进 2-y Char Char"/>
    <w:qFormat/>
    <w:uiPriority w:val="0"/>
  </w:style>
  <w:style w:type="character" w:customStyle="1" w:styleId="1244">
    <w:name w:val="l201"/>
    <w:qFormat/>
    <w:uiPriority w:val="0"/>
    <w:rPr>
      <w:spacing w:val="400"/>
    </w:rPr>
  </w:style>
  <w:style w:type="character" w:customStyle="1" w:styleId="1245">
    <w:name w:val="宏文本 Char2"/>
    <w:qFormat/>
    <w:uiPriority w:val="0"/>
    <w:rPr>
      <w:rFonts w:ascii="Courier New" w:hAnsi="Courier New"/>
      <w:color w:val="000000"/>
      <w:sz w:val="24"/>
      <w:szCs w:val="24"/>
      <w:u w:val="none" w:color="000000"/>
      <w:lang w:bidi="ar-SA"/>
    </w:rPr>
  </w:style>
  <w:style w:type="character" w:customStyle="1" w:styleId="1246">
    <w:name w:val="样式 样式 表名 + 首行缩进:  1 字符 + 首行缩进:  1 字符 Char"/>
    <w:link w:val="1247"/>
    <w:qFormat/>
    <w:uiPriority w:val="0"/>
    <w:rPr>
      <w:rFonts w:ascii="黑体" w:eastAsia="黑体" w:cs="宋体"/>
      <w:kern w:val="2"/>
      <w:sz w:val="24"/>
      <w:szCs w:val="24"/>
    </w:rPr>
  </w:style>
  <w:style w:type="paragraph" w:customStyle="1" w:styleId="1247">
    <w:name w:val="样式 样式 表名 + 首行缩进:  1 字符 + 首行缩进:  1 字符"/>
    <w:basedOn w:val="1"/>
    <w:link w:val="1246"/>
    <w:qFormat/>
    <w:uiPriority w:val="0"/>
    <w:pPr>
      <w:spacing w:after="60"/>
      <w:ind w:firstLine="100" w:firstLineChars="100"/>
    </w:pPr>
    <w:rPr>
      <w:rFonts w:ascii="黑体" w:eastAsia="黑体"/>
      <w:sz w:val="24"/>
      <w:szCs w:val="24"/>
    </w:rPr>
  </w:style>
  <w:style w:type="character" w:customStyle="1" w:styleId="1248">
    <w:name w:val="Sottoparagrafo Char2"/>
    <w:qFormat/>
    <w:uiPriority w:val="0"/>
    <w:rPr>
      <w:rFonts w:ascii="Arial" w:hAnsi="Arial" w:eastAsia="方正小标宋_GBK" w:cs="Courier New"/>
      <w:bCs/>
      <w:sz w:val="28"/>
      <w:szCs w:val="21"/>
      <w:lang w:val="en-US" w:eastAsia="zh-CN" w:bidi="ar-SA"/>
    </w:rPr>
  </w:style>
  <w:style w:type="character" w:customStyle="1" w:styleId="1249">
    <w:name w:val="正文样式 Char Char Char"/>
    <w:link w:val="1250"/>
    <w:semiHidden/>
    <w:qFormat/>
    <w:uiPriority w:val="0"/>
    <w:rPr>
      <w:rFonts w:ascii="Calibri" w:hAnsi="Calibri"/>
      <w:kern w:val="2"/>
      <w:sz w:val="24"/>
      <w:szCs w:val="24"/>
    </w:rPr>
  </w:style>
  <w:style w:type="paragraph" w:customStyle="1" w:styleId="1250">
    <w:name w:val="正文样式 Char Char"/>
    <w:basedOn w:val="86"/>
    <w:link w:val="1249"/>
    <w:semiHidden/>
    <w:qFormat/>
    <w:uiPriority w:val="0"/>
    <w:pPr>
      <w:topLinePunct/>
      <w:spacing w:after="0" w:line="300" w:lineRule="auto"/>
      <w:ind w:firstLine="200" w:firstLineChars="200"/>
    </w:pPr>
    <w:rPr>
      <w:rFonts w:ascii="Calibri" w:hAnsi="Calibri"/>
      <w:sz w:val="24"/>
    </w:rPr>
  </w:style>
  <w:style w:type="character" w:customStyle="1" w:styleId="1251">
    <w:name w:val="一 Char"/>
    <w:qFormat/>
    <w:uiPriority w:val="0"/>
    <w:rPr>
      <w:rFonts w:ascii="Arial" w:hAnsi="Arial" w:eastAsia="黑体"/>
      <w:b/>
      <w:bCs/>
      <w:kern w:val="2"/>
      <w:sz w:val="30"/>
      <w:szCs w:val="28"/>
      <w:lang w:val="en-US" w:eastAsia="zh-CN" w:bidi="ar-SA"/>
    </w:rPr>
  </w:style>
  <w:style w:type="character" w:customStyle="1" w:styleId="1252">
    <w:name w:val="普通文字 Char Char2"/>
    <w:qFormat/>
    <w:uiPriority w:val="0"/>
    <w:rPr>
      <w:rFonts w:eastAsia="华文中宋"/>
      <w:kern w:val="2"/>
      <w:sz w:val="24"/>
    </w:rPr>
  </w:style>
  <w:style w:type="character" w:customStyle="1" w:styleId="1253">
    <w:name w:val="图表标题 Char1"/>
    <w:qFormat/>
    <w:uiPriority w:val="0"/>
    <w:rPr>
      <w:rFonts w:eastAsia="黑体" w:cs="Arial"/>
      <w:kern w:val="2"/>
      <w:sz w:val="24"/>
      <w:szCs w:val="28"/>
      <w:lang w:val="en-US" w:eastAsia="zh-CN" w:bidi="ar-SA"/>
    </w:rPr>
  </w:style>
  <w:style w:type="character" w:customStyle="1" w:styleId="1254">
    <w:name w:val="样式 首行缩进:  2 字符1 Char Char"/>
    <w:qFormat/>
    <w:uiPriority w:val="0"/>
    <w:rPr>
      <w:rFonts w:ascii="仿宋_GB2312" w:hAnsi="Times New Roman" w:eastAsia="仿宋_GB2312" w:cs="宋体"/>
      <w:sz w:val="28"/>
      <w:szCs w:val="20"/>
    </w:rPr>
  </w:style>
  <w:style w:type="character" w:customStyle="1" w:styleId="1255">
    <w:name w:val="Char Char37"/>
    <w:qFormat/>
    <w:uiPriority w:val="0"/>
    <w:rPr>
      <w:rFonts w:ascii="仿宋_GB2312" w:hAnsi="仿宋" w:eastAsia="仿宋_GB2312" w:cs="Times New Roman"/>
      <w:kern w:val="2"/>
      <w:sz w:val="28"/>
      <w:szCs w:val="24"/>
      <w:lang w:val="en-US" w:eastAsia="zh-CN" w:bidi="ar-SA"/>
    </w:rPr>
  </w:style>
  <w:style w:type="character" w:customStyle="1" w:styleId="1256">
    <w:name w:val="样式 样式 样式 样式 样式 ZW + 首行缩进:  2 字符 + 首行缩进:  2 字符 + 首行缩进:  2 字符 + 首行... Char"/>
    <w:link w:val="1257"/>
    <w:qFormat/>
    <w:uiPriority w:val="0"/>
    <w:rPr>
      <w:rFonts w:ascii="仿宋_GB2312" w:eastAsia="仿宋_GB2312" w:cs="宋体"/>
      <w:color w:val="000000"/>
      <w:kern w:val="2"/>
      <w:sz w:val="28"/>
    </w:rPr>
  </w:style>
  <w:style w:type="paragraph" w:customStyle="1" w:styleId="1257">
    <w:name w:val="样式 样式 样式 样式 样式 ZW + 首行缩进:  2 字符 + 首行缩进:  2 字符 + 首行缩进:  2 字符 + 首行..."/>
    <w:basedOn w:val="1"/>
    <w:link w:val="1256"/>
    <w:qFormat/>
    <w:uiPriority w:val="0"/>
    <w:rPr>
      <w:color w:val="000000"/>
      <w:szCs w:val="20"/>
    </w:rPr>
  </w:style>
  <w:style w:type="character" w:customStyle="1" w:styleId="1258">
    <w:name w:val="样式 样式 Times New Roman 首行缩进:  2 字符 + 首行缩进:  2 字符 Char"/>
    <w:link w:val="1259"/>
    <w:qFormat/>
    <w:uiPriority w:val="0"/>
    <w:rPr>
      <w:rFonts w:ascii="仿宋_GB2312" w:eastAsia="仿宋_GB2312" w:cs="宋体"/>
      <w:kern w:val="2"/>
      <w:sz w:val="28"/>
    </w:rPr>
  </w:style>
  <w:style w:type="paragraph" w:customStyle="1" w:styleId="1259">
    <w:name w:val="样式 样式 Times New Roman 首行缩进:  2 字符 + 首行缩进:  2 字符"/>
    <w:basedOn w:val="1260"/>
    <w:link w:val="1258"/>
    <w:qFormat/>
    <w:uiPriority w:val="0"/>
    <w:rPr>
      <w:rFonts w:cs="Times New Roman"/>
      <w:spacing w:val="0"/>
    </w:rPr>
  </w:style>
  <w:style w:type="paragraph" w:customStyle="1" w:styleId="1260">
    <w:name w:val="样式 Times New Roman 首行缩进:  2 字符"/>
    <w:basedOn w:val="1"/>
    <w:qFormat/>
    <w:uiPriority w:val="0"/>
    <w:rPr>
      <w:rFonts w:cs="宋体"/>
      <w:spacing w:val="-4"/>
      <w:szCs w:val="20"/>
    </w:rPr>
  </w:style>
  <w:style w:type="character" w:customStyle="1" w:styleId="1261">
    <w:name w:val="正文文字缩进 2 Char Char Char Char"/>
    <w:qFormat/>
    <w:uiPriority w:val="0"/>
    <w:rPr>
      <w:rFonts w:ascii="仿宋_GB2312" w:eastAsia="仿宋_GB2312"/>
      <w:bCs/>
      <w:kern w:val="2"/>
      <w:sz w:val="28"/>
      <w:szCs w:val="24"/>
      <w:lang w:val="en-US" w:eastAsia="zh-CN" w:bidi="ar-SA"/>
    </w:rPr>
  </w:style>
  <w:style w:type="character" w:customStyle="1" w:styleId="1262">
    <w:name w:val="正文文本缩进 3 字符1"/>
    <w:qFormat/>
    <w:uiPriority w:val="0"/>
    <w:rPr>
      <w:kern w:val="2"/>
      <w:sz w:val="16"/>
      <w:szCs w:val="16"/>
    </w:rPr>
  </w:style>
  <w:style w:type="character" w:customStyle="1" w:styleId="1263">
    <w:name w:val="样式 正文1 + 首行缩进:  1 字符 段后: 0.5 行 Char Char Char"/>
    <w:link w:val="1264"/>
    <w:qFormat/>
    <w:uiPriority w:val="0"/>
    <w:rPr>
      <w:rFonts w:ascii="楷体_GB2312" w:eastAsia="楷体_GB2312" w:cs="宋体"/>
      <w:kern w:val="2"/>
      <w:sz w:val="28"/>
    </w:rPr>
  </w:style>
  <w:style w:type="paragraph" w:customStyle="1" w:styleId="1264">
    <w:name w:val="样式 正文1 + 首行缩进:  1 字符 段后: 0.5 行 Char Char"/>
    <w:basedOn w:val="971"/>
    <w:link w:val="1263"/>
    <w:qFormat/>
    <w:uiPriority w:val="0"/>
    <w:pPr>
      <w:spacing w:afterLines="0"/>
      <w:ind w:firstLine="200" w:firstLineChars="200"/>
      <w:jc w:val="both"/>
    </w:pPr>
    <w:rPr>
      <w:rFonts w:ascii="楷体_GB2312" w:eastAsia="楷体_GB2312"/>
      <w:sz w:val="28"/>
    </w:rPr>
  </w:style>
  <w:style w:type="character" w:styleId="1265">
    <w:name w:val="Placeholder Text"/>
    <w:semiHidden/>
    <w:qFormat/>
    <w:uiPriority w:val="0"/>
    <w:rPr>
      <w:color w:val="808080"/>
    </w:rPr>
  </w:style>
  <w:style w:type="character" w:customStyle="1" w:styleId="1266">
    <w:name w:val="z-窗体底端 字符"/>
    <w:qFormat/>
    <w:uiPriority w:val="0"/>
    <w:rPr>
      <w:rFonts w:ascii="Arial" w:hAnsi="Arial" w:eastAsia="宋体" w:cs="Arial"/>
      <w:vanish/>
      <w:kern w:val="0"/>
      <w:sz w:val="16"/>
      <w:szCs w:val="16"/>
    </w:rPr>
  </w:style>
  <w:style w:type="character" w:customStyle="1" w:styleId="1267">
    <w:name w:val="签名 字符2"/>
    <w:qFormat/>
    <w:uiPriority w:val="0"/>
    <w:rPr>
      <w:kern w:val="2"/>
      <w:sz w:val="24"/>
    </w:rPr>
  </w:style>
  <w:style w:type="character" w:customStyle="1" w:styleId="1268">
    <w:name w:val="正文文字缩进 2 Char Char Char"/>
    <w:qFormat/>
    <w:uiPriority w:val="0"/>
    <w:rPr>
      <w:rFonts w:ascii="仿宋_GB2312" w:eastAsia="仿宋_GB2312"/>
      <w:bCs/>
      <w:kern w:val="2"/>
      <w:sz w:val="28"/>
      <w:szCs w:val="24"/>
      <w:lang w:val="en-US" w:eastAsia="zh-CN" w:bidi="ar-SA"/>
    </w:rPr>
  </w:style>
  <w:style w:type="character" w:customStyle="1" w:styleId="1269">
    <w:name w:val="正文文本缩进 31 Char"/>
    <w:qFormat/>
    <w:uiPriority w:val="0"/>
    <w:rPr>
      <w:rFonts w:eastAsia="宋体"/>
      <w:kern w:val="2"/>
      <w:sz w:val="16"/>
      <w:szCs w:val="16"/>
      <w:lang w:val="en-US" w:eastAsia="zh-CN" w:bidi="ar-SA"/>
    </w:rPr>
  </w:style>
  <w:style w:type="character" w:customStyle="1" w:styleId="1270">
    <w:name w:val="2级 Char"/>
    <w:link w:val="1271"/>
    <w:qFormat/>
    <w:uiPriority w:val="0"/>
    <w:rPr>
      <w:rFonts w:ascii="Arial" w:hAnsi="Arial" w:eastAsia="黑体"/>
      <w:bCs/>
      <w:sz w:val="32"/>
      <w:szCs w:val="32"/>
    </w:rPr>
  </w:style>
  <w:style w:type="paragraph" w:customStyle="1" w:styleId="1271">
    <w:name w:val="2级"/>
    <w:basedOn w:val="1"/>
    <w:link w:val="1270"/>
    <w:qFormat/>
    <w:uiPriority w:val="0"/>
    <w:pPr>
      <w:keepNext/>
      <w:keepLines/>
      <w:adjustRightInd w:val="0"/>
      <w:spacing w:before="120" w:after="120"/>
      <w:ind w:firstLine="0" w:firstLineChars="0"/>
      <w:outlineLvl w:val="1"/>
    </w:pPr>
    <w:rPr>
      <w:rFonts w:ascii="Arial" w:hAnsi="Arial" w:eastAsia="黑体"/>
      <w:bCs/>
      <w:kern w:val="0"/>
      <w:sz w:val="32"/>
      <w:szCs w:val="32"/>
    </w:rPr>
  </w:style>
  <w:style w:type="character" w:customStyle="1" w:styleId="1272">
    <w:name w:val="HTML 地址 字符"/>
    <w:qFormat/>
    <w:uiPriority w:val="0"/>
    <w:rPr>
      <w:rFonts w:ascii="Times New Roman" w:hAnsi="Times New Roman" w:eastAsia="宋体" w:cs="Times New Roman"/>
      <w:i/>
      <w:iCs/>
      <w:sz w:val="24"/>
      <w:szCs w:val="20"/>
    </w:rPr>
  </w:style>
  <w:style w:type="character" w:customStyle="1" w:styleId="1273">
    <w:name w:val="单位-y Char Char"/>
    <w:link w:val="1274"/>
    <w:qFormat/>
    <w:uiPriority w:val="0"/>
    <w:rPr>
      <w:kern w:val="2"/>
      <w:sz w:val="21"/>
      <w:szCs w:val="24"/>
      <w:lang w:val="en-US" w:eastAsia="zh-CN" w:bidi="ar-SA"/>
    </w:rPr>
  </w:style>
  <w:style w:type="paragraph" w:customStyle="1" w:styleId="1274">
    <w:name w:val="单位-y"/>
    <w:next w:val="87"/>
    <w:link w:val="1273"/>
    <w:qFormat/>
    <w:uiPriority w:val="0"/>
    <w:pPr>
      <w:keepNext/>
      <w:adjustRightInd w:val="0"/>
      <w:snapToGrid w:val="0"/>
      <w:spacing w:line="360" w:lineRule="auto"/>
      <w:ind w:right="50" w:rightChars="50"/>
      <w:jc w:val="right"/>
    </w:pPr>
    <w:rPr>
      <w:rFonts w:ascii="Times New Roman" w:hAnsi="Times New Roman" w:eastAsia="宋体" w:cs="Times New Roman"/>
      <w:kern w:val="2"/>
      <w:sz w:val="21"/>
      <w:szCs w:val="24"/>
      <w:lang w:val="en-US" w:eastAsia="zh-CN" w:bidi="ar-SA"/>
    </w:rPr>
  </w:style>
  <w:style w:type="character" w:customStyle="1" w:styleId="1275">
    <w:name w:val="样式1 Char"/>
    <w:link w:val="1276"/>
    <w:qFormat/>
    <w:uiPriority w:val="0"/>
    <w:rPr>
      <w:rFonts w:ascii="Arial" w:hAnsi="Arial" w:eastAsia="方正小标宋_GBK"/>
      <w:kern w:val="2"/>
      <w:sz w:val="28"/>
      <w:szCs w:val="28"/>
    </w:rPr>
  </w:style>
  <w:style w:type="paragraph" w:customStyle="1" w:styleId="1276">
    <w:name w:val="样式1"/>
    <w:basedOn w:val="517"/>
    <w:link w:val="1275"/>
    <w:qFormat/>
    <w:uiPriority w:val="0"/>
    <w:rPr>
      <w:rFonts w:eastAsia="方正小标宋_GBK"/>
      <w:bCs w:val="0"/>
    </w:rPr>
  </w:style>
  <w:style w:type="character" w:customStyle="1" w:styleId="1277">
    <w:name w:val="表格格 Char"/>
    <w:link w:val="1278"/>
    <w:qFormat/>
    <w:uiPriority w:val="0"/>
    <w:rPr>
      <w:rFonts w:ascii="楷体_GB2312" w:eastAsia="楷体_GB2312"/>
      <w:sz w:val="21"/>
      <w:szCs w:val="21"/>
    </w:rPr>
  </w:style>
  <w:style w:type="paragraph" w:customStyle="1" w:styleId="1278">
    <w:name w:val="表格格"/>
    <w:basedOn w:val="1"/>
    <w:link w:val="1277"/>
    <w:qFormat/>
    <w:uiPriority w:val="0"/>
    <w:pPr>
      <w:widowControl/>
      <w:autoSpaceDE w:val="0"/>
      <w:autoSpaceDN w:val="0"/>
      <w:adjustRightInd w:val="0"/>
      <w:spacing w:line="0" w:lineRule="atLeast"/>
      <w:ind w:firstLine="0" w:firstLineChars="0"/>
      <w:jc w:val="center"/>
    </w:pPr>
    <w:rPr>
      <w:rFonts w:ascii="楷体_GB2312" w:eastAsia="楷体_GB2312"/>
      <w:kern w:val="0"/>
      <w:sz w:val="21"/>
      <w:szCs w:val="21"/>
    </w:rPr>
  </w:style>
  <w:style w:type="character" w:customStyle="1" w:styleId="1279">
    <w:name w:val="括号 Char"/>
    <w:link w:val="1280"/>
    <w:qFormat/>
    <w:uiPriority w:val="0"/>
    <w:rPr>
      <w:rFonts w:ascii="楷体_GB2312" w:hAnsi="宋体" w:eastAsia="楷体_GB2312" w:cs="宋体"/>
      <w:kern w:val="2"/>
      <w:sz w:val="28"/>
      <w:szCs w:val="28"/>
    </w:rPr>
  </w:style>
  <w:style w:type="paragraph" w:customStyle="1" w:styleId="1280">
    <w:name w:val="括号"/>
    <w:basedOn w:val="927"/>
    <w:link w:val="1279"/>
    <w:qFormat/>
    <w:uiPriority w:val="0"/>
    <w:rPr>
      <w:rFonts w:ascii="楷体_GB2312" w:eastAsia="楷体_GB2312"/>
    </w:rPr>
  </w:style>
  <w:style w:type="character" w:customStyle="1" w:styleId="1281">
    <w:name w:val="物探正文 Char"/>
    <w:link w:val="1282"/>
    <w:qFormat/>
    <w:uiPriority w:val="0"/>
    <w:rPr>
      <w:rFonts w:ascii="宋体" w:hAnsi="宋体"/>
      <w:sz w:val="28"/>
      <w:szCs w:val="28"/>
      <w:u w:val="none" w:color="000000"/>
    </w:rPr>
  </w:style>
  <w:style w:type="paragraph" w:customStyle="1" w:styleId="1282">
    <w:name w:val="物探正文"/>
    <w:basedOn w:val="1"/>
    <w:link w:val="1281"/>
    <w:qFormat/>
    <w:uiPriority w:val="0"/>
    <w:pPr>
      <w:spacing w:line="360" w:lineRule="atLeast"/>
      <w:ind w:firstLine="560"/>
      <w:jc w:val="left"/>
    </w:pPr>
    <w:rPr>
      <w:rFonts w:ascii="宋体" w:hAnsi="宋体" w:eastAsia="宋体"/>
      <w:kern w:val="0"/>
      <w:u w:val="none" w:color="000000"/>
    </w:rPr>
  </w:style>
  <w:style w:type="character" w:customStyle="1" w:styleId="1283">
    <w:name w:val="宏文本 字符2"/>
    <w:qFormat/>
    <w:uiPriority w:val="0"/>
    <w:rPr>
      <w:rFonts w:ascii="Courier New" w:hAnsi="Courier New"/>
      <w:sz w:val="24"/>
      <w:szCs w:val="24"/>
      <w:lang w:bidi="ar-SA"/>
    </w:rPr>
  </w:style>
  <w:style w:type="character" w:customStyle="1" w:styleId="1284">
    <w:name w:val="gyy正文 Char Char"/>
    <w:link w:val="1285"/>
    <w:semiHidden/>
    <w:qFormat/>
    <w:uiPriority w:val="0"/>
    <w:rPr>
      <w:sz w:val="24"/>
      <w:szCs w:val="24"/>
    </w:rPr>
  </w:style>
  <w:style w:type="paragraph" w:customStyle="1" w:styleId="1285">
    <w:name w:val="gyy正文 Char"/>
    <w:basedOn w:val="1"/>
    <w:link w:val="1284"/>
    <w:semiHidden/>
    <w:qFormat/>
    <w:uiPriority w:val="0"/>
    <w:pPr>
      <w:spacing w:line="360" w:lineRule="auto"/>
      <w:ind w:firstLine="480"/>
    </w:pPr>
    <w:rPr>
      <w:rFonts w:ascii="Times New Roman" w:eastAsia="宋体"/>
      <w:kern w:val="0"/>
      <w:sz w:val="24"/>
      <w:szCs w:val="24"/>
    </w:rPr>
  </w:style>
  <w:style w:type="character" w:customStyle="1" w:styleId="1286">
    <w:name w:val="1.1.1.1 Char Char"/>
    <w:qFormat/>
    <w:uiPriority w:val="0"/>
    <w:rPr>
      <w:rFonts w:ascii="CG Times" w:hAnsi="CG Times" w:eastAsia="黑体"/>
      <w:b/>
      <w:bCs/>
      <w:kern w:val="2"/>
      <w:sz w:val="28"/>
      <w:lang w:val="en-US" w:eastAsia="zh-CN" w:bidi="ar-SA"/>
    </w:rPr>
  </w:style>
  <w:style w:type="character" w:customStyle="1" w:styleId="1287">
    <w:name w:val="批注框文本 字符1"/>
    <w:qFormat/>
    <w:uiPriority w:val="0"/>
    <w:rPr>
      <w:rFonts w:ascii="仿宋_GB2312" w:eastAsia="仿宋_GB2312"/>
      <w:kern w:val="2"/>
      <w:sz w:val="18"/>
      <w:szCs w:val="18"/>
    </w:rPr>
  </w:style>
  <w:style w:type="character" w:customStyle="1" w:styleId="1288">
    <w:name w:val="Char Char31"/>
    <w:qFormat/>
    <w:uiPriority w:val="0"/>
    <w:rPr>
      <w:rFonts w:ascii="Arial" w:hAnsi="Arial" w:eastAsia="黑体" w:cs="Arial"/>
      <w:bCs/>
      <w:color w:val="000000"/>
      <w:kern w:val="2"/>
      <w:sz w:val="32"/>
      <w:szCs w:val="32"/>
      <w:lang w:val="en-US" w:eastAsia="zh-CN" w:bidi="ar-SA"/>
    </w:rPr>
  </w:style>
  <w:style w:type="character" w:customStyle="1" w:styleId="1289">
    <w:name w:val="样式 表名 + 首行缩进:  1 字符3 Char"/>
    <w:link w:val="1290"/>
    <w:qFormat/>
    <w:uiPriority w:val="0"/>
    <w:rPr>
      <w:rFonts w:ascii="黑体" w:eastAsia="黑体" w:cs="宋体"/>
      <w:snapToGrid/>
      <w:kern w:val="2"/>
      <w:sz w:val="24"/>
    </w:rPr>
  </w:style>
  <w:style w:type="paragraph" w:customStyle="1" w:styleId="1290">
    <w:name w:val="样式 表名 + 首行缩进:  1 字符3"/>
    <w:basedOn w:val="624"/>
    <w:link w:val="1289"/>
    <w:qFormat/>
    <w:uiPriority w:val="0"/>
    <w:rPr>
      <w:szCs w:val="20"/>
    </w:rPr>
  </w:style>
  <w:style w:type="character" w:customStyle="1" w:styleId="1291">
    <w:name w:val="标题 3 YY Char Char"/>
    <w:qFormat/>
    <w:uiPriority w:val="0"/>
    <w:rPr>
      <w:rFonts w:ascii="Arial" w:hAnsi="Arial" w:eastAsia="方正小标宋_GBK" w:cs="Courier New"/>
      <w:sz w:val="28"/>
      <w:szCs w:val="21"/>
      <w:lang w:val="en-US" w:eastAsia="zh-CN" w:bidi="ar-SA"/>
    </w:rPr>
  </w:style>
  <w:style w:type="character" w:customStyle="1" w:styleId="1292">
    <w:name w:val="正 文 Char"/>
    <w:link w:val="1293"/>
    <w:qFormat/>
    <w:uiPriority w:val="0"/>
    <w:rPr>
      <w:rFonts w:ascii="仿宋_GB2312" w:eastAsia="仿宋_GB2312"/>
      <w:sz w:val="28"/>
      <w:szCs w:val="28"/>
    </w:rPr>
  </w:style>
  <w:style w:type="paragraph" w:customStyle="1" w:styleId="1293">
    <w:name w:val="正 文"/>
    <w:basedOn w:val="1"/>
    <w:link w:val="1292"/>
    <w:qFormat/>
    <w:uiPriority w:val="0"/>
    <w:rPr>
      <w:kern w:val="0"/>
    </w:rPr>
  </w:style>
  <w:style w:type="character" w:customStyle="1" w:styleId="1294">
    <w:name w:val="表号文字 Char"/>
    <w:link w:val="1295"/>
    <w:qFormat/>
    <w:uiPriority w:val="0"/>
    <w:rPr>
      <w:rFonts w:eastAsia="黑体"/>
      <w:kern w:val="2"/>
      <w:sz w:val="24"/>
      <w:szCs w:val="24"/>
    </w:rPr>
  </w:style>
  <w:style w:type="paragraph" w:customStyle="1" w:styleId="1295">
    <w:name w:val="表号文字"/>
    <w:basedOn w:val="1"/>
    <w:link w:val="1294"/>
    <w:qFormat/>
    <w:uiPriority w:val="0"/>
    <w:pPr>
      <w:adjustRightInd w:val="0"/>
      <w:snapToGrid w:val="0"/>
      <w:spacing w:before="120" w:line="300" w:lineRule="auto"/>
      <w:ind w:firstLine="0" w:firstLineChars="0"/>
      <w:jc w:val="left"/>
    </w:pPr>
    <w:rPr>
      <w:rFonts w:ascii="Times New Roman" w:eastAsia="黑体"/>
      <w:sz w:val="24"/>
      <w:szCs w:val="24"/>
    </w:rPr>
  </w:style>
  <w:style w:type="character" w:customStyle="1" w:styleId="1296">
    <w:name w:val="注释标题 Char2"/>
    <w:qFormat/>
    <w:uiPriority w:val="0"/>
    <w:rPr>
      <w:rFonts w:ascii="仿宋_GB2312" w:eastAsia="仿宋_GB2312"/>
      <w:sz w:val="28"/>
      <w:szCs w:val="28"/>
      <w:lang w:val="en-US" w:eastAsia="zh-CN" w:bidi="ar-SA"/>
    </w:rPr>
  </w:style>
  <w:style w:type="character" w:customStyle="1" w:styleId="1297">
    <w:name w:val="正文W Char"/>
    <w:link w:val="1298"/>
    <w:qFormat/>
    <w:uiPriority w:val="0"/>
    <w:rPr>
      <w:rFonts w:eastAsia="仿宋_GB2312"/>
      <w:sz w:val="24"/>
      <w:szCs w:val="24"/>
    </w:rPr>
  </w:style>
  <w:style w:type="paragraph" w:customStyle="1" w:styleId="1298">
    <w:name w:val="正文W"/>
    <w:basedOn w:val="1"/>
    <w:link w:val="1297"/>
    <w:qFormat/>
    <w:uiPriority w:val="0"/>
    <w:pPr>
      <w:textAlignment w:val="baseline"/>
    </w:pPr>
    <w:rPr>
      <w:rFonts w:ascii="Times New Roman"/>
      <w:kern w:val="0"/>
      <w:sz w:val="24"/>
      <w:szCs w:val="24"/>
    </w:rPr>
  </w:style>
  <w:style w:type="character" w:customStyle="1" w:styleId="1299">
    <w:name w:val="图标题 Char"/>
    <w:link w:val="1300"/>
    <w:qFormat/>
    <w:uiPriority w:val="0"/>
    <w:rPr>
      <w:rFonts w:ascii="黑体" w:eastAsia="黑体"/>
      <w:kern w:val="2"/>
      <w:sz w:val="24"/>
      <w:szCs w:val="24"/>
    </w:rPr>
  </w:style>
  <w:style w:type="paragraph" w:customStyle="1" w:styleId="1300">
    <w:name w:val="图标题"/>
    <w:basedOn w:val="1"/>
    <w:link w:val="1299"/>
    <w:qFormat/>
    <w:uiPriority w:val="0"/>
    <w:pPr>
      <w:adjustRightInd w:val="0"/>
      <w:spacing w:line="240" w:lineRule="auto"/>
      <w:ind w:firstLine="0" w:firstLineChars="0"/>
      <w:jc w:val="center"/>
      <w:outlineLvl w:val="5"/>
    </w:pPr>
    <w:rPr>
      <w:rFonts w:ascii="黑体" w:eastAsia="黑体"/>
      <w:sz w:val="24"/>
      <w:szCs w:val="24"/>
    </w:rPr>
  </w:style>
  <w:style w:type="character" w:customStyle="1" w:styleId="1301">
    <w:name w:val="正文文本 字符1"/>
    <w:qFormat/>
    <w:uiPriority w:val="0"/>
    <w:rPr>
      <w:kern w:val="2"/>
      <w:sz w:val="24"/>
      <w:szCs w:val="24"/>
    </w:rPr>
  </w:style>
  <w:style w:type="character" w:customStyle="1" w:styleId="1302">
    <w:name w:val="正文缩进3"/>
    <w:qFormat/>
    <w:uiPriority w:val="0"/>
    <w:rPr>
      <w:rFonts w:eastAsia="宋体"/>
      <w:kern w:val="2"/>
      <w:sz w:val="21"/>
      <w:szCs w:val="24"/>
      <w:lang w:val="en-US" w:eastAsia="zh-CN" w:bidi="ar-SA"/>
    </w:rPr>
  </w:style>
  <w:style w:type="character" w:customStyle="1" w:styleId="1303">
    <w:name w:val="无间隔 字符2"/>
    <w:qFormat/>
    <w:uiPriority w:val="0"/>
    <w:rPr>
      <w:rFonts w:ascii="Calibri" w:hAnsi="Calibri"/>
      <w:sz w:val="22"/>
      <w:szCs w:val="22"/>
      <w:lang w:val="en-US" w:eastAsia="zh-CN" w:bidi="ar-SA"/>
    </w:rPr>
  </w:style>
  <w:style w:type="character" w:customStyle="1" w:styleId="1304">
    <w:name w:val="表名1 Char"/>
    <w:qFormat/>
    <w:uiPriority w:val="0"/>
    <w:rPr>
      <w:rFonts w:ascii="黑体" w:eastAsia="黑体"/>
      <w:kern w:val="2"/>
      <w:sz w:val="24"/>
      <w:szCs w:val="28"/>
      <w:lang w:val="en-US" w:eastAsia="zh-CN" w:bidi="ar-SA"/>
    </w:rPr>
  </w:style>
  <w:style w:type="character" w:customStyle="1" w:styleId="1305">
    <w:name w:val="SB标题4 Char"/>
    <w:link w:val="1306"/>
    <w:qFormat/>
    <w:uiPriority w:val="0"/>
    <w:rPr>
      <w:kern w:val="2"/>
      <w:sz w:val="24"/>
    </w:rPr>
  </w:style>
  <w:style w:type="paragraph" w:customStyle="1" w:styleId="1306">
    <w:name w:val="SB标题4"/>
    <w:basedOn w:val="1"/>
    <w:link w:val="1305"/>
    <w:qFormat/>
    <w:uiPriority w:val="0"/>
    <w:pPr>
      <w:widowControl/>
      <w:numPr>
        <w:ilvl w:val="3"/>
        <w:numId w:val="3"/>
      </w:numPr>
      <w:spacing w:beforeLines="50" w:afterLines="50" w:line="360" w:lineRule="auto"/>
      <w:ind w:firstLineChars="0"/>
      <w:jc w:val="left"/>
      <w:outlineLvl w:val="3"/>
    </w:pPr>
    <w:rPr>
      <w:rFonts w:ascii="Times New Roman" w:eastAsia="宋体"/>
      <w:sz w:val="24"/>
      <w:szCs w:val="20"/>
    </w:rPr>
  </w:style>
  <w:style w:type="character" w:customStyle="1" w:styleId="1307">
    <w:name w:val="Body Text Char"/>
    <w:semiHidden/>
    <w:qFormat/>
    <w:uiPriority w:val="0"/>
    <w:rPr>
      <w:rFonts w:ascii="Times New Roman" w:hAnsi="Times New Roman" w:eastAsia="仿宋_GB2312" w:cs="Times New Roman"/>
      <w:sz w:val="28"/>
      <w:szCs w:val="28"/>
    </w:rPr>
  </w:style>
  <w:style w:type="character" w:customStyle="1" w:styleId="1308">
    <w:name w:val="z-窗体顶端 字符"/>
    <w:qFormat/>
    <w:uiPriority w:val="0"/>
    <w:rPr>
      <w:rFonts w:ascii="Arial" w:hAnsi="Arial" w:eastAsia="宋体" w:cs="Arial"/>
      <w:vanish/>
      <w:kern w:val="0"/>
      <w:sz w:val="16"/>
      <w:szCs w:val="16"/>
    </w:rPr>
  </w:style>
  <w:style w:type="character" w:customStyle="1" w:styleId="1309">
    <w:name w:val="表名 Char Char Char1"/>
    <w:qFormat/>
    <w:uiPriority w:val="0"/>
    <w:rPr>
      <w:rFonts w:ascii="黑体" w:eastAsia="黑体"/>
      <w:sz w:val="24"/>
      <w:szCs w:val="27"/>
      <w:lang w:val="zh-CN" w:eastAsia="zh-CN" w:bidi="ar-SA"/>
    </w:rPr>
  </w:style>
  <w:style w:type="character" w:customStyle="1" w:styleId="1310">
    <w:name w:val="正文修改 Char"/>
    <w:link w:val="1311"/>
    <w:qFormat/>
    <w:uiPriority w:val="0"/>
    <w:rPr>
      <w:kern w:val="2"/>
      <w:sz w:val="24"/>
      <w:szCs w:val="24"/>
    </w:rPr>
  </w:style>
  <w:style w:type="paragraph" w:customStyle="1" w:styleId="1311">
    <w:name w:val="正文修改"/>
    <w:basedOn w:val="1"/>
    <w:link w:val="1310"/>
    <w:qFormat/>
    <w:uiPriority w:val="0"/>
    <w:pPr>
      <w:widowControl/>
      <w:adjustRightInd w:val="0"/>
      <w:snapToGrid w:val="0"/>
      <w:spacing w:line="360" w:lineRule="auto"/>
      <w:ind w:firstLine="480"/>
      <w:jc w:val="left"/>
    </w:pPr>
    <w:rPr>
      <w:rFonts w:ascii="Times New Roman" w:eastAsia="宋体"/>
      <w:sz w:val="24"/>
      <w:szCs w:val="24"/>
    </w:rPr>
  </w:style>
  <w:style w:type="character" w:customStyle="1" w:styleId="1312">
    <w:name w:val="正文文本 2 Char1"/>
    <w:qFormat/>
    <w:uiPriority w:val="0"/>
    <w:rPr>
      <w:kern w:val="2"/>
      <w:sz w:val="21"/>
    </w:rPr>
  </w:style>
  <w:style w:type="character" w:customStyle="1" w:styleId="1313">
    <w:name w:val="信息标题 Char2"/>
    <w:qFormat/>
    <w:uiPriority w:val="0"/>
    <w:rPr>
      <w:rFonts w:ascii="Arial" w:hAnsi="Arial" w:eastAsia="仿宋_GB2312" w:cs="Arial"/>
      <w:sz w:val="24"/>
      <w:szCs w:val="28"/>
      <w:lang w:val="en-US" w:eastAsia="zh-CN" w:bidi="ar-SA"/>
    </w:rPr>
  </w:style>
  <w:style w:type="character" w:customStyle="1" w:styleId="1314">
    <w:name w:val="标题 3 + 段前: 6 磅 段后: 6 磅 行距: 1.5 倍行距 Char"/>
    <w:link w:val="1315"/>
    <w:qFormat/>
    <w:uiPriority w:val="0"/>
    <w:rPr>
      <w:rFonts w:ascii="方正小标宋_GBK" w:hAnsi="Arial" w:eastAsia="方正小标宋_GBK"/>
      <w:bCs/>
      <w:sz w:val="28"/>
      <w:szCs w:val="28"/>
      <w:lang w:val="zh-CN"/>
    </w:rPr>
  </w:style>
  <w:style w:type="paragraph" w:customStyle="1" w:styleId="1315">
    <w:name w:val="标题 3 + 段前: 6 磅 段后: 6 磅 行距: 1.5 倍行距"/>
    <w:basedOn w:val="7"/>
    <w:next w:val="7"/>
    <w:link w:val="1314"/>
    <w:qFormat/>
    <w:uiPriority w:val="0"/>
    <w:pPr>
      <w:keepNext/>
      <w:keepLines/>
      <w:jc w:val="left"/>
    </w:pPr>
    <w:rPr>
      <w:kern w:val="0"/>
      <w:lang w:val="zh-CN"/>
    </w:rPr>
  </w:style>
  <w:style w:type="character" w:customStyle="1" w:styleId="1316">
    <w:name w:val="日期 Char2"/>
    <w:qFormat/>
    <w:uiPriority w:val="0"/>
    <w:rPr>
      <w:rFonts w:ascii="宋体" w:eastAsia="仿宋_GB2312"/>
      <w:kern w:val="4"/>
      <w:sz w:val="28"/>
      <w:szCs w:val="16"/>
      <w:lang w:val="en-US" w:eastAsia="zh-CN" w:bidi="ar-SA"/>
    </w:rPr>
  </w:style>
  <w:style w:type="character" w:customStyle="1" w:styleId="1317">
    <w:name w:val="样式 样式 楷体_GB2312 首行缩进:  2 字符1 + 首行缩进:  2 字符 Char"/>
    <w:link w:val="1318"/>
    <w:qFormat/>
    <w:uiPriority w:val="0"/>
    <w:rPr>
      <w:rFonts w:ascii="楷体_GB2312" w:eastAsia="楷体_GB2312" w:cs="宋体"/>
      <w:kern w:val="2"/>
      <w:sz w:val="28"/>
    </w:rPr>
  </w:style>
  <w:style w:type="paragraph" w:customStyle="1" w:styleId="1318">
    <w:name w:val="样式 样式 楷体_GB2312 首行缩进:  2 字符1 + 首行缩进:  2 字符"/>
    <w:basedOn w:val="373"/>
    <w:link w:val="1317"/>
    <w:qFormat/>
    <w:uiPriority w:val="0"/>
  </w:style>
  <w:style w:type="character" w:customStyle="1" w:styleId="1319">
    <w:name w:val="样式 表名 + 仿宋_GB2312 四号 Char Char Char"/>
    <w:link w:val="1320"/>
    <w:qFormat/>
    <w:uiPriority w:val="0"/>
    <w:rPr>
      <w:rFonts w:ascii="Arial" w:hAnsi="Arial"/>
      <w:sz w:val="28"/>
      <w:szCs w:val="27"/>
      <w:lang w:val="zh-CN"/>
    </w:rPr>
  </w:style>
  <w:style w:type="paragraph" w:customStyle="1" w:styleId="1320">
    <w:name w:val="样式 表名 + 仿宋_GB2312 四号 Char Char"/>
    <w:basedOn w:val="1321"/>
    <w:link w:val="1319"/>
    <w:qFormat/>
    <w:uiPriority w:val="0"/>
    <w:pPr>
      <w:spacing w:after="0"/>
      <w:ind w:firstLine="0" w:firstLineChars="0"/>
      <w:jc w:val="left"/>
      <w:outlineLvl w:val="3"/>
    </w:pPr>
    <w:rPr>
      <w:rFonts w:ascii="Arial" w:hAnsi="Arial" w:eastAsia="宋体"/>
      <w:sz w:val="28"/>
    </w:rPr>
  </w:style>
  <w:style w:type="paragraph" w:customStyle="1" w:styleId="1321">
    <w:name w:val="表名 Char Char"/>
    <w:basedOn w:val="1"/>
    <w:link w:val="1322"/>
    <w:qFormat/>
    <w:uiPriority w:val="0"/>
    <w:pPr>
      <w:adjustRightInd w:val="0"/>
      <w:spacing w:after="60"/>
      <w:ind w:firstLine="100" w:firstLineChars="100"/>
      <w:textAlignment w:val="baseline"/>
    </w:pPr>
    <w:rPr>
      <w:rFonts w:ascii="黑体" w:eastAsia="黑体"/>
      <w:kern w:val="0"/>
      <w:sz w:val="24"/>
      <w:szCs w:val="27"/>
      <w:lang w:val="zh-CN"/>
    </w:rPr>
  </w:style>
  <w:style w:type="character" w:customStyle="1" w:styleId="1322">
    <w:name w:val="表名 Char Char Char"/>
    <w:link w:val="1321"/>
    <w:qFormat/>
    <w:uiPriority w:val="0"/>
    <w:rPr>
      <w:rFonts w:ascii="黑体" w:eastAsia="黑体"/>
      <w:sz w:val="24"/>
      <w:szCs w:val="27"/>
      <w:lang w:val="zh-CN"/>
    </w:rPr>
  </w:style>
  <w:style w:type="character" w:customStyle="1" w:styleId="1323">
    <w:name w:val="页脚2 Char1"/>
    <w:qFormat/>
    <w:uiPriority w:val="0"/>
    <w:rPr>
      <w:rFonts w:ascii="宋体"/>
      <w:kern w:val="2"/>
      <w:sz w:val="18"/>
      <w:szCs w:val="18"/>
    </w:rPr>
  </w:style>
  <w:style w:type="character" w:customStyle="1" w:styleId="1324">
    <w:name w:val="正文 ln Char"/>
    <w:link w:val="1325"/>
    <w:qFormat/>
    <w:uiPriority w:val="0"/>
    <w:rPr>
      <w:rFonts w:ascii="仿宋_GB2312" w:hAnsi="宋体" w:eastAsia="仿宋_GB2312" w:cs="宋体"/>
      <w:sz w:val="28"/>
      <w:lang w:eastAsia="en-US" w:bidi="en-US"/>
    </w:rPr>
  </w:style>
  <w:style w:type="paragraph" w:customStyle="1" w:styleId="1325">
    <w:name w:val="正文 ln"/>
    <w:basedOn w:val="1"/>
    <w:link w:val="1324"/>
    <w:qFormat/>
    <w:uiPriority w:val="0"/>
    <w:pPr>
      <w:widowControl/>
      <w:jc w:val="left"/>
    </w:pPr>
    <w:rPr>
      <w:rFonts w:hAnsi="宋体" w:cs="宋体"/>
      <w:kern w:val="0"/>
      <w:szCs w:val="20"/>
      <w:lang w:eastAsia="en-US" w:bidi="en-US"/>
    </w:rPr>
  </w:style>
  <w:style w:type="character" w:customStyle="1" w:styleId="1326">
    <w:name w:val="正文文本 (8)_"/>
    <w:link w:val="1327"/>
    <w:qFormat/>
    <w:locked/>
    <w:uiPriority w:val="0"/>
    <w:rPr>
      <w:rFonts w:ascii="MingLiU" w:eastAsia="MingLiU" w:cs="MingLiU"/>
      <w:szCs w:val="21"/>
      <w:shd w:val="clear" w:color="auto" w:fill="FFFFFF"/>
    </w:rPr>
  </w:style>
  <w:style w:type="paragraph" w:customStyle="1" w:styleId="1327">
    <w:name w:val="正文文本 (8)"/>
    <w:basedOn w:val="1"/>
    <w:link w:val="1326"/>
    <w:qFormat/>
    <w:uiPriority w:val="0"/>
    <w:pPr>
      <w:shd w:val="clear" w:color="auto" w:fill="FFFFFF"/>
      <w:spacing w:line="307" w:lineRule="exact"/>
      <w:ind w:firstLine="0" w:firstLineChars="0"/>
      <w:jc w:val="distribute"/>
    </w:pPr>
    <w:rPr>
      <w:rFonts w:ascii="MingLiU" w:eastAsia="MingLiU"/>
      <w:kern w:val="0"/>
      <w:sz w:val="20"/>
      <w:szCs w:val="21"/>
    </w:rPr>
  </w:style>
  <w:style w:type="character" w:customStyle="1" w:styleId="1328">
    <w:name w:val="尾注文本 Char2"/>
    <w:qFormat/>
    <w:uiPriority w:val="0"/>
    <w:rPr>
      <w:rFonts w:ascii="仿宋_GB2312" w:eastAsia="仿宋_GB2312"/>
      <w:sz w:val="28"/>
      <w:szCs w:val="28"/>
    </w:rPr>
  </w:style>
  <w:style w:type="character" w:customStyle="1" w:styleId="1329">
    <w:name w:val="正文NN Char"/>
    <w:link w:val="1330"/>
    <w:qFormat/>
    <w:uiPriority w:val="0"/>
    <w:rPr>
      <w:rFonts w:eastAsia="仿宋_GB2312"/>
      <w:sz w:val="28"/>
      <w:szCs w:val="28"/>
    </w:rPr>
  </w:style>
  <w:style w:type="paragraph" w:customStyle="1" w:styleId="1330">
    <w:name w:val="正文NN"/>
    <w:basedOn w:val="1"/>
    <w:link w:val="1329"/>
    <w:qFormat/>
    <w:uiPriority w:val="0"/>
    <w:rPr>
      <w:rFonts w:ascii="Times New Roman"/>
      <w:kern w:val="0"/>
    </w:rPr>
  </w:style>
  <w:style w:type="character" w:customStyle="1" w:styleId="1331">
    <w:name w:val="副标题 Char2"/>
    <w:qFormat/>
    <w:uiPriority w:val="0"/>
    <w:rPr>
      <w:rFonts w:ascii="Cambria" w:hAnsi="Cambria" w:eastAsia="宋体"/>
      <w:b/>
      <w:bCs/>
      <w:kern w:val="28"/>
      <w:sz w:val="32"/>
      <w:szCs w:val="32"/>
      <w:lang w:val="en-US" w:eastAsia="zh-CN" w:bidi="ar-SA"/>
    </w:rPr>
  </w:style>
  <w:style w:type="character" w:customStyle="1" w:styleId="1332">
    <w:name w:val="段 Char1 Char"/>
    <w:link w:val="1333"/>
    <w:qFormat/>
    <w:locked/>
    <w:uiPriority w:val="0"/>
    <w:rPr>
      <w:rFonts w:ascii="宋体" w:hAnsi="宋体"/>
      <w:sz w:val="24"/>
      <w:szCs w:val="24"/>
    </w:rPr>
  </w:style>
  <w:style w:type="paragraph" w:customStyle="1" w:styleId="1333">
    <w:name w:val="段 Char1"/>
    <w:basedOn w:val="1"/>
    <w:link w:val="1332"/>
    <w:qFormat/>
    <w:uiPriority w:val="0"/>
    <w:pPr>
      <w:topLinePunct/>
      <w:adjustRightInd w:val="0"/>
      <w:spacing w:line="440" w:lineRule="exact"/>
      <w:ind w:firstLine="560"/>
    </w:pPr>
    <w:rPr>
      <w:rFonts w:ascii="宋体" w:hAnsi="宋体" w:eastAsia="宋体"/>
      <w:kern w:val="0"/>
      <w:sz w:val="24"/>
      <w:szCs w:val="24"/>
    </w:rPr>
  </w:style>
  <w:style w:type="character" w:customStyle="1" w:styleId="1334">
    <w:name w:val="redlink1"/>
    <w:qFormat/>
    <w:uiPriority w:val="0"/>
    <w:rPr>
      <w:color w:val="FF0000"/>
    </w:rPr>
  </w:style>
  <w:style w:type="character" w:customStyle="1" w:styleId="1335">
    <w:name w:val="正文1 Char Char1"/>
    <w:qFormat/>
    <w:uiPriority w:val="0"/>
    <w:rPr>
      <w:rFonts w:ascii="宋体" w:hAnsi="宋体" w:eastAsia="仿宋_GB2312" w:cs="Verdana"/>
      <w:b/>
      <w:bCs/>
      <w:spacing w:val="14"/>
      <w:kern w:val="2"/>
      <w:sz w:val="24"/>
      <w:szCs w:val="24"/>
      <w:lang w:val="en-US" w:eastAsia="zh-CN" w:bidi="ar-SA"/>
    </w:rPr>
  </w:style>
  <w:style w:type="character" w:customStyle="1" w:styleId="1336">
    <w:name w:val="HTML 预设格式 字符1"/>
    <w:qFormat/>
    <w:uiPriority w:val="0"/>
    <w:rPr>
      <w:rFonts w:ascii="Courier New" w:hAnsi="Courier New" w:cs="Courier New"/>
      <w:kern w:val="2"/>
    </w:rPr>
  </w:style>
  <w:style w:type="character" w:customStyle="1" w:styleId="1337">
    <w:name w:val="正文文本_"/>
    <w:link w:val="1338"/>
    <w:qFormat/>
    <w:uiPriority w:val="0"/>
    <w:rPr>
      <w:rFonts w:ascii="MingLiU" w:hAnsi="MingLiU" w:eastAsia="MingLiU" w:cs="MingLiU"/>
      <w:spacing w:val="20"/>
      <w:shd w:val="clear" w:color="auto" w:fill="FFFFFF"/>
    </w:rPr>
  </w:style>
  <w:style w:type="paragraph" w:customStyle="1" w:styleId="1338">
    <w:name w:val="正文文本6"/>
    <w:basedOn w:val="1"/>
    <w:link w:val="1337"/>
    <w:qFormat/>
    <w:uiPriority w:val="0"/>
    <w:pPr>
      <w:shd w:val="clear" w:color="auto" w:fill="FFFFFF"/>
      <w:spacing w:before="900" w:line="624" w:lineRule="exact"/>
      <w:ind w:firstLine="0" w:firstLineChars="0"/>
      <w:jc w:val="distribute"/>
    </w:pPr>
    <w:rPr>
      <w:rFonts w:ascii="MingLiU" w:hAnsi="MingLiU" w:eastAsia="MingLiU"/>
      <w:spacing w:val="20"/>
      <w:kern w:val="0"/>
      <w:sz w:val="20"/>
      <w:szCs w:val="20"/>
    </w:rPr>
  </w:style>
  <w:style w:type="character" w:customStyle="1" w:styleId="1339">
    <w:name w:val="页眉  Char Char"/>
    <w:qFormat/>
    <w:uiPriority w:val="0"/>
    <w:rPr>
      <w:rFonts w:ascii="仿宋_GB2312" w:hAnsi="Times New Roman" w:eastAsia="仿宋_GB2312" w:cs="Times New Roman"/>
      <w:sz w:val="18"/>
      <w:szCs w:val="18"/>
    </w:rPr>
  </w:style>
  <w:style w:type="character" w:customStyle="1" w:styleId="1340">
    <w:name w:val="表号 Char Char Char"/>
    <w:qFormat/>
    <w:uiPriority w:val="0"/>
    <w:rPr>
      <w:rFonts w:eastAsia="宋体"/>
      <w:kern w:val="2"/>
      <w:sz w:val="21"/>
      <w:szCs w:val="24"/>
      <w:lang w:val="en-US" w:eastAsia="zh-CN" w:bidi="ar-SA"/>
    </w:rPr>
  </w:style>
  <w:style w:type="character" w:customStyle="1" w:styleId="1341">
    <w:name w:val="方案正文样式 Char"/>
    <w:link w:val="1342"/>
    <w:qFormat/>
    <w:uiPriority w:val="0"/>
    <w:rPr>
      <w:snapToGrid/>
      <w:sz w:val="24"/>
      <w:szCs w:val="24"/>
    </w:rPr>
  </w:style>
  <w:style w:type="paragraph" w:customStyle="1" w:styleId="1342">
    <w:name w:val="方案正文样式"/>
    <w:basedOn w:val="1"/>
    <w:link w:val="1341"/>
    <w:qFormat/>
    <w:uiPriority w:val="0"/>
    <w:pPr>
      <w:widowControl/>
      <w:adjustRightInd w:val="0"/>
      <w:snapToGrid w:val="0"/>
      <w:spacing w:line="360" w:lineRule="auto"/>
      <w:ind w:firstLine="454" w:firstLineChars="0"/>
      <w:jc w:val="left"/>
      <w:textAlignment w:val="baseline"/>
    </w:pPr>
    <w:rPr>
      <w:rFonts w:ascii="Times New Roman" w:eastAsia="宋体"/>
      <w:kern w:val="0"/>
      <w:sz w:val="24"/>
      <w:szCs w:val="24"/>
    </w:rPr>
  </w:style>
  <w:style w:type="paragraph" w:customStyle="1" w:styleId="1343">
    <w:name w:val="样式 样式8 + 黑色 首行缩进:  2 字符 段前: 0.5 行 段后: 0.5 行"/>
    <w:basedOn w:val="1344"/>
    <w:qFormat/>
    <w:uiPriority w:val="0"/>
    <w:pPr>
      <w:keepNext w:val="0"/>
      <w:keepLines w:val="0"/>
      <w:adjustRightInd/>
      <w:snapToGrid/>
      <w:spacing w:beforeLines="50" w:afterLines="50" w:line="240" w:lineRule="auto"/>
      <w:ind w:firstLine="480" w:firstLineChars="200"/>
      <w:jc w:val="both"/>
      <w:outlineLvl w:val="9"/>
    </w:pPr>
    <w:rPr>
      <w:rFonts w:ascii="Times New Roman" w:hAnsi="Times New Roman" w:eastAsia="华文中宋"/>
      <w:b w:val="0"/>
      <w:bCs w:val="0"/>
      <w:snapToGrid/>
      <w:color w:val="000000"/>
      <w:kern w:val="2"/>
      <w:sz w:val="24"/>
      <w:szCs w:val="20"/>
    </w:rPr>
  </w:style>
  <w:style w:type="paragraph" w:customStyle="1" w:styleId="1344">
    <w:name w:val="样式8"/>
    <w:basedOn w:val="7"/>
    <w:qFormat/>
    <w:uiPriority w:val="0"/>
    <w:pPr>
      <w:keepNext/>
      <w:keepLines/>
      <w:adjustRightInd w:val="0"/>
      <w:snapToGrid w:val="0"/>
      <w:spacing w:before="260" w:beforeLines="30" w:after="260" w:afterLines="30" w:line="355" w:lineRule="auto"/>
      <w:jc w:val="left"/>
    </w:pPr>
    <w:rPr>
      <w:rFonts w:ascii="Swis721 BT" w:hAnsi="Swis721 BT" w:eastAsia="黑体"/>
      <w:b/>
      <w:snapToGrid w:val="0"/>
      <w:kern w:val="0"/>
    </w:rPr>
  </w:style>
  <w:style w:type="paragraph" w:customStyle="1" w:styleId="1345">
    <w:name w:val="Char Char Char Char Char Char Char Char Char Char Char Char Char Char Char Char"/>
    <w:basedOn w:val="1"/>
    <w:qFormat/>
    <w:uiPriority w:val="0"/>
    <w:pPr>
      <w:tabs>
        <w:tab w:val="left" w:pos="360"/>
      </w:tabs>
      <w:spacing w:line="240" w:lineRule="auto"/>
      <w:ind w:firstLine="0" w:firstLineChars="0"/>
    </w:pPr>
    <w:rPr>
      <w:rFonts w:ascii="Times New Roman" w:eastAsia="宋体"/>
      <w:sz w:val="24"/>
      <w:szCs w:val="24"/>
    </w:rPr>
  </w:style>
  <w:style w:type="paragraph" w:customStyle="1" w:styleId="1346">
    <w:name w:val="xl141"/>
    <w:basedOn w:val="1"/>
    <w:qFormat/>
    <w:uiPriority w:val="0"/>
    <w:pPr>
      <w:widowControl/>
      <w:pBdr>
        <w:left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20"/>
      <w:szCs w:val="20"/>
    </w:rPr>
  </w:style>
  <w:style w:type="paragraph" w:customStyle="1" w:styleId="1347">
    <w:name w:val="NNN"/>
    <w:basedOn w:val="1348"/>
    <w:qFormat/>
    <w:uiPriority w:val="0"/>
    <w:pPr>
      <w:tabs>
        <w:tab w:val="left" w:pos="1134"/>
      </w:tabs>
      <w:spacing w:before="60" w:after="60"/>
      <w:ind w:left="1361" w:hanging="227"/>
    </w:pPr>
    <w:rPr>
      <w:rFonts w:ascii="Arial" w:hAnsi="Arial"/>
    </w:rPr>
  </w:style>
  <w:style w:type="paragraph" w:customStyle="1" w:styleId="1348">
    <w:name w:val="NN"/>
    <w:basedOn w:val="1"/>
    <w:qFormat/>
    <w:uiPriority w:val="0"/>
    <w:pPr>
      <w:autoSpaceDE w:val="0"/>
      <w:autoSpaceDN w:val="0"/>
      <w:adjustRightInd w:val="0"/>
      <w:spacing w:line="360" w:lineRule="atLeast"/>
      <w:ind w:left="1134" w:firstLine="560"/>
    </w:pPr>
    <w:rPr>
      <w:rFonts w:ascii="宋体"/>
      <w:spacing w:val="5"/>
      <w:kern w:val="0"/>
      <w:sz w:val="24"/>
      <w:szCs w:val="20"/>
      <w:u w:val="none" w:color="000000"/>
    </w:rPr>
  </w:style>
  <w:style w:type="paragraph" w:customStyle="1" w:styleId="1349">
    <w:name w:val="样式 样式 标题 4 + 仿宋_GB2312 + 段前: 0.1 行 段后: 0.1 行"/>
    <w:basedOn w:val="1350"/>
    <w:qFormat/>
    <w:uiPriority w:val="0"/>
    <w:pPr>
      <w:spacing w:beforeLines="50" w:afterLines="50"/>
    </w:pPr>
    <w:rPr>
      <w:rFonts w:cs="宋体"/>
      <w:bCs/>
      <w:szCs w:val="20"/>
    </w:rPr>
  </w:style>
  <w:style w:type="paragraph" w:customStyle="1" w:styleId="1350">
    <w:name w:val="样式 标题 4 + 仿宋_GB2312"/>
    <w:basedOn w:val="8"/>
    <w:qFormat/>
    <w:uiPriority w:val="0"/>
    <w:pPr>
      <w:keepNext w:val="0"/>
      <w:keepLines w:val="0"/>
      <w:spacing w:before="0" w:beforeLines="10" w:after="0" w:afterLines="10" w:line="360" w:lineRule="auto"/>
      <w:ind w:firstLine="0" w:firstLineChars="0"/>
      <w:jc w:val="left"/>
    </w:pPr>
    <w:rPr>
      <w:rFonts w:ascii="仿宋_GB2312" w:hAnsi="仿宋_GB2312" w:eastAsia="仿宋_GB2312"/>
      <w:bCs w:val="0"/>
      <w:spacing w:val="4"/>
    </w:rPr>
  </w:style>
  <w:style w:type="paragraph" w:customStyle="1" w:styleId="1351">
    <w:name w:val="表格hy"/>
    <w:qFormat/>
    <w:uiPriority w:val="0"/>
    <w:pPr>
      <w:adjustRightInd w:val="0"/>
      <w:snapToGrid w:val="0"/>
      <w:spacing w:line="0" w:lineRule="atLeast"/>
      <w:jc w:val="center"/>
    </w:pPr>
    <w:rPr>
      <w:rFonts w:ascii="Times New Roman" w:hAnsi="Times New Roman" w:eastAsia="楷体_GB2312" w:cs="Times New Roman"/>
      <w:sz w:val="21"/>
      <w:lang w:val="en-US" w:eastAsia="zh-CN" w:bidi="ar-SA"/>
    </w:rPr>
  </w:style>
  <w:style w:type="paragraph" w:customStyle="1" w:styleId="1352">
    <w:name w:val="Char Char Char Char Char Char Char Char Char Char1 Char Char Char Char Char Char Char Char Char"/>
    <w:basedOn w:val="1"/>
    <w:semiHidden/>
    <w:qFormat/>
    <w:uiPriority w:val="0"/>
    <w:pPr>
      <w:adjustRightInd w:val="0"/>
      <w:spacing w:line="360" w:lineRule="atLeast"/>
      <w:textAlignment w:val="baseline"/>
    </w:pPr>
  </w:style>
  <w:style w:type="paragraph" w:customStyle="1" w:styleId="1353">
    <w:name w:val="样式 样式 左 首行缩进:  2 字符 + 首行缩进:  2 字符"/>
    <w:basedOn w:val="779"/>
    <w:qFormat/>
    <w:uiPriority w:val="0"/>
    <w:pPr>
      <w:jc w:val="both"/>
    </w:pPr>
    <w:rPr>
      <w:szCs w:val="28"/>
    </w:rPr>
  </w:style>
  <w:style w:type="paragraph" w:customStyle="1" w:styleId="1354">
    <w:name w:val="样式2正文0000"/>
    <w:basedOn w:val="1355"/>
    <w:qFormat/>
    <w:uiPriority w:val="0"/>
    <w:rPr>
      <w:kern w:val="0"/>
      <w:lang w:val="zh-CN"/>
    </w:rPr>
  </w:style>
  <w:style w:type="paragraph" w:customStyle="1" w:styleId="1355">
    <w:name w:val="样式 样式 样式 首行缩进:  2 字符 + 首行缩进:  2 字符1 + 首行缩进:  2 字符"/>
    <w:basedOn w:val="1356"/>
    <w:qFormat/>
    <w:uiPriority w:val="0"/>
  </w:style>
  <w:style w:type="paragraph" w:customStyle="1" w:styleId="1356">
    <w:name w:val="样式 样式 首行缩进:  2 字符 + 首行缩进:  2 字符1"/>
    <w:basedOn w:val="522"/>
    <w:qFormat/>
    <w:uiPriority w:val="0"/>
  </w:style>
  <w:style w:type="paragraph" w:customStyle="1" w:styleId="1357">
    <w:name w:val="Char Char Char1 Char Char Char Char Char Char2 Char2"/>
    <w:basedOn w:val="1"/>
    <w:qFormat/>
    <w:uiPriority w:val="0"/>
    <w:rPr>
      <w:szCs w:val="24"/>
    </w:rPr>
  </w:style>
  <w:style w:type="paragraph" w:customStyle="1" w:styleId="1358">
    <w:name w:val="xl6274"/>
    <w:basedOn w:val="1"/>
    <w:qFormat/>
    <w:uiPriority w:val="0"/>
    <w:pPr>
      <w:widowControl/>
      <w:pBdr>
        <w:top w:val="single" w:color="auto" w:sz="4" w:space="0"/>
        <w:bottom w:val="single" w:color="auto" w:sz="4" w:space="0"/>
        <w:right w:val="single" w:color="auto" w:sz="4" w:space="0"/>
      </w:pBdr>
      <w:spacing w:beforeLines="25" w:beforeAutospacing="1" w:after="100" w:afterAutospacing="1" w:line="240" w:lineRule="auto"/>
      <w:ind w:firstLine="0" w:firstLineChars="0"/>
      <w:jc w:val="center"/>
      <w:textAlignment w:val="center"/>
    </w:pPr>
    <w:rPr>
      <w:rFonts w:ascii="宋体" w:hAnsi="宋体" w:eastAsia="宋体" w:cs="宋体"/>
      <w:kern w:val="0"/>
      <w:sz w:val="24"/>
      <w:szCs w:val="24"/>
    </w:rPr>
  </w:style>
  <w:style w:type="paragraph" w:customStyle="1" w:styleId="1359">
    <w:name w:val="LL3"/>
    <w:basedOn w:val="1360"/>
    <w:qFormat/>
    <w:uiPriority w:val="0"/>
    <w:pPr>
      <w:tabs>
        <w:tab w:val="left" w:pos="1134"/>
        <w:tab w:val="left" w:pos="1418"/>
      </w:tabs>
      <w:ind w:firstLine="0"/>
    </w:pPr>
    <w:rPr>
      <w:szCs w:val="24"/>
    </w:rPr>
  </w:style>
  <w:style w:type="paragraph" w:customStyle="1" w:styleId="1360">
    <w:name w:val="LL2"/>
    <w:basedOn w:val="1361"/>
    <w:qFormat/>
    <w:uiPriority w:val="0"/>
    <w:pPr>
      <w:tabs>
        <w:tab w:val="left" w:pos="1134"/>
        <w:tab w:val="left" w:pos="1418"/>
      </w:tabs>
      <w:ind w:left="1985" w:hanging="567"/>
    </w:pPr>
  </w:style>
  <w:style w:type="paragraph" w:customStyle="1" w:styleId="1361">
    <w:name w:val="LL"/>
    <w:basedOn w:val="1362"/>
    <w:qFormat/>
    <w:uiPriority w:val="0"/>
    <w:pPr>
      <w:tabs>
        <w:tab w:val="left" w:pos="1134"/>
      </w:tabs>
      <w:ind w:firstLine="0"/>
    </w:pPr>
  </w:style>
  <w:style w:type="paragraph" w:customStyle="1" w:styleId="1362">
    <w:name w:val="MM"/>
    <w:basedOn w:val="1"/>
    <w:qFormat/>
    <w:uiPriority w:val="0"/>
    <w:pPr>
      <w:tabs>
        <w:tab w:val="left" w:pos="1134"/>
      </w:tabs>
      <w:adjustRightInd w:val="0"/>
      <w:spacing w:before="60" w:after="60" w:line="360" w:lineRule="atLeast"/>
      <w:ind w:left="1560" w:hanging="426"/>
      <w:textAlignment w:val="baseline"/>
    </w:pPr>
    <w:rPr>
      <w:rFonts w:ascii="宋体"/>
      <w:kern w:val="0"/>
      <w:sz w:val="24"/>
      <w:szCs w:val="20"/>
      <w:u w:val="none" w:color="000000"/>
    </w:rPr>
  </w:style>
  <w:style w:type="paragraph" w:customStyle="1" w:styleId="1363">
    <w:name w:val="样式 表内字 + (中文) 宋体 行距: 固定值 12 磅"/>
    <w:basedOn w:val="225"/>
    <w:qFormat/>
    <w:uiPriority w:val="0"/>
    <w:pPr>
      <w:spacing w:line="240" w:lineRule="exact"/>
      <w:ind w:firstLine="0" w:firstLineChars="0"/>
    </w:pPr>
    <w:rPr>
      <w:rFonts w:hAnsi="宋体" w:eastAsia="宋体" w:cs="宋体"/>
      <w:sz w:val="18"/>
      <w:szCs w:val="20"/>
    </w:rPr>
  </w:style>
  <w:style w:type="paragraph" w:customStyle="1" w:styleId="1364">
    <w:name w:val="xl25"/>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Times New Roman" w:eastAsia="宋体"/>
      <w:kern w:val="0"/>
      <w:sz w:val="21"/>
      <w:szCs w:val="21"/>
    </w:rPr>
  </w:style>
  <w:style w:type="paragraph" w:customStyle="1" w:styleId="1365">
    <w:name w:val="标题 02"/>
    <w:basedOn w:val="1366"/>
    <w:qFormat/>
    <w:uiPriority w:val="0"/>
    <w:rPr>
      <w:rFonts w:cs="宋体"/>
      <w:bCs w:val="0"/>
      <w:szCs w:val="20"/>
    </w:rPr>
  </w:style>
  <w:style w:type="paragraph" w:customStyle="1" w:styleId="1366">
    <w:name w:val="标题02"/>
    <w:basedOn w:val="1"/>
    <w:qFormat/>
    <w:uiPriority w:val="0"/>
    <w:pPr>
      <w:spacing w:before="120" w:after="120"/>
      <w:ind w:firstLine="0" w:firstLineChars="0"/>
      <w:jc w:val="left"/>
      <w:outlineLvl w:val="1"/>
    </w:pPr>
    <w:rPr>
      <w:rFonts w:ascii="Arial" w:hAnsi="Arial" w:eastAsia="黑体" w:cs="Arial"/>
      <w:bCs/>
      <w:kern w:val="0"/>
      <w:sz w:val="32"/>
      <w:szCs w:val="32"/>
    </w:rPr>
  </w:style>
  <w:style w:type="paragraph" w:customStyle="1" w:styleId="1367">
    <w:name w:val="表中文字石"/>
    <w:next w:val="1"/>
    <w:qFormat/>
    <w:uiPriority w:val="0"/>
    <w:pPr>
      <w:widowControl w:val="0"/>
      <w:spacing w:before="40" w:after="40"/>
      <w:jc w:val="center"/>
    </w:pPr>
    <w:rPr>
      <w:rFonts w:ascii="Times New Roman" w:hAnsi="Times New Roman" w:eastAsia="宋体" w:cs="Arial"/>
      <w:kern w:val="2"/>
      <w:sz w:val="21"/>
      <w:szCs w:val="24"/>
      <w:lang w:val="en-US" w:eastAsia="zh-CN" w:bidi="ar-SA"/>
    </w:rPr>
  </w:style>
  <w:style w:type="paragraph" w:customStyle="1" w:styleId="1368">
    <w:name w:val="样式 样式5 + 段后: 0.5 行"/>
    <w:basedOn w:val="1"/>
    <w:qFormat/>
    <w:uiPriority w:val="0"/>
    <w:pPr>
      <w:spacing w:beforeLines="50" w:afterLines="50" w:line="240" w:lineRule="auto"/>
      <w:jc w:val="center"/>
    </w:pPr>
    <w:rPr>
      <w:rFonts w:ascii="黑体" w:eastAsia="黑体"/>
      <w:kern w:val="0"/>
      <w:szCs w:val="20"/>
    </w:rPr>
  </w:style>
  <w:style w:type="paragraph" w:customStyle="1" w:styleId="1369">
    <w:name w:val="xl2743"/>
    <w:basedOn w:val="1"/>
    <w:qFormat/>
    <w:uiPriority w:val="0"/>
    <w:pPr>
      <w:widowControl/>
      <w:spacing w:before="100" w:beforeAutospacing="1" w:after="100" w:afterAutospacing="1" w:line="240" w:lineRule="auto"/>
      <w:ind w:firstLine="0" w:firstLineChars="0"/>
      <w:jc w:val="left"/>
    </w:pPr>
    <w:rPr>
      <w:rFonts w:ascii="黑体" w:hAnsi="黑体" w:eastAsia="黑体" w:cs="宋体"/>
      <w:kern w:val="0"/>
      <w:sz w:val="24"/>
      <w:szCs w:val="24"/>
    </w:rPr>
  </w:style>
  <w:style w:type="paragraph" w:customStyle="1" w:styleId="1370">
    <w:name w:val="表格内容1"/>
    <w:basedOn w:val="1"/>
    <w:qFormat/>
    <w:uiPriority w:val="0"/>
    <w:pPr>
      <w:spacing w:line="240" w:lineRule="auto"/>
      <w:ind w:right="3" w:rightChars="3" w:firstLine="0" w:firstLineChars="0"/>
      <w:jc w:val="left"/>
    </w:pPr>
    <w:rPr>
      <w:rFonts w:ascii="Times New Roman" w:eastAsia="宋体" w:cs="Courier New"/>
      <w:kern w:val="0"/>
      <w:sz w:val="21"/>
      <w:szCs w:val="21"/>
    </w:rPr>
  </w:style>
  <w:style w:type="paragraph" w:customStyle="1" w:styleId="1371">
    <w:name w:val="黑体表名"/>
    <w:basedOn w:val="1"/>
    <w:qFormat/>
    <w:uiPriority w:val="0"/>
    <w:pPr>
      <w:adjustRightInd w:val="0"/>
      <w:snapToGrid w:val="0"/>
      <w:spacing w:beforeLines="25" w:line="300" w:lineRule="auto"/>
      <w:ind w:firstLine="560"/>
      <w:jc w:val="center"/>
      <w:textAlignment w:val="baseline"/>
    </w:pPr>
    <w:rPr>
      <w:rFonts w:eastAsia="黑体"/>
      <w:kern w:val="0"/>
      <w:sz w:val="24"/>
      <w:szCs w:val="20"/>
      <w:u w:val="none" w:color="000000"/>
    </w:rPr>
  </w:style>
  <w:style w:type="paragraph" w:customStyle="1" w:styleId="1372">
    <w:name w:val="1 Char Char Char Char Char Char Char Char Char Char Char Char"/>
    <w:basedOn w:val="1"/>
    <w:qFormat/>
    <w:uiPriority w:val="0"/>
    <w:pPr>
      <w:widowControl/>
      <w:spacing w:line="240" w:lineRule="auto"/>
      <w:ind w:firstLine="0" w:firstLineChars="0"/>
      <w:jc w:val="left"/>
    </w:pPr>
    <w:rPr>
      <w:rFonts w:ascii="Times New Roman" w:eastAsia="宋体"/>
      <w:sz w:val="30"/>
      <w:szCs w:val="30"/>
    </w:rPr>
  </w:style>
  <w:style w:type="paragraph" w:customStyle="1" w:styleId="1373">
    <w:name w:val="xl20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18"/>
      <w:szCs w:val="18"/>
    </w:rPr>
  </w:style>
  <w:style w:type="paragraph" w:customStyle="1" w:styleId="1374">
    <w:name w:val="样式 样式 表中文字 + (中文) 楷体_GB2312 五号 + Calibri3"/>
    <w:basedOn w:val="1375"/>
    <w:qFormat/>
    <w:uiPriority w:val="0"/>
    <w:rPr>
      <w:rFonts w:ascii="Calibri" w:hAnsi="Calibri"/>
    </w:rPr>
  </w:style>
  <w:style w:type="paragraph" w:customStyle="1" w:styleId="1375">
    <w:name w:val="样式 表中文字 + (中文) 楷体_GB2312 五号"/>
    <w:basedOn w:val="1051"/>
    <w:qFormat/>
    <w:uiPriority w:val="0"/>
    <w:pPr>
      <w:ind w:firstLine="420" w:firstLineChars="200"/>
    </w:pPr>
    <w:rPr>
      <w:rFonts w:eastAsia="楷体_GB2312" w:cs="宋体"/>
      <w:sz w:val="21"/>
    </w:rPr>
  </w:style>
  <w:style w:type="paragraph" w:customStyle="1" w:styleId="1376">
    <w:name w:val="xl5101"/>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Times New Roman" w:eastAsia="宋体"/>
      <w:kern w:val="0"/>
      <w:sz w:val="20"/>
      <w:szCs w:val="20"/>
    </w:rPr>
  </w:style>
  <w:style w:type="paragraph" w:customStyle="1" w:styleId="1377">
    <w:name w:val="xl2758"/>
    <w:basedOn w:val="1"/>
    <w:qFormat/>
    <w:uiPriority w:val="0"/>
    <w:pPr>
      <w:widowControl/>
      <w:spacing w:before="100" w:beforeAutospacing="1" w:after="100" w:afterAutospacing="1" w:line="240" w:lineRule="auto"/>
      <w:ind w:firstLine="0" w:firstLineChars="0"/>
      <w:jc w:val="center"/>
    </w:pPr>
    <w:rPr>
      <w:rFonts w:ascii="宋体" w:hAnsi="宋体" w:eastAsia="宋体" w:cs="宋体"/>
      <w:kern w:val="0"/>
      <w:sz w:val="20"/>
      <w:szCs w:val="20"/>
    </w:rPr>
  </w:style>
  <w:style w:type="paragraph" w:customStyle="1" w:styleId="1378">
    <w:name w:val="xl2590"/>
    <w:basedOn w:val="1"/>
    <w:qFormat/>
    <w:uiPriority w:val="0"/>
    <w:pPr>
      <w:widowControl/>
      <w:spacing w:before="100" w:beforeAutospacing="1" w:after="100" w:afterAutospacing="1" w:line="240" w:lineRule="auto"/>
      <w:ind w:firstLine="0" w:firstLineChars="0"/>
      <w:jc w:val="center"/>
    </w:pPr>
    <w:rPr>
      <w:rFonts w:ascii="宋体" w:hAnsi="宋体" w:eastAsia="宋体" w:cs="宋体"/>
      <w:kern w:val="0"/>
      <w:sz w:val="24"/>
      <w:szCs w:val="24"/>
    </w:rPr>
  </w:style>
  <w:style w:type="paragraph" w:customStyle="1" w:styleId="1379">
    <w:name w:val="xl2586"/>
    <w:basedOn w:val="1"/>
    <w:qFormat/>
    <w:uiPriority w:val="0"/>
    <w:pPr>
      <w:widowControl/>
      <w:pBdr>
        <w:top w:val="single" w:color="auto" w:sz="4" w:space="0"/>
        <w:left w:val="single" w:color="auto" w:sz="4" w:space="0"/>
        <w:right w:val="single" w:color="auto" w:sz="4" w:space="0"/>
      </w:pBdr>
      <w:spacing w:before="100" w:beforeAutospacing="1" w:after="100" w:afterAutospacing="1" w:line="240" w:lineRule="auto"/>
      <w:ind w:firstLine="0" w:firstLineChars="0"/>
      <w:jc w:val="center"/>
    </w:pPr>
    <w:rPr>
      <w:rFonts w:ascii="楷体_GB2312" w:hAnsi="宋体" w:eastAsia="楷体_GB2312" w:cs="宋体"/>
      <w:kern w:val="0"/>
      <w:sz w:val="20"/>
      <w:szCs w:val="20"/>
    </w:rPr>
  </w:style>
  <w:style w:type="paragraph" w:customStyle="1" w:styleId="1380">
    <w:name w:val="标题33"/>
    <w:basedOn w:val="7"/>
    <w:qFormat/>
    <w:uiPriority w:val="0"/>
    <w:pPr>
      <w:tabs>
        <w:tab w:val="left" w:pos="1134"/>
      </w:tabs>
      <w:adjustRightInd w:val="0"/>
      <w:spacing w:line="360" w:lineRule="auto"/>
      <w:ind w:left="210"/>
      <w:textAlignment w:val="baseline"/>
    </w:pPr>
    <w:rPr>
      <w:rFonts w:ascii="Arial"/>
      <w:bCs w:val="0"/>
      <w:kern w:val="0"/>
      <w:sz w:val="24"/>
      <w:szCs w:val="24"/>
      <w:lang w:val="en-US" w:eastAsia="zh-CN"/>
    </w:rPr>
  </w:style>
  <w:style w:type="paragraph" w:customStyle="1" w:styleId="1381">
    <w:name w:val="大君正文"/>
    <w:basedOn w:val="1"/>
    <w:qFormat/>
    <w:uiPriority w:val="0"/>
    <w:pPr>
      <w:adjustRightInd w:val="0"/>
      <w:snapToGrid w:val="0"/>
      <w:textAlignment w:val="baseline"/>
    </w:pPr>
    <w:rPr>
      <w:rFonts w:hAnsi="宋体" w:cs="宋体"/>
      <w:kern w:val="0"/>
      <w:szCs w:val="20"/>
    </w:rPr>
  </w:style>
  <w:style w:type="paragraph" w:customStyle="1" w:styleId="1382">
    <w:name w:val="样式23"/>
    <w:basedOn w:val="1"/>
    <w:qFormat/>
    <w:uiPriority w:val="0"/>
    <w:pPr>
      <w:spacing w:line="240" w:lineRule="auto"/>
      <w:ind w:firstLine="420"/>
    </w:pPr>
    <w:rPr>
      <w:rFonts w:ascii="Times New Roman" w:eastAsia="华文中宋"/>
      <w:sz w:val="24"/>
      <w:szCs w:val="21"/>
    </w:rPr>
  </w:style>
  <w:style w:type="paragraph" w:customStyle="1" w:styleId="1383">
    <w:name w:val="样式 样式 标题 3标题3白鹤滩标题 3白鹤滩3Sottoparagrafoh33rd levelH3标题13一般标... + ..."/>
    <w:basedOn w:val="1384"/>
    <w:qFormat/>
    <w:uiPriority w:val="0"/>
    <w:pPr>
      <w:spacing w:beforeLines="50" w:afterLines="50"/>
    </w:pPr>
    <w:rPr>
      <w:rFonts w:hAnsi="仿宋_GB2312"/>
    </w:rPr>
  </w:style>
  <w:style w:type="paragraph" w:customStyle="1" w:styleId="1384">
    <w:name w:val="样式 标题 3标题3白鹤滩标题 3白鹤滩3Sottoparagrafoh33rd levelH3标题13一般标..."/>
    <w:basedOn w:val="7"/>
    <w:qFormat/>
    <w:uiPriority w:val="0"/>
    <w:pPr>
      <w:jc w:val="left"/>
    </w:pPr>
    <w:rPr>
      <w:rFonts w:ascii="仿宋_GB2312" w:eastAsia="仿宋_GB2312"/>
      <w:b/>
      <w:szCs w:val="32"/>
    </w:rPr>
  </w:style>
  <w:style w:type="paragraph" w:customStyle="1" w:styleId="1385">
    <w:name w:val="4"/>
    <w:basedOn w:val="1"/>
    <w:next w:val="36"/>
    <w:qFormat/>
    <w:uiPriority w:val="0"/>
    <w:pPr>
      <w:spacing w:line="324" w:lineRule="auto"/>
      <w:ind w:firstLine="459" w:firstLineChars="0"/>
    </w:pPr>
    <w:rPr>
      <w:rFonts w:ascii="Times New Roman" w:eastAsia="宋体"/>
      <w:spacing w:val="15"/>
      <w:kern w:val="0"/>
      <w:sz w:val="24"/>
      <w:szCs w:val="20"/>
    </w:rPr>
  </w:style>
  <w:style w:type="paragraph" w:customStyle="1" w:styleId="1386">
    <w:name w:val="样式 标题 2 + Times New Roman 四号 黑色"/>
    <w:basedOn w:val="5"/>
    <w:qFormat/>
    <w:uiPriority w:val="0"/>
    <w:pPr>
      <w:keepNext/>
      <w:keepLines/>
      <w:spacing w:before="0" w:after="0" w:line="400" w:lineRule="exact"/>
    </w:pPr>
    <w:rPr>
      <w:rFonts w:ascii="Times New Roman" w:hAnsi="Times New Roman"/>
      <w:color w:val="000000"/>
      <w:sz w:val="28"/>
      <w:szCs w:val="32"/>
    </w:rPr>
  </w:style>
  <w:style w:type="paragraph" w:customStyle="1" w:styleId="1387">
    <w:name w:val="xl2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Times New Roman" w:eastAsia="Arial Unicode MS"/>
      <w:kern w:val="0"/>
      <w:sz w:val="20"/>
      <w:szCs w:val="20"/>
    </w:rPr>
  </w:style>
  <w:style w:type="paragraph" w:customStyle="1" w:styleId="1388">
    <w:name w:val="xl234"/>
    <w:basedOn w:val="1"/>
    <w:qFormat/>
    <w:uiPriority w:val="0"/>
    <w:pPr>
      <w:widowControl/>
      <w:pBdr>
        <w:top w:val="single" w:color="auto" w:sz="4" w:space="0"/>
        <w:left w:val="single" w:color="auto" w:sz="4" w:space="0"/>
        <w:bottom w:val="single" w:color="auto" w:sz="4" w:space="0"/>
        <w:right w:val="single" w:color="auto" w:sz="4" w:space="0"/>
      </w:pBdr>
      <w:adjustRightInd w:val="0"/>
      <w:snapToGrid w:val="0"/>
      <w:spacing w:before="100" w:beforeAutospacing="1" w:after="100" w:afterAutospacing="1" w:line="360" w:lineRule="auto"/>
      <w:ind w:firstLine="0" w:firstLineChars="0"/>
      <w:jc w:val="center"/>
    </w:pPr>
    <w:rPr>
      <w:rFonts w:ascii="宋体" w:hAnsi="宋体" w:eastAsia="宋体" w:cs="宋体"/>
      <w:kern w:val="0"/>
      <w:sz w:val="24"/>
      <w:szCs w:val="24"/>
    </w:rPr>
  </w:style>
  <w:style w:type="paragraph" w:customStyle="1" w:styleId="1389">
    <w:name w:val="xl3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Times New Roman" w:eastAsia="Arial Unicode MS"/>
      <w:kern w:val="0"/>
      <w:sz w:val="20"/>
      <w:szCs w:val="20"/>
    </w:rPr>
  </w:style>
  <w:style w:type="paragraph" w:customStyle="1" w:styleId="1390">
    <w:name w:val="表题 Char Char Char Char"/>
    <w:basedOn w:val="1"/>
    <w:qFormat/>
    <w:uiPriority w:val="0"/>
    <w:pPr>
      <w:spacing w:line="360" w:lineRule="auto"/>
      <w:ind w:firstLine="0" w:firstLineChars="0"/>
      <w:jc w:val="center"/>
    </w:pPr>
    <w:rPr>
      <w:rFonts w:ascii="Times New Roman" w:eastAsia="黑体"/>
      <w:sz w:val="24"/>
      <w:szCs w:val="24"/>
    </w:rPr>
  </w:style>
  <w:style w:type="paragraph" w:customStyle="1" w:styleId="1391">
    <w:name w:val="样式 (中文) 仿宋_GB2312 四号"/>
    <w:basedOn w:val="1"/>
    <w:qFormat/>
    <w:uiPriority w:val="0"/>
    <w:pPr>
      <w:spacing w:line="240" w:lineRule="auto"/>
      <w:ind w:firstLine="0" w:firstLineChars="0"/>
    </w:pPr>
    <w:rPr>
      <w:rFonts w:ascii="Times New Roman" w:cs="宋体"/>
      <w:szCs w:val="20"/>
    </w:rPr>
  </w:style>
  <w:style w:type="paragraph" w:customStyle="1" w:styleId="1392">
    <w:name w:val="xl2266"/>
    <w:basedOn w:val="1"/>
    <w:qFormat/>
    <w:uiPriority w:val="0"/>
    <w:pPr>
      <w:widowControl/>
      <w:pBdr>
        <w:left w:val="single" w:color="auto" w:sz="4" w:space="0"/>
        <w:right w:val="single" w:color="auto" w:sz="4" w:space="0"/>
      </w:pBdr>
      <w:spacing w:before="100" w:beforeAutospacing="1" w:after="100" w:afterAutospacing="1" w:line="240" w:lineRule="auto"/>
      <w:ind w:firstLine="0" w:firstLineChars="0"/>
      <w:jc w:val="center"/>
    </w:pPr>
    <w:rPr>
      <w:rFonts w:ascii="楷体_GB2312" w:hAnsi="宋体" w:eastAsia="楷体_GB2312" w:cs="宋体"/>
      <w:kern w:val="0"/>
      <w:sz w:val="20"/>
      <w:szCs w:val="20"/>
    </w:rPr>
  </w:style>
  <w:style w:type="paragraph" w:customStyle="1" w:styleId="1393">
    <w:name w:val="样式5表头00"/>
    <w:basedOn w:val="1"/>
    <w:qFormat/>
    <w:uiPriority w:val="0"/>
    <w:pPr>
      <w:adjustRightInd w:val="0"/>
      <w:spacing w:after="60"/>
      <w:ind w:firstLine="100" w:firstLineChars="100"/>
      <w:outlineLvl w:val="7"/>
    </w:pPr>
    <w:rPr>
      <w:rFonts w:ascii="黑体" w:hAnsi="仿宋" w:eastAsia="黑体" w:cs="宋体"/>
      <w:sz w:val="24"/>
    </w:rPr>
  </w:style>
  <w:style w:type="paragraph" w:customStyle="1" w:styleId="1394">
    <w:name w:val="样式10"/>
    <w:basedOn w:val="1"/>
    <w:qFormat/>
    <w:uiPriority w:val="0"/>
    <w:pPr>
      <w:widowControl/>
      <w:adjustRightInd w:val="0"/>
      <w:snapToGrid w:val="0"/>
      <w:spacing w:line="355" w:lineRule="auto"/>
    </w:pPr>
    <w:rPr>
      <w:rFonts w:ascii="宋体" w:hAnsi="宋体"/>
      <w:kern w:val="0"/>
      <w:szCs w:val="22"/>
      <w:lang w:bidi="en-US"/>
    </w:rPr>
  </w:style>
  <w:style w:type="paragraph" w:customStyle="1" w:styleId="1395">
    <w:name w:val="表头00"/>
    <w:basedOn w:val="1"/>
    <w:qFormat/>
    <w:uiPriority w:val="0"/>
    <w:pPr>
      <w:spacing w:after="60"/>
      <w:ind w:firstLine="100" w:firstLineChars="100"/>
    </w:pPr>
    <w:rPr>
      <w:rFonts w:ascii="黑体" w:eastAsia="黑体"/>
      <w:sz w:val="24"/>
      <w:szCs w:val="20"/>
    </w:rPr>
  </w:style>
  <w:style w:type="paragraph" w:customStyle="1" w:styleId="1396">
    <w:name w:val="xl6264"/>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Times New Roman" w:eastAsia="宋体"/>
      <w:kern w:val="0"/>
      <w:sz w:val="20"/>
      <w:szCs w:val="20"/>
    </w:rPr>
  </w:style>
  <w:style w:type="paragraph" w:customStyle="1" w:styleId="1397">
    <w:name w:val="表名图名"/>
    <w:qFormat/>
    <w:uiPriority w:val="0"/>
    <w:pPr>
      <w:widowControl w:val="0"/>
      <w:spacing w:before="120" w:after="60"/>
      <w:jc w:val="center"/>
    </w:pPr>
    <w:rPr>
      <w:rFonts w:ascii="Times New Roman" w:hAnsi="Times New Roman" w:eastAsia="黑体" w:cs="Times New Roman"/>
      <w:kern w:val="2"/>
      <w:sz w:val="24"/>
      <w:lang w:val="en-US" w:eastAsia="zh-CN" w:bidi="ar-SA"/>
    </w:rPr>
  </w:style>
  <w:style w:type="paragraph" w:customStyle="1" w:styleId="1398">
    <w:name w:val="样式 样式 表中文字 + (中文) 楷体_GB2312 五号 + Calibri1"/>
    <w:basedOn w:val="1375"/>
    <w:qFormat/>
    <w:uiPriority w:val="0"/>
    <w:pPr>
      <w:ind w:firstLine="0" w:firstLineChars="0"/>
    </w:pPr>
    <w:rPr>
      <w:rFonts w:ascii="Calibri" w:hAnsi="Calibri"/>
    </w:rPr>
  </w:style>
  <w:style w:type="paragraph" w:customStyle="1" w:styleId="1399">
    <w:name w:val="样式35"/>
    <w:basedOn w:val="1"/>
    <w:qFormat/>
    <w:uiPriority w:val="0"/>
    <w:pPr>
      <w:spacing w:beforeLines="50" w:afterLines="50" w:line="240" w:lineRule="auto"/>
      <w:ind w:firstLine="0" w:firstLineChars="0"/>
    </w:pPr>
    <w:rPr>
      <w:rFonts w:ascii="Times New Roman" w:eastAsia="华文中宋"/>
      <w:b/>
      <w:sz w:val="30"/>
      <w:szCs w:val="24"/>
    </w:rPr>
  </w:style>
  <w:style w:type="paragraph" w:customStyle="1" w:styleId="1400">
    <w:name w:val="表格样式"/>
    <w:basedOn w:val="1"/>
    <w:qFormat/>
    <w:uiPriority w:val="0"/>
    <w:pPr>
      <w:numPr>
        <w:ilvl w:val="0"/>
        <w:numId w:val="4"/>
      </w:numPr>
      <w:tabs>
        <w:tab w:val="clear" w:pos="360"/>
      </w:tabs>
      <w:spacing w:line="240" w:lineRule="auto"/>
      <w:ind w:left="0" w:firstLine="0" w:firstLineChars="0"/>
    </w:pPr>
    <w:rPr>
      <w:rFonts w:ascii="Times New Roman" w:eastAsia="宋体"/>
      <w:sz w:val="18"/>
      <w:szCs w:val="18"/>
    </w:rPr>
  </w:style>
  <w:style w:type="paragraph" w:customStyle="1" w:styleId="1401">
    <w:name w:val="表名称"/>
    <w:basedOn w:val="1"/>
    <w:qFormat/>
    <w:uiPriority w:val="0"/>
    <w:pPr>
      <w:suppressLineNumbers/>
      <w:suppressAutoHyphens/>
      <w:topLinePunct/>
      <w:adjustRightInd w:val="0"/>
      <w:snapToGrid w:val="0"/>
      <w:spacing w:beforeLines="50" w:afterLines="30"/>
      <w:ind w:firstLine="480"/>
    </w:pPr>
    <w:rPr>
      <w:rFonts w:ascii="黑体" w:eastAsia="黑体"/>
      <w:sz w:val="24"/>
      <w:u w:val="none" w:color="000000"/>
    </w:rPr>
  </w:style>
  <w:style w:type="paragraph" w:customStyle="1" w:styleId="1402">
    <w:name w:val="样式 楷体_GB2312 10 磅 右"/>
    <w:basedOn w:val="1"/>
    <w:qFormat/>
    <w:uiPriority w:val="0"/>
    <w:pPr>
      <w:spacing w:line="240" w:lineRule="auto"/>
      <w:ind w:firstLine="0" w:firstLineChars="0"/>
      <w:jc w:val="right"/>
    </w:pPr>
    <w:rPr>
      <w:rFonts w:ascii="楷体_GB2312" w:hAnsi="宋体" w:eastAsia="楷体_GB2312" w:cs="宋体"/>
      <w:sz w:val="20"/>
      <w:szCs w:val="20"/>
    </w:rPr>
  </w:style>
  <w:style w:type="paragraph" w:customStyle="1" w:styleId="1403">
    <w:name w:val="卢军"/>
    <w:basedOn w:val="1"/>
    <w:qFormat/>
    <w:uiPriority w:val="0"/>
    <w:pPr>
      <w:spacing w:line="360" w:lineRule="auto"/>
      <w:ind w:firstLine="523" w:firstLineChars="218"/>
    </w:pPr>
    <w:rPr>
      <w:rFonts w:ascii="宋体" w:eastAsia="宋体" w:cs="宋体"/>
      <w:kern w:val="0"/>
      <w:sz w:val="24"/>
      <w:szCs w:val="20"/>
    </w:rPr>
  </w:style>
  <w:style w:type="paragraph" w:customStyle="1" w:styleId="1404">
    <w:name w:val="xl2578"/>
    <w:basedOn w:val="1"/>
    <w:qFormat/>
    <w:uiPriority w:val="0"/>
    <w:pPr>
      <w:widowControl/>
      <w:pBdr>
        <w:top w:val="single" w:color="auto" w:sz="4" w:space="0"/>
        <w:right w:val="single" w:color="auto" w:sz="4" w:space="0"/>
      </w:pBdr>
      <w:spacing w:before="100" w:beforeAutospacing="1" w:after="100" w:afterAutospacing="1" w:line="240" w:lineRule="auto"/>
      <w:ind w:firstLine="0" w:firstLineChars="0"/>
      <w:jc w:val="center"/>
    </w:pPr>
    <w:rPr>
      <w:rFonts w:ascii="楷体_GB2312" w:hAnsi="宋体" w:eastAsia="楷体_GB2312" w:cs="宋体"/>
      <w:kern w:val="0"/>
      <w:sz w:val="20"/>
      <w:szCs w:val="20"/>
    </w:rPr>
  </w:style>
  <w:style w:type="paragraph" w:customStyle="1" w:styleId="1405">
    <w:name w:val="Char Char Char Char Char Char Char Char Char Char Char Char Char1"/>
    <w:basedOn w:val="1"/>
    <w:qFormat/>
    <w:uiPriority w:val="0"/>
    <w:pPr>
      <w:spacing w:line="360" w:lineRule="auto"/>
    </w:pPr>
    <w:rPr>
      <w:rFonts w:ascii="宋体" w:hAnsi="宋体"/>
      <w:sz w:val="24"/>
      <w:szCs w:val="24"/>
    </w:rPr>
  </w:style>
  <w:style w:type="paragraph" w:customStyle="1" w:styleId="1406">
    <w:name w:val="xl219"/>
    <w:basedOn w:val="1"/>
    <w:qFormat/>
    <w:uiPriority w:val="0"/>
    <w:pPr>
      <w:widowControl/>
      <w:pBdr>
        <w:top w:val="single" w:color="auto" w:sz="4" w:space="0"/>
        <w:left w:val="single" w:color="auto" w:sz="4" w:space="0"/>
        <w:bottom w:val="single" w:color="auto" w:sz="4" w:space="0"/>
        <w:right w:val="single" w:color="auto" w:sz="4" w:space="0"/>
      </w:pBdr>
      <w:adjustRightInd w:val="0"/>
      <w:snapToGrid w:val="0"/>
      <w:spacing w:before="100" w:beforeAutospacing="1" w:after="100" w:afterAutospacing="1" w:line="360" w:lineRule="auto"/>
      <w:ind w:firstLine="0" w:firstLineChars="0"/>
      <w:jc w:val="center"/>
    </w:pPr>
    <w:rPr>
      <w:rFonts w:ascii="Times New Roman" w:eastAsia="宋体"/>
      <w:kern w:val="0"/>
      <w:sz w:val="24"/>
      <w:szCs w:val="24"/>
    </w:rPr>
  </w:style>
  <w:style w:type="paragraph" w:customStyle="1" w:styleId="1407">
    <w:name w:val="正文文本缩进 261"/>
    <w:basedOn w:val="1"/>
    <w:next w:val="52"/>
    <w:semiHidden/>
    <w:qFormat/>
    <w:uiPriority w:val="0"/>
    <w:pPr>
      <w:ind w:firstLine="555"/>
    </w:pPr>
    <w:rPr>
      <w:rFonts w:ascii="宋体"/>
      <w:sz w:val="24"/>
      <w:szCs w:val="20"/>
    </w:rPr>
  </w:style>
  <w:style w:type="paragraph" w:customStyle="1" w:styleId="1408">
    <w:name w:val="样式18"/>
    <w:basedOn w:val="1"/>
    <w:qFormat/>
    <w:uiPriority w:val="0"/>
    <w:pPr>
      <w:tabs>
        <w:tab w:val="left" w:pos="480"/>
      </w:tabs>
      <w:spacing w:line="300" w:lineRule="exact"/>
      <w:ind w:left="-120" w:leftChars="-50" w:right="-120" w:rightChars="-50"/>
      <w:jc w:val="center"/>
    </w:pPr>
    <w:rPr>
      <w:rFonts w:ascii="Times New Roman" w:eastAsia="华文中宋"/>
      <w:color w:val="000000"/>
      <w:sz w:val="24"/>
      <w:szCs w:val="24"/>
    </w:rPr>
  </w:style>
  <w:style w:type="paragraph" w:customStyle="1" w:styleId="1409">
    <w:name w:val="xl37"/>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Arial Unicode MS" w:hAnsi="Arial Unicode MS" w:eastAsia="Arial Unicode MS" w:cs="Arial Unicode MS"/>
      <w:kern w:val="0"/>
      <w:sz w:val="24"/>
      <w:szCs w:val="24"/>
    </w:rPr>
  </w:style>
  <w:style w:type="paragraph" w:customStyle="1" w:styleId="1410">
    <w:name w:val="楷体"/>
    <w:basedOn w:val="1276"/>
    <w:qFormat/>
    <w:uiPriority w:val="0"/>
    <w:pPr>
      <w:spacing w:before="240" w:after="120"/>
      <w:ind w:firstLine="200" w:firstLineChars="200"/>
      <w:outlineLvl w:val="9"/>
    </w:pPr>
    <w:rPr>
      <w:rFonts w:ascii="楷体_GB2312" w:hAnsi="宋体" w:eastAsia="楷体_GB2312"/>
      <w:color w:val="000000"/>
    </w:rPr>
  </w:style>
  <w:style w:type="paragraph" w:customStyle="1" w:styleId="1411">
    <w:name w:val=":("/>
    <w:semiHidden/>
    <w:qFormat/>
    <w:uiPriority w:val="0"/>
    <w:pPr>
      <w:overflowPunct w:val="0"/>
      <w:autoSpaceDE w:val="0"/>
      <w:autoSpaceDN w:val="0"/>
      <w:adjustRightInd w:val="0"/>
      <w:textAlignment w:val="baseline"/>
    </w:pPr>
    <w:rPr>
      <w:rFonts w:ascii="Times New Roman" w:hAnsi="Times New Roman" w:eastAsia="宋体" w:cs="Times New Roman"/>
      <w:lang w:val="en-US" w:eastAsia="zh-CN" w:bidi="ar-SA"/>
    </w:rPr>
  </w:style>
  <w:style w:type="paragraph" w:customStyle="1" w:styleId="1412">
    <w:name w:val="样式 (中文) 仿宋_GB2312 四号 行距: 固定值 28 磅"/>
    <w:basedOn w:val="1"/>
    <w:qFormat/>
    <w:uiPriority w:val="0"/>
    <w:rPr>
      <w:rFonts w:cs="宋体"/>
      <w:spacing w:val="-4"/>
      <w:szCs w:val="20"/>
    </w:rPr>
  </w:style>
  <w:style w:type="paragraph" w:customStyle="1" w:styleId="1413">
    <w:name w:val="xl6269"/>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textAlignment w:val="center"/>
    </w:pPr>
    <w:rPr>
      <w:rFonts w:ascii="Times New Roman" w:eastAsia="宋体"/>
      <w:kern w:val="0"/>
      <w:sz w:val="24"/>
      <w:szCs w:val="24"/>
    </w:rPr>
  </w:style>
  <w:style w:type="paragraph" w:customStyle="1" w:styleId="1414">
    <w:name w:val="xl2814"/>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pPr>
    <w:rPr>
      <w:rFonts w:ascii="宋体" w:hAnsi="宋体" w:eastAsia="宋体" w:cs="宋体"/>
      <w:kern w:val="0"/>
      <w:sz w:val="24"/>
      <w:szCs w:val="24"/>
    </w:rPr>
  </w:style>
  <w:style w:type="paragraph" w:customStyle="1" w:styleId="1415">
    <w:name w:val="xl2582"/>
    <w:basedOn w:val="1"/>
    <w:qFormat/>
    <w:uiPriority w:val="0"/>
    <w:pPr>
      <w:widowControl/>
      <w:pBdr>
        <w:top w:val="single" w:color="auto" w:sz="4" w:space="0"/>
        <w:bottom w:val="single" w:color="auto" w:sz="4" w:space="0"/>
      </w:pBdr>
      <w:spacing w:before="100" w:beforeAutospacing="1" w:after="100" w:afterAutospacing="1" w:line="240" w:lineRule="auto"/>
      <w:ind w:firstLine="0" w:firstLineChars="0"/>
      <w:jc w:val="center"/>
    </w:pPr>
    <w:rPr>
      <w:rFonts w:ascii="楷体_GB2312" w:hAnsi="宋体" w:eastAsia="楷体_GB2312" w:cs="宋体"/>
      <w:kern w:val="0"/>
      <w:sz w:val="20"/>
      <w:szCs w:val="20"/>
    </w:rPr>
  </w:style>
  <w:style w:type="paragraph" w:customStyle="1" w:styleId="1416">
    <w:name w:val="xl138"/>
    <w:basedOn w:val="1"/>
    <w:qFormat/>
    <w:uiPriority w:val="0"/>
    <w:pPr>
      <w:widowControl/>
      <w:pBdr>
        <w:top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20"/>
      <w:szCs w:val="20"/>
    </w:rPr>
  </w:style>
  <w:style w:type="paragraph" w:customStyle="1" w:styleId="1417">
    <w:name w:val="1.1.1"/>
    <w:basedOn w:val="1"/>
    <w:qFormat/>
    <w:uiPriority w:val="0"/>
    <w:pPr>
      <w:spacing w:beforeLines="50" w:afterLines="50" w:line="460" w:lineRule="exact"/>
      <w:ind w:firstLine="0" w:firstLineChars="0"/>
    </w:pPr>
    <w:rPr>
      <w:rFonts w:ascii="Times New Roman" w:eastAsia="黑体"/>
      <w:b/>
      <w:sz w:val="30"/>
      <w:szCs w:val="20"/>
    </w:rPr>
  </w:style>
  <w:style w:type="paragraph" w:customStyle="1" w:styleId="1418">
    <w:name w:val="样式 表格 + Times New Roman 黑色 两端对齐 行距: 固定值 12 磅"/>
    <w:basedOn w:val="66"/>
    <w:semiHidden/>
    <w:qFormat/>
    <w:uiPriority w:val="0"/>
    <w:pPr>
      <w:spacing w:line="240" w:lineRule="exact"/>
      <w:ind w:left="0" w:firstLine="0" w:firstLineChars="0"/>
      <w:textAlignment w:val="baseline"/>
    </w:pPr>
    <w:rPr>
      <w:rFonts w:eastAsia="楷体_GB2312" w:cs="宋体"/>
      <w:color w:val="000000"/>
      <w:kern w:val="0"/>
      <w:sz w:val="21"/>
    </w:rPr>
  </w:style>
  <w:style w:type="paragraph" w:customStyle="1" w:styleId="1419">
    <w:name w:val="xl11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ascii="Times New Roman" w:eastAsia="宋体"/>
      <w:kern w:val="0"/>
      <w:sz w:val="20"/>
      <w:szCs w:val="20"/>
    </w:rPr>
  </w:style>
  <w:style w:type="paragraph" w:customStyle="1" w:styleId="1420">
    <w:name w:val="xl2594"/>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firstLineChars="0"/>
      <w:jc w:val="left"/>
    </w:pPr>
    <w:rPr>
      <w:rFonts w:ascii="宋体" w:hAnsi="宋体" w:eastAsia="宋体" w:cs="宋体"/>
      <w:kern w:val="0"/>
      <w:sz w:val="24"/>
      <w:szCs w:val="24"/>
    </w:rPr>
  </w:style>
  <w:style w:type="paragraph" w:customStyle="1" w:styleId="1421">
    <w:name w:val="普通(Web)"/>
    <w:basedOn w:val="1"/>
    <w:qFormat/>
    <w:uiPriority w:val="0"/>
    <w:pPr>
      <w:widowControl/>
      <w:spacing w:before="100" w:after="100"/>
      <w:jc w:val="left"/>
    </w:pPr>
    <w:rPr>
      <w:rFonts w:ascii="宋体" w:hAnsi="宋体"/>
      <w:kern w:val="0"/>
      <w:u w:val="none" w:color="000000"/>
    </w:rPr>
  </w:style>
  <w:style w:type="paragraph" w:customStyle="1" w:styleId="1422">
    <w:name w:val="样式 标题 1 + 段前: 0.5 行 段后: 0.5 行2"/>
    <w:basedOn w:val="4"/>
    <w:qFormat/>
    <w:uiPriority w:val="0"/>
    <w:pPr>
      <w:keepNext/>
      <w:keepLines/>
      <w:spacing w:beforeLines="50" w:after="120" w:afterLines="50" w:line="440" w:lineRule="exact"/>
      <w:jc w:val="center"/>
    </w:pPr>
    <w:rPr>
      <w:rFonts w:ascii="Times New Roman" w:hAnsi="Times New Roman"/>
      <w:b/>
      <w:sz w:val="32"/>
      <w:szCs w:val="32"/>
    </w:rPr>
  </w:style>
  <w:style w:type="paragraph" w:customStyle="1" w:styleId="1423">
    <w:name w:val="正文 Char Char Char"/>
    <w:basedOn w:val="1"/>
    <w:qFormat/>
    <w:uiPriority w:val="0"/>
    <w:pPr>
      <w:adjustRightInd w:val="0"/>
      <w:ind w:firstLine="560"/>
      <w:textAlignment w:val="baseline"/>
    </w:pPr>
    <w:rPr>
      <w:rFonts w:hAnsi="仿宋_GB2312" w:cs="Courier New"/>
      <w:szCs w:val="21"/>
    </w:rPr>
  </w:style>
  <w:style w:type="paragraph" w:customStyle="1" w:styleId="1424">
    <w:name w:val="样式 标题 3SottoparagrafoChar1 Char Char Char3h33rd levelH3l3..."/>
    <w:basedOn w:val="7"/>
    <w:qFormat/>
    <w:uiPriority w:val="0"/>
    <w:pPr>
      <w:keepNext/>
      <w:keepLines/>
    </w:pPr>
    <w:rPr>
      <w:bCs w:val="0"/>
      <w:sz w:val="30"/>
      <w:szCs w:val="32"/>
    </w:rPr>
  </w:style>
  <w:style w:type="paragraph" w:customStyle="1" w:styleId="1425">
    <w:name w:val="样式 样式4 + 五号 首行缩进:  2 字符"/>
    <w:basedOn w:val="265"/>
    <w:qFormat/>
    <w:uiPriority w:val="0"/>
    <w:pPr>
      <w:spacing w:line="240" w:lineRule="auto"/>
      <w:ind w:firstLine="420"/>
      <w:outlineLvl w:val="9"/>
    </w:pPr>
    <w:rPr>
      <w:rFonts w:ascii="Times New Roman" w:hAnsi="Times New Roman" w:eastAsia="华文中宋" w:cs="Times New Roman"/>
      <w:sz w:val="21"/>
    </w:rPr>
  </w:style>
  <w:style w:type="paragraph" w:customStyle="1" w:styleId="1426">
    <w:name w:val="正文样式3"/>
    <w:basedOn w:val="1"/>
    <w:semiHidden/>
    <w:qFormat/>
    <w:uiPriority w:val="0"/>
    <w:pPr>
      <w:keepLines/>
      <w:adjustRightInd w:val="0"/>
      <w:spacing w:line="20" w:lineRule="atLeast"/>
      <w:ind w:firstLine="0" w:firstLineChars="0"/>
      <w:jc w:val="center"/>
      <w:textAlignment w:val="baseline"/>
    </w:pPr>
    <w:rPr>
      <w:rFonts w:ascii="Times New Roman" w:eastAsia="宋体"/>
      <w:kern w:val="0"/>
      <w:sz w:val="24"/>
      <w:szCs w:val="20"/>
    </w:rPr>
  </w:style>
  <w:style w:type="paragraph" w:customStyle="1" w:styleId="1427">
    <w:name w:val="样式 首行缩进:  2 字符8"/>
    <w:basedOn w:val="1"/>
    <w:qFormat/>
    <w:uiPriority w:val="0"/>
    <w:pPr>
      <w:ind w:firstLine="560"/>
    </w:pPr>
    <w:rPr>
      <w:rFonts w:hAnsi="Calibri" w:cs="宋体"/>
      <w:kern w:val="0"/>
      <w:szCs w:val="20"/>
    </w:rPr>
  </w:style>
  <w:style w:type="paragraph" w:customStyle="1" w:styleId="1428">
    <w:name w:val="xl1584"/>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textAlignment w:val="center"/>
    </w:pPr>
    <w:rPr>
      <w:rFonts w:ascii="Times New Roman" w:eastAsia="宋体"/>
      <w:kern w:val="0"/>
      <w:sz w:val="24"/>
      <w:szCs w:val="24"/>
    </w:rPr>
  </w:style>
  <w:style w:type="paragraph" w:customStyle="1" w:styleId="1429">
    <w:name w:val="font1"/>
    <w:basedOn w:val="1"/>
    <w:qFormat/>
    <w:uiPriority w:val="0"/>
    <w:pPr>
      <w:widowControl/>
      <w:spacing w:before="100" w:beforeAutospacing="1" w:after="100" w:afterAutospacing="1" w:line="240" w:lineRule="auto"/>
      <w:ind w:firstLine="0" w:firstLineChars="0"/>
      <w:jc w:val="left"/>
    </w:pPr>
    <w:rPr>
      <w:rFonts w:ascii="宋体" w:hAnsi="宋体" w:eastAsia="宋体" w:cs="宋体"/>
      <w:kern w:val="0"/>
      <w:sz w:val="24"/>
      <w:szCs w:val="24"/>
    </w:rPr>
  </w:style>
  <w:style w:type="paragraph" w:customStyle="1" w:styleId="1430">
    <w:name w:val="文章副标题"/>
    <w:basedOn w:val="1"/>
    <w:next w:val="1"/>
    <w:qFormat/>
    <w:uiPriority w:val="0"/>
    <w:pPr>
      <w:widowControl/>
      <w:spacing w:before="187" w:after="175" w:line="374" w:lineRule="atLeast"/>
      <w:ind w:firstLine="0"/>
      <w:jc w:val="center"/>
      <w:textAlignment w:val="baseline"/>
    </w:pPr>
    <w:rPr>
      <w:rFonts w:ascii="Times New Roman" w:eastAsia="宋体"/>
      <w:color w:val="000000"/>
      <w:kern w:val="0"/>
      <w:sz w:val="36"/>
      <w:u w:val="none" w:color="000000"/>
    </w:rPr>
  </w:style>
  <w:style w:type="paragraph" w:customStyle="1" w:styleId="1431">
    <w:name w:val="样式 标题 4 + (中文) 宋体 小四"/>
    <w:basedOn w:val="8"/>
    <w:qFormat/>
    <w:uiPriority w:val="0"/>
    <w:pPr>
      <w:numPr>
        <w:ilvl w:val="3"/>
        <w:numId w:val="0"/>
      </w:numPr>
      <w:tabs>
        <w:tab w:val="left" w:pos="864"/>
      </w:tabs>
      <w:spacing w:before="0" w:after="0" w:line="376" w:lineRule="auto"/>
      <w:ind w:left="864" w:hanging="864"/>
      <w:jc w:val="left"/>
    </w:pPr>
    <w:rPr>
      <w:rFonts w:ascii="Arial" w:hAnsi="Arial"/>
      <w:sz w:val="24"/>
    </w:rPr>
  </w:style>
  <w:style w:type="paragraph" w:customStyle="1" w:styleId="1432">
    <w:name w:val="xl112"/>
    <w:basedOn w:val="1"/>
    <w:qFormat/>
    <w:uiPriority w:val="0"/>
    <w:pPr>
      <w:widowControl/>
      <w:pBdr>
        <w:top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18"/>
      <w:szCs w:val="18"/>
    </w:rPr>
  </w:style>
  <w:style w:type="paragraph" w:customStyle="1" w:styleId="1433">
    <w:name w:val="xl7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Times New Roman" w:eastAsia="宋体"/>
      <w:kern w:val="0"/>
      <w:sz w:val="18"/>
      <w:szCs w:val="18"/>
    </w:rPr>
  </w:style>
  <w:style w:type="paragraph" w:customStyle="1" w:styleId="1434">
    <w:name w:val="样式 标题 3标题 3 Charl3CTl3+toc 3heading 3h3Sub-section Title..."/>
    <w:basedOn w:val="7"/>
    <w:qFormat/>
    <w:uiPriority w:val="0"/>
    <w:pPr>
      <w:keepNext w:val="0"/>
      <w:widowControl w:val="0"/>
      <w:overflowPunct w:val="0"/>
      <w:spacing w:before="0" w:after="0" w:line="560" w:lineRule="exact"/>
    </w:pPr>
    <w:rPr>
      <w:rFonts w:ascii="Arial" w:hAnsi="Arial" w:eastAsia="方正小标宋_GBK" w:cs="宋体"/>
      <w:bCs w:val="0"/>
      <w:kern w:val="2"/>
      <w:sz w:val="28"/>
      <w:szCs w:val="28"/>
    </w:rPr>
  </w:style>
  <w:style w:type="paragraph" w:customStyle="1" w:styleId="1435">
    <w:name w:val="昆院一级标题"/>
    <w:basedOn w:val="4"/>
    <w:semiHidden/>
    <w:qFormat/>
    <w:uiPriority w:val="0"/>
    <w:pPr>
      <w:keepNext/>
      <w:keepLines/>
      <w:tabs>
        <w:tab w:val="left" w:pos="1440"/>
        <w:tab w:val="left" w:pos="8080"/>
      </w:tabs>
      <w:adjustRightInd w:val="0"/>
      <w:spacing w:before="400" w:after="240" w:line="360" w:lineRule="auto"/>
      <w:jc w:val="both"/>
    </w:pPr>
    <w:rPr>
      <w:rFonts w:ascii="宋体" w:hAnsi="Arial"/>
      <w:bCs w:val="0"/>
      <w:snapToGrid w:val="0"/>
      <w:color w:val="000000"/>
      <w:spacing w:val="12"/>
      <w:szCs w:val="30"/>
      <w:lang w:val="en-US" w:eastAsia="zh-CN"/>
    </w:rPr>
  </w:style>
  <w:style w:type="paragraph" w:customStyle="1" w:styleId="1436">
    <w:name w:val="xl2254"/>
    <w:basedOn w:val="1"/>
    <w:qFormat/>
    <w:uiPriority w:val="0"/>
    <w:pPr>
      <w:widowControl/>
      <w:pBdr>
        <w:top w:val="single" w:color="auto" w:sz="4" w:space="0"/>
        <w:bottom w:val="single" w:color="auto" w:sz="4" w:space="0"/>
      </w:pBdr>
      <w:spacing w:before="100" w:beforeAutospacing="1" w:after="100" w:afterAutospacing="1" w:line="240" w:lineRule="auto"/>
      <w:ind w:firstLine="0" w:firstLineChars="0"/>
      <w:jc w:val="left"/>
    </w:pPr>
    <w:rPr>
      <w:rFonts w:ascii="楷体_GB2312" w:hAnsi="宋体" w:eastAsia="楷体_GB2312" w:cs="宋体"/>
      <w:kern w:val="0"/>
      <w:sz w:val="20"/>
      <w:szCs w:val="20"/>
    </w:rPr>
  </w:style>
  <w:style w:type="paragraph" w:customStyle="1" w:styleId="1437">
    <w:name w:val="流程图"/>
    <w:basedOn w:val="1"/>
    <w:qFormat/>
    <w:uiPriority w:val="0"/>
    <w:pPr>
      <w:adjustRightInd w:val="0"/>
      <w:spacing w:line="120" w:lineRule="atLeast"/>
      <w:jc w:val="center"/>
      <w:textAlignment w:val="baseline"/>
    </w:pPr>
    <w:rPr>
      <w:kern w:val="0"/>
      <w:u w:val="none" w:color="000000"/>
    </w:rPr>
  </w:style>
  <w:style w:type="paragraph" w:customStyle="1" w:styleId="1438">
    <w:name w:val="BT5"/>
    <w:basedOn w:val="9"/>
    <w:qFormat/>
    <w:uiPriority w:val="0"/>
    <w:pPr>
      <w:keepNext w:val="0"/>
      <w:keepLines w:val="0"/>
      <w:widowControl w:val="0"/>
      <w:adjustRightInd w:val="0"/>
      <w:spacing w:before="0" w:after="0" w:line="560" w:lineRule="exact"/>
      <w:textAlignment w:val="baseline"/>
    </w:pPr>
    <w:rPr>
      <w:rFonts w:ascii="黑体" w:hAnsi="黑体" w:eastAsia="黑体" w:cs="黑体"/>
      <w:b w:val="0"/>
      <w:bCs/>
      <w:kern w:val="2"/>
      <w:sz w:val="28"/>
      <w:szCs w:val="28"/>
      <w:u w:val="none" w:color="000000"/>
      <w:lang w:val="en-US" w:eastAsia="zh-CN"/>
    </w:rPr>
  </w:style>
  <w:style w:type="paragraph" w:customStyle="1" w:styleId="1439">
    <w:name w:val="俺的标题2"/>
    <w:basedOn w:val="5"/>
    <w:semiHidden/>
    <w:qFormat/>
    <w:uiPriority w:val="0"/>
    <w:pPr>
      <w:tabs>
        <w:tab w:val="left" w:pos="630"/>
      </w:tabs>
      <w:spacing w:before="0" w:after="0" w:line="360" w:lineRule="auto"/>
      <w:ind w:left="1320" w:hanging="420"/>
      <w:jc w:val="left"/>
    </w:pPr>
    <w:rPr>
      <w:rFonts w:ascii="Times New Roman" w:hAnsi="Times New Roman" w:cs="宋体"/>
      <w:b/>
      <w:szCs w:val="32"/>
      <w:lang w:val="en-US" w:eastAsia="zh-CN"/>
    </w:rPr>
  </w:style>
  <w:style w:type="paragraph" w:customStyle="1" w:styleId="1440">
    <w:name w:val="xl2807"/>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Lines="25" w:beforeAutospacing="1" w:after="100" w:afterAutospacing="1" w:line="240" w:lineRule="auto"/>
      <w:ind w:firstLine="0" w:firstLineChars="0"/>
      <w:jc w:val="center"/>
      <w:textAlignment w:val="center"/>
    </w:pPr>
    <w:rPr>
      <w:rFonts w:ascii="Times New Roman" w:eastAsia="宋体"/>
      <w:kern w:val="0"/>
      <w:sz w:val="24"/>
      <w:szCs w:val="24"/>
    </w:rPr>
  </w:style>
  <w:style w:type="paragraph" w:customStyle="1" w:styleId="1441">
    <w:name w:val="样式 样式37 + (中文) 宋体 行距: 固定值 22 磅"/>
    <w:basedOn w:val="1442"/>
    <w:qFormat/>
    <w:uiPriority w:val="0"/>
    <w:pPr>
      <w:spacing w:before="50" w:after="50"/>
    </w:pPr>
    <w:rPr>
      <w:szCs w:val="28"/>
    </w:rPr>
  </w:style>
  <w:style w:type="paragraph" w:customStyle="1" w:styleId="1442">
    <w:name w:val="样式37"/>
    <w:basedOn w:val="1"/>
    <w:qFormat/>
    <w:uiPriority w:val="0"/>
    <w:pPr>
      <w:spacing w:beforeLines="50" w:afterLines="50" w:line="240" w:lineRule="auto"/>
      <w:ind w:firstLine="0" w:firstLineChars="0"/>
    </w:pPr>
    <w:rPr>
      <w:rFonts w:ascii="Times New Roman" w:eastAsia="黑体"/>
      <w:szCs w:val="24"/>
    </w:rPr>
  </w:style>
  <w:style w:type="paragraph" w:customStyle="1" w:styleId="1443">
    <w:name w:val="xl625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Times New Roman" w:eastAsia="宋体"/>
      <w:kern w:val="0"/>
      <w:sz w:val="20"/>
      <w:szCs w:val="20"/>
    </w:rPr>
  </w:style>
  <w:style w:type="paragraph" w:customStyle="1" w:styleId="1444">
    <w:name w:val="样式 标题 1 + 段前: 0 磅 段后: 0 磅 行距: 单倍行距"/>
    <w:basedOn w:val="4"/>
    <w:qFormat/>
    <w:uiPriority w:val="0"/>
    <w:pPr>
      <w:keepNext/>
      <w:keepLines/>
      <w:numPr>
        <w:ilvl w:val="1"/>
        <w:numId w:val="5"/>
      </w:numPr>
      <w:tabs>
        <w:tab w:val="left" w:pos="432"/>
        <w:tab w:val="clear" w:pos="576"/>
      </w:tabs>
      <w:spacing w:after="120" w:line="240" w:lineRule="auto"/>
      <w:ind w:left="432" w:hanging="432"/>
    </w:pPr>
    <w:rPr>
      <w:rFonts w:ascii="Times New Roman" w:hAnsi="Times New Roman" w:eastAsia="宋体"/>
      <w:b/>
      <w:sz w:val="28"/>
      <w:szCs w:val="28"/>
    </w:rPr>
  </w:style>
  <w:style w:type="paragraph" w:customStyle="1" w:styleId="1445">
    <w:name w:val="样式 样式 (中文) 方正小标宋简体 四号 行距: 1.5 倍行距 + 仿宋_GB2312 五号 居中"/>
    <w:basedOn w:val="630"/>
    <w:qFormat/>
    <w:uiPriority w:val="0"/>
    <w:rPr>
      <w:rFonts w:ascii="仿宋_GB2312" w:eastAsia="仿宋_GB2312"/>
      <w:sz w:val="21"/>
    </w:rPr>
  </w:style>
  <w:style w:type="paragraph" w:customStyle="1" w:styleId="1446">
    <w:name w:val="xl625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 w:val="20"/>
      <w:szCs w:val="20"/>
    </w:rPr>
  </w:style>
  <w:style w:type="paragraph" w:customStyle="1" w:styleId="1447">
    <w:name w:val="样式 样式 正  文 + 首行缩进:  2 字符 + 首行缩进:  2 字符"/>
    <w:basedOn w:val="1"/>
    <w:qFormat/>
    <w:uiPriority w:val="0"/>
    <w:pPr>
      <w:ind w:firstLine="560"/>
      <w:textAlignment w:val="baseline"/>
    </w:pPr>
    <w:rPr>
      <w:rFonts w:hAnsi="Calibri" w:cs="宋体"/>
      <w:kern w:val="0"/>
      <w:szCs w:val="20"/>
    </w:rPr>
  </w:style>
  <w:style w:type="paragraph" w:customStyle="1" w:styleId="1448">
    <w:name w:val="样式 公表头 + 首行缩进:  2 字符"/>
    <w:basedOn w:val="1449"/>
    <w:qFormat/>
    <w:uiPriority w:val="0"/>
    <w:pPr>
      <w:spacing w:after="60"/>
    </w:pPr>
  </w:style>
  <w:style w:type="paragraph" w:customStyle="1" w:styleId="1449">
    <w:name w:val="公表头"/>
    <w:basedOn w:val="1"/>
    <w:qFormat/>
    <w:uiPriority w:val="0"/>
    <w:rPr>
      <w:rFonts w:ascii="黑体" w:eastAsia="黑体" w:cs="宋体"/>
      <w:sz w:val="24"/>
      <w:szCs w:val="20"/>
    </w:rPr>
  </w:style>
  <w:style w:type="paragraph" w:customStyle="1" w:styleId="1450">
    <w:name w:val="样式 样式 楷体_GB2312 10 磅 右 + Times New Roman 五号"/>
    <w:basedOn w:val="1402"/>
    <w:qFormat/>
    <w:uiPriority w:val="0"/>
    <w:rPr>
      <w:rFonts w:ascii="Times New Roman" w:hAnsi="Times New Roman"/>
      <w:sz w:val="21"/>
    </w:rPr>
  </w:style>
  <w:style w:type="paragraph" w:customStyle="1" w:styleId="1451">
    <w:name w:val="样式21"/>
    <w:basedOn w:val="989"/>
    <w:qFormat/>
    <w:uiPriority w:val="0"/>
    <w:rPr>
      <w:snapToGrid/>
      <w:kern w:val="2"/>
    </w:rPr>
  </w:style>
  <w:style w:type="paragraph" w:customStyle="1" w:styleId="1452">
    <w:name w:val="xl2775"/>
    <w:basedOn w:val="1"/>
    <w:qFormat/>
    <w:uiPriority w:val="0"/>
    <w:pPr>
      <w:widowControl/>
      <w:pBdr>
        <w:top w:val="single" w:color="auto" w:sz="4" w:space="0"/>
        <w:left w:val="single" w:color="auto" w:sz="4" w:space="0"/>
        <w:bottom w:val="single" w:color="auto" w:sz="4" w:space="0"/>
      </w:pBdr>
      <w:spacing w:beforeLines="25" w:beforeAutospacing="1" w:after="100" w:afterAutospacing="1" w:line="240" w:lineRule="auto"/>
      <w:ind w:firstLine="0" w:firstLineChars="0"/>
      <w:jc w:val="center"/>
    </w:pPr>
    <w:rPr>
      <w:rFonts w:ascii="宋体" w:hAnsi="宋体" w:eastAsia="宋体" w:cs="宋体"/>
      <w:kern w:val="0"/>
      <w:sz w:val="18"/>
      <w:szCs w:val="18"/>
    </w:rPr>
  </w:style>
  <w:style w:type="paragraph" w:customStyle="1" w:styleId="1453">
    <w:name w:val="xl6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Times New Roman" w:eastAsia="宋体"/>
      <w:kern w:val="0"/>
      <w:sz w:val="18"/>
      <w:szCs w:val="18"/>
    </w:rPr>
  </w:style>
  <w:style w:type="paragraph" w:customStyle="1" w:styleId="1454">
    <w:name w:val="图例说明"/>
    <w:basedOn w:val="1"/>
    <w:qFormat/>
    <w:uiPriority w:val="0"/>
    <w:pPr>
      <w:adjustRightInd w:val="0"/>
      <w:spacing w:line="240" w:lineRule="auto"/>
      <w:ind w:firstLine="0" w:firstLineChars="0"/>
      <w:jc w:val="center"/>
      <w:textAlignment w:val="baseline"/>
    </w:pPr>
    <w:rPr>
      <w:rFonts w:hAnsi="宋体"/>
      <w:kern w:val="0"/>
      <w:sz w:val="18"/>
      <w:szCs w:val="18"/>
      <w:u w:val="none" w:color="000000"/>
    </w:rPr>
  </w:style>
  <w:style w:type="paragraph" w:customStyle="1" w:styleId="1455">
    <w:name w:val="样式 标题 4 + 非加粗"/>
    <w:basedOn w:val="8"/>
    <w:qFormat/>
    <w:uiPriority w:val="0"/>
    <w:pPr>
      <w:keepNext w:val="0"/>
      <w:keepLines w:val="0"/>
      <w:spacing w:before="0" w:after="0" w:line="560" w:lineRule="exact"/>
      <w:ind w:firstLine="562" w:firstLineChars="0"/>
      <w:jc w:val="center"/>
    </w:pPr>
    <w:rPr>
      <w:rFonts w:ascii="仿宋_GB2312" w:hAnsi="Times New Roman" w:eastAsia="仿宋_GB2312"/>
      <w:bCs w:val="0"/>
    </w:rPr>
  </w:style>
  <w:style w:type="paragraph" w:customStyle="1" w:styleId="1456">
    <w:name w:val="xl89"/>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Times New Roman" w:eastAsia="宋体"/>
      <w:kern w:val="0"/>
      <w:sz w:val="18"/>
      <w:szCs w:val="18"/>
    </w:rPr>
  </w:style>
  <w:style w:type="paragraph" w:customStyle="1" w:styleId="1457">
    <w:name w:val="样式 标题 44级标题标题 4XW Char标题 4XW Char Char标题 4 Char标题 4XW Char ..."/>
    <w:basedOn w:val="8"/>
    <w:qFormat/>
    <w:uiPriority w:val="0"/>
    <w:pPr>
      <w:keepNext w:val="0"/>
      <w:keepLines w:val="0"/>
      <w:numPr>
        <w:ilvl w:val="3"/>
        <w:numId w:val="0"/>
      </w:numPr>
      <w:spacing w:before="240" w:after="0" w:line="360" w:lineRule="auto"/>
      <w:ind w:left="862" w:hanging="862"/>
      <w:jc w:val="left"/>
    </w:pPr>
    <w:rPr>
      <w:rFonts w:ascii="Times New Roman" w:hAnsi="Times New Roman" w:eastAsia="仿宋_GB2312"/>
      <w:kern w:val="0"/>
    </w:rPr>
  </w:style>
  <w:style w:type="paragraph" w:customStyle="1" w:styleId="1458">
    <w:name w:val="Char Char Char1 Char1"/>
    <w:basedOn w:val="1"/>
    <w:qFormat/>
    <w:uiPriority w:val="0"/>
    <w:pPr>
      <w:spacing w:line="360" w:lineRule="auto"/>
    </w:pPr>
    <w:rPr>
      <w:rFonts w:ascii="宋体" w:hAnsi="宋体" w:cs="宋体"/>
      <w:sz w:val="24"/>
      <w:szCs w:val="24"/>
    </w:rPr>
  </w:style>
  <w:style w:type="paragraph" w:customStyle="1" w:styleId="1459">
    <w:name w:val="样式 黑体 左 行距: 固定值 21 磅"/>
    <w:basedOn w:val="1"/>
    <w:qFormat/>
    <w:uiPriority w:val="0"/>
    <w:pPr>
      <w:spacing w:line="420" w:lineRule="exact"/>
      <w:ind w:firstLine="0" w:firstLineChars="0"/>
      <w:jc w:val="left"/>
    </w:pPr>
    <w:rPr>
      <w:rFonts w:ascii="黑体" w:eastAsia="黑体"/>
      <w:kern w:val="0"/>
      <w:sz w:val="24"/>
      <w:szCs w:val="20"/>
    </w:rPr>
  </w:style>
  <w:style w:type="paragraph" w:customStyle="1" w:styleId="1460">
    <w:name w:val="Char Char1 Char"/>
    <w:basedOn w:val="1"/>
    <w:qFormat/>
    <w:uiPriority w:val="0"/>
    <w:pPr>
      <w:spacing w:afterLines="50"/>
      <w:ind w:firstLine="0" w:firstLineChars="0"/>
    </w:pPr>
    <w:rPr>
      <w:rFonts w:ascii="Times New Roman" w:eastAsia="黑体"/>
      <w:sz w:val="30"/>
      <w:szCs w:val="30"/>
    </w:rPr>
  </w:style>
  <w:style w:type="paragraph" w:customStyle="1" w:styleId="1461">
    <w:name w:val="标题01"/>
    <w:basedOn w:val="892"/>
    <w:qFormat/>
    <w:uiPriority w:val="0"/>
    <w:pPr>
      <w:spacing w:before="240" w:after="240"/>
      <w:ind w:firstLine="0" w:firstLineChars="0"/>
      <w:jc w:val="left"/>
    </w:pPr>
    <w:rPr>
      <w:rFonts w:ascii="Arial" w:hAnsi="Arial" w:eastAsia="黑体"/>
      <w:sz w:val="36"/>
    </w:rPr>
  </w:style>
  <w:style w:type="paragraph" w:customStyle="1" w:styleId="1462">
    <w:name w:val="标题222"/>
    <w:basedOn w:val="5"/>
    <w:qFormat/>
    <w:uiPriority w:val="0"/>
    <w:pPr>
      <w:spacing w:before="0" w:after="0" w:line="480" w:lineRule="auto"/>
    </w:pPr>
    <w:rPr>
      <w:rFonts w:hAnsi="Arial"/>
      <w:szCs w:val="32"/>
      <w:lang w:val="en-US" w:eastAsia="zh-CN"/>
    </w:rPr>
  </w:style>
  <w:style w:type="paragraph" w:customStyle="1" w:styleId="1463">
    <w:name w:val="Char Char Char Char Char Char Char Char Char Char"/>
    <w:basedOn w:val="1"/>
    <w:qFormat/>
    <w:uiPriority w:val="0"/>
    <w:pPr>
      <w:snapToGrid w:val="0"/>
      <w:spacing w:line="360" w:lineRule="auto"/>
    </w:pPr>
    <w:rPr>
      <w:rFonts w:ascii="Times New Roman" w:eastAsia="宋体"/>
      <w:sz w:val="21"/>
      <w:szCs w:val="20"/>
    </w:rPr>
  </w:style>
  <w:style w:type="paragraph" w:customStyle="1" w:styleId="1464">
    <w:name w:val="样式17 Char Char Char"/>
    <w:basedOn w:val="1"/>
    <w:qFormat/>
    <w:uiPriority w:val="0"/>
    <w:pPr>
      <w:spacing w:line="240" w:lineRule="auto"/>
      <w:ind w:firstLine="480"/>
    </w:pPr>
    <w:rPr>
      <w:rFonts w:ascii="Times New Roman" w:eastAsia="华文中宋"/>
      <w:sz w:val="24"/>
      <w:szCs w:val="24"/>
    </w:rPr>
  </w:style>
  <w:style w:type="paragraph" w:customStyle="1" w:styleId="1465">
    <w:name w:val="MTDisplayEquation"/>
    <w:basedOn w:val="1394"/>
    <w:next w:val="1"/>
    <w:qFormat/>
    <w:uiPriority w:val="0"/>
    <w:pPr>
      <w:widowControl w:val="0"/>
      <w:tabs>
        <w:tab w:val="center" w:pos="4160"/>
        <w:tab w:val="right" w:pos="8320"/>
      </w:tabs>
      <w:adjustRightInd/>
      <w:snapToGrid/>
      <w:spacing w:line="480" w:lineRule="exact"/>
    </w:pPr>
    <w:rPr>
      <w:rFonts w:ascii="Times New Roman" w:hAnsi="Times New Roman" w:eastAsia="宋体"/>
      <w:color w:val="000000"/>
      <w:kern w:val="2"/>
      <w:sz w:val="24"/>
      <w:szCs w:val="24"/>
      <w:lang w:bidi="ar-SA"/>
    </w:rPr>
  </w:style>
  <w:style w:type="paragraph" w:customStyle="1" w:styleId="1466">
    <w:name w:val="xl2256"/>
    <w:basedOn w:val="1"/>
    <w:qFormat/>
    <w:uiPriority w:val="0"/>
    <w:pPr>
      <w:widowControl/>
      <w:pBdr>
        <w:top w:val="single" w:color="auto" w:sz="4" w:space="0"/>
        <w:bottom w:val="single" w:color="auto" w:sz="4" w:space="0"/>
      </w:pBdr>
      <w:spacing w:before="100" w:beforeAutospacing="1" w:after="100" w:afterAutospacing="1" w:line="240" w:lineRule="auto"/>
      <w:ind w:firstLine="0" w:firstLineChars="0"/>
      <w:jc w:val="center"/>
    </w:pPr>
    <w:rPr>
      <w:rFonts w:ascii="Times New Roman" w:eastAsia="宋体"/>
      <w:kern w:val="0"/>
      <w:sz w:val="20"/>
      <w:szCs w:val="20"/>
    </w:rPr>
  </w:style>
  <w:style w:type="paragraph" w:customStyle="1" w:styleId="1467">
    <w:name w:val="-  小括号"/>
    <w:basedOn w:val="1"/>
    <w:qFormat/>
    <w:uiPriority w:val="0"/>
    <w:pPr>
      <w:adjustRightInd w:val="0"/>
      <w:snapToGrid w:val="0"/>
    </w:pPr>
    <w:rPr>
      <w:rFonts w:ascii="Times New Roman" w:eastAsia="楷体_GB2312"/>
      <w:u w:val="none" w:color="000000"/>
      <w:lang w:val="zh-CN"/>
    </w:rPr>
  </w:style>
  <w:style w:type="paragraph" w:customStyle="1" w:styleId="1468">
    <w:name w:val="样式 首行缩进:  2 字符 行距: 多倍行距 1.27 字行"/>
    <w:basedOn w:val="1"/>
    <w:qFormat/>
    <w:uiPriority w:val="0"/>
    <w:pPr>
      <w:adjustRightInd w:val="0"/>
      <w:snapToGrid w:val="0"/>
    </w:pPr>
    <w:rPr>
      <w:rFonts w:cs="宋体"/>
      <w:szCs w:val="20"/>
    </w:rPr>
  </w:style>
  <w:style w:type="paragraph" w:customStyle="1" w:styleId="1469">
    <w:name w:val="1 Char Char Char Char Char Char Char Char Char Char"/>
    <w:basedOn w:val="1"/>
    <w:qFormat/>
    <w:uiPriority w:val="0"/>
    <w:pPr>
      <w:tabs>
        <w:tab w:val="left" w:pos="360"/>
      </w:tabs>
      <w:adjustRightInd w:val="0"/>
      <w:textAlignment w:val="baseline"/>
    </w:pPr>
    <w:rPr>
      <w:rFonts w:cs="宋体"/>
      <w:kern w:val="0"/>
    </w:rPr>
  </w:style>
  <w:style w:type="paragraph" w:customStyle="1" w:styleId="1470">
    <w:name w:val="样式 表名 + 自动设置 首行缩进:  1 字符"/>
    <w:basedOn w:val="1"/>
    <w:qFormat/>
    <w:uiPriority w:val="0"/>
    <w:pPr>
      <w:adjustRightInd w:val="0"/>
      <w:spacing w:after="60"/>
      <w:ind w:firstLine="100" w:firstLineChars="100"/>
      <w:textAlignment w:val="baseline"/>
    </w:pPr>
    <w:rPr>
      <w:rFonts w:ascii="黑体" w:hAnsi="宋体" w:eastAsia="黑体" w:cs="宋体"/>
      <w:kern w:val="0"/>
      <w:sz w:val="24"/>
      <w:szCs w:val="20"/>
    </w:rPr>
  </w:style>
  <w:style w:type="paragraph" w:customStyle="1" w:styleId="1471">
    <w:name w:val="xl1590"/>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textAlignment w:val="center"/>
    </w:pPr>
    <w:rPr>
      <w:rFonts w:ascii="Times New Roman" w:eastAsia="宋体"/>
      <w:kern w:val="0"/>
      <w:sz w:val="24"/>
      <w:szCs w:val="24"/>
    </w:rPr>
  </w:style>
  <w:style w:type="paragraph" w:customStyle="1" w:styleId="1472">
    <w:name w:val="列举"/>
    <w:basedOn w:val="35"/>
    <w:qFormat/>
    <w:uiPriority w:val="0"/>
    <w:pPr>
      <w:widowControl/>
      <w:tabs>
        <w:tab w:val="left" w:pos="720"/>
        <w:tab w:val="left" w:pos="1440"/>
      </w:tabs>
      <w:spacing w:after="0" w:line="400" w:lineRule="exact"/>
      <w:ind w:left="1440" w:hanging="450"/>
      <w:jc w:val="left"/>
    </w:pPr>
    <w:rPr>
      <w:rFonts w:ascii="仿宋_GB2312" w:hAnsi="宋体"/>
      <w:b/>
      <w:kern w:val="0"/>
      <w:sz w:val="21"/>
      <w:szCs w:val="20"/>
      <w:u w:val="none" w:color="000000"/>
      <w:lang w:val="en-US" w:eastAsia="zh-CN"/>
    </w:rPr>
  </w:style>
  <w:style w:type="paragraph" w:customStyle="1" w:styleId="1473">
    <w:name w:val="样式 正文1 + 首行缩进:  2 字符1"/>
    <w:basedOn w:val="971"/>
    <w:qFormat/>
    <w:uiPriority w:val="0"/>
    <w:pPr>
      <w:adjustRightInd w:val="0"/>
      <w:spacing w:afterLines="0"/>
      <w:ind w:firstLine="200" w:firstLineChars="200"/>
      <w:jc w:val="both"/>
      <w:textAlignment w:val="baseline"/>
    </w:pPr>
    <w:rPr>
      <w:rFonts w:ascii="楷体_GB2312" w:eastAsia="楷体_GB2312" w:cs="宋体"/>
      <w:spacing w:val="20"/>
      <w:sz w:val="28"/>
    </w:rPr>
  </w:style>
  <w:style w:type="paragraph" w:customStyle="1" w:styleId="1474">
    <w:name w:val="xl140"/>
    <w:basedOn w:val="1"/>
    <w:qFormat/>
    <w:uiPriority w:val="0"/>
    <w:pPr>
      <w:widowControl/>
      <w:pBdr>
        <w:bottom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20"/>
      <w:szCs w:val="20"/>
    </w:rPr>
  </w:style>
  <w:style w:type="paragraph" w:customStyle="1" w:styleId="1475">
    <w:name w:val="title3"/>
    <w:basedOn w:val="1"/>
    <w:qFormat/>
    <w:uiPriority w:val="0"/>
    <w:pPr>
      <w:adjustRightInd w:val="0"/>
      <w:spacing w:before="50" w:line="480" w:lineRule="atLeast"/>
      <w:textAlignment w:val="baseline"/>
    </w:pPr>
    <w:rPr>
      <w:b/>
    </w:rPr>
  </w:style>
  <w:style w:type="paragraph" w:customStyle="1" w:styleId="1476">
    <w:name w:val="样式 (中文) 楷体_GB2312 居中 行距: 最小值 12 磅"/>
    <w:basedOn w:val="1"/>
    <w:qFormat/>
    <w:uiPriority w:val="0"/>
    <w:pPr>
      <w:spacing w:line="240" w:lineRule="atLeast"/>
      <w:ind w:left="-266" w:leftChars="-266" w:firstLine="0" w:firstLineChars="0"/>
      <w:jc w:val="center"/>
    </w:pPr>
    <w:rPr>
      <w:rFonts w:ascii="Times New Roman" w:eastAsia="楷体_GB2312" w:cs="宋体"/>
      <w:sz w:val="21"/>
      <w:szCs w:val="20"/>
    </w:rPr>
  </w:style>
  <w:style w:type="paragraph" w:customStyle="1" w:styleId="1477">
    <w:name w:val="xl2271"/>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楷体_GB2312" w:hAnsi="宋体" w:eastAsia="楷体_GB2312" w:cs="宋体"/>
      <w:kern w:val="0"/>
      <w:sz w:val="20"/>
      <w:szCs w:val="20"/>
    </w:rPr>
  </w:style>
  <w:style w:type="paragraph" w:customStyle="1" w:styleId="1478">
    <w:name w:val="xl71"/>
    <w:basedOn w:val="1"/>
    <w:qFormat/>
    <w:uiPriority w:val="0"/>
    <w:pPr>
      <w:widowControl/>
      <w:pBdr>
        <w:top w:val="single" w:color="auto" w:sz="4" w:space="0"/>
        <w:bottom w:val="single" w:color="auto" w:sz="4" w:space="0"/>
      </w:pBdr>
      <w:spacing w:before="100" w:beforeAutospacing="1" w:after="100" w:afterAutospacing="1" w:line="240" w:lineRule="auto"/>
      <w:ind w:firstLine="0" w:firstLineChars="0"/>
      <w:jc w:val="center"/>
      <w:textAlignment w:val="center"/>
    </w:pPr>
    <w:rPr>
      <w:rFonts w:ascii="Times New Roman" w:eastAsia="宋体"/>
      <w:kern w:val="0"/>
      <w:sz w:val="18"/>
      <w:szCs w:val="18"/>
    </w:rPr>
  </w:style>
  <w:style w:type="paragraph" w:customStyle="1" w:styleId="1479">
    <w:name w:val="样式 标题 3条标题1.1.1一级 Ctrl+Alt+1W3标题3标题 3 Char Char Char Char C..."/>
    <w:basedOn w:val="7"/>
    <w:qFormat/>
    <w:uiPriority w:val="0"/>
    <w:pPr>
      <w:adjustRightInd w:val="0"/>
      <w:snapToGrid w:val="0"/>
      <w:jc w:val="left"/>
    </w:pPr>
    <w:rPr>
      <w:rFonts w:cs="宋体"/>
      <w:b/>
      <w:kern w:val="24"/>
      <w:szCs w:val="20"/>
    </w:rPr>
  </w:style>
  <w:style w:type="paragraph" w:customStyle="1" w:styleId="1480">
    <w:name w:val="款"/>
    <w:basedOn w:val="1"/>
    <w:qFormat/>
    <w:uiPriority w:val="0"/>
    <w:pPr>
      <w:tabs>
        <w:tab w:val="left" w:pos="2380"/>
      </w:tabs>
      <w:ind w:left="2380" w:hanging="420"/>
    </w:pPr>
    <w:rPr>
      <w:rFonts w:hAnsi="宋体" w:cs="Arial"/>
      <w:kern w:val="44"/>
      <w:szCs w:val="20"/>
    </w:rPr>
  </w:style>
  <w:style w:type="paragraph" w:customStyle="1" w:styleId="1481">
    <w:name w:val="正文文本缩进 22"/>
    <w:basedOn w:val="1"/>
    <w:next w:val="52"/>
    <w:qFormat/>
    <w:uiPriority w:val="0"/>
    <w:pPr>
      <w:ind w:firstLine="555"/>
    </w:pPr>
    <w:rPr>
      <w:rFonts w:ascii="宋体"/>
      <w:sz w:val="24"/>
      <w:szCs w:val="20"/>
    </w:rPr>
  </w:style>
  <w:style w:type="paragraph" w:customStyle="1" w:styleId="1482">
    <w:name w:val="xl2565"/>
    <w:basedOn w:val="1"/>
    <w:qFormat/>
    <w:uiPriority w:val="0"/>
    <w:pPr>
      <w:widowControl/>
      <w:pBdr>
        <w:top w:val="single" w:color="auto" w:sz="4" w:space="0"/>
        <w:bottom w:val="single" w:color="auto" w:sz="4" w:space="0"/>
      </w:pBdr>
      <w:spacing w:before="100" w:beforeAutospacing="1" w:after="100" w:afterAutospacing="1" w:line="240" w:lineRule="auto"/>
      <w:ind w:firstLine="0" w:firstLineChars="0"/>
      <w:jc w:val="left"/>
    </w:pPr>
    <w:rPr>
      <w:rFonts w:ascii="楷体_GB2312" w:hAnsi="宋体" w:eastAsia="楷体_GB2312" w:cs="宋体"/>
      <w:kern w:val="0"/>
      <w:sz w:val="20"/>
      <w:szCs w:val="20"/>
    </w:rPr>
  </w:style>
  <w:style w:type="paragraph" w:customStyle="1" w:styleId="1483">
    <w:name w:val="样式 样式 四号 首行缩进:  1.1 厘米 + 首行缩进:  2 字符"/>
    <w:basedOn w:val="1"/>
    <w:qFormat/>
    <w:uiPriority w:val="0"/>
    <w:pPr>
      <w:spacing w:line="360" w:lineRule="auto"/>
      <w:ind w:firstLine="200" w:firstLineChars="200"/>
    </w:pPr>
    <w:rPr>
      <w:rFonts w:cs="宋体"/>
      <w:sz w:val="24"/>
      <w:szCs w:val="20"/>
    </w:rPr>
  </w:style>
  <w:style w:type="paragraph" w:customStyle="1" w:styleId="1484">
    <w:name w:val="样式 样式 样式 仿宋_GB2312 四号 行距: 固定值 28 磅 + 首行缩进:  2 字符 + 首行缩进:  2 字符1"/>
    <w:basedOn w:val="1"/>
    <w:qFormat/>
    <w:uiPriority w:val="0"/>
    <w:rPr>
      <w:rFonts w:hAnsi="宋体" w:cs="宋体"/>
      <w:szCs w:val="20"/>
    </w:rPr>
  </w:style>
  <w:style w:type="paragraph" w:customStyle="1" w:styleId="1485">
    <w:name w:val="xl42"/>
    <w:basedOn w:val="1"/>
    <w:qFormat/>
    <w:uiPriority w:val="0"/>
    <w:pPr>
      <w:widowControl/>
      <w:numPr>
        <w:ilvl w:val="0"/>
        <w:numId w:val="6"/>
      </w:numPr>
      <w:pBdr>
        <w:top w:val="single" w:color="auto" w:sz="4" w:space="0"/>
        <w:left w:val="single" w:color="auto" w:sz="4" w:space="0"/>
        <w:bottom w:val="single" w:color="auto" w:sz="8" w:space="0"/>
        <w:right w:val="single" w:color="auto" w:sz="4" w:space="0"/>
      </w:pBdr>
      <w:tabs>
        <w:tab w:val="clear" w:pos="1620"/>
      </w:tabs>
      <w:spacing w:before="100" w:beforeAutospacing="1" w:after="100" w:afterAutospacing="1" w:line="240" w:lineRule="auto"/>
      <w:ind w:left="0" w:leftChars="0" w:firstLine="0" w:firstLineChars="0"/>
      <w:jc w:val="center"/>
      <w:textAlignment w:val="center"/>
    </w:pPr>
    <w:rPr>
      <w:rFonts w:ascii="宋体" w:hAnsi="宋体" w:eastAsia="宋体" w:cs="宋体"/>
      <w:kern w:val="0"/>
      <w:sz w:val="16"/>
      <w:szCs w:val="16"/>
    </w:rPr>
  </w:style>
  <w:style w:type="paragraph" w:customStyle="1" w:styleId="1486">
    <w:name w:val="mml"/>
    <w:basedOn w:val="1"/>
    <w:qFormat/>
    <w:uiPriority w:val="0"/>
    <w:pPr>
      <w:tabs>
        <w:tab w:val="left" w:pos="1134"/>
      </w:tabs>
      <w:autoSpaceDE w:val="0"/>
      <w:autoSpaceDN w:val="0"/>
      <w:adjustRightInd w:val="0"/>
      <w:spacing w:before="240" w:after="240" w:line="227" w:lineRule="atLeast"/>
      <w:ind w:firstLine="560"/>
      <w:jc w:val="center"/>
    </w:pPr>
    <w:rPr>
      <w:rFonts w:ascii="黑体" w:eastAsia="黑体"/>
      <w:spacing w:val="5"/>
      <w:kern w:val="0"/>
      <w:sz w:val="36"/>
      <w:szCs w:val="20"/>
      <w:u w:val="none" w:color="000000"/>
    </w:rPr>
  </w:style>
  <w:style w:type="paragraph" w:customStyle="1" w:styleId="1487">
    <w:name w:val="xl12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pPr>
    <w:rPr>
      <w:rFonts w:ascii="黑体" w:hAnsi="宋体" w:eastAsia="黑体" w:cs="宋体"/>
      <w:kern w:val="0"/>
      <w:sz w:val="20"/>
      <w:szCs w:val="20"/>
    </w:rPr>
  </w:style>
  <w:style w:type="paragraph" w:customStyle="1" w:styleId="1488">
    <w:name w:val="字母编号列项（一级）"/>
    <w:qFormat/>
    <w:uiPriority w:val="0"/>
    <w:pPr>
      <w:ind w:left="840" w:leftChars="200" w:hanging="420" w:hangingChars="200"/>
      <w:jc w:val="both"/>
    </w:pPr>
    <w:rPr>
      <w:rFonts w:ascii="宋体" w:hAnsi="Calibri" w:eastAsia="宋体" w:cs="Times New Roman"/>
      <w:sz w:val="21"/>
      <w:szCs w:val="21"/>
      <w:lang w:val="en-US" w:eastAsia="zh-CN" w:bidi="ar-SA"/>
    </w:rPr>
  </w:style>
  <w:style w:type="paragraph" w:customStyle="1" w:styleId="1489">
    <w:name w:val="xl7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Times New Roman" w:eastAsia="宋体"/>
      <w:color w:val="FF0000"/>
      <w:kern w:val="0"/>
      <w:sz w:val="18"/>
      <w:szCs w:val="18"/>
    </w:rPr>
  </w:style>
  <w:style w:type="paragraph" w:customStyle="1" w:styleId="1490">
    <w:name w:val="表格题头"/>
    <w:basedOn w:val="1"/>
    <w:qFormat/>
    <w:uiPriority w:val="0"/>
    <w:pPr>
      <w:keepNext/>
      <w:keepLines/>
      <w:adjustRightInd w:val="0"/>
      <w:snapToGrid w:val="0"/>
      <w:spacing w:before="145" w:line="360" w:lineRule="auto"/>
      <w:ind w:firstLine="240" w:firstLineChars="100"/>
      <w:jc w:val="left"/>
      <w:textAlignment w:val="baseline"/>
      <w:outlineLvl w:val="8"/>
    </w:pPr>
    <w:rPr>
      <w:rFonts w:eastAsia="黑体"/>
      <w:bCs/>
      <w:snapToGrid w:val="0"/>
      <w:kern w:val="0"/>
      <w:sz w:val="24"/>
      <w:szCs w:val="21"/>
    </w:rPr>
  </w:style>
  <w:style w:type="paragraph" w:customStyle="1" w:styleId="1491">
    <w:name w:val="表头[BT]"/>
    <w:basedOn w:val="1"/>
    <w:qFormat/>
    <w:uiPriority w:val="0"/>
    <w:pPr>
      <w:adjustRightInd w:val="0"/>
      <w:spacing w:before="120" w:after="120" w:line="240" w:lineRule="auto"/>
      <w:ind w:firstLine="0" w:firstLineChars="0"/>
      <w:jc w:val="center"/>
      <w:textAlignment w:val="baseline"/>
    </w:pPr>
    <w:rPr>
      <w:rFonts w:ascii="楷体_GB2312" w:eastAsia="楷体_GB2312"/>
      <w:kern w:val="0"/>
      <w:sz w:val="21"/>
      <w:szCs w:val="20"/>
      <w:u w:val="none" w:color="000000"/>
    </w:rPr>
  </w:style>
  <w:style w:type="paragraph" w:customStyle="1" w:styleId="1492">
    <w:name w:val="标02"/>
    <w:basedOn w:val="5"/>
    <w:qFormat/>
    <w:uiPriority w:val="0"/>
    <w:pPr>
      <w:keepNext/>
      <w:keepLines/>
      <w:spacing w:before="0" w:after="0"/>
      <w:jc w:val="left"/>
    </w:pPr>
    <w:rPr>
      <w:rFonts w:ascii="Arial" w:hAnsi="Arial" w:cs="宋体"/>
      <w:szCs w:val="20"/>
      <w:lang w:val="en-US" w:eastAsia="zh-CN"/>
    </w:rPr>
  </w:style>
  <w:style w:type="paragraph" w:customStyle="1" w:styleId="1493">
    <w:name w:val="样式 样式 括号 + 首行缩进:  2 字符 + 首行缩进:  2 字符"/>
    <w:basedOn w:val="1494"/>
    <w:qFormat/>
    <w:uiPriority w:val="0"/>
  </w:style>
  <w:style w:type="paragraph" w:customStyle="1" w:styleId="1494">
    <w:name w:val="样式 括号 + 首行缩进:  2 字符"/>
    <w:basedOn w:val="1280"/>
    <w:qFormat/>
    <w:uiPriority w:val="0"/>
    <w:rPr>
      <w:szCs w:val="20"/>
    </w:rPr>
  </w:style>
  <w:style w:type="paragraph" w:customStyle="1" w:styleId="1495">
    <w:name w:val="目录1"/>
    <w:basedOn w:val="1"/>
    <w:next w:val="1"/>
    <w:qFormat/>
    <w:uiPriority w:val="0"/>
    <w:pPr>
      <w:tabs>
        <w:tab w:val="left" w:pos="480"/>
      </w:tabs>
      <w:adjustRightInd w:val="0"/>
      <w:snapToGrid w:val="0"/>
      <w:spacing w:line="480" w:lineRule="auto"/>
      <w:ind w:left="480" w:hanging="480" w:firstLineChars="0"/>
      <w:jc w:val="left"/>
    </w:pPr>
    <w:rPr>
      <w:rFonts w:ascii="宋体" w:eastAsia="宋体"/>
      <w:b/>
      <w:bCs/>
      <w:sz w:val="32"/>
      <w:szCs w:val="24"/>
    </w:rPr>
  </w:style>
  <w:style w:type="paragraph" w:customStyle="1" w:styleId="1496">
    <w:name w:val="样式 宋体 加粗 行距: 固定值 26 磅"/>
    <w:basedOn w:val="1"/>
    <w:qFormat/>
    <w:uiPriority w:val="0"/>
    <w:pPr>
      <w:spacing w:line="540" w:lineRule="exact"/>
      <w:ind w:firstLine="0" w:firstLineChars="0"/>
    </w:pPr>
    <w:rPr>
      <w:rFonts w:ascii="宋体" w:hAnsi="宋体" w:eastAsia="宋体" w:cs="宋体"/>
      <w:b/>
      <w:bCs/>
      <w:sz w:val="24"/>
      <w:szCs w:val="24"/>
    </w:rPr>
  </w:style>
  <w:style w:type="paragraph" w:customStyle="1" w:styleId="1497">
    <w:name w:val="样式 样式 表名 + 首行缩进:  1 字符2 +"/>
    <w:basedOn w:val="1"/>
    <w:qFormat/>
    <w:uiPriority w:val="0"/>
    <w:pPr>
      <w:tabs>
        <w:tab w:val="left" w:pos="1470"/>
      </w:tabs>
      <w:spacing w:after="60"/>
      <w:ind w:firstLine="100" w:firstLineChars="100"/>
    </w:pPr>
    <w:rPr>
      <w:rFonts w:ascii="黑体" w:eastAsia="黑体" w:cs="宋体"/>
      <w:kern w:val="0"/>
      <w:sz w:val="24"/>
      <w:szCs w:val="20"/>
    </w:rPr>
  </w:style>
  <w:style w:type="paragraph" w:customStyle="1" w:styleId="1498">
    <w:name w:val="表头01"/>
    <w:basedOn w:val="1"/>
    <w:qFormat/>
    <w:uiPriority w:val="0"/>
    <w:pPr>
      <w:spacing w:after="60"/>
      <w:ind w:firstLine="100" w:firstLineChars="100"/>
    </w:pPr>
    <w:rPr>
      <w:rFonts w:ascii="黑体" w:eastAsia="黑体"/>
      <w:sz w:val="24"/>
      <w:szCs w:val="20"/>
    </w:rPr>
  </w:style>
  <w:style w:type="paragraph" w:customStyle="1" w:styleId="1499">
    <w:name w:val="xl2273"/>
    <w:basedOn w:val="1"/>
    <w:qFormat/>
    <w:uiPriority w:val="0"/>
    <w:pPr>
      <w:widowControl/>
      <w:pBdr>
        <w:top w:val="single" w:color="auto" w:sz="4" w:space="0"/>
        <w:right w:val="single" w:color="auto" w:sz="4" w:space="0"/>
      </w:pBdr>
      <w:spacing w:before="100" w:beforeAutospacing="1" w:after="100" w:afterAutospacing="1" w:line="240" w:lineRule="auto"/>
      <w:ind w:firstLine="0" w:firstLineChars="0"/>
      <w:jc w:val="center"/>
    </w:pPr>
    <w:rPr>
      <w:rFonts w:ascii="楷体_GB2312" w:hAnsi="宋体" w:eastAsia="楷体_GB2312" w:cs="宋体"/>
      <w:kern w:val="0"/>
      <w:sz w:val="20"/>
      <w:szCs w:val="20"/>
    </w:rPr>
  </w:style>
  <w:style w:type="paragraph" w:customStyle="1" w:styleId="1500">
    <w:name w:val="正文一"/>
    <w:basedOn w:val="1"/>
    <w:qFormat/>
    <w:uiPriority w:val="0"/>
    <w:pPr>
      <w:adjustRightInd w:val="0"/>
      <w:spacing w:line="520" w:lineRule="exact"/>
      <w:textAlignment w:val="baseline"/>
    </w:pPr>
    <w:rPr>
      <w:rFonts w:ascii="宋体" w:hAnsi="宋体" w:eastAsia="宋体"/>
      <w:kern w:val="0"/>
      <w:sz w:val="24"/>
      <w:szCs w:val="24"/>
    </w:rPr>
  </w:style>
  <w:style w:type="paragraph" w:customStyle="1" w:styleId="1501">
    <w:name w:val="xl5100"/>
    <w:basedOn w:val="1"/>
    <w:qFormat/>
    <w:uiPriority w:val="0"/>
    <w:pPr>
      <w:widowControl/>
      <w:pBdr>
        <w:top w:val="single" w:color="auto" w:sz="4" w:space="0"/>
        <w:left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20"/>
      <w:szCs w:val="20"/>
    </w:rPr>
  </w:style>
  <w:style w:type="paragraph" w:customStyle="1" w:styleId="1502">
    <w:name w:val="图例（图名前）"/>
    <w:basedOn w:val="1"/>
    <w:qFormat/>
    <w:uiPriority w:val="0"/>
    <w:pPr>
      <w:autoSpaceDE w:val="0"/>
      <w:autoSpaceDN w:val="0"/>
      <w:adjustRightInd w:val="0"/>
      <w:snapToGrid w:val="0"/>
      <w:spacing w:line="240" w:lineRule="auto"/>
      <w:ind w:firstLine="360"/>
      <w:jc w:val="center"/>
    </w:pPr>
    <w:rPr>
      <w:rFonts w:ascii="Times New Roman" w:eastAsia="楷体"/>
      <w:sz w:val="18"/>
      <w:szCs w:val="18"/>
    </w:rPr>
  </w:style>
  <w:style w:type="paragraph" w:customStyle="1" w:styleId="1503">
    <w:name w:val="xl626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Times New Roman" w:eastAsia="宋体"/>
      <w:kern w:val="0"/>
      <w:sz w:val="20"/>
      <w:szCs w:val="20"/>
    </w:rPr>
  </w:style>
  <w:style w:type="paragraph" w:customStyle="1" w:styleId="1504">
    <w:name w:val="括号h"/>
    <w:basedOn w:val="1"/>
    <w:qFormat/>
    <w:uiPriority w:val="0"/>
    <w:pPr>
      <w:adjustRightInd w:val="0"/>
      <w:textAlignment w:val="baseline"/>
    </w:pPr>
    <w:rPr>
      <w:rFonts w:ascii="楷体_GB2312" w:eastAsia="楷体_GB2312"/>
      <w:kern w:val="0"/>
    </w:rPr>
  </w:style>
  <w:style w:type="paragraph" w:customStyle="1" w:styleId="1505">
    <w:name w:val="Char Char Char Char Char Char Char Char2"/>
    <w:basedOn w:val="1"/>
    <w:qFormat/>
    <w:uiPriority w:val="0"/>
    <w:rPr>
      <w:szCs w:val="24"/>
    </w:rPr>
  </w:style>
  <w:style w:type="paragraph" w:customStyle="1" w:styleId="1506">
    <w:name w:val="正文样式1"/>
    <w:qFormat/>
    <w:uiPriority w:val="0"/>
    <w:pPr>
      <w:keepNext/>
      <w:widowControl w:val="0"/>
      <w:suppressLineNumbers/>
      <w:overflowPunct w:val="0"/>
      <w:snapToGrid w:val="0"/>
      <w:spacing w:line="312" w:lineRule="auto"/>
      <w:ind w:firstLine="567"/>
      <w:jc w:val="both"/>
    </w:pPr>
    <w:rPr>
      <w:rFonts w:ascii="Times New Roman" w:hAnsi="Times New Roman" w:eastAsia="宋体" w:cs="Times New Roman"/>
      <w:sz w:val="28"/>
      <w:lang w:val="en-US" w:eastAsia="zh-CN" w:bidi="ar-SA"/>
    </w:rPr>
  </w:style>
  <w:style w:type="paragraph" w:customStyle="1" w:styleId="1507">
    <w:name w:val="样式 标题 3条标题1.1.1W3Section Header3 + 黑体 四号 黑色 首行缩进:  0 厘米 段..."/>
    <w:basedOn w:val="7"/>
    <w:qFormat/>
    <w:uiPriority w:val="0"/>
    <w:pPr>
      <w:keepNext/>
      <w:keepLines/>
      <w:tabs>
        <w:tab w:val="left" w:pos="2977"/>
      </w:tabs>
      <w:adjustRightInd w:val="0"/>
      <w:spacing w:line="400" w:lineRule="exact"/>
      <w:jc w:val="left"/>
    </w:pPr>
    <w:rPr>
      <w:rFonts w:ascii="黑体" w:hAnsi="宋体" w:eastAsia="黑体"/>
    </w:rPr>
  </w:style>
  <w:style w:type="paragraph" w:customStyle="1" w:styleId="1508">
    <w:name w:val="xl2811"/>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Lines="25" w:beforeAutospacing="1" w:after="100" w:afterAutospacing="1" w:line="240" w:lineRule="auto"/>
      <w:ind w:firstLine="0" w:firstLineChars="0"/>
      <w:jc w:val="center"/>
      <w:textAlignment w:val="center"/>
    </w:pPr>
    <w:rPr>
      <w:rFonts w:ascii="Times New Roman" w:eastAsia="宋体"/>
      <w:kern w:val="0"/>
      <w:sz w:val="24"/>
      <w:szCs w:val="24"/>
    </w:rPr>
  </w:style>
  <w:style w:type="paragraph" w:customStyle="1" w:styleId="1509">
    <w:name w:val="标题 03"/>
    <w:basedOn w:val="924"/>
    <w:qFormat/>
    <w:uiPriority w:val="0"/>
  </w:style>
  <w:style w:type="paragraph" w:customStyle="1" w:styleId="1510">
    <w:name w:val="标 1"/>
    <w:basedOn w:val="4"/>
    <w:qFormat/>
    <w:uiPriority w:val="0"/>
    <w:pPr>
      <w:keepNext/>
      <w:keepLines/>
      <w:tabs>
        <w:tab w:val="left" w:pos="8080"/>
      </w:tabs>
      <w:autoSpaceDE w:val="0"/>
      <w:autoSpaceDN w:val="0"/>
      <w:spacing w:before="240" w:beforeLines="100" w:after="240" w:line="480" w:lineRule="auto"/>
      <w:jc w:val="left"/>
      <w:textAlignment w:val="bottom"/>
    </w:pPr>
    <w:rPr>
      <w:rFonts w:cs="宋体"/>
      <w:bCs w:val="0"/>
      <w:color w:val="000000"/>
      <w:kern w:val="0"/>
      <w:lang w:val="en-US" w:eastAsia="zh-CN"/>
    </w:rPr>
  </w:style>
  <w:style w:type="paragraph" w:customStyle="1" w:styleId="1511">
    <w:name w:val="表格小四"/>
    <w:basedOn w:val="1"/>
    <w:semiHidden/>
    <w:qFormat/>
    <w:uiPriority w:val="0"/>
    <w:pPr>
      <w:spacing w:line="240" w:lineRule="auto"/>
      <w:ind w:firstLine="0" w:firstLineChars="0"/>
    </w:pPr>
    <w:rPr>
      <w:rFonts w:ascii="Times New Roman" w:eastAsia="宋体"/>
      <w:w w:val="110"/>
      <w:sz w:val="24"/>
      <w:szCs w:val="20"/>
    </w:rPr>
  </w:style>
  <w:style w:type="paragraph" w:customStyle="1" w:styleId="1512">
    <w:name w:val="样式 标题 2 + Arial 自动设置"/>
    <w:basedOn w:val="5"/>
    <w:qFormat/>
    <w:uiPriority w:val="0"/>
    <w:pPr>
      <w:keepNext/>
      <w:keepLines/>
      <w:spacing w:before="0" w:beforeLines="50" w:after="0" w:afterLines="50" w:line="360" w:lineRule="auto"/>
    </w:pPr>
    <w:rPr>
      <w:rFonts w:ascii="Times New Roman" w:hAnsi="Times New Roman"/>
      <w:bCs w:val="0"/>
      <w:sz w:val="28"/>
      <w:szCs w:val="32"/>
    </w:rPr>
  </w:style>
  <w:style w:type="paragraph" w:customStyle="1" w:styleId="1513">
    <w:name w:val="文章总标题"/>
    <w:basedOn w:val="1"/>
    <w:next w:val="1430"/>
    <w:qFormat/>
    <w:uiPriority w:val="0"/>
    <w:pPr>
      <w:widowControl/>
      <w:spacing w:before="566" w:after="544" w:line="566" w:lineRule="atLeast"/>
      <w:ind w:firstLine="0"/>
      <w:jc w:val="center"/>
      <w:textAlignment w:val="baseline"/>
    </w:pPr>
    <w:rPr>
      <w:rFonts w:ascii="Arial" w:eastAsia="黑体"/>
      <w:color w:val="000000"/>
      <w:kern w:val="0"/>
      <w:sz w:val="54"/>
      <w:u w:val="none" w:color="000000"/>
    </w:rPr>
  </w:style>
  <w:style w:type="paragraph" w:customStyle="1" w:styleId="1514">
    <w:name w:val="xl7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Times New Roman" w:eastAsia="宋体"/>
      <w:color w:val="FF0000"/>
      <w:kern w:val="0"/>
      <w:sz w:val="18"/>
      <w:szCs w:val="18"/>
    </w:rPr>
  </w:style>
  <w:style w:type="paragraph" w:customStyle="1" w:styleId="1515">
    <w:name w:val="2"/>
    <w:basedOn w:val="1"/>
    <w:next w:val="36"/>
    <w:qFormat/>
    <w:uiPriority w:val="0"/>
    <w:pPr>
      <w:spacing w:line="324" w:lineRule="auto"/>
      <w:ind w:firstLine="459" w:firstLineChars="0"/>
    </w:pPr>
    <w:rPr>
      <w:rFonts w:ascii="Times New Roman" w:eastAsia="宋体"/>
      <w:spacing w:val="15"/>
      <w:kern w:val="0"/>
      <w:sz w:val="24"/>
      <w:szCs w:val="20"/>
    </w:rPr>
  </w:style>
  <w:style w:type="paragraph" w:customStyle="1" w:styleId="1516">
    <w:name w:val="秦建彬"/>
    <w:qFormat/>
    <w:uiPriority w:val="0"/>
    <w:pPr>
      <w:keepNext/>
      <w:widowControl w:val="0"/>
      <w:suppressLineNumbers/>
      <w:suppressAutoHyphens/>
      <w:overflowPunct w:val="0"/>
      <w:spacing w:line="312" w:lineRule="auto"/>
      <w:ind w:firstLine="425"/>
      <w:jc w:val="both"/>
    </w:pPr>
    <w:rPr>
      <w:rFonts w:ascii="Times New Roman" w:hAnsi="Times New Roman" w:eastAsia="宋体" w:cs="Times New Roman"/>
      <w:sz w:val="28"/>
      <w:lang w:val="en-US" w:eastAsia="zh-CN" w:bidi="ar-SA"/>
    </w:rPr>
  </w:style>
  <w:style w:type="paragraph" w:customStyle="1" w:styleId="1517">
    <w:name w:val="xl274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pPr>
    <w:rPr>
      <w:rFonts w:ascii="楷体_GB2312" w:hAnsi="宋体" w:eastAsia="楷体_GB2312" w:cs="宋体"/>
      <w:kern w:val="0"/>
      <w:sz w:val="20"/>
      <w:szCs w:val="20"/>
    </w:rPr>
  </w:style>
  <w:style w:type="paragraph" w:customStyle="1" w:styleId="1518">
    <w:name w:val="样式 表号 + 首行缩进:  2 字符"/>
    <w:basedOn w:val="1"/>
    <w:qFormat/>
    <w:uiPriority w:val="0"/>
    <w:pPr>
      <w:overflowPunct w:val="0"/>
      <w:topLinePunct/>
      <w:spacing w:line="240" w:lineRule="auto"/>
      <w:outlineLvl w:val="5"/>
    </w:pPr>
    <w:rPr>
      <w:rFonts w:ascii="Times New Roman" w:eastAsia="宋体"/>
      <w:sz w:val="21"/>
      <w:szCs w:val="20"/>
    </w:rPr>
  </w:style>
  <w:style w:type="paragraph" w:customStyle="1" w:styleId="1519">
    <w:name w:val="表中文字-h"/>
    <w:next w:val="1"/>
    <w:qFormat/>
    <w:uiPriority w:val="0"/>
    <w:pPr>
      <w:widowControl w:val="0"/>
      <w:spacing w:before="40" w:after="40"/>
      <w:jc w:val="center"/>
    </w:pPr>
    <w:rPr>
      <w:rFonts w:ascii="Times New Roman" w:hAnsi="Times New Roman" w:eastAsia="宋体" w:cs="Arial"/>
      <w:kern w:val="2"/>
      <w:sz w:val="21"/>
      <w:szCs w:val="24"/>
      <w:lang w:val="en-US" w:eastAsia="zh-CN" w:bidi="ar-SA"/>
    </w:rPr>
  </w:style>
  <w:style w:type="paragraph" w:customStyle="1" w:styleId="1520">
    <w:name w:val="标题五"/>
    <w:basedOn w:val="1"/>
    <w:qFormat/>
    <w:uiPriority w:val="0"/>
    <w:pPr>
      <w:ind w:firstLine="560"/>
      <w:jc w:val="left"/>
      <w:textAlignment w:val="baseline"/>
    </w:pPr>
    <w:rPr>
      <w:rFonts w:ascii="楷体_GB2312" w:hAnsi="Arial" w:eastAsia="楷体_GB2312" w:cs="宋体"/>
      <w:szCs w:val="20"/>
      <w:u w:val="none" w:color="000000"/>
    </w:rPr>
  </w:style>
  <w:style w:type="paragraph" w:customStyle="1" w:styleId="1521">
    <w:name w:val="样式 标题 1 + 黑体 黑色 居中"/>
    <w:basedOn w:val="4"/>
    <w:qFormat/>
    <w:uiPriority w:val="0"/>
    <w:pPr>
      <w:keepNext/>
      <w:keepLines/>
      <w:spacing w:beforeLines="50" w:after="120" w:afterLines="50" w:line="240" w:lineRule="auto"/>
    </w:pPr>
    <w:rPr>
      <w:rFonts w:ascii="Times New Roman" w:hAnsi="Times New Roman"/>
      <w:b/>
      <w:color w:val="000000"/>
      <w:sz w:val="32"/>
      <w:szCs w:val="32"/>
    </w:rPr>
  </w:style>
  <w:style w:type="paragraph" w:customStyle="1" w:styleId="1522">
    <w:name w:val="xl45368"/>
    <w:basedOn w:val="1"/>
    <w:qFormat/>
    <w:uiPriority w:val="0"/>
    <w:pPr>
      <w:widowControl/>
      <w:spacing w:before="100" w:beforeAutospacing="1" w:after="100" w:afterAutospacing="1" w:line="240" w:lineRule="auto"/>
      <w:ind w:firstLine="0" w:firstLineChars="0"/>
      <w:jc w:val="center"/>
    </w:pPr>
    <w:rPr>
      <w:rFonts w:ascii="宋体" w:hAnsi="宋体" w:eastAsia="宋体" w:cs="宋体"/>
      <w:kern w:val="0"/>
      <w:sz w:val="20"/>
      <w:szCs w:val="20"/>
    </w:rPr>
  </w:style>
  <w:style w:type="paragraph" w:customStyle="1" w:styleId="1523">
    <w:name w:val="样式 样式 仿宋 四号 黑色 首行缩进:  0.99 厘米 紧缩量  0.1 磅 + 首行缩进:  2 字符"/>
    <w:basedOn w:val="1"/>
    <w:qFormat/>
    <w:uiPriority w:val="0"/>
    <w:pPr>
      <w:ind w:firstLine="552"/>
    </w:pPr>
    <w:rPr>
      <w:rFonts w:ascii="Times New Roman" w:cs="宋体"/>
      <w:color w:val="000000"/>
      <w:szCs w:val="20"/>
    </w:rPr>
  </w:style>
  <w:style w:type="paragraph" w:customStyle="1" w:styleId="1524">
    <w:name w:val="xl87"/>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 w:val="18"/>
      <w:szCs w:val="18"/>
    </w:rPr>
  </w:style>
  <w:style w:type="paragraph" w:customStyle="1" w:styleId="1525">
    <w:name w:val="标提3"/>
    <w:basedOn w:val="7"/>
    <w:next w:val="1526"/>
    <w:semiHidden/>
    <w:qFormat/>
    <w:uiPriority w:val="0"/>
    <w:pPr>
      <w:spacing w:before="160" w:after="160" w:line="240" w:lineRule="auto"/>
      <w:jc w:val="center"/>
    </w:pPr>
    <w:rPr>
      <w:rFonts w:ascii="黑体" w:hAnsi="Times New Roman" w:eastAsia="黑体"/>
      <w:bCs w:val="0"/>
      <w:color w:val="000000"/>
      <w:sz w:val="32"/>
      <w:szCs w:val="32"/>
    </w:rPr>
  </w:style>
  <w:style w:type="paragraph" w:customStyle="1" w:styleId="1526">
    <w:name w:val="正文（首行缩进）"/>
    <w:basedOn w:val="6"/>
    <w:qFormat/>
    <w:uiPriority w:val="0"/>
    <w:pPr>
      <w:spacing w:line="360" w:lineRule="auto"/>
      <w:ind w:left="210" w:leftChars="100" w:right="100" w:rightChars="100" w:firstLine="480"/>
    </w:pPr>
    <w:rPr>
      <w:rFonts w:ascii="宋体" w:hAnsi="宋体" w:eastAsia="宋体"/>
      <w:sz w:val="24"/>
      <w:szCs w:val="24"/>
    </w:rPr>
  </w:style>
  <w:style w:type="paragraph" w:customStyle="1" w:styleId="1527">
    <w:name w:val="xl233"/>
    <w:basedOn w:val="1"/>
    <w:qFormat/>
    <w:uiPriority w:val="0"/>
    <w:pPr>
      <w:widowControl/>
      <w:pBdr>
        <w:top w:val="single" w:color="auto" w:sz="4" w:space="0"/>
        <w:left w:val="single" w:color="auto" w:sz="4" w:space="0"/>
        <w:bottom w:val="single" w:color="auto" w:sz="4" w:space="0"/>
        <w:right w:val="single" w:color="auto" w:sz="4" w:space="0"/>
      </w:pBdr>
      <w:adjustRightInd w:val="0"/>
      <w:snapToGrid w:val="0"/>
      <w:spacing w:before="100" w:beforeAutospacing="1" w:after="100" w:afterAutospacing="1" w:line="360" w:lineRule="auto"/>
      <w:ind w:firstLine="0" w:firstLineChars="0"/>
      <w:jc w:val="center"/>
    </w:pPr>
    <w:rPr>
      <w:rFonts w:ascii="Times New Roman" w:eastAsia="宋体"/>
      <w:color w:val="000000"/>
      <w:kern w:val="0"/>
      <w:sz w:val="24"/>
      <w:szCs w:val="24"/>
    </w:rPr>
  </w:style>
  <w:style w:type="paragraph" w:customStyle="1" w:styleId="1528">
    <w:name w:val="xl2577"/>
    <w:basedOn w:val="1"/>
    <w:qFormat/>
    <w:uiPriority w:val="0"/>
    <w:pPr>
      <w:widowControl/>
      <w:pBdr>
        <w:top w:val="single" w:color="auto" w:sz="4" w:space="0"/>
      </w:pBdr>
      <w:spacing w:before="100" w:beforeAutospacing="1" w:after="100" w:afterAutospacing="1" w:line="240" w:lineRule="auto"/>
      <w:ind w:firstLine="0" w:firstLineChars="0"/>
      <w:jc w:val="center"/>
    </w:pPr>
    <w:rPr>
      <w:rFonts w:ascii="楷体_GB2312" w:hAnsi="宋体" w:eastAsia="楷体_GB2312" w:cs="宋体"/>
      <w:kern w:val="0"/>
      <w:sz w:val="20"/>
      <w:szCs w:val="20"/>
    </w:rPr>
  </w:style>
  <w:style w:type="paragraph" w:customStyle="1" w:styleId="1529">
    <w:name w:val="xl99"/>
    <w:basedOn w:val="1"/>
    <w:qFormat/>
    <w:uiPriority w:val="0"/>
    <w:pPr>
      <w:widowControl/>
      <w:pBdr>
        <w:top w:val="single" w:color="auto" w:sz="4" w:space="0"/>
        <w:left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18"/>
      <w:szCs w:val="18"/>
    </w:rPr>
  </w:style>
  <w:style w:type="paragraph" w:customStyle="1" w:styleId="1530">
    <w:name w:val="样式40"/>
    <w:basedOn w:val="4"/>
    <w:qFormat/>
    <w:uiPriority w:val="0"/>
    <w:pPr>
      <w:jc w:val="left"/>
    </w:pPr>
    <w:rPr>
      <w:rFonts w:ascii="Arial" w:hAnsi="Arial"/>
    </w:rPr>
  </w:style>
  <w:style w:type="paragraph" w:customStyle="1" w:styleId="1531">
    <w:name w:val="小表文居中"/>
    <w:basedOn w:val="1"/>
    <w:qFormat/>
    <w:uiPriority w:val="0"/>
    <w:pPr>
      <w:autoSpaceDE w:val="0"/>
      <w:autoSpaceDN w:val="0"/>
      <w:adjustRightInd w:val="0"/>
      <w:spacing w:before="20" w:line="360" w:lineRule="auto"/>
      <w:jc w:val="center"/>
      <w:textAlignment w:val="baseline"/>
    </w:pPr>
    <w:rPr>
      <w:rFonts w:ascii="Times New Roman" w:eastAsia="宋体"/>
      <w:kern w:val="0"/>
      <w:sz w:val="18"/>
      <w:szCs w:val="20"/>
    </w:rPr>
  </w:style>
  <w:style w:type="paragraph" w:customStyle="1" w:styleId="1532">
    <w:name w:val="xl7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Times New Roman" w:eastAsia="宋体"/>
      <w:kern w:val="0"/>
      <w:sz w:val="18"/>
      <w:szCs w:val="18"/>
    </w:rPr>
  </w:style>
  <w:style w:type="paragraph" w:customStyle="1" w:styleId="1533">
    <w:name w:val="xl2263"/>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楷体_GB2312" w:hAnsi="宋体" w:eastAsia="楷体_GB2312" w:cs="宋体"/>
      <w:kern w:val="0"/>
      <w:sz w:val="20"/>
      <w:szCs w:val="20"/>
    </w:rPr>
  </w:style>
  <w:style w:type="paragraph" w:customStyle="1" w:styleId="1534">
    <w:name w:val="xl55"/>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ascii="Times New Roman" w:eastAsia="宋体"/>
      <w:color w:val="000000"/>
      <w:kern w:val="0"/>
      <w:sz w:val="16"/>
      <w:szCs w:val="16"/>
    </w:rPr>
  </w:style>
  <w:style w:type="paragraph" w:customStyle="1" w:styleId="1535">
    <w:name w:val="样式 标标1 + 黑色 段前: 1 行"/>
    <w:basedOn w:val="1"/>
    <w:qFormat/>
    <w:uiPriority w:val="0"/>
    <w:pPr>
      <w:keepNext/>
      <w:keepLines/>
      <w:spacing w:before="240" w:after="240"/>
      <w:ind w:firstLine="0" w:firstLineChars="0"/>
      <w:jc w:val="left"/>
      <w:outlineLvl w:val="0"/>
    </w:pPr>
    <w:rPr>
      <w:rFonts w:ascii="Arial" w:hAnsi="Arial" w:eastAsia="黑体" w:cs="宋体"/>
      <w:color w:val="000000"/>
      <w:kern w:val="44"/>
      <w:sz w:val="36"/>
      <w:szCs w:val="20"/>
    </w:rPr>
  </w:style>
  <w:style w:type="paragraph" w:customStyle="1" w:styleId="1536">
    <w:name w:val="表名 Char1 Char Char Char"/>
    <w:basedOn w:val="1"/>
    <w:semiHidden/>
    <w:qFormat/>
    <w:uiPriority w:val="0"/>
    <w:pPr>
      <w:overflowPunct w:val="0"/>
      <w:spacing w:before="100" w:beforeAutospacing="1" w:line="240" w:lineRule="auto"/>
      <w:jc w:val="center"/>
      <w:textAlignment w:val="baseline"/>
    </w:pPr>
    <w:rPr>
      <w:rFonts w:ascii="Arial" w:hAnsi="Arial" w:eastAsia="黑体"/>
      <w:snapToGrid w:val="0"/>
      <w:szCs w:val="24"/>
    </w:rPr>
  </w:style>
  <w:style w:type="paragraph" w:customStyle="1" w:styleId="1537">
    <w:name w:val="公标题3 + 段前: 0.3 行 段后: 0.3 行"/>
    <w:basedOn w:val="1538"/>
    <w:qFormat/>
    <w:uiPriority w:val="0"/>
    <w:pPr>
      <w:spacing w:before="72" w:after="72" w:line="355" w:lineRule="auto"/>
    </w:pPr>
    <w:rPr>
      <w:rFonts w:cs="宋体"/>
      <w:szCs w:val="28"/>
    </w:rPr>
  </w:style>
  <w:style w:type="paragraph" w:customStyle="1" w:styleId="1538">
    <w:name w:val="公标题3"/>
    <w:basedOn w:val="1539"/>
    <w:qFormat/>
    <w:uiPriority w:val="0"/>
    <w:pPr>
      <w:spacing w:beforeLines="30" w:afterLines="30"/>
      <w:outlineLvl w:val="2"/>
    </w:pPr>
    <w:rPr>
      <w:sz w:val="28"/>
    </w:rPr>
  </w:style>
  <w:style w:type="paragraph" w:customStyle="1" w:styleId="1539">
    <w:name w:val="公标题2"/>
    <w:basedOn w:val="1"/>
    <w:qFormat/>
    <w:uiPriority w:val="0"/>
    <w:pPr>
      <w:adjustRightInd w:val="0"/>
      <w:snapToGrid w:val="0"/>
      <w:spacing w:beforeLines="50" w:afterLines="50" w:line="353" w:lineRule="auto"/>
      <w:ind w:firstLine="0" w:firstLineChars="0"/>
      <w:outlineLvl w:val="1"/>
    </w:pPr>
    <w:rPr>
      <w:rFonts w:ascii="Swis721 BT" w:hAnsi="Swis721 BT" w:eastAsia="黑体"/>
      <w:sz w:val="32"/>
      <w:szCs w:val="24"/>
    </w:rPr>
  </w:style>
  <w:style w:type="paragraph" w:customStyle="1" w:styleId="1540">
    <w:name w:val="声明"/>
    <w:basedOn w:val="1"/>
    <w:qFormat/>
    <w:uiPriority w:val="0"/>
    <w:pPr>
      <w:spacing w:line="360" w:lineRule="auto"/>
      <w:ind w:firstLine="198"/>
    </w:pPr>
    <w:rPr>
      <w:rFonts w:eastAsia="黑体"/>
      <w:sz w:val="24"/>
      <w:szCs w:val="24"/>
    </w:rPr>
  </w:style>
  <w:style w:type="paragraph" w:customStyle="1" w:styleId="1541">
    <w:name w:val="样式 样式 样式5 + 三号 加粗 自动设置 Char + 段前: 0.5 行 段后: 0.5 行"/>
    <w:basedOn w:val="1542"/>
    <w:qFormat/>
    <w:uiPriority w:val="0"/>
    <w:pPr>
      <w:spacing w:before="232" w:after="232"/>
    </w:pPr>
    <w:rPr>
      <w:szCs w:val="20"/>
    </w:rPr>
  </w:style>
  <w:style w:type="paragraph" w:customStyle="1" w:styleId="1542">
    <w:name w:val="样式 样式5 + 三号 加粗 自动设置 Char"/>
    <w:basedOn w:val="1543"/>
    <w:qFormat/>
    <w:uiPriority w:val="0"/>
    <w:pPr>
      <w:spacing w:before="50" w:after="50"/>
    </w:pPr>
    <w:rPr>
      <w:b/>
      <w:bCs/>
      <w:color w:val="auto"/>
      <w:sz w:val="32"/>
      <w:szCs w:val="32"/>
    </w:rPr>
  </w:style>
  <w:style w:type="paragraph" w:customStyle="1" w:styleId="1543">
    <w:name w:val="样式5 Char"/>
    <w:basedOn w:val="1"/>
    <w:qFormat/>
    <w:uiPriority w:val="0"/>
    <w:pPr>
      <w:spacing w:beforeLines="50" w:afterLines="50" w:line="240" w:lineRule="auto"/>
      <w:ind w:firstLine="0" w:firstLineChars="0"/>
    </w:pPr>
    <w:rPr>
      <w:rFonts w:ascii="Times New Roman" w:eastAsia="黑体"/>
      <w:color w:val="000000"/>
    </w:rPr>
  </w:style>
  <w:style w:type="paragraph" w:customStyle="1" w:styleId="1544">
    <w:name w:val="样式 标题 2节1.1 标题 2First Level Head节标题 1.1h2l22nd levelTitr..."/>
    <w:basedOn w:val="5"/>
    <w:qFormat/>
    <w:uiPriority w:val="0"/>
    <w:pPr>
      <w:keepNext/>
      <w:keepLines/>
      <w:tabs>
        <w:tab w:val="left" w:pos="567"/>
      </w:tabs>
      <w:spacing w:before="0" w:beforeLines="50" w:after="0" w:afterLines="50" w:line="240" w:lineRule="exact"/>
      <w:ind w:left="567" w:hanging="567"/>
    </w:pPr>
    <w:rPr>
      <w:rFonts w:ascii="Times New Roman" w:hAnsi="Times New Roman"/>
      <w:b/>
      <w:sz w:val="30"/>
      <w:szCs w:val="30"/>
    </w:rPr>
  </w:style>
  <w:style w:type="paragraph" w:customStyle="1" w:styleId="1545">
    <w:name w:val="Char Char Char Char Char Char Char Char Char Char Char Char Char Char Char Char Char Char Char Char Char Char Char Char Char Char Char Char Char1"/>
    <w:basedOn w:val="1"/>
    <w:semiHidden/>
    <w:qFormat/>
    <w:uiPriority w:val="0"/>
    <w:pPr>
      <w:widowControl/>
      <w:spacing w:after="160" w:line="240" w:lineRule="exact"/>
      <w:ind w:firstLine="0" w:firstLineChars="0"/>
      <w:jc w:val="left"/>
    </w:pPr>
    <w:rPr>
      <w:rFonts w:ascii="宋体" w:hAnsi="宋体" w:eastAsia="宋体"/>
      <w:spacing w:val="14"/>
      <w:kern w:val="0"/>
      <w:sz w:val="24"/>
      <w:szCs w:val="24"/>
      <w:u w:val="none" w:color="000000"/>
    </w:rPr>
  </w:style>
  <w:style w:type="paragraph" w:customStyle="1" w:styleId="1546">
    <w:name w:val="1.1.1.1A-1"/>
    <w:basedOn w:val="1547"/>
    <w:qFormat/>
    <w:uiPriority w:val="0"/>
    <w:pPr>
      <w:tabs>
        <w:tab w:val="left" w:pos="480"/>
        <w:tab w:val="left" w:pos="1134"/>
        <w:tab w:val="left" w:pos="1920"/>
      </w:tabs>
      <w:autoSpaceDE w:val="0"/>
      <w:autoSpaceDN w:val="0"/>
      <w:adjustRightInd w:val="0"/>
      <w:spacing w:beforeLines="0" w:afterLines="0" w:line="360" w:lineRule="auto"/>
      <w:ind w:left="1985" w:hanging="426" w:firstLineChars="200"/>
      <w:jc w:val="left"/>
      <w:textAlignment w:val="baseline"/>
      <w:outlineLvl w:val="2"/>
    </w:pPr>
    <w:rPr>
      <w:rFonts w:ascii="Arial" w:hAnsi="Arial" w:eastAsia="仿宋_GB2312"/>
      <w:caps/>
      <w:kern w:val="0"/>
      <w:sz w:val="24"/>
      <w:szCs w:val="24"/>
      <w:u w:val="none" w:color="000000"/>
    </w:rPr>
  </w:style>
  <w:style w:type="paragraph" w:customStyle="1" w:styleId="1547">
    <w:name w:val="1.1.1.1"/>
    <w:basedOn w:val="1"/>
    <w:qFormat/>
    <w:uiPriority w:val="0"/>
    <w:pPr>
      <w:tabs>
        <w:tab w:val="left" w:pos="480"/>
        <w:tab w:val="left" w:pos="1920"/>
      </w:tabs>
      <w:spacing w:beforeLines="50" w:afterLines="50" w:line="440" w:lineRule="exact"/>
      <w:ind w:firstLine="540" w:firstLineChars="225"/>
      <w:outlineLvl w:val="3"/>
    </w:pPr>
    <w:rPr>
      <w:rFonts w:ascii="Times New Roman" w:eastAsia="楷体_GB2312"/>
      <w:bCs/>
    </w:rPr>
  </w:style>
  <w:style w:type="paragraph" w:customStyle="1" w:styleId="1548">
    <w:name w:val="MY1"/>
    <w:basedOn w:val="4"/>
    <w:semiHidden/>
    <w:qFormat/>
    <w:uiPriority w:val="0"/>
    <w:pPr>
      <w:keepNext/>
      <w:keepLines/>
      <w:tabs>
        <w:tab w:val="left" w:pos="425"/>
        <w:tab w:val="left" w:pos="1270"/>
      </w:tabs>
      <w:adjustRightInd w:val="0"/>
      <w:snapToGrid w:val="0"/>
      <w:spacing w:after="360" w:line="480" w:lineRule="auto"/>
      <w:ind w:left="1270" w:hanging="630"/>
      <w:jc w:val="center"/>
      <w:textAlignment w:val="baseline"/>
    </w:pPr>
    <w:rPr>
      <w:rFonts w:ascii="宋体" w:hAnsi="宋体"/>
      <w:szCs w:val="24"/>
    </w:rPr>
  </w:style>
  <w:style w:type="paragraph" w:customStyle="1" w:styleId="1549">
    <w:name w:val="默认段落字体 Para Char"/>
    <w:basedOn w:val="1"/>
    <w:qFormat/>
    <w:uiPriority w:val="0"/>
    <w:pPr>
      <w:spacing w:line="360" w:lineRule="auto"/>
      <w:ind w:firstLine="200" w:firstLineChars="200"/>
    </w:pPr>
    <w:rPr>
      <w:rFonts w:ascii="宋体" w:hAnsi="宋体" w:cs="宋体"/>
      <w:sz w:val="24"/>
    </w:rPr>
  </w:style>
  <w:style w:type="paragraph" w:customStyle="1" w:styleId="1550">
    <w:name w:val="样式 样式 (中文) 方正小标宋简体 四号 行距: 1.5 倍行距 + 五号1"/>
    <w:basedOn w:val="630"/>
    <w:qFormat/>
    <w:uiPriority w:val="0"/>
    <w:rPr>
      <w:sz w:val="21"/>
    </w:rPr>
  </w:style>
  <w:style w:type="paragraph" w:customStyle="1" w:styleId="1551">
    <w:name w:val="xl53"/>
    <w:basedOn w:val="1"/>
    <w:qFormat/>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 w:val="16"/>
      <w:szCs w:val="16"/>
    </w:rPr>
  </w:style>
  <w:style w:type="paragraph" w:customStyle="1" w:styleId="1552">
    <w:name w:val="表名4"/>
    <w:basedOn w:val="1"/>
    <w:qFormat/>
    <w:uiPriority w:val="0"/>
    <w:pPr>
      <w:widowControl/>
      <w:numPr>
        <w:ilvl w:val="0"/>
        <w:numId w:val="7"/>
      </w:numPr>
      <w:adjustRightInd w:val="0"/>
      <w:snapToGrid w:val="0"/>
      <w:spacing w:line="360" w:lineRule="auto"/>
      <w:ind w:firstLine="0" w:firstLineChars="0"/>
      <w:jc w:val="center"/>
    </w:pPr>
    <w:rPr>
      <w:rFonts w:ascii="Calibri" w:eastAsia="黑体"/>
      <w:snapToGrid w:val="0"/>
      <w:color w:val="000000"/>
      <w:w w:val="0"/>
      <w:kern w:val="0"/>
      <w:sz w:val="24"/>
      <w:szCs w:val="24"/>
    </w:rPr>
  </w:style>
  <w:style w:type="paragraph" w:customStyle="1" w:styleId="1553">
    <w:name w:val="标准表头格式"/>
    <w:basedOn w:val="1554"/>
    <w:qFormat/>
    <w:uiPriority w:val="0"/>
    <w:pPr>
      <w:spacing w:before="240"/>
      <w:ind w:firstLine="616" w:firstLineChars="200"/>
      <w:jc w:val="center"/>
    </w:pPr>
    <w:rPr>
      <w:b/>
      <w:sz w:val="28"/>
      <w:szCs w:val="28"/>
    </w:rPr>
  </w:style>
  <w:style w:type="paragraph" w:customStyle="1" w:styleId="1554">
    <w:name w:val="标准表格注释"/>
    <w:basedOn w:val="1"/>
    <w:qFormat/>
    <w:uiPriority w:val="0"/>
    <w:pPr>
      <w:spacing w:line="240" w:lineRule="auto"/>
      <w:ind w:firstLine="400" w:firstLineChars="150"/>
      <w:jc w:val="left"/>
    </w:pPr>
    <w:rPr>
      <w:rFonts w:ascii="宋体" w:hAnsi="宋体" w:eastAsia="宋体"/>
      <w:kern w:val="0"/>
      <w:sz w:val="24"/>
      <w:szCs w:val="24"/>
    </w:rPr>
  </w:style>
  <w:style w:type="paragraph" w:customStyle="1" w:styleId="1555">
    <w:name w:val="BT33"/>
    <w:basedOn w:val="1073"/>
    <w:qFormat/>
    <w:uiPriority w:val="0"/>
    <w:pPr>
      <w:tabs>
        <w:tab w:val="left" w:pos="1144"/>
      </w:tabs>
      <w:adjustRightInd w:val="0"/>
      <w:snapToGrid w:val="0"/>
      <w:spacing w:line="360" w:lineRule="auto"/>
      <w:jc w:val="both"/>
      <w:textAlignment w:val="baseline"/>
    </w:pPr>
    <w:rPr>
      <w:bCs/>
      <w:kern w:val="0"/>
      <w:sz w:val="24"/>
      <w:szCs w:val="20"/>
      <w:u w:val="none" w:color="000000"/>
      <w:lang w:val="zh-CN" w:eastAsia="zh-CN"/>
    </w:rPr>
  </w:style>
  <w:style w:type="paragraph" w:customStyle="1" w:styleId="1556">
    <w:name w:val="正文宋体四号"/>
    <w:basedOn w:val="1"/>
    <w:qFormat/>
    <w:uiPriority w:val="0"/>
    <w:pPr>
      <w:spacing w:line="360" w:lineRule="auto"/>
    </w:pPr>
    <w:rPr>
      <w:rFonts w:ascii="Times New Roman" w:eastAsia="宋体"/>
      <w:szCs w:val="24"/>
      <w:u w:val="none" w:color="000000"/>
    </w:rPr>
  </w:style>
  <w:style w:type="paragraph" w:customStyle="1" w:styleId="1557">
    <w:name w:val="Char1 Char Char Char Char Char Char Char Char Char Char"/>
    <w:next w:val="1"/>
    <w:semiHidden/>
    <w:qFormat/>
    <w:uiPriority w:val="0"/>
    <w:pPr>
      <w:tabs>
        <w:tab w:val="left" w:pos="360"/>
      </w:tabs>
      <w:spacing w:after="160" w:line="240" w:lineRule="exact"/>
      <w:ind w:firstLine="400" w:firstLineChars="400"/>
    </w:pPr>
    <w:rPr>
      <w:rFonts w:ascii="Verdana" w:hAnsi="Verdana" w:eastAsia="仿宋_GB2312" w:cs="Times New Roman"/>
      <w:b/>
      <w:spacing w:val="14"/>
      <w:sz w:val="24"/>
      <w:lang w:val="en-US" w:eastAsia="en-US" w:bidi="ar-SA"/>
    </w:rPr>
  </w:style>
  <w:style w:type="paragraph" w:customStyle="1" w:styleId="1558">
    <w:name w:val="xl275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Times New Roman" w:eastAsia="宋体"/>
      <w:kern w:val="0"/>
      <w:sz w:val="20"/>
      <w:szCs w:val="20"/>
    </w:rPr>
  </w:style>
  <w:style w:type="paragraph" w:customStyle="1" w:styleId="1559">
    <w:name w:val="表内-文字"/>
    <w:basedOn w:val="1"/>
    <w:qFormat/>
    <w:uiPriority w:val="0"/>
    <w:pPr>
      <w:spacing w:line="320" w:lineRule="exact"/>
      <w:ind w:firstLine="0" w:firstLineChars="0"/>
      <w:jc w:val="center"/>
    </w:pPr>
    <w:rPr>
      <w:rFonts w:ascii="Times New Roman" w:eastAsia="楷体_GB2312" w:cs="宋体"/>
      <w:bCs/>
      <w:color w:val="000000"/>
      <w:kern w:val="0"/>
      <w:sz w:val="21"/>
      <w:szCs w:val="21"/>
      <w:u w:val="none" w:color="000000"/>
    </w:rPr>
  </w:style>
  <w:style w:type="paragraph" w:customStyle="1" w:styleId="1560">
    <w:name w:val="标题8 Char"/>
    <w:basedOn w:val="1"/>
    <w:next w:val="1"/>
    <w:qFormat/>
    <w:uiPriority w:val="0"/>
    <w:pPr>
      <w:suppressLineNumbers/>
      <w:suppressAutoHyphens/>
      <w:topLinePunct/>
      <w:adjustRightInd w:val="0"/>
      <w:snapToGrid w:val="0"/>
      <w:ind w:firstLine="510" w:firstLineChars="0"/>
    </w:pPr>
    <w:rPr>
      <w:rFonts w:ascii="Times New Roman" w:eastAsia="宋体" w:cs="宋体"/>
      <w:kern w:val="0"/>
      <w:sz w:val="24"/>
      <w:szCs w:val="24"/>
      <w:u w:val="none" w:color="000000"/>
    </w:rPr>
  </w:style>
  <w:style w:type="paragraph" w:customStyle="1" w:styleId="1561">
    <w:name w:val="样式 (西文) 黑体 (中文) 黑体 小四 居中 行距: 单倍行距 首行缩进:  0 字符"/>
    <w:basedOn w:val="1"/>
    <w:qFormat/>
    <w:uiPriority w:val="0"/>
    <w:pPr>
      <w:spacing w:line="240" w:lineRule="auto"/>
      <w:ind w:firstLine="0" w:firstLineChars="0"/>
      <w:jc w:val="center"/>
      <w:outlineLvl w:val="5"/>
    </w:pPr>
    <w:rPr>
      <w:rFonts w:ascii="黑体" w:hAnsi="Calibri" w:eastAsia="黑体" w:cs="宋体"/>
      <w:kern w:val="0"/>
      <w:sz w:val="24"/>
      <w:szCs w:val="20"/>
    </w:rPr>
  </w:style>
  <w:style w:type="paragraph" w:customStyle="1" w:styleId="1562">
    <w:name w:val="xl6268"/>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pPr>
    <w:rPr>
      <w:rFonts w:ascii="Times New Roman" w:eastAsia="宋体"/>
      <w:kern w:val="0"/>
      <w:sz w:val="24"/>
      <w:szCs w:val="24"/>
    </w:rPr>
  </w:style>
  <w:style w:type="paragraph" w:customStyle="1" w:styleId="1563">
    <w:name w:val="Char1 Char Char Char Char Char11"/>
    <w:basedOn w:val="1"/>
    <w:qFormat/>
    <w:uiPriority w:val="0"/>
    <w:pPr>
      <w:spacing w:line="360" w:lineRule="auto"/>
    </w:pPr>
    <w:rPr>
      <w:rFonts w:ascii="宋体" w:hAnsi="宋体" w:cs="宋体"/>
      <w:kern w:val="0"/>
      <w:sz w:val="24"/>
      <w:szCs w:val="24"/>
      <w:u w:val="none" w:color="000000"/>
    </w:rPr>
  </w:style>
  <w:style w:type="paragraph" w:customStyle="1" w:styleId="1564">
    <w:name w:val="报告表中"/>
    <w:basedOn w:val="1"/>
    <w:qFormat/>
    <w:uiPriority w:val="0"/>
    <w:pPr>
      <w:adjustRightInd w:val="0"/>
      <w:spacing w:line="360" w:lineRule="auto"/>
      <w:ind w:firstLine="560"/>
      <w:jc w:val="center"/>
    </w:pPr>
    <w:rPr>
      <w:kern w:val="0"/>
      <w:sz w:val="18"/>
      <w:szCs w:val="20"/>
      <w:u w:val="none" w:color="000000"/>
    </w:rPr>
  </w:style>
  <w:style w:type="paragraph" w:customStyle="1" w:styleId="1565">
    <w:name w:val="xl2763"/>
    <w:basedOn w:val="1"/>
    <w:qFormat/>
    <w:uiPriority w:val="0"/>
    <w:pPr>
      <w:widowControl/>
      <w:pBdr>
        <w:top w:val="single" w:color="auto" w:sz="4" w:space="0"/>
        <w:left w:val="single" w:color="auto" w:sz="4" w:space="0"/>
        <w:bottom w:val="single" w:color="auto" w:sz="4" w:space="0"/>
        <w:right w:val="single" w:color="auto" w:sz="4" w:space="0"/>
      </w:pBdr>
      <w:shd w:val="clear" w:color="000000" w:fill="FF0000"/>
      <w:spacing w:before="100" w:beforeAutospacing="1" w:after="100" w:afterAutospacing="1" w:line="240" w:lineRule="auto"/>
      <w:ind w:firstLine="0" w:firstLineChars="0"/>
      <w:jc w:val="center"/>
    </w:pPr>
    <w:rPr>
      <w:rFonts w:ascii="Times New Roman" w:eastAsia="宋体"/>
      <w:kern w:val="0"/>
      <w:sz w:val="21"/>
      <w:szCs w:val="21"/>
    </w:rPr>
  </w:style>
  <w:style w:type="paragraph" w:customStyle="1" w:styleId="1566">
    <w:name w:val="样式 表名 + 首行缩进:  1 字符"/>
    <w:basedOn w:val="1"/>
    <w:qFormat/>
    <w:uiPriority w:val="0"/>
    <w:pPr>
      <w:spacing w:after="60"/>
      <w:ind w:firstLine="240" w:firstLineChars="100"/>
    </w:pPr>
    <w:rPr>
      <w:rFonts w:ascii="黑体" w:eastAsia="黑体" w:cs="宋体"/>
      <w:sz w:val="24"/>
      <w:szCs w:val="20"/>
    </w:rPr>
  </w:style>
  <w:style w:type="paragraph" w:customStyle="1" w:styleId="1567">
    <w:name w:val="sb-单位"/>
    <w:basedOn w:val="1"/>
    <w:qFormat/>
    <w:uiPriority w:val="0"/>
    <w:pPr>
      <w:widowControl/>
      <w:spacing w:line="0" w:lineRule="atLeast"/>
      <w:jc w:val="right"/>
    </w:pPr>
    <w:rPr>
      <w:rFonts w:ascii="Times New Roman" w:eastAsia="宋体"/>
      <w:snapToGrid w:val="0"/>
      <w:sz w:val="21"/>
      <w:szCs w:val="21"/>
    </w:rPr>
  </w:style>
  <w:style w:type="paragraph" w:customStyle="1" w:styleId="1568">
    <w:name w:val="编章标题石"/>
    <w:next w:val="87"/>
    <w:qFormat/>
    <w:uiPriority w:val="0"/>
    <w:pPr>
      <w:spacing w:before="300" w:after="300"/>
      <w:jc w:val="center"/>
    </w:pPr>
    <w:rPr>
      <w:rFonts w:ascii="Arial" w:hAnsi="Arial" w:eastAsia="黑体" w:cs="Times New Roman"/>
      <w:b/>
      <w:spacing w:val="20"/>
      <w:kern w:val="2"/>
      <w:sz w:val="52"/>
      <w:szCs w:val="44"/>
      <w:lang w:val="en-US" w:eastAsia="zh-CN" w:bidi="ar-SA"/>
    </w:rPr>
  </w:style>
  <w:style w:type="paragraph" w:customStyle="1" w:styleId="1569">
    <w:name w:val="0"/>
    <w:basedOn w:val="1"/>
    <w:qFormat/>
    <w:uiPriority w:val="0"/>
    <w:pPr>
      <w:widowControl/>
      <w:snapToGrid w:val="0"/>
      <w:spacing w:line="560" w:lineRule="atLeast"/>
      <w:ind w:firstLine="0" w:firstLineChars="0"/>
    </w:pPr>
    <w:rPr>
      <w:rFonts w:hAnsi="宋体" w:cs="宋体"/>
      <w:kern w:val="0"/>
    </w:rPr>
  </w:style>
  <w:style w:type="paragraph" w:customStyle="1" w:styleId="1570">
    <w:name w:val="xl4534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Times New Roman" w:eastAsia="宋体"/>
      <w:kern w:val="0"/>
      <w:sz w:val="20"/>
      <w:szCs w:val="20"/>
    </w:rPr>
  </w:style>
  <w:style w:type="paragraph" w:customStyle="1" w:styleId="1571">
    <w:name w:val="Char1 Char Char Char Char Char1"/>
    <w:basedOn w:val="1"/>
    <w:qFormat/>
    <w:uiPriority w:val="0"/>
    <w:pPr>
      <w:pageBreakBefore/>
    </w:pPr>
    <w:rPr>
      <w:rFonts w:ascii="宋体"/>
      <w:u w:val="none" w:color="000000"/>
    </w:rPr>
  </w:style>
  <w:style w:type="paragraph" w:customStyle="1" w:styleId="1572">
    <w:name w:val="xl2275"/>
    <w:basedOn w:val="1"/>
    <w:qFormat/>
    <w:uiPriority w:val="0"/>
    <w:pPr>
      <w:widowControl/>
      <w:pBdr>
        <w:right w:val="single" w:color="auto" w:sz="4" w:space="0"/>
      </w:pBdr>
      <w:spacing w:before="100" w:beforeAutospacing="1" w:after="100" w:afterAutospacing="1" w:line="240" w:lineRule="auto"/>
      <w:ind w:firstLine="0" w:firstLineChars="0"/>
      <w:jc w:val="center"/>
    </w:pPr>
    <w:rPr>
      <w:rFonts w:ascii="楷体_GB2312" w:hAnsi="宋体" w:eastAsia="楷体_GB2312" w:cs="宋体"/>
      <w:kern w:val="0"/>
      <w:sz w:val="20"/>
      <w:szCs w:val="20"/>
    </w:rPr>
  </w:style>
  <w:style w:type="paragraph" w:customStyle="1" w:styleId="1573">
    <w:name w:val="xl130"/>
    <w:basedOn w:val="1"/>
    <w:qFormat/>
    <w:uiPriority w:val="0"/>
    <w:pPr>
      <w:widowControl/>
      <w:pBdr>
        <w:top w:val="single" w:color="auto" w:sz="4" w:space="0"/>
        <w:left w:val="single" w:color="auto" w:sz="4" w:space="0"/>
      </w:pBdr>
      <w:spacing w:before="100" w:beforeAutospacing="1" w:after="100" w:afterAutospacing="1" w:line="240" w:lineRule="auto"/>
      <w:ind w:firstLine="0" w:firstLineChars="0"/>
      <w:jc w:val="center"/>
    </w:pPr>
    <w:rPr>
      <w:rFonts w:ascii="宋体" w:hAnsi="宋体" w:eastAsia="宋体" w:cs="宋体"/>
      <w:kern w:val="0"/>
      <w:sz w:val="20"/>
      <w:szCs w:val="20"/>
    </w:rPr>
  </w:style>
  <w:style w:type="paragraph" w:customStyle="1" w:styleId="1574">
    <w:name w:val="样式 样式 表中文字 + (中文) 楷体_GB2312 五号 + 首行缩进:  2 字符2"/>
    <w:basedOn w:val="1375"/>
    <w:qFormat/>
    <w:uiPriority w:val="0"/>
    <w:pPr>
      <w:ind w:firstLine="0" w:firstLineChars="0"/>
    </w:pPr>
  </w:style>
  <w:style w:type="paragraph" w:customStyle="1" w:styleId="1575">
    <w:name w:val="样式 五号 居中 首行缩进:  0 字符"/>
    <w:basedOn w:val="1"/>
    <w:qFormat/>
    <w:uiPriority w:val="0"/>
    <w:pPr>
      <w:spacing w:line="240" w:lineRule="auto"/>
      <w:ind w:firstLine="420"/>
      <w:jc w:val="center"/>
    </w:pPr>
    <w:rPr>
      <w:rFonts w:ascii="Times New Roman" w:cs="宋体"/>
      <w:sz w:val="21"/>
      <w:szCs w:val="20"/>
    </w:rPr>
  </w:style>
  <w:style w:type="paragraph" w:customStyle="1" w:styleId="1576">
    <w:name w:val="样式 标题 2标题2白鹤滩标题 2白鹤滩2 + 黑体 加粗 红色"/>
    <w:basedOn w:val="5"/>
    <w:qFormat/>
    <w:uiPriority w:val="0"/>
    <w:pPr>
      <w:keepNext/>
      <w:keepLines/>
      <w:tabs>
        <w:tab w:val="left" w:pos="567"/>
      </w:tabs>
      <w:spacing w:before="0" w:beforeLines="600" w:after="0" w:afterLines="600"/>
      <w:ind w:left="567" w:hanging="567"/>
    </w:pPr>
    <w:rPr>
      <w:rFonts w:ascii="楷体_GB2312" w:eastAsia="楷体_GB2312" w:cs="宋体"/>
      <w:b/>
      <w:sz w:val="30"/>
      <w:szCs w:val="30"/>
    </w:rPr>
  </w:style>
  <w:style w:type="paragraph" w:customStyle="1" w:styleId="1577">
    <w:name w:val="样式 公正文 + 黑体 小四 首行缩进:  2 字符"/>
    <w:basedOn w:val="382"/>
    <w:qFormat/>
    <w:uiPriority w:val="0"/>
    <w:pPr>
      <w:spacing w:after="60"/>
      <w:ind w:firstLine="100" w:firstLineChars="100"/>
      <w:outlineLvl w:val="6"/>
    </w:pPr>
    <w:rPr>
      <w:rFonts w:ascii="黑体" w:eastAsia="黑体"/>
      <w:sz w:val="24"/>
    </w:rPr>
  </w:style>
  <w:style w:type="paragraph" w:customStyle="1" w:styleId="1578">
    <w:name w:val="xl257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楷体_GB2312" w:hAnsi="宋体" w:eastAsia="楷体_GB2312" w:cs="宋体"/>
      <w:kern w:val="0"/>
      <w:sz w:val="20"/>
      <w:szCs w:val="20"/>
    </w:rPr>
  </w:style>
  <w:style w:type="paragraph" w:customStyle="1" w:styleId="1579">
    <w:name w:val="样式 仿宋_GB2312 四号 首行缩进:  0.37 厘米 行距: 1.5 倍行距"/>
    <w:basedOn w:val="1"/>
    <w:qFormat/>
    <w:uiPriority w:val="0"/>
    <w:pPr>
      <w:spacing w:line="360" w:lineRule="auto"/>
      <w:ind w:left="100" w:leftChars="100" w:firstLine="0" w:firstLineChars="0"/>
    </w:pPr>
    <w:rPr>
      <w:rFonts w:cs="宋体"/>
      <w:szCs w:val="20"/>
    </w:rPr>
  </w:style>
  <w:style w:type="paragraph" w:customStyle="1" w:styleId="1580">
    <w:name w:val="xl2809"/>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Lines="25" w:beforeAutospacing="1" w:after="100" w:afterAutospacing="1" w:line="240" w:lineRule="auto"/>
      <w:ind w:firstLine="0" w:firstLineChars="0"/>
      <w:jc w:val="center"/>
    </w:pPr>
    <w:rPr>
      <w:rFonts w:ascii="Times New Roman" w:eastAsia="宋体"/>
      <w:kern w:val="0"/>
      <w:sz w:val="24"/>
      <w:szCs w:val="24"/>
    </w:rPr>
  </w:style>
  <w:style w:type="paragraph" w:customStyle="1" w:styleId="1581">
    <w:name w:val="Char Char Char Char Char Char Char Char Char Char Char Char Char Char Char Char Char Char Char3"/>
    <w:basedOn w:val="1"/>
    <w:semiHidden/>
    <w:qFormat/>
    <w:uiPriority w:val="0"/>
    <w:rPr>
      <w:u w:val="none" w:color="000000"/>
    </w:rPr>
  </w:style>
  <w:style w:type="paragraph" w:customStyle="1" w:styleId="1582">
    <w:name w:val="msolistparagraph"/>
    <w:basedOn w:val="1"/>
    <w:qFormat/>
    <w:uiPriority w:val="0"/>
    <w:pPr>
      <w:spacing w:line="240" w:lineRule="auto"/>
      <w:ind w:firstLine="420"/>
    </w:pPr>
    <w:rPr>
      <w:rFonts w:ascii="Calibri" w:hAnsi="Calibri" w:eastAsia="宋体" w:cs="Calibri"/>
      <w:sz w:val="21"/>
      <w:szCs w:val="21"/>
    </w:rPr>
  </w:style>
  <w:style w:type="paragraph" w:customStyle="1" w:styleId="1583">
    <w:name w:val="标题4h"/>
    <w:basedOn w:val="1"/>
    <w:qFormat/>
    <w:uiPriority w:val="0"/>
    <w:pPr>
      <w:adjustRightInd w:val="0"/>
      <w:ind w:firstLine="0" w:firstLineChars="0"/>
      <w:jc w:val="left"/>
      <w:textAlignment w:val="baseline"/>
    </w:pPr>
    <w:rPr>
      <w:rFonts w:ascii="Arial" w:hAnsi="Arial" w:eastAsia="宋体"/>
      <w:kern w:val="0"/>
    </w:rPr>
  </w:style>
  <w:style w:type="paragraph" w:customStyle="1" w:styleId="1584">
    <w:name w:val="图表名"/>
    <w:basedOn w:val="1"/>
    <w:qFormat/>
    <w:uiPriority w:val="0"/>
    <w:pPr>
      <w:spacing w:before="120" w:after="60" w:line="240" w:lineRule="auto"/>
      <w:ind w:firstLine="0" w:firstLineChars="0"/>
    </w:pPr>
    <w:rPr>
      <w:rFonts w:ascii="黑体" w:eastAsia="黑体"/>
      <w:kern w:val="4"/>
      <w:sz w:val="24"/>
      <w:szCs w:val="20"/>
    </w:rPr>
  </w:style>
  <w:style w:type="paragraph" w:customStyle="1" w:styleId="1585">
    <w:name w:val="标04"/>
    <w:basedOn w:val="8"/>
    <w:qFormat/>
    <w:uiPriority w:val="0"/>
    <w:pPr>
      <w:spacing w:before="0" w:after="0" w:line="560" w:lineRule="exact"/>
      <w:ind w:firstLine="0" w:firstLineChars="0"/>
    </w:pPr>
    <w:rPr>
      <w:rFonts w:ascii="Arial" w:hAnsi="Arial"/>
      <w:b w:val="0"/>
      <w:lang w:val="en-US" w:eastAsia="zh-CN"/>
    </w:rPr>
  </w:style>
  <w:style w:type="paragraph" w:customStyle="1" w:styleId="1586">
    <w:name w:val="xl2794"/>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pPr>
    <w:rPr>
      <w:rFonts w:ascii="Times New Roman" w:eastAsia="宋体"/>
      <w:kern w:val="0"/>
      <w:sz w:val="24"/>
      <w:szCs w:val="24"/>
    </w:rPr>
  </w:style>
  <w:style w:type="paragraph" w:customStyle="1" w:styleId="1587">
    <w:name w:val="xl201"/>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Times New Roman" w:eastAsia="宋体"/>
      <w:b/>
      <w:bCs/>
      <w:kern w:val="0"/>
      <w:sz w:val="18"/>
      <w:szCs w:val="18"/>
    </w:rPr>
  </w:style>
  <w:style w:type="paragraph" w:customStyle="1" w:styleId="1588">
    <w:name w:val="乌东德标4"/>
    <w:basedOn w:val="1"/>
    <w:qFormat/>
    <w:uiPriority w:val="0"/>
    <w:pPr>
      <w:keepNext/>
      <w:keepLines/>
      <w:numPr>
        <w:ilvl w:val="3"/>
        <w:numId w:val="8"/>
      </w:numPr>
      <w:spacing w:line="240" w:lineRule="auto"/>
      <w:ind w:firstLine="0" w:firstLineChars="0"/>
      <w:jc w:val="left"/>
      <w:outlineLvl w:val="3"/>
    </w:pPr>
    <w:rPr>
      <w:rFonts w:ascii="Times New Roman"/>
      <w:bCs/>
      <w:color w:val="000000"/>
    </w:rPr>
  </w:style>
  <w:style w:type="paragraph" w:customStyle="1" w:styleId="1589">
    <w:name w:val="xl625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Times New Roman" w:eastAsia="宋体"/>
      <w:kern w:val="0"/>
      <w:sz w:val="20"/>
      <w:szCs w:val="20"/>
    </w:rPr>
  </w:style>
  <w:style w:type="paragraph" w:customStyle="1" w:styleId="1590">
    <w:name w:val="样式 正文（首行缩进两字） + 首行缩进:  2 字符"/>
    <w:basedOn w:val="6"/>
    <w:qFormat/>
    <w:uiPriority w:val="0"/>
    <w:pPr>
      <w:adjustRightInd w:val="0"/>
      <w:snapToGrid w:val="0"/>
      <w:spacing w:line="360" w:lineRule="auto"/>
      <w:ind w:firstLine="480"/>
    </w:pPr>
    <w:rPr>
      <w:rFonts w:ascii="Times New Roman" w:eastAsia="华文中宋"/>
      <w:kern w:val="0"/>
      <w:sz w:val="24"/>
      <w:szCs w:val="20"/>
    </w:rPr>
  </w:style>
  <w:style w:type="paragraph" w:customStyle="1" w:styleId="1591">
    <w:name w:val="xl2801"/>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textAlignment w:val="center"/>
    </w:pPr>
    <w:rPr>
      <w:rFonts w:ascii="Times New Roman" w:eastAsia="宋体"/>
      <w:b/>
      <w:bCs/>
      <w:color w:val="7030A0"/>
      <w:kern w:val="0"/>
      <w:sz w:val="24"/>
      <w:szCs w:val="24"/>
    </w:rPr>
  </w:style>
  <w:style w:type="paragraph" w:customStyle="1" w:styleId="1592">
    <w:name w:val="样式 标2 + Arial 首行缩进:  0.99 厘米 段前: 6 磅 段后: 6 磅 行距: 固定值 28 磅"/>
    <w:basedOn w:val="5"/>
    <w:qFormat/>
    <w:uiPriority w:val="0"/>
    <w:pPr>
      <w:keepNext/>
      <w:keepLines/>
      <w:numPr>
        <w:ilvl w:val="1"/>
        <w:numId w:val="0"/>
      </w:numPr>
      <w:tabs>
        <w:tab w:val="left" w:pos="567"/>
      </w:tabs>
      <w:spacing w:before="0" w:beforeLines="600" w:after="0" w:afterLines="600"/>
      <w:ind w:left="567" w:hanging="567"/>
    </w:pPr>
    <w:rPr>
      <w:rFonts w:cs="宋体"/>
      <w:bCs w:val="0"/>
      <w:szCs w:val="20"/>
    </w:rPr>
  </w:style>
  <w:style w:type="paragraph" w:customStyle="1" w:styleId="1593">
    <w:name w:val="xl6270"/>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pPr>
    <w:rPr>
      <w:rFonts w:ascii="Times New Roman" w:eastAsia="宋体"/>
      <w:kern w:val="0"/>
      <w:sz w:val="24"/>
      <w:szCs w:val="24"/>
    </w:rPr>
  </w:style>
  <w:style w:type="paragraph" w:customStyle="1" w:styleId="1594">
    <w:name w:val="xl240"/>
    <w:basedOn w:val="1"/>
    <w:qFormat/>
    <w:uiPriority w:val="0"/>
    <w:pPr>
      <w:widowControl/>
      <w:pBdr>
        <w:top w:val="single" w:color="auto" w:sz="4" w:space="0"/>
        <w:left w:val="single" w:color="auto" w:sz="4" w:space="0"/>
        <w:bottom w:val="single" w:color="auto" w:sz="4" w:space="0"/>
        <w:right w:val="single" w:color="auto" w:sz="4" w:space="0"/>
      </w:pBdr>
      <w:adjustRightInd w:val="0"/>
      <w:snapToGrid w:val="0"/>
      <w:spacing w:before="100" w:beforeAutospacing="1" w:after="100" w:afterAutospacing="1" w:line="360" w:lineRule="auto"/>
      <w:ind w:firstLine="0" w:firstLineChars="0"/>
      <w:jc w:val="center"/>
    </w:pPr>
    <w:rPr>
      <w:rFonts w:ascii="宋体" w:hAnsi="宋体" w:eastAsia="宋体" w:cs="宋体"/>
      <w:color w:val="000000"/>
      <w:kern w:val="0"/>
      <w:sz w:val="24"/>
      <w:szCs w:val="24"/>
    </w:rPr>
  </w:style>
  <w:style w:type="paragraph" w:customStyle="1" w:styleId="1595">
    <w:name w:val="样式 样式 样式 括坏hy + 首行缩进:  0 字符 + 首行缩进:  2 字符 + 首行缩进:  2 字符"/>
    <w:basedOn w:val="267"/>
    <w:qFormat/>
    <w:uiPriority w:val="0"/>
  </w:style>
  <w:style w:type="paragraph" w:customStyle="1" w:styleId="1596">
    <w:name w:val="样式 样式 首行缩进:  2 字符4 + 首行缩进:  2 字符"/>
    <w:basedOn w:val="1"/>
    <w:qFormat/>
    <w:uiPriority w:val="0"/>
    <w:rPr>
      <w:rFonts w:cs="宋体"/>
      <w:szCs w:val="20"/>
    </w:rPr>
  </w:style>
  <w:style w:type="paragraph" w:customStyle="1" w:styleId="1597">
    <w:name w:val="楷体_GB2312"/>
    <w:basedOn w:val="1"/>
    <w:qFormat/>
    <w:uiPriority w:val="0"/>
    <w:pPr>
      <w:adjustRightInd w:val="0"/>
      <w:snapToGrid w:val="0"/>
      <w:textAlignment w:val="baseline"/>
    </w:pPr>
    <w:rPr>
      <w:rFonts w:ascii="楷体_GB2312" w:hAnsi="宋体" w:eastAsia="楷体_GB2312" w:cs="宋体"/>
      <w:color w:val="000000"/>
      <w:kern w:val="0"/>
      <w:szCs w:val="20"/>
    </w:rPr>
  </w:style>
  <w:style w:type="paragraph" w:customStyle="1" w:styleId="1598">
    <w:name w:val="xl2792"/>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pPr>
    <w:rPr>
      <w:rFonts w:ascii="Times New Roman" w:eastAsia="宋体"/>
      <w:kern w:val="0"/>
      <w:sz w:val="18"/>
      <w:szCs w:val="18"/>
    </w:rPr>
  </w:style>
  <w:style w:type="paragraph" w:customStyle="1" w:styleId="1599">
    <w:name w:val="xl119"/>
    <w:basedOn w:val="1"/>
    <w:qFormat/>
    <w:uiPriority w:val="0"/>
    <w:pPr>
      <w:widowControl/>
      <w:spacing w:before="100" w:beforeAutospacing="1" w:after="100" w:afterAutospacing="1" w:line="240" w:lineRule="auto"/>
      <w:ind w:firstLine="0" w:firstLineChars="0"/>
      <w:jc w:val="center"/>
    </w:pPr>
    <w:rPr>
      <w:rFonts w:ascii="宋体" w:hAnsi="宋体" w:eastAsia="宋体" w:cs="宋体"/>
      <w:kern w:val="0"/>
      <w:sz w:val="24"/>
      <w:szCs w:val="24"/>
    </w:rPr>
  </w:style>
  <w:style w:type="paragraph" w:customStyle="1" w:styleId="1600">
    <w:name w:val="Char Char Char1 Char Char Char Char Char Char Char Char Char Char Char Char Char Char Char Char Char Char Char Char Char Char Char Char Char Char Char Char Char Char Char Char Char Char"/>
    <w:basedOn w:val="1"/>
    <w:qFormat/>
    <w:uiPriority w:val="0"/>
    <w:pPr>
      <w:snapToGrid w:val="0"/>
      <w:spacing w:line="440" w:lineRule="exact"/>
    </w:pPr>
    <w:rPr>
      <w:rFonts w:ascii="Times New Roman" w:eastAsia="宋体"/>
      <w:sz w:val="24"/>
      <w:szCs w:val="24"/>
    </w:rPr>
  </w:style>
  <w:style w:type="paragraph" w:customStyle="1" w:styleId="1601">
    <w:name w:val="样式 样式6 + Times New Roman 黑色 段前: 0.5 行 段后: 0.5 行"/>
    <w:basedOn w:val="1602"/>
    <w:qFormat/>
    <w:uiPriority w:val="0"/>
    <w:pPr>
      <w:adjustRightInd/>
      <w:snapToGrid/>
      <w:spacing w:beforeLines="50" w:afterLines="50"/>
      <w:ind w:firstLine="0" w:firstLineChars="0"/>
      <w:jc w:val="both"/>
    </w:pPr>
    <w:rPr>
      <w:rFonts w:ascii="Times New Roman" w:hAnsi="Times New Roman" w:eastAsia="黑体"/>
      <w:bCs w:val="0"/>
      <w:snapToGrid/>
      <w:kern w:val="2"/>
      <w:szCs w:val="20"/>
    </w:rPr>
  </w:style>
  <w:style w:type="paragraph" w:customStyle="1" w:styleId="1602">
    <w:name w:val="样式6"/>
    <w:basedOn w:val="1603"/>
    <w:qFormat/>
    <w:uiPriority w:val="0"/>
    <w:pPr>
      <w:adjustRightInd w:val="0"/>
      <w:snapToGrid w:val="0"/>
      <w:spacing w:beforeLines="20" w:afterLines="20"/>
      <w:ind w:firstLine="200" w:firstLineChars="200"/>
      <w:textAlignment w:val="auto"/>
    </w:pPr>
    <w:rPr>
      <w:bCs/>
      <w:snapToGrid w:val="0"/>
      <w:color w:val="000000"/>
      <w:spacing w:val="0"/>
      <w:kern w:val="0"/>
      <w:sz w:val="28"/>
      <w:szCs w:val="21"/>
    </w:rPr>
  </w:style>
  <w:style w:type="paragraph" w:customStyle="1" w:styleId="1603">
    <w:name w:val="表内文字"/>
    <w:basedOn w:val="4"/>
    <w:qFormat/>
    <w:uiPriority w:val="0"/>
    <w:pPr>
      <w:spacing w:beforeLines="50" w:after="120" w:afterLines="50" w:line="240" w:lineRule="auto"/>
      <w:jc w:val="center"/>
      <w:textAlignment w:val="baseline"/>
      <w:outlineLvl w:val="9"/>
    </w:pPr>
    <w:rPr>
      <w:rFonts w:ascii="宋体" w:hAnsi="宋体" w:eastAsia="楷体_GB2312"/>
      <w:bCs w:val="0"/>
      <w:spacing w:val="1"/>
      <w:kern w:val="36"/>
      <w:sz w:val="21"/>
      <w:szCs w:val="20"/>
    </w:rPr>
  </w:style>
  <w:style w:type="paragraph" w:customStyle="1" w:styleId="1604">
    <w:name w:val="样式 样式 (中文) 方正小标宋简体 四号 行距: 1.5 倍行距 + Times New Roman 五号"/>
    <w:basedOn w:val="630"/>
    <w:qFormat/>
    <w:uiPriority w:val="0"/>
    <w:rPr>
      <w:rFonts w:ascii="Times New Roman" w:hAnsi="Times New Roman"/>
      <w:sz w:val="21"/>
    </w:rPr>
  </w:style>
  <w:style w:type="paragraph" w:customStyle="1" w:styleId="1605">
    <w:name w:val="p15"/>
    <w:basedOn w:val="1"/>
    <w:qFormat/>
    <w:uiPriority w:val="0"/>
    <w:pPr>
      <w:widowControl/>
      <w:spacing w:line="240" w:lineRule="auto"/>
      <w:ind w:firstLine="420" w:firstLineChars="0"/>
    </w:pPr>
    <w:rPr>
      <w:rFonts w:ascii="Times New Roman" w:eastAsia="Times New Roman"/>
      <w:kern w:val="0"/>
      <w:lang w:eastAsia="en-US"/>
    </w:rPr>
  </w:style>
  <w:style w:type="paragraph" w:customStyle="1" w:styleId="1606">
    <w:name w:val="xl2806"/>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textAlignment w:val="center"/>
    </w:pPr>
    <w:rPr>
      <w:rFonts w:ascii="宋体" w:hAnsi="宋体" w:eastAsia="宋体" w:cs="宋体"/>
      <w:b/>
      <w:bCs/>
      <w:color w:val="7030A0"/>
      <w:kern w:val="0"/>
      <w:sz w:val="24"/>
      <w:szCs w:val="24"/>
    </w:rPr>
  </w:style>
  <w:style w:type="paragraph" w:customStyle="1" w:styleId="1607">
    <w:name w:val="论文段落"/>
    <w:basedOn w:val="1"/>
    <w:qFormat/>
    <w:uiPriority w:val="0"/>
    <w:pPr>
      <w:spacing w:before="60" w:after="60" w:line="400" w:lineRule="atLeast"/>
      <w:ind w:firstLine="663"/>
    </w:pPr>
    <w:rPr>
      <w:rFonts w:ascii="宋体" w:hAnsi="宋体"/>
      <w:kern w:val="0"/>
      <w:sz w:val="24"/>
      <w:u w:val="none" w:color="000000"/>
    </w:rPr>
  </w:style>
  <w:style w:type="paragraph" w:customStyle="1" w:styleId="1608">
    <w:name w:val="xl4536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20"/>
      <w:szCs w:val="20"/>
    </w:rPr>
  </w:style>
  <w:style w:type="paragraph" w:customStyle="1" w:styleId="1609">
    <w:name w:val="标题qu-2"/>
    <w:basedOn w:val="5"/>
    <w:qFormat/>
    <w:uiPriority w:val="0"/>
    <w:pPr>
      <w:tabs>
        <w:tab w:val="left" w:pos="3240"/>
      </w:tabs>
      <w:spacing w:before="0" w:after="0" w:line="240" w:lineRule="auto"/>
    </w:pPr>
    <w:rPr>
      <w:rFonts w:ascii="Times New Roman" w:hAnsi="Times New Roman" w:eastAsia="宋体"/>
      <w:b/>
      <w:color w:val="000000"/>
      <w:sz w:val="28"/>
      <w:szCs w:val="24"/>
      <w:lang w:val="en-US" w:eastAsia="zh-CN"/>
    </w:rPr>
  </w:style>
  <w:style w:type="paragraph" w:customStyle="1" w:styleId="1610">
    <w:name w:val="样式 表名 + 首行缩进:  1 字符4"/>
    <w:basedOn w:val="624"/>
    <w:qFormat/>
    <w:uiPriority w:val="0"/>
    <w:rPr>
      <w:rFonts w:cs="宋体"/>
      <w:snapToGrid w:val="0"/>
      <w:szCs w:val="20"/>
    </w:rPr>
  </w:style>
  <w:style w:type="paragraph" w:customStyle="1" w:styleId="1611">
    <w:name w:val="证书名称及编号"/>
    <w:basedOn w:val="1"/>
    <w:next w:val="1"/>
    <w:qFormat/>
    <w:uiPriority w:val="0"/>
    <w:pPr>
      <w:spacing w:line="480" w:lineRule="auto"/>
      <w:ind w:firstLine="0" w:firstLineChars="0"/>
      <w:jc w:val="center"/>
    </w:pPr>
    <w:rPr>
      <w:rFonts w:ascii="Times New Roman" w:eastAsia="宋体"/>
      <w:b/>
    </w:rPr>
  </w:style>
  <w:style w:type="paragraph" w:customStyle="1" w:styleId="1612">
    <w:name w:val="正文稿格式 Char Char"/>
    <w:basedOn w:val="1"/>
    <w:qFormat/>
    <w:uiPriority w:val="0"/>
    <w:pPr>
      <w:spacing w:line="400" w:lineRule="exact"/>
      <w:ind w:firstLine="540" w:firstLineChars="225"/>
    </w:pPr>
    <w:rPr>
      <w:rFonts w:ascii="宋体" w:hAnsi="宋体" w:cs="宋体"/>
      <w:sz w:val="24"/>
      <w:szCs w:val="24"/>
    </w:rPr>
  </w:style>
  <w:style w:type="paragraph" w:customStyle="1" w:styleId="1613">
    <w:name w:val="Char Char Char Char Char Char1 Char"/>
    <w:basedOn w:val="1"/>
    <w:qFormat/>
    <w:uiPriority w:val="0"/>
    <w:pPr>
      <w:autoSpaceDE w:val="0"/>
      <w:autoSpaceDN w:val="0"/>
      <w:adjustRightInd w:val="0"/>
      <w:spacing w:line="360" w:lineRule="auto"/>
      <w:ind w:left="-449" w:leftChars="-187" w:firstLine="480"/>
    </w:pPr>
    <w:rPr>
      <w:rFonts w:ascii="Times New Roman" w:eastAsia="宋体"/>
      <w:kern w:val="24"/>
      <w:sz w:val="24"/>
      <w:szCs w:val="21"/>
    </w:rPr>
  </w:style>
  <w:style w:type="paragraph" w:customStyle="1" w:styleId="1614">
    <w:name w:val="样式 标提 1 +1"/>
    <w:basedOn w:val="1"/>
    <w:semiHidden/>
    <w:qFormat/>
    <w:uiPriority w:val="0"/>
    <w:pPr>
      <w:widowControl/>
      <w:spacing w:before="160" w:after="160" w:line="240" w:lineRule="auto"/>
    </w:pPr>
    <w:rPr>
      <w:rFonts w:ascii="宋体" w:eastAsia="宋体"/>
      <w:kern w:val="0"/>
      <w:sz w:val="24"/>
      <w:szCs w:val="24"/>
    </w:rPr>
  </w:style>
  <w:style w:type="paragraph" w:customStyle="1" w:styleId="1615">
    <w:name w:val="xl194"/>
    <w:basedOn w:val="1"/>
    <w:qFormat/>
    <w:uiPriority w:val="0"/>
    <w:pPr>
      <w:widowControl/>
      <w:pBdr>
        <w:left w:val="single" w:color="auto" w:sz="4" w:space="0"/>
        <w:bottom w:val="single" w:color="auto" w:sz="4" w:space="0"/>
      </w:pBdr>
      <w:spacing w:before="100" w:beforeAutospacing="1" w:after="100" w:afterAutospacing="1" w:line="240" w:lineRule="auto"/>
      <w:ind w:firstLine="0" w:firstLineChars="0"/>
      <w:jc w:val="center"/>
    </w:pPr>
    <w:rPr>
      <w:rFonts w:ascii="宋体" w:hAnsi="宋体" w:eastAsia="宋体" w:cs="宋体"/>
      <w:kern w:val="0"/>
      <w:sz w:val="24"/>
      <w:szCs w:val="24"/>
    </w:rPr>
  </w:style>
  <w:style w:type="paragraph" w:customStyle="1" w:styleId="1616">
    <w:name w:val="样式 (中文) 楷体_GB2312 左 首行缩进:  0.71 厘米"/>
    <w:basedOn w:val="1"/>
    <w:qFormat/>
    <w:uiPriority w:val="0"/>
    <w:pPr>
      <w:spacing w:line="240" w:lineRule="auto"/>
      <w:ind w:firstLine="0" w:firstLineChars="0"/>
      <w:jc w:val="left"/>
    </w:pPr>
    <w:rPr>
      <w:rFonts w:ascii="Times New Roman" w:eastAsia="楷体_GB2312" w:cs="宋体"/>
      <w:sz w:val="21"/>
      <w:szCs w:val="20"/>
    </w:rPr>
  </w:style>
  <w:style w:type="paragraph" w:customStyle="1" w:styleId="1617">
    <w:name w:val="xl2261"/>
    <w:basedOn w:val="1"/>
    <w:qFormat/>
    <w:uiPriority w:val="0"/>
    <w:pPr>
      <w:widowControl/>
      <w:pBdr>
        <w:top w:val="single" w:color="auto" w:sz="4" w:space="0"/>
        <w:bottom w:val="single" w:color="auto" w:sz="4" w:space="0"/>
      </w:pBdr>
      <w:spacing w:before="100" w:beforeAutospacing="1" w:after="100" w:afterAutospacing="1" w:line="240" w:lineRule="auto"/>
      <w:ind w:firstLine="0" w:firstLineChars="0"/>
      <w:jc w:val="left"/>
    </w:pPr>
    <w:rPr>
      <w:rFonts w:ascii="黑体" w:hAnsi="宋体" w:eastAsia="黑体" w:cs="宋体"/>
      <w:kern w:val="0"/>
      <w:sz w:val="20"/>
      <w:szCs w:val="20"/>
    </w:rPr>
  </w:style>
  <w:style w:type="paragraph" w:customStyle="1" w:styleId="1618">
    <w:name w:val="xl1602"/>
    <w:basedOn w:val="1"/>
    <w:qFormat/>
    <w:uiPriority w:val="0"/>
    <w:pPr>
      <w:widowControl/>
      <w:pBdr>
        <w:top w:val="single" w:color="auto" w:sz="4" w:space="0"/>
        <w:left w:val="single" w:color="auto" w:sz="4" w:space="0"/>
        <w:bottom w:val="single" w:color="auto" w:sz="4" w:space="0"/>
        <w:right w:val="single" w:color="auto" w:sz="4" w:space="0"/>
      </w:pBdr>
      <w:shd w:val="clear" w:color="000000" w:fill="DA9694"/>
      <w:spacing w:beforeLines="25" w:beforeAutospacing="1" w:after="100" w:afterAutospacing="1" w:line="240" w:lineRule="auto"/>
      <w:ind w:firstLine="0" w:firstLineChars="0"/>
      <w:jc w:val="center"/>
      <w:textAlignment w:val="center"/>
    </w:pPr>
    <w:rPr>
      <w:rFonts w:ascii="Times New Roman" w:eastAsia="宋体"/>
      <w:kern w:val="0"/>
      <w:sz w:val="24"/>
      <w:szCs w:val="24"/>
    </w:rPr>
  </w:style>
  <w:style w:type="paragraph" w:customStyle="1" w:styleId="1619">
    <w:name w:val="样式 三号 首行缩进:  1.11 厘米"/>
    <w:basedOn w:val="1"/>
    <w:qFormat/>
    <w:uiPriority w:val="0"/>
    <w:rPr>
      <w:rFonts w:cs="宋体"/>
      <w:szCs w:val="20"/>
    </w:rPr>
  </w:style>
  <w:style w:type="paragraph" w:customStyle="1" w:styleId="1620">
    <w:name w:val="xl106"/>
    <w:basedOn w:val="1"/>
    <w:qFormat/>
    <w:uiPriority w:val="0"/>
    <w:pPr>
      <w:widowControl/>
      <w:pBdr>
        <w:left w:val="single" w:color="auto" w:sz="4" w:space="0"/>
      </w:pBdr>
      <w:spacing w:before="100" w:beforeAutospacing="1" w:after="100" w:afterAutospacing="1" w:line="240" w:lineRule="auto"/>
      <w:ind w:firstLine="0" w:firstLineChars="0"/>
      <w:jc w:val="center"/>
    </w:pPr>
    <w:rPr>
      <w:rFonts w:ascii="宋体" w:hAnsi="宋体" w:eastAsia="宋体" w:cs="宋体"/>
      <w:kern w:val="0"/>
      <w:sz w:val="18"/>
      <w:szCs w:val="18"/>
    </w:rPr>
  </w:style>
  <w:style w:type="paragraph" w:customStyle="1" w:styleId="1621">
    <w:name w:val="Char Char11 Char Char"/>
    <w:basedOn w:val="1"/>
    <w:qFormat/>
    <w:uiPriority w:val="0"/>
  </w:style>
  <w:style w:type="paragraph" w:customStyle="1" w:styleId="1622">
    <w:name w:val="人名"/>
    <w:basedOn w:val="1"/>
    <w:qFormat/>
    <w:uiPriority w:val="0"/>
    <w:pPr>
      <w:ind w:firstLine="0" w:firstLineChars="0"/>
      <w:textAlignment w:val="baseline"/>
      <w:outlineLvl w:val="1"/>
    </w:pPr>
    <w:rPr>
      <w:color w:val="000000"/>
      <w:sz w:val="30"/>
      <w:szCs w:val="30"/>
      <w:u w:val="none" w:color="000000"/>
    </w:rPr>
  </w:style>
  <w:style w:type="paragraph" w:customStyle="1" w:styleId="1623">
    <w:name w:val="Char Char Char Char Char Char"/>
    <w:basedOn w:val="1"/>
    <w:qFormat/>
    <w:uiPriority w:val="0"/>
    <w:rPr>
      <w:szCs w:val="24"/>
    </w:rPr>
  </w:style>
  <w:style w:type="paragraph" w:customStyle="1" w:styleId="1624">
    <w:name w:val="标标题1"/>
    <w:basedOn w:val="4"/>
    <w:next w:val="1"/>
    <w:qFormat/>
    <w:uiPriority w:val="0"/>
    <w:pPr>
      <w:keepNext/>
      <w:keepLines/>
      <w:widowControl/>
      <w:tabs>
        <w:tab w:val="left" w:pos="8080"/>
      </w:tabs>
      <w:adjustRightInd w:val="0"/>
      <w:snapToGrid w:val="0"/>
      <w:spacing w:before="240" w:beforeLines="50" w:after="240" w:afterLines="50"/>
      <w:jc w:val="left"/>
      <w:textAlignment w:val="baseline"/>
      <w:outlineLvl w:val="9"/>
    </w:pPr>
    <w:rPr>
      <w:rFonts w:ascii="Arial" w:hAnsi="Arial" w:cs="Arial"/>
      <w:color w:val="000000"/>
      <w:szCs w:val="20"/>
      <w:lang w:val="en-US" w:eastAsia="zh-CN"/>
    </w:rPr>
  </w:style>
  <w:style w:type="paragraph" w:customStyle="1" w:styleId="1625">
    <w:name w:val="标提4"/>
    <w:basedOn w:val="7"/>
    <w:next w:val="1526"/>
    <w:semiHidden/>
    <w:qFormat/>
    <w:uiPriority w:val="0"/>
    <w:pPr>
      <w:numPr>
        <w:ilvl w:val="2"/>
        <w:numId w:val="9"/>
      </w:numPr>
      <w:spacing w:before="260" w:beforeLines="50" w:after="260" w:afterLines="50" w:line="240" w:lineRule="auto"/>
      <w:jc w:val="left"/>
    </w:pPr>
    <w:rPr>
      <w:rFonts w:ascii="Times New Roman" w:hAnsi="Times New Roman" w:eastAsia="宋体"/>
      <w:color w:val="000000"/>
    </w:rPr>
  </w:style>
  <w:style w:type="paragraph" w:customStyle="1" w:styleId="1626">
    <w:name w:val="样式 表文 + 首行缩进:  2 字符"/>
    <w:basedOn w:val="1"/>
    <w:qFormat/>
    <w:uiPriority w:val="0"/>
    <w:pPr>
      <w:spacing w:line="0" w:lineRule="atLeast"/>
      <w:ind w:firstLine="0" w:firstLineChars="0"/>
      <w:jc w:val="center"/>
    </w:pPr>
    <w:rPr>
      <w:rFonts w:ascii="楷体_GB2312" w:eastAsia="楷体_GB2312" w:cs="宋体"/>
      <w:sz w:val="21"/>
      <w:szCs w:val="20"/>
    </w:rPr>
  </w:style>
  <w:style w:type="paragraph" w:customStyle="1" w:styleId="1627">
    <w:name w:val="表名YM"/>
    <w:basedOn w:val="1"/>
    <w:qFormat/>
    <w:uiPriority w:val="0"/>
    <w:pPr>
      <w:spacing w:after="60"/>
      <w:ind w:firstLine="100" w:firstLineChars="100"/>
    </w:pPr>
    <w:rPr>
      <w:rFonts w:ascii="Times New Roman" w:eastAsia="黑体" w:cs="宋体"/>
      <w:color w:val="000000"/>
      <w:sz w:val="24"/>
      <w:szCs w:val="20"/>
    </w:rPr>
  </w:style>
  <w:style w:type="paragraph" w:customStyle="1" w:styleId="1628">
    <w:name w:val="1.1.1.1A-1-n"/>
    <w:basedOn w:val="1546"/>
    <w:qFormat/>
    <w:uiPriority w:val="0"/>
    <w:pPr>
      <w:ind w:firstLine="0"/>
    </w:pPr>
  </w:style>
  <w:style w:type="paragraph" w:customStyle="1" w:styleId="1629">
    <w:name w:val="封面主题"/>
    <w:basedOn w:val="1"/>
    <w:qFormat/>
    <w:uiPriority w:val="0"/>
    <w:pPr>
      <w:autoSpaceDE w:val="0"/>
      <w:autoSpaceDN w:val="0"/>
      <w:adjustRightInd w:val="0"/>
      <w:snapToGrid w:val="0"/>
      <w:spacing w:line="360" w:lineRule="auto"/>
      <w:ind w:firstLine="560"/>
      <w:jc w:val="center"/>
      <w:textAlignment w:val="baseline"/>
    </w:pPr>
    <w:rPr>
      <w:rFonts w:eastAsia="华文新魏"/>
      <w:snapToGrid w:val="0"/>
      <w:kern w:val="52"/>
      <w:sz w:val="52"/>
      <w:szCs w:val="20"/>
      <w:u w:val="none" w:color="000000"/>
    </w:rPr>
  </w:style>
  <w:style w:type="paragraph" w:customStyle="1" w:styleId="1630">
    <w:name w:val="样式 标题 2 + 段前: 8 磅 段后: 8 磅 行距: 1.5 倍行距"/>
    <w:basedOn w:val="5"/>
    <w:qFormat/>
    <w:uiPriority w:val="0"/>
    <w:pPr>
      <w:keepNext/>
      <w:keepLines/>
      <w:tabs>
        <w:tab w:val="left" w:pos="567"/>
      </w:tabs>
      <w:spacing w:before="0" w:beforeLines="600" w:after="0" w:afterLines="600" w:line="360" w:lineRule="auto"/>
      <w:ind w:left="567" w:hanging="567"/>
    </w:pPr>
    <w:rPr>
      <w:rFonts w:eastAsia="仿宋_GB2312"/>
      <w:b/>
      <w:sz w:val="28"/>
      <w:szCs w:val="20"/>
    </w:rPr>
  </w:style>
  <w:style w:type="paragraph" w:customStyle="1" w:styleId="1631">
    <w:name w:val="样式 正文（首行缩进） + 首行缩进:  2 字符"/>
    <w:basedOn w:val="1"/>
    <w:semiHidden/>
    <w:qFormat/>
    <w:uiPriority w:val="0"/>
    <w:pPr>
      <w:spacing w:line="360" w:lineRule="auto"/>
      <w:ind w:firstLine="504" w:firstLineChars="0"/>
    </w:pPr>
    <w:rPr>
      <w:rFonts w:ascii="Times New Roman" w:eastAsia="宋体"/>
      <w:spacing w:val="6"/>
      <w:kern w:val="24"/>
      <w:sz w:val="24"/>
      <w:szCs w:val="24"/>
    </w:rPr>
  </w:style>
  <w:style w:type="paragraph" w:customStyle="1" w:styleId="1632">
    <w:name w:val="xl84"/>
    <w:basedOn w:val="1"/>
    <w:qFormat/>
    <w:uiPriority w:val="0"/>
    <w:pPr>
      <w:widowControl/>
      <w:pBdr>
        <w:top w:val="single" w:color="auto" w:sz="4" w:space="0"/>
        <w:left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 w:val="18"/>
      <w:szCs w:val="18"/>
    </w:rPr>
  </w:style>
  <w:style w:type="paragraph" w:customStyle="1" w:styleId="1633">
    <w:name w:val="样式 标题 1Char Char节标题Char标题1章标题 1-*+h11st levelSection He..."/>
    <w:basedOn w:val="4"/>
    <w:semiHidden/>
    <w:qFormat/>
    <w:uiPriority w:val="0"/>
    <w:pPr>
      <w:keepNext/>
      <w:keepLines/>
      <w:autoSpaceDE w:val="0"/>
      <w:autoSpaceDN w:val="0"/>
      <w:adjustRightInd w:val="0"/>
      <w:spacing w:after="120" w:line="720" w:lineRule="exact"/>
      <w:jc w:val="left"/>
    </w:pPr>
    <w:rPr>
      <w:rFonts w:cs="宋体"/>
      <w:b/>
      <w:bCs w:val="0"/>
      <w:szCs w:val="20"/>
      <w:lang w:val="zh-CN"/>
    </w:rPr>
  </w:style>
  <w:style w:type="paragraph" w:customStyle="1" w:styleId="1634">
    <w:name w:val="Char Char Char Char Char Char Char Char Char Char Char Char Char Char Char Char Char Char Char Char Char Char Char Char Char Char Char Char1"/>
    <w:basedOn w:val="1"/>
    <w:qFormat/>
    <w:uiPriority w:val="0"/>
    <w:pPr>
      <w:widowControl/>
      <w:spacing w:after="160" w:line="240" w:lineRule="exact"/>
      <w:jc w:val="left"/>
    </w:pPr>
    <w:rPr>
      <w:rFonts w:ascii="Verdana" w:hAnsi="Verdana"/>
      <w:kern w:val="0"/>
      <w:sz w:val="24"/>
      <w:szCs w:val="20"/>
      <w:lang w:eastAsia="en-US"/>
    </w:rPr>
  </w:style>
  <w:style w:type="paragraph" w:customStyle="1" w:styleId="1635">
    <w:name w:val="样式 样式 (中文) 方正小标宋简体 四号 行距: 1.5 倍行距 + Times New Roman 五号 左"/>
    <w:basedOn w:val="630"/>
    <w:qFormat/>
    <w:uiPriority w:val="0"/>
    <w:pPr>
      <w:jc w:val="left"/>
    </w:pPr>
    <w:rPr>
      <w:rFonts w:ascii="Times New Roman" w:hAnsi="Times New Roman"/>
      <w:sz w:val="21"/>
    </w:rPr>
  </w:style>
  <w:style w:type="paragraph" w:customStyle="1" w:styleId="1636">
    <w:name w:val="bb"/>
    <w:basedOn w:val="1000"/>
    <w:qFormat/>
    <w:uiPriority w:val="0"/>
    <w:pPr>
      <w:widowControl/>
      <w:adjustRightInd/>
      <w:snapToGrid/>
      <w:spacing w:beforeLines="0" w:afterLines="0" w:line="0" w:lineRule="atLeast"/>
      <w:ind w:firstLine="0" w:firstLineChars="0"/>
    </w:pPr>
    <w:rPr>
      <w:rFonts w:ascii="楷体_GB2312" w:hAnsi="Times New Roman"/>
      <w:color w:val="000000"/>
      <w:kern w:val="0"/>
      <w:sz w:val="21"/>
      <w:lang w:val="en-US" w:eastAsia="zh-CN"/>
    </w:rPr>
  </w:style>
  <w:style w:type="paragraph" w:customStyle="1" w:styleId="1637">
    <w:name w:val="xl1595"/>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pPr>
    <w:rPr>
      <w:rFonts w:ascii="Times New Roman" w:eastAsia="宋体"/>
      <w:kern w:val="0"/>
      <w:sz w:val="24"/>
      <w:szCs w:val="24"/>
    </w:rPr>
  </w:style>
  <w:style w:type="paragraph" w:customStyle="1" w:styleId="1638">
    <w:name w:val="xl36"/>
    <w:basedOn w:val="1"/>
    <w:qFormat/>
    <w:uiPriority w:val="0"/>
    <w:pPr>
      <w:widowControl/>
      <w:pBdr>
        <w:top w:val="single" w:color="auto" w:sz="4" w:space="0"/>
      </w:pBdr>
      <w:spacing w:before="100" w:beforeAutospacing="1" w:after="100" w:afterAutospacing="1" w:line="240" w:lineRule="auto"/>
      <w:jc w:val="left"/>
      <w:textAlignment w:val="center"/>
    </w:pPr>
    <w:rPr>
      <w:rFonts w:ascii="Times New Roman" w:eastAsia="Arial Unicode MS"/>
      <w:kern w:val="0"/>
      <w:sz w:val="24"/>
      <w:szCs w:val="24"/>
    </w:rPr>
  </w:style>
  <w:style w:type="paragraph" w:customStyle="1" w:styleId="1639">
    <w:name w:val="xl90"/>
    <w:basedOn w:val="1"/>
    <w:qFormat/>
    <w:uiPriority w:val="0"/>
    <w:pPr>
      <w:widowControl/>
      <w:pBdr>
        <w:top w:val="single" w:color="auto" w:sz="4" w:space="0"/>
        <w:bottom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 w:val="18"/>
      <w:szCs w:val="18"/>
    </w:rPr>
  </w:style>
  <w:style w:type="paragraph" w:customStyle="1" w:styleId="1640">
    <w:name w:val="NNNN"/>
    <w:basedOn w:val="1347"/>
    <w:qFormat/>
    <w:uiPriority w:val="0"/>
    <w:pPr>
      <w:tabs>
        <w:tab w:val="clear" w:pos="1134"/>
      </w:tabs>
      <w:ind w:left="1843" w:firstLine="0"/>
    </w:pPr>
    <w:rPr>
      <w:rFonts w:ascii="宋体" w:hAnsi="Times New Roman"/>
    </w:rPr>
  </w:style>
  <w:style w:type="paragraph" w:customStyle="1" w:styleId="1641">
    <w:name w:val="表5"/>
    <w:basedOn w:val="1"/>
    <w:qFormat/>
    <w:uiPriority w:val="0"/>
    <w:pPr>
      <w:spacing w:line="240" w:lineRule="auto"/>
      <w:ind w:firstLine="0" w:firstLineChars="0"/>
      <w:jc w:val="center"/>
    </w:pPr>
    <w:rPr>
      <w:rFonts w:ascii="宋体" w:hAnsi="Courier New" w:eastAsia="宋体"/>
      <w:sz w:val="21"/>
      <w:szCs w:val="20"/>
    </w:rPr>
  </w:style>
  <w:style w:type="paragraph" w:customStyle="1" w:styleId="1642">
    <w:name w:val="xl2797"/>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textAlignment w:val="center"/>
    </w:pPr>
    <w:rPr>
      <w:rFonts w:ascii="Times New Roman" w:eastAsia="宋体"/>
      <w:color w:val="000000"/>
      <w:kern w:val="0"/>
      <w:sz w:val="24"/>
      <w:szCs w:val="24"/>
    </w:rPr>
  </w:style>
  <w:style w:type="paragraph" w:customStyle="1" w:styleId="1643">
    <w:name w:val="彩色底纹 - 强调文字颜色 11"/>
    <w:semiHidden/>
    <w:qFormat/>
    <w:uiPriority w:val="0"/>
    <w:rPr>
      <w:rFonts w:ascii="Times New Roman" w:hAnsi="Times New Roman" w:eastAsia="仿宋_GB2312" w:cs="Times New Roman"/>
      <w:kern w:val="2"/>
      <w:sz w:val="28"/>
      <w:szCs w:val="24"/>
      <w:lang w:val="en-US" w:eastAsia="zh-CN" w:bidi="ar-SA"/>
    </w:rPr>
  </w:style>
  <w:style w:type="paragraph" w:customStyle="1" w:styleId="1644">
    <w:name w:val="222"/>
    <w:basedOn w:val="1"/>
    <w:qFormat/>
    <w:uiPriority w:val="0"/>
    <w:rPr>
      <w:kern w:val="0"/>
      <w:u w:val="none" w:color="000000"/>
    </w:rPr>
  </w:style>
  <w:style w:type="paragraph" w:customStyle="1" w:styleId="1645">
    <w:name w:val="xl2778"/>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left"/>
      <w:textAlignment w:val="bottom"/>
    </w:pPr>
    <w:rPr>
      <w:rFonts w:ascii="Times New Roman" w:eastAsia="宋体"/>
      <w:kern w:val="0"/>
      <w:sz w:val="18"/>
      <w:szCs w:val="18"/>
    </w:rPr>
  </w:style>
  <w:style w:type="paragraph" w:customStyle="1" w:styleId="1646">
    <w:name w:val="xl45367"/>
    <w:basedOn w:val="1"/>
    <w:qFormat/>
    <w:uiPriority w:val="0"/>
    <w:pPr>
      <w:widowControl/>
      <w:pBdr>
        <w:bottom w:val="single" w:color="auto" w:sz="4" w:space="0"/>
        <w:right w:val="single" w:color="auto" w:sz="4" w:space="0"/>
      </w:pBdr>
      <w:spacing w:before="100" w:beforeAutospacing="1" w:after="100" w:afterAutospacing="1" w:line="240" w:lineRule="auto"/>
      <w:ind w:firstLine="0" w:firstLineChars="0"/>
      <w:jc w:val="center"/>
    </w:pPr>
    <w:rPr>
      <w:rFonts w:ascii="Times New Roman" w:eastAsia="宋体"/>
      <w:kern w:val="0"/>
      <w:sz w:val="20"/>
      <w:szCs w:val="20"/>
    </w:rPr>
  </w:style>
  <w:style w:type="paragraph" w:customStyle="1" w:styleId="1647">
    <w:name w:val="标题 2 + 段后: 6 磅 行距: 多倍行距 1.73 字行"/>
    <w:basedOn w:val="5"/>
    <w:qFormat/>
    <w:uiPriority w:val="0"/>
    <w:pPr>
      <w:adjustRightInd w:val="0"/>
      <w:spacing w:before="0" w:after="0"/>
      <w:jc w:val="left"/>
      <w:textAlignment w:val="baseline"/>
    </w:pPr>
    <w:rPr>
      <w:rFonts w:ascii="Arial" w:hAnsi="Arial"/>
      <w:bCs w:val="0"/>
      <w:color w:val="000000"/>
      <w:szCs w:val="20"/>
      <w:lang w:val="en-US" w:eastAsia="zh-CN"/>
    </w:rPr>
  </w:style>
  <w:style w:type="paragraph" w:customStyle="1" w:styleId="1648">
    <w:name w:val="列表列表"/>
    <w:basedOn w:val="66"/>
    <w:qFormat/>
    <w:uiPriority w:val="0"/>
    <w:pPr>
      <w:spacing w:before="20" w:after="20" w:line="500" w:lineRule="exact"/>
      <w:ind w:left="0" w:firstLine="0" w:firstLineChars="0"/>
      <w:jc w:val="center"/>
    </w:pPr>
    <w:rPr>
      <w:rFonts w:eastAsia="黑体"/>
      <w:color w:val="000000"/>
      <w:sz w:val="22"/>
      <w:szCs w:val="22"/>
      <w:u w:val="none" w:color="000000"/>
    </w:rPr>
  </w:style>
  <w:style w:type="paragraph" w:customStyle="1" w:styleId="1649">
    <w:name w:val="xl5111"/>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Times New Roman" w:eastAsia="宋体"/>
      <w:kern w:val="0"/>
      <w:sz w:val="18"/>
      <w:szCs w:val="18"/>
    </w:rPr>
  </w:style>
  <w:style w:type="paragraph" w:customStyle="1" w:styleId="1650">
    <w:name w:val="正文文本 23"/>
    <w:basedOn w:val="1"/>
    <w:qFormat/>
    <w:uiPriority w:val="0"/>
    <w:pPr>
      <w:adjustRightInd w:val="0"/>
      <w:spacing w:line="240" w:lineRule="auto"/>
      <w:ind w:firstLine="461" w:firstLineChars="0"/>
      <w:textAlignment w:val="baseline"/>
    </w:pPr>
    <w:rPr>
      <w:rFonts w:ascii="方正仿宋简体" w:eastAsia="方正仿宋简体"/>
      <w:kern w:val="0"/>
      <w:sz w:val="24"/>
      <w:szCs w:val="20"/>
    </w:rPr>
  </w:style>
  <w:style w:type="paragraph" w:customStyle="1" w:styleId="1651">
    <w:name w:val="修改 Char"/>
    <w:basedOn w:val="87"/>
    <w:next w:val="87"/>
    <w:qFormat/>
    <w:uiPriority w:val="0"/>
    <w:pPr>
      <w:spacing w:after="0" w:line="360" w:lineRule="auto"/>
      <w:ind w:left="0" w:firstLine="200" w:firstLineChars="200"/>
    </w:pPr>
    <w:rPr>
      <w:color w:val="FF0000"/>
      <w:spacing w:val="4"/>
      <w:sz w:val="24"/>
      <w:szCs w:val="28"/>
    </w:rPr>
  </w:style>
  <w:style w:type="paragraph" w:customStyle="1" w:styleId="1652">
    <w:name w:val="xl85"/>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 w:val="18"/>
      <w:szCs w:val="18"/>
    </w:rPr>
  </w:style>
  <w:style w:type="paragraph" w:customStyle="1" w:styleId="1653">
    <w:name w:val="xl5098"/>
    <w:basedOn w:val="1"/>
    <w:qFormat/>
    <w:uiPriority w:val="0"/>
    <w:pPr>
      <w:widowControl/>
      <w:spacing w:before="100" w:beforeAutospacing="1" w:after="100" w:afterAutospacing="1" w:line="240" w:lineRule="auto"/>
      <w:ind w:firstLine="0" w:firstLineChars="0"/>
      <w:jc w:val="center"/>
    </w:pPr>
    <w:rPr>
      <w:rFonts w:ascii="宋体" w:hAnsi="宋体" w:eastAsia="宋体" w:cs="宋体"/>
      <w:kern w:val="0"/>
      <w:sz w:val="24"/>
      <w:szCs w:val="24"/>
    </w:rPr>
  </w:style>
  <w:style w:type="paragraph" w:customStyle="1" w:styleId="1654">
    <w:name w:val="Char Char Char Char Char Char1"/>
    <w:basedOn w:val="1"/>
    <w:qFormat/>
    <w:uiPriority w:val="0"/>
    <w:rPr>
      <w:szCs w:val="24"/>
    </w:rPr>
  </w:style>
  <w:style w:type="paragraph" w:customStyle="1" w:styleId="1655">
    <w:name w:val="标提 4"/>
    <w:basedOn w:val="8"/>
    <w:next w:val="1526"/>
    <w:semiHidden/>
    <w:qFormat/>
    <w:uiPriority w:val="0"/>
    <w:pPr>
      <w:keepNext w:val="0"/>
      <w:keepLines w:val="0"/>
      <w:spacing w:before="160" w:after="160" w:line="240" w:lineRule="auto"/>
      <w:ind w:firstLine="0" w:firstLineChars="0"/>
      <w:jc w:val="center"/>
    </w:pPr>
    <w:rPr>
      <w:rFonts w:ascii="黑体" w:hAnsi="Times New Roman"/>
      <w:bCs w:val="0"/>
      <w:color w:val="000000"/>
      <w:sz w:val="32"/>
      <w:szCs w:val="32"/>
    </w:rPr>
  </w:style>
  <w:style w:type="paragraph" w:customStyle="1" w:styleId="1656">
    <w:name w:val="xl229"/>
    <w:basedOn w:val="1"/>
    <w:qFormat/>
    <w:uiPriority w:val="0"/>
    <w:pPr>
      <w:widowControl/>
      <w:pBdr>
        <w:top w:val="single" w:color="auto" w:sz="4" w:space="0"/>
        <w:left w:val="single" w:color="auto" w:sz="4" w:space="0"/>
        <w:bottom w:val="single" w:color="auto" w:sz="4" w:space="0"/>
        <w:right w:val="single" w:color="auto" w:sz="4" w:space="0"/>
      </w:pBdr>
      <w:adjustRightInd w:val="0"/>
      <w:snapToGrid w:val="0"/>
      <w:spacing w:before="100" w:beforeAutospacing="1" w:after="100" w:afterAutospacing="1" w:line="360" w:lineRule="auto"/>
      <w:ind w:firstLine="0" w:firstLineChars="0"/>
      <w:jc w:val="center"/>
    </w:pPr>
    <w:rPr>
      <w:rFonts w:ascii="Times New Roman" w:eastAsia="宋体"/>
      <w:b/>
      <w:bCs/>
      <w:kern w:val="0"/>
      <w:sz w:val="24"/>
      <w:szCs w:val="24"/>
    </w:rPr>
  </w:style>
  <w:style w:type="paragraph" w:customStyle="1" w:styleId="1657">
    <w:name w:val="xl2770"/>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textAlignment w:val="center"/>
    </w:pPr>
    <w:rPr>
      <w:rFonts w:ascii="Times New Roman" w:eastAsia="宋体"/>
      <w:kern w:val="0"/>
      <w:sz w:val="24"/>
      <w:szCs w:val="24"/>
    </w:rPr>
  </w:style>
  <w:style w:type="paragraph" w:customStyle="1" w:styleId="1658">
    <w:name w:val="样式 样式 样式4 + 段前: 0.5 行 段后: 0.5 行 + 段前: 0.5 行 段后: 0.5 行"/>
    <w:basedOn w:val="1"/>
    <w:qFormat/>
    <w:uiPriority w:val="0"/>
    <w:pPr>
      <w:spacing w:beforeLines="50" w:afterLines="50" w:line="240" w:lineRule="auto"/>
      <w:ind w:firstLine="0" w:firstLineChars="0"/>
    </w:pPr>
    <w:rPr>
      <w:rFonts w:ascii="Times New Roman" w:eastAsia="华文中宋"/>
      <w:b/>
      <w:bCs/>
      <w:color w:val="000000"/>
      <w:szCs w:val="20"/>
    </w:rPr>
  </w:style>
  <w:style w:type="paragraph" w:customStyle="1" w:styleId="1659">
    <w:name w:val="xl2589"/>
    <w:basedOn w:val="1"/>
    <w:qFormat/>
    <w:uiPriority w:val="0"/>
    <w:pPr>
      <w:widowControl/>
      <w:pBdr>
        <w:bottom w:val="single" w:color="auto" w:sz="4" w:space="0"/>
        <w:right w:val="single" w:color="auto" w:sz="4" w:space="0"/>
      </w:pBdr>
      <w:spacing w:before="100" w:beforeAutospacing="1" w:after="100" w:afterAutospacing="1" w:line="240" w:lineRule="auto"/>
      <w:ind w:firstLine="0" w:firstLineChars="0"/>
      <w:jc w:val="center"/>
    </w:pPr>
    <w:rPr>
      <w:rFonts w:ascii="楷体_GB2312" w:hAnsi="宋体" w:eastAsia="楷体_GB2312" w:cs="宋体"/>
      <w:kern w:val="0"/>
      <w:sz w:val="20"/>
      <w:szCs w:val="20"/>
    </w:rPr>
  </w:style>
  <w:style w:type="paragraph" w:customStyle="1" w:styleId="1660">
    <w:name w:val="xl159"/>
    <w:basedOn w:val="1"/>
    <w:qFormat/>
    <w:uiPriority w:val="0"/>
    <w:pPr>
      <w:widowControl/>
      <w:pBdr>
        <w:left w:val="single" w:color="auto" w:sz="4" w:space="0"/>
        <w:bottom w:val="single" w:color="auto" w:sz="4" w:space="0"/>
      </w:pBdr>
      <w:spacing w:before="100" w:beforeAutospacing="1" w:after="100" w:afterAutospacing="1" w:line="240" w:lineRule="auto"/>
      <w:ind w:firstLine="0" w:firstLineChars="0"/>
      <w:jc w:val="center"/>
    </w:pPr>
    <w:rPr>
      <w:rFonts w:ascii="宋体" w:hAnsi="宋体" w:eastAsia="宋体" w:cs="宋体"/>
      <w:kern w:val="0"/>
      <w:sz w:val="20"/>
      <w:szCs w:val="20"/>
    </w:rPr>
  </w:style>
  <w:style w:type="paragraph" w:customStyle="1" w:styleId="1661">
    <w:name w:val="BIAOTIH"/>
    <w:basedOn w:val="1"/>
    <w:qFormat/>
    <w:uiPriority w:val="0"/>
    <w:pPr>
      <w:adjustRightInd w:val="0"/>
      <w:spacing w:before="240" w:after="240"/>
      <w:ind w:firstLine="0" w:firstLineChars="0"/>
      <w:jc w:val="center"/>
      <w:textAlignment w:val="baseline"/>
    </w:pPr>
    <w:rPr>
      <w:rFonts w:ascii="黑体" w:eastAsia="黑体"/>
      <w:kern w:val="0"/>
      <w:szCs w:val="32"/>
      <w:u w:val="none" w:color="000000"/>
    </w:rPr>
  </w:style>
  <w:style w:type="paragraph" w:customStyle="1" w:styleId="1662">
    <w:name w:val="xl1614"/>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textAlignment w:val="center"/>
    </w:pPr>
    <w:rPr>
      <w:rFonts w:ascii="Times New Roman" w:eastAsia="宋体"/>
      <w:kern w:val="0"/>
      <w:sz w:val="24"/>
      <w:szCs w:val="24"/>
    </w:rPr>
  </w:style>
  <w:style w:type="paragraph" w:customStyle="1" w:styleId="1663">
    <w:name w:val="xl45345"/>
    <w:basedOn w:val="1"/>
    <w:qFormat/>
    <w:uiPriority w:val="0"/>
    <w:pPr>
      <w:widowControl/>
      <w:pBdr>
        <w:top w:val="single" w:color="auto" w:sz="4" w:space="0"/>
        <w:bottom w:val="single" w:color="auto" w:sz="4" w:space="0"/>
      </w:pBdr>
      <w:spacing w:before="100" w:beforeAutospacing="1" w:after="100" w:afterAutospacing="1" w:line="240" w:lineRule="auto"/>
      <w:ind w:firstLine="0" w:firstLineChars="0"/>
      <w:jc w:val="left"/>
    </w:pPr>
    <w:rPr>
      <w:rFonts w:hAnsi="宋体" w:cs="宋体"/>
      <w:kern w:val="0"/>
      <w:sz w:val="20"/>
      <w:szCs w:val="20"/>
    </w:rPr>
  </w:style>
  <w:style w:type="paragraph" w:customStyle="1" w:styleId="1664">
    <w:name w:val="三级标题"/>
    <w:basedOn w:val="1"/>
    <w:qFormat/>
    <w:uiPriority w:val="0"/>
    <w:pPr>
      <w:spacing w:line="360" w:lineRule="auto"/>
      <w:ind w:firstLine="560"/>
      <w:jc w:val="left"/>
    </w:pPr>
    <w:rPr>
      <w:kern w:val="0"/>
      <w:u w:val="none" w:color="000000"/>
    </w:rPr>
  </w:style>
  <w:style w:type="paragraph" w:customStyle="1" w:styleId="1665">
    <w:name w:val="样式15"/>
    <w:basedOn w:val="1603"/>
    <w:qFormat/>
    <w:uiPriority w:val="0"/>
    <w:pPr>
      <w:snapToGrid w:val="0"/>
      <w:spacing w:beforeLines="30" w:afterLines="30" w:line="240" w:lineRule="auto"/>
      <w:ind w:firstLine="240" w:firstLineChars="100"/>
      <w:jc w:val="left"/>
      <w:textAlignment w:val="baseline"/>
    </w:pPr>
    <w:rPr>
      <w:rFonts w:ascii="宋体" w:hAnsi="宋体" w:eastAsia="黑体"/>
      <w:color w:val="000000"/>
      <w:sz w:val="24"/>
      <w:szCs w:val="20"/>
    </w:rPr>
  </w:style>
  <w:style w:type="paragraph" w:customStyle="1" w:styleId="1666">
    <w:name w:val="Char1 Char Char Char"/>
    <w:basedOn w:val="8"/>
    <w:next w:val="1"/>
    <w:semiHidden/>
    <w:qFormat/>
    <w:uiPriority w:val="0"/>
    <w:pPr>
      <w:widowControl/>
      <w:tabs>
        <w:tab w:val="left" w:pos="360"/>
        <w:tab w:val="left" w:pos="864"/>
      </w:tabs>
      <w:spacing w:before="240" w:after="160" w:line="240" w:lineRule="exact"/>
      <w:ind w:left="851" w:hanging="851" w:firstLineChars="0"/>
      <w:jc w:val="left"/>
    </w:pPr>
    <w:rPr>
      <w:rFonts w:ascii="Verdana" w:hAnsi="Verdana" w:eastAsia="仿宋_GB2312"/>
      <w:b w:val="0"/>
      <w:bCs w:val="0"/>
      <w:color w:val="000000"/>
      <w:kern w:val="0"/>
      <w:sz w:val="24"/>
      <w:szCs w:val="20"/>
      <w:lang w:eastAsia="en-US"/>
    </w:rPr>
  </w:style>
  <w:style w:type="paragraph" w:customStyle="1" w:styleId="1667">
    <w:name w:val="xl2762"/>
    <w:basedOn w:val="1"/>
    <w:qFormat/>
    <w:uiPriority w:val="0"/>
    <w:pPr>
      <w:widowControl/>
      <w:spacing w:before="100" w:beforeAutospacing="1" w:after="100" w:afterAutospacing="1" w:line="240" w:lineRule="auto"/>
      <w:ind w:firstLine="0" w:firstLineChars="0"/>
      <w:jc w:val="left"/>
      <w:textAlignment w:val="bottom"/>
    </w:pPr>
    <w:rPr>
      <w:rFonts w:ascii="宋体" w:hAnsi="宋体" w:eastAsia="宋体" w:cs="宋体"/>
      <w:kern w:val="0"/>
      <w:sz w:val="24"/>
      <w:szCs w:val="24"/>
    </w:rPr>
  </w:style>
  <w:style w:type="paragraph" w:customStyle="1" w:styleId="1668">
    <w:name w:val="xl128"/>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0" w:firstLineChars="0"/>
      <w:jc w:val="left"/>
    </w:pPr>
    <w:rPr>
      <w:rFonts w:ascii="黑体" w:hAnsi="宋体" w:eastAsia="黑体" w:cs="宋体"/>
      <w:kern w:val="0"/>
      <w:sz w:val="20"/>
      <w:szCs w:val="20"/>
    </w:rPr>
  </w:style>
  <w:style w:type="paragraph" w:customStyle="1" w:styleId="1669">
    <w:name w:val="xl2774"/>
    <w:basedOn w:val="1"/>
    <w:qFormat/>
    <w:uiPriority w:val="0"/>
    <w:pPr>
      <w:widowControl/>
      <w:pBdr>
        <w:top w:val="single" w:color="auto" w:sz="4" w:space="0"/>
        <w:bottom w:val="single" w:color="auto" w:sz="4" w:space="0"/>
        <w:right w:val="single" w:color="auto" w:sz="4" w:space="0"/>
      </w:pBdr>
      <w:spacing w:beforeLines="25" w:beforeAutospacing="1" w:after="100" w:afterAutospacing="1" w:line="240" w:lineRule="auto"/>
      <w:ind w:firstLine="0" w:firstLineChars="0"/>
      <w:jc w:val="center"/>
    </w:pPr>
    <w:rPr>
      <w:rFonts w:ascii="宋体" w:hAnsi="宋体" w:eastAsia="宋体" w:cs="宋体"/>
      <w:kern w:val="0"/>
      <w:sz w:val="18"/>
      <w:szCs w:val="18"/>
    </w:rPr>
  </w:style>
  <w:style w:type="paragraph" w:customStyle="1" w:styleId="1670">
    <w:name w:val="样式 表头 + 居中"/>
    <w:basedOn w:val="1"/>
    <w:qFormat/>
    <w:uiPriority w:val="0"/>
    <w:pPr>
      <w:adjustRightInd w:val="0"/>
      <w:snapToGrid w:val="0"/>
      <w:spacing w:after="60"/>
      <w:ind w:firstLine="100" w:firstLineChars="100"/>
      <w:jc w:val="left"/>
      <w:textAlignment w:val="baseline"/>
    </w:pPr>
    <w:rPr>
      <w:rFonts w:ascii="黑体" w:hAnsi="宋体" w:eastAsia="黑体" w:cs="宋体"/>
      <w:sz w:val="24"/>
      <w:szCs w:val="20"/>
    </w:rPr>
  </w:style>
  <w:style w:type="paragraph" w:customStyle="1" w:styleId="1671">
    <w:name w:val="样式 表格标题 + 首行缩进:  0.5 字符"/>
    <w:basedOn w:val="6"/>
    <w:semiHidden/>
    <w:qFormat/>
    <w:uiPriority w:val="0"/>
    <w:pPr>
      <w:spacing w:line="360" w:lineRule="auto"/>
      <w:ind w:firstLine="126" w:firstLineChars="50"/>
    </w:pPr>
    <w:rPr>
      <w:rFonts w:ascii="黑体" w:eastAsia="黑体" w:cs="宋体"/>
      <w:kern w:val="0"/>
      <w:sz w:val="24"/>
      <w:szCs w:val="20"/>
    </w:rPr>
  </w:style>
  <w:style w:type="paragraph" w:customStyle="1" w:styleId="1672">
    <w:name w:val="xl169"/>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20"/>
      <w:szCs w:val="20"/>
    </w:rPr>
  </w:style>
  <w:style w:type="paragraph" w:customStyle="1" w:styleId="1673">
    <w:name w:val="xl2789"/>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pPr>
    <w:rPr>
      <w:rFonts w:ascii="Times New Roman" w:eastAsia="宋体"/>
      <w:kern w:val="0"/>
      <w:sz w:val="18"/>
      <w:szCs w:val="18"/>
    </w:rPr>
  </w:style>
  <w:style w:type="paragraph" w:customStyle="1" w:styleId="1674">
    <w:name w:val="xl12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pPr>
    <w:rPr>
      <w:rFonts w:ascii="Times New Roman" w:eastAsia="宋体"/>
      <w:b/>
      <w:bCs/>
      <w:kern w:val="0"/>
      <w:sz w:val="20"/>
      <w:szCs w:val="20"/>
    </w:rPr>
  </w:style>
  <w:style w:type="paragraph" w:customStyle="1" w:styleId="1675">
    <w:name w:val="表格（二）"/>
    <w:basedOn w:val="1"/>
    <w:next w:val="1"/>
    <w:qFormat/>
    <w:uiPriority w:val="0"/>
    <w:pPr>
      <w:overflowPunct w:val="0"/>
      <w:autoSpaceDE w:val="0"/>
      <w:autoSpaceDN w:val="0"/>
      <w:adjustRightInd w:val="0"/>
      <w:snapToGrid w:val="0"/>
      <w:spacing w:line="240" w:lineRule="auto"/>
      <w:ind w:firstLine="0" w:firstLineChars="0"/>
      <w:jc w:val="center"/>
    </w:pPr>
    <w:rPr>
      <w:rFonts w:ascii="Times New Roman" w:eastAsia="宋体"/>
      <w:snapToGrid w:val="0"/>
      <w:kern w:val="24"/>
      <w:sz w:val="18"/>
      <w:szCs w:val="24"/>
    </w:rPr>
  </w:style>
  <w:style w:type="paragraph" w:customStyle="1" w:styleId="1676">
    <w:name w:val=" Char Char Char Char Char Char1 Char Char Char Char"/>
    <w:basedOn w:val="1"/>
    <w:semiHidden/>
    <w:qFormat/>
    <w:uiPriority w:val="0"/>
    <w:pPr>
      <w:spacing w:line="360" w:lineRule="auto"/>
      <w:ind w:firstLine="200" w:firstLineChars="200"/>
    </w:pPr>
    <w:rPr>
      <w:rFonts w:ascii="宋体" w:hAnsi="宋体" w:cs="宋体"/>
      <w:sz w:val="24"/>
    </w:rPr>
  </w:style>
  <w:style w:type="paragraph" w:customStyle="1" w:styleId="1677">
    <w:name w:val="样式 表内字 + 首行缩进:  2 字符"/>
    <w:basedOn w:val="1"/>
    <w:qFormat/>
    <w:uiPriority w:val="0"/>
    <w:pPr>
      <w:spacing w:line="0" w:lineRule="atLeast"/>
      <w:ind w:firstLine="0" w:firstLineChars="0"/>
      <w:jc w:val="center"/>
    </w:pPr>
    <w:rPr>
      <w:rFonts w:ascii="楷体_GB2312" w:eastAsia="楷体_GB2312" w:cs="宋体"/>
      <w:kern w:val="0"/>
      <w:sz w:val="21"/>
      <w:szCs w:val="20"/>
    </w:rPr>
  </w:style>
  <w:style w:type="paragraph" w:customStyle="1" w:styleId="1678">
    <w:name w:val="样式 表名 + 段前: 0.5 行 段后: 0.5 行"/>
    <w:basedOn w:val="624"/>
    <w:qFormat/>
    <w:uiPriority w:val="0"/>
    <w:pPr>
      <w:overflowPunct w:val="0"/>
      <w:topLinePunct/>
      <w:spacing w:beforeLines="50" w:line="440" w:lineRule="exact"/>
      <w:ind w:firstLine="0" w:firstLineChars="0"/>
      <w:jc w:val="center"/>
    </w:pPr>
    <w:rPr>
      <w:rFonts w:ascii="宋体" w:hAnsi="华文楷体" w:eastAsia="宋体"/>
      <w:b/>
      <w:bCs/>
      <w:szCs w:val="20"/>
    </w:rPr>
  </w:style>
  <w:style w:type="paragraph" w:customStyle="1" w:styleId="1679">
    <w:name w:val="xl165"/>
    <w:basedOn w:val="1"/>
    <w:qFormat/>
    <w:uiPriority w:val="0"/>
    <w:pPr>
      <w:widowControl/>
      <w:pBdr>
        <w:top w:val="single" w:color="auto" w:sz="4" w:space="0"/>
      </w:pBdr>
      <w:spacing w:before="100" w:beforeAutospacing="1" w:after="100" w:afterAutospacing="1" w:line="240" w:lineRule="auto"/>
      <w:ind w:firstLine="0" w:firstLineChars="0"/>
      <w:jc w:val="center"/>
    </w:pPr>
    <w:rPr>
      <w:rFonts w:ascii="宋体" w:hAnsi="宋体" w:eastAsia="宋体" w:cs="宋体"/>
      <w:kern w:val="0"/>
      <w:sz w:val="20"/>
      <w:szCs w:val="20"/>
    </w:rPr>
  </w:style>
  <w:style w:type="paragraph" w:customStyle="1" w:styleId="1680">
    <w:name w:val="样式 样式 仿宋_GB2312 四号 首行缩进:  0.37 厘米 行距: 1.5 倍行距 + 左侧:  1 字符"/>
    <w:basedOn w:val="1579"/>
    <w:qFormat/>
    <w:uiPriority w:val="0"/>
    <w:pPr>
      <w:ind w:left="0" w:leftChars="0"/>
      <w:jc w:val="left"/>
    </w:pPr>
    <w:rPr>
      <w:sz w:val="21"/>
      <w:szCs w:val="21"/>
    </w:rPr>
  </w:style>
  <w:style w:type="paragraph" w:customStyle="1" w:styleId="1681">
    <w:name w:val="xl198"/>
    <w:basedOn w:val="1"/>
    <w:qFormat/>
    <w:uiPriority w:val="0"/>
    <w:pPr>
      <w:widowControl/>
      <w:pBdr>
        <w:left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 w:val="20"/>
      <w:szCs w:val="20"/>
    </w:rPr>
  </w:style>
  <w:style w:type="paragraph" w:customStyle="1" w:styleId="1682">
    <w:name w:val="xl47"/>
    <w:basedOn w:val="1"/>
    <w:qFormat/>
    <w:uiPriority w:val="0"/>
    <w:pPr>
      <w:widowControl/>
      <w:pBdr>
        <w:top w:val="single" w:color="auto" w:sz="4" w:space="0"/>
        <w:bottom w:val="single" w:color="auto" w:sz="8" w:space="0"/>
        <w:right w:val="single" w:color="auto" w:sz="4" w:space="0"/>
      </w:pBdr>
      <w:spacing w:before="100" w:beforeAutospacing="1" w:after="100" w:afterAutospacing="1" w:line="240" w:lineRule="auto"/>
      <w:ind w:firstLine="0" w:firstLineChars="0"/>
      <w:jc w:val="left"/>
      <w:textAlignment w:val="center"/>
    </w:pPr>
    <w:rPr>
      <w:rFonts w:ascii="Times New Roman" w:eastAsia="宋体"/>
      <w:kern w:val="0"/>
      <w:sz w:val="16"/>
      <w:szCs w:val="16"/>
    </w:rPr>
  </w:style>
  <w:style w:type="paragraph" w:customStyle="1" w:styleId="1683">
    <w:name w:val="xl92"/>
    <w:basedOn w:val="1"/>
    <w:qFormat/>
    <w:uiPriority w:val="0"/>
    <w:pPr>
      <w:widowControl/>
      <w:pBdr>
        <w:bottom w:val="single" w:color="auto" w:sz="4" w:space="0"/>
      </w:pBdr>
      <w:spacing w:before="100" w:beforeAutospacing="1" w:after="100" w:afterAutospacing="1" w:line="240" w:lineRule="auto"/>
      <w:ind w:firstLine="0" w:firstLineChars="0"/>
      <w:jc w:val="center"/>
    </w:pPr>
    <w:rPr>
      <w:rFonts w:ascii="宋体" w:hAnsi="宋体" w:eastAsia="宋体" w:cs="宋体"/>
      <w:kern w:val="0"/>
      <w:sz w:val="24"/>
      <w:szCs w:val="24"/>
    </w:rPr>
  </w:style>
  <w:style w:type="paragraph" w:customStyle="1" w:styleId="1684">
    <w:name w:val="目录8"/>
    <w:basedOn w:val="23"/>
    <w:qFormat/>
    <w:uiPriority w:val="0"/>
    <w:pPr>
      <w:widowControl/>
      <w:adjustRightInd w:val="0"/>
      <w:snapToGrid w:val="0"/>
      <w:spacing w:line="560" w:lineRule="exact"/>
      <w:jc w:val="center"/>
    </w:pPr>
    <w:rPr>
      <w:rFonts w:ascii="Times New Roman" w:hAnsi="Times New Roman" w:cs="Arial"/>
      <w:snapToGrid w:val="0"/>
      <w:kern w:val="0"/>
      <w:sz w:val="36"/>
      <w:szCs w:val="36"/>
      <w:lang w:val="en-US" w:eastAsia="zh-CN"/>
    </w:rPr>
  </w:style>
  <w:style w:type="paragraph" w:customStyle="1" w:styleId="1685">
    <w:name w:val="Char Char Char1 Char Char Char Char2"/>
    <w:basedOn w:val="1"/>
    <w:qFormat/>
    <w:uiPriority w:val="0"/>
    <w:pPr>
      <w:widowControl/>
      <w:spacing w:after="160" w:line="240" w:lineRule="exact"/>
      <w:jc w:val="left"/>
    </w:pPr>
    <w:rPr>
      <w:rFonts w:ascii="宋体" w:hAnsi="宋体"/>
      <w:spacing w:val="14"/>
      <w:kern w:val="0"/>
      <w:sz w:val="24"/>
      <w:u w:val="none" w:color="000000"/>
    </w:rPr>
  </w:style>
  <w:style w:type="paragraph" w:customStyle="1" w:styleId="1686">
    <w:name w:val="xl2765"/>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center"/>
    </w:pPr>
    <w:rPr>
      <w:rFonts w:ascii="Times New Roman" w:eastAsia="宋体"/>
      <w:kern w:val="0"/>
      <w:sz w:val="21"/>
      <w:szCs w:val="21"/>
    </w:rPr>
  </w:style>
  <w:style w:type="paragraph" w:customStyle="1" w:styleId="1687">
    <w:name w:val="表格0"/>
    <w:basedOn w:val="1000"/>
    <w:qFormat/>
    <w:uiPriority w:val="0"/>
    <w:pPr>
      <w:adjustRightInd/>
      <w:snapToGrid/>
      <w:spacing w:beforeLines="0" w:afterLines="0" w:line="240" w:lineRule="atLeast"/>
      <w:ind w:firstLine="0" w:firstLineChars="0"/>
    </w:pPr>
    <w:rPr>
      <w:rFonts w:ascii="Times New Roman" w:hAnsi="Times New Roman"/>
      <w:sz w:val="21"/>
    </w:rPr>
  </w:style>
  <w:style w:type="paragraph" w:customStyle="1" w:styleId="1688">
    <w:name w:val="标4"/>
    <w:basedOn w:val="8"/>
    <w:semiHidden/>
    <w:qFormat/>
    <w:uiPriority w:val="0"/>
    <w:pPr>
      <w:numPr>
        <w:ilvl w:val="3"/>
        <w:numId w:val="0"/>
      </w:numPr>
      <w:tabs>
        <w:tab w:val="left" w:pos="0"/>
      </w:tabs>
      <w:spacing w:before="0" w:after="0" w:line="240" w:lineRule="auto"/>
      <w:jc w:val="left"/>
    </w:pPr>
    <w:rPr>
      <w:rFonts w:ascii="Times New Roman" w:hAnsi="Times New Roman" w:eastAsia="仿宋_GB2312"/>
      <w:b w:val="0"/>
    </w:rPr>
  </w:style>
  <w:style w:type="paragraph" w:customStyle="1" w:styleId="1689">
    <w:name w:val="表-文"/>
    <w:basedOn w:val="989"/>
    <w:qFormat/>
    <w:uiPriority w:val="0"/>
    <w:pPr>
      <w:snapToGrid/>
      <w:spacing w:line="280" w:lineRule="exact"/>
    </w:pPr>
    <w:rPr>
      <w:rFonts w:ascii="楷体_GB2312" w:hAnsi="楷体" w:eastAsia="楷体_GB2312"/>
      <w:sz w:val="21"/>
      <w:lang w:val="en-US" w:eastAsia="zh-CN"/>
    </w:rPr>
  </w:style>
  <w:style w:type="paragraph" w:customStyle="1" w:styleId="1690">
    <w:name w:val="1级标题"/>
    <w:basedOn w:val="4"/>
    <w:qFormat/>
    <w:uiPriority w:val="0"/>
    <w:pPr>
      <w:keepNext/>
      <w:keepLines/>
      <w:tabs>
        <w:tab w:val="left" w:pos="8080"/>
      </w:tabs>
      <w:spacing w:before="240" w:after="240"/>
      <w:jc w:val="both"/>
      <w:textAlignment w:val="baseline"/>
    </w:pPr>
    <w:rPr>
      <w:rFonts w:ascii="Arial" w:hAnsi="Arial"/>
      <w:color w:val="000000"/>
      <w:szCs w:val="32"/>
      <w:lang w:val="en-US" w:eastAsia="zh-CN"/>
    </w:rPr>
  </w:style>
  <w:style w:type="paragraph" w:customStyle="1" w:styleId="1691">
    <w:name w:val="样式 表文 + 左  -0.5 字符"/>
    <w:basedOn w:val="989"/>
    <w:qFormat/>
    <w:uiPriority w:val="0"/>
    <w:pPr>
      <w:spacing w:line="300" w:lineRule="exact"/>
      <w:ind w:left="-50" w:leftChars="-50" w:right="-50" w:rightChars="-50"/>
    </w:pPr>
    <w:rPr>
      <w:rFonts w:eastAsia="华文中宋"/>
      <w:snapToGrid/>
      <w:kern w:val="2"/>
    </w:rPr>
  </w:style>
  <w:style w:type="paragraph" w:customStyle="1" w:styleId="1692">
    <w:name w:val="BI1"/>
    <w:basedOn w:val="4"/>
    <w:qFormat/>
    <w:uiPriority w:val="0"/>
    <w:pPr>
      <w:keepNext/>
      <w:keepLines/>
      <w:tabs>
        <w:tab w:val="left" w:pos="284"/>
        <w:tab w:val="left" w:pos="8080"/>
      </w:tabs>
      <w:adjustRightInd w:val="0"/>
      <w:spacing w:before="240" w:after="240"/>
      <w:ind w:left="284"/>
      <w:jc w:val="left"/>
      <w:textAlignment w:val="baseline"/>
    </w:pPr>
    <w:rPr>
      <w:rFonts w:ascii="Arial" w:hAnsi="Arial"/>
      <w:color w:val="000000"/>
      <w:kern w:val="0"/>
      <w:szCs w:val="44"/>
      <w:u w:val="none" w:color="000000"/>
      <w:lang w:val="en-US" w:eastAsia="zh-CN"/>
    </w:rPr>
  </w:style>
  <w:style w:type="paragraph" w:customStyle="1" w:styleId="1693">
    <w:name w:val="Char Char Char Char1"/>
    <w:basedOn w:val="4"/>
    <w:qFormat/>
    <w:uiPriority w:val="0"/>
    <w:pPr>
      <w:keepNext/>
      <w:keepLines/>
      <w:tabs>
        <w:tab w:val="left" w:pos="360"/>
        <w:tab w:val="left" w:pos="900"/>
      </w:tabs>
      <w:adjustRightInd w:val="0"/>
      <w:snapToGrid w:val="0"/>
      <w:spacing w:beforeLines="50" w:after="120" w:afterLines="50" w:line="720" w:lineRule="exact"/>
      <w:jc w:val="left"/>
    </w:pPr>
    <w:rPr>
      <w:rFonts w:ascii="Times New Roman" w:hAnsi="Times New Roman"/>
      <w:bCs w:val="0"/>
      <w:snapToGrid w:val="0"/>
      <w:sz w:val="28"/>
      <w:szCs w:val="24"/>
    </w:rPr>
  </w:style>
  <w:style w:type="paragraph" w:customStyle="1" w:styleId="1694">
    <w:name w:val="1.1.1.1 Char"/>
    <w:basedOn w:val="1"/>
    <w:qFormat/>
    <w:uiPriority w:val="0"/>
    <w:pPr>
      <w:spacing w:beforeLines="50" w:afterLines="50" w:line="460" w:lineRule="exact"/>
      <w:ind w:firstLine="0" w:firstLineChars="0"/>
    </w:pPr>
    <w:rPr>
      <w:rFonts w:ascii="CG Times" w:hAnsi="CG Times" w:eastAsia="黑体"/>
      <w:b/>
      <w:szCs w:val="20"/>
    </w:rPr>
  </w:style>
  <w:style w:type="paragraph" w:customStyle="1" w:styleId="1695">
    <w:name w:val="基准标题"/>
    <w:basedOn w:val="35"/>
    <w:next w:val="35"/>
    <w:qFormat/>
    <w:uiPriority w:val="0"/>
    <w:pPr>
      <w:widowControl/>
      <w:spacing w:after="0" w:line="240" w:lineRule="auto"/>
      <w:ind w:firstLine="0" w:firstLineChars="0"/>
      <w:jc w:val="left"/>
    </w:pPr>
    <w:rPr>
      <w:rFonts w:ascii="宋体"/>
      <w:color w:val="000000"/>
      <w:kern w:val="0"/>
      <w:sz w:val="21"/>
      <w:szCs w:val="20"/>
    </w:rPr>
  </w:style>
  <w:style w:type="paragraph" w:customStyle="1" w:styleId="1696">
    <w:name w:val="xl2740"/>
    <w:basedOn w:val="1"/>
    <w:qFormat/>
    <w:uiPriority w:val="0"/>
    <w:pPr>
      <w:widowControl/>
      <w:spacing w:before="100" w:beforeAutospacing="1" w:after="100" w:afterAutospacing="1" w:line="240" w:lineRule="auto"/>
      <w:ind w:firstLine="0" w:firstLineChars="0"/>
      <w:jc w:val="left"/>
    </w:pPr>
    <w:rPr>
      <w:rFonts w:ascii="黑体" w:hAnsi="黑体" w:eastAsia="黑体" w:cs="宋体"/>
      <w:kern w:val="0"/>
    </w:rPr>
  </w:style>
  <w:style w:type="paragraph" w:customStyle="1" w:styleId="1697">
    <w:name w:val="表表头"/>
    <w:basedOn w:val="1"/>
    <w:qFormat/>
    <w:uiPriority w:val="0"/>
    <w:pPr>
      <w:widowControl/>
      <w:adjustRightInd w:val="0"/>
      <w:spacing w:after="60"/>
      <w:ind w:firstLine="100" w:firstLineChars="100"/>
      <w:textAlignment w:val="baseline"/>
    </w:pPr>
    <w:rPr>
      <w:rFonts w:ascii="黑体" w:hAnsi="宋体" w:eastAsia="黑体" w:cs="宋体"/>
      <w:kern w:val="0"/>
      <w:sz w:val="24"/>
      <w:szCs w:val="24"/>
      <w:u w:val="none" w:color="000000"/>
    </w:rPr>
  </w:style>
  <w:style w:type="paragraph" w:customStyle="1" w:styleId="1698">
    <w:name w:val="Char Char Char1 Char Char Char Char Char Char Char Char Char Char1"/>
    <w:basedOn w:val="1"/>
    <w:qFormat/>
    <w:uiPriority w:val="0"/>
    <w:pPr>
      <w:snapToGrid w:val="0"/>
      <w:spacing w:line="440" w:lineRule="exact"/>
    </w:pPr>
    <w:rPr>
      <w:sz w:val="24"/>
      <w:szCs w:val="24"/>
    </w:rPr>
  </w:style>
  <w:style w:type="paragraph" w:customStyle="1" w:styleId="1699">
    <w:name w:val="xl2279"/>
    <w:basedOn w:val="1"/>
    <w:qFormat/>
    <w:uiPriority w:val="0"/>
    <w:pPr>
      <w:widowControl/>
      <w:pBdr>
        <w:top w:val="single" w:color="auto" w:sz="4" w:space="0"/>
        <w:left w:val="single" w:color="auto" w:sz="4" w:space="0"/>
        <w:right w:val="single" w:color="auto" w:sz="4" w:space="0"/>
      </w:pBdr>
      <w:spacing w:before="100" w:beforeAutospacing="1" w:after="100" w:afterAutospacing="1" w:line="240" w:lineRule="auto"/>
      <w:ind w:firstLine="0" w:firstLineChars="0"/>
      <w:jc w:val="center"/>
    </w:pPr>
    <w:rPr>
      <w:rFonts w:ascii="楷体_GB2312" w:hAnsi="宋体" w:eastAsia="楷体_GB2312" w:cs="宋体"/>
      <w:kern w:val="0"/>
      <w:sz w:val="20"/>
      <w:szCs w:val="20"/>
    </w:rPr>
  </w:style>
  <w:style w:type="paragraph" w:customStyle="1" w:styleId="1700">
    <w:name w:val="样式 黑色 首行缩进:  2 字符"/>
    <w:basedOn w:val="1"/>
    <w:qFormat/>
    <w:uiPriority w:val="0"/>
    <w:pPr>
      <w:adjustRightInd w:val="0"/>
      <w:textAlignment w:val="baseline"/>
    </w:pPr>
    <w:rPr>
      <w:rFonts w:cs="宋体"/>
      <w:color w:val="000000"/>
      <w:kern w:val="0"/>
      <w:szCs w:val="20"/>
    </w:rPr>
  </w:style>
  <w:style w:type="paragraph" w:customStyle="1" w:styleId="1701">
    <w:name w:val="样式50"/>
    <w:basedOn w:val="1354"/>
    <w:qFormat/>
    <w:uiPriority w:val="0"/>
    <w:pPr>
      <w:ind w:firstLine="0" w:firstLineChars="0"/>
      <w:outlineLvl w:val="3"/>
    </w:pPr>
    <w:rPr>
      <w:rFonts w:ascii="Arial" w:hAnsi="Arial"/>
    </w:rPr>
  </w:style>
  <w:style w:type="paragraph" w:customStyle="1" w:styleId="1702">
    <w:name w:val="样式 样式 标题 4 + 段前: 0.5 行 段后: 0.5 行 + 段前: 7.8 磅 段后: 7.8 磅"/>
    <w:basedOn w:val="1703"/>
    <w:qFormat/>
    <w:uiPriority w:val="0"/>
    <w:rPr>
      <w:szCs w:val="20"/>
    </w:rPr>
  </w:style>
  <w:style w:type="paragraph" w:customStyle="1" w:styleId="1703">
    <w:name w:val="样式 标题 4 + 段前: 0.5 行 段后: 0.5 行"/>
    <w:basedOn w:val="8"/>
    <w:qFormat/>
    <w:uiPriority w:val="0"/>
    <w:pPr>
      <w:spacing w:before="0" w:after="0" w:line="440" w:lineRule="exact"/>
      <w:ind w:firstLine="0" w:firstLineChars="0"/>
      <w:jc w:val="left"/>
    </w:pPr>
    <w:rPr>
      <w:rFonts w:ascii="Times New Roman" w:hAnsi="Times New Roman" w:eastAsia="华文中宋"/>
      <w:sz w:val="24"/>
      <w:szCs w:val="24"/>
    </w:rPr>
  </w:style>
  <w:style w:type="paragraph" w:customStyle="1" w:styleId="1704">
    <w:name w:val="图表2"/>
    <w:basedOn w:val="1"/>
    <w:qFormat/>
    <w:uiPriority w:val="0"/>
    <w:pPr>
      <w:overflowPunct w:val="0"/>
      <w:autoSpaceDE w:val="0"/>
      <w:autoSpaceDN w:val="0"/>
      <w:adjustRightInd w:val="0"/>
      <w:snapToGrid w:val="0"/>
      <w:jc w:val="center"/>
    </w:pPr>
    <w:rPr>
      <w:rFonts w:ascii="宋体" w:hAnsi="宋体"/>
      <w:spacing w:val="-20"/>
      <w:kern w:val="0"/>
      <w:sz w:val="24"/>
      <w:u w:val="none" w:color="000000"/>
    </w:rPr>
  </w:style>
  <w:style w:type="paragraph" w:customStyle="1" w:styleId="1705">
    <w:name w:val="正文文本 26"/>
    <w:basedOn w:val="1"/>
    <w:qFormat/>
    <w:uiPriority w:val="0"/>
    <w:pPr>
      <w:adjustRightInd w:val="0"/>
      <w:ind w:firstLine="461"/>
      <w:textAlignment w:val="baseline"/>
    </w:pPr>
    <w:rPr>
      <w:rFonts w:ascii="方正仿宋简体" w:eastAsia="方正仿宋简体"/>
      <w:kern w:val="0"/>
      <w:sz w:val="24"/>
      <w:szCs w:val="20"/>
    </w:rPr>
  </w:style>
  <w:style w:type="paragraph" w:customStyle="1" w:styleId="1706">
    <w:name w:val="xl179"/>
    <w:basedOn w:val="1"/>
    <w:qFormat/>
    <w:uiPriority w:val="0"/>
    <w:pPr>
      <w:widowControl/>
      <w:pBdr>
        <w:left w:val="single" w:color="auto" w:sz="8" w:space="0"/>
        <w:bottom w:val="single" w:color="auto" w:sz="4" w:space="0"/>
      </w:pBdr>
      <w:spacing w:before="100" w:beforeAutospacing="1" w:after="100" w:afterAutospacing="1" w:line="240" w:lineRule="auto"/>
      <w:ind w:firstLine="0" w:firstLineChars="0"/>
      <w:jc w:val="left"/>
    </w:pPr>
    <w:rPr>
      <w:rFonts w:ascii="宋体" w:hAnsi="宋体" w:eastAsia="宋体" w:cs="宋体"/>
      <w:kern w:val="0"/>
      <w:sz w:val="24"/>
      <w:szCs w:val="24"/>
    </w:rPr>
  </w:style>
  <w:style w:type="paragraph" w:customStyle="1" w:styleId="1707">
    <w:name w:val="4正文"/>
    <w:basedOn w:val="1"/>
    <w:qFormat/>
    <w:uiPriority w:val="0"/>
    <w:pPr>
      <w:tabs>
        <w:tab w:val="left" w:pos="1134"/>
      </w:tabs>
      <w:autoSpaceDE w:val="0"/>
      <w:autoSpaceDN w:val="0"/>
      <w:adjustRightInd w:val="0"/>
      <w:spacing w:line="460" w:lineRule="exact"/>
      <w:ind w:left="1134" w:hanging="1134" w:firstLineChars="0"/>
      <w:textAlignment w:val="baseline"/>
    </w:pPr>
    <w:rPr>
      <w:rFonts w:ascii="Arial" w:hAnsi="Arial" w:eastAsia="宋体"/>
      <w:kern w:val="0"/>
      <w:sz w:val="24"/>
      <w:szCs w:val="21"/>
    </w:rPr>
  </w:style>
  <w:style w:type="paragraph" w:customStyle="1" w:styleId="1708">
    <w:name w:val="我的小节下"/>
    <w:basedOn w:val="1"/>
    <w:qFormat/>
    <w:uiPriority w:val="0"/>
    <w:pPr>
      <w:tabs>
        <w:tab w:val="left" w:pos="920"/>
      </w:tabs>
      <w:ind w:left="200"/>
    </w:pPr>
    <w:rPr>
      <w:kern w:val="0"/>
      <w:u w:val="none" w:color="000000"/>
    </w:rPr>
  </w:style>
  <w:style w:type="paragraph" w:customStyle="1" w:styleId="1709">
    <w:name w:val="xl6272"/>
    <w:basedOn w:val="1"/>
    <w:qFormat/>
    <w:uiPriority w:val="0"/>
    <w:pPr>
      <w:widowControl/>
      <w:pBdr>
        <w:top w:val="single" w:color="auto" w:sz="4" w:space="0"/>
        <w:left w:val="single" w:color="auto" w:sz="4" w:space="0"/>
        <w:bottom w:val="single" w:color="auto" w:sz="4" w:space="0"/>
      </w:pBdr>
      <w:spacing w:beforeLines="25" w:beforeAutospacing="1" w:after="100" w:afterAutospacing="1" w:line="240" w:lineRule="auto"/>
      <w:ind w:firstLine="0" w:firstLineChars="0"/>
      <w:jc w:val="center"/>
      <w:textAlignment w:val="center"/>
    </w:pPr>
    <w:rPr>
      <w:rFonts w:ascii="宋体" w:hAnsi="宋体" w:eastAsia="宋体" w:cs="宋体"/>
      <w:kern w:val="0"/>
      <w:sz w:val="24"/>
      <w:szCs w:val="24"/>
    </w:rPr>
  </w:style>
  <w:style w:type="paragraph" w:customStyle="1" w:styleId="1710">
    <w:name w:val="xl188"/>
    <w:basedOn w:val="1"/>
    <w:qFormat/>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color w:val="FF0000"/>
      <w:kern w:val="0"/>
      <w:sz w:val="20"/>
      <w:szCs w:val="20"/>
    </w:rPr>
  </w:style>
  <w:style w:type="paragraph" w:customStyle="1" w:styleId="1711">
    <w:name w:val="xl45365"/>
    <w:basedOn w:val="1"/>
    <w:qFormat/>
    <w:uiPriority w:val="0"/>
    <w:pPr>
      <w:widowControl/>
      <w:pBdr>
        <w:right w:val="single" w:color="auto" w:sz="4" w:space="0"/>
      </w:pBdr>
      <w:spacing w:before="100" w:beforeAutospacing="1" w:after="100" w:afterAutospacing="1" w:line="240" w:lineRule="auto"/>
      <w:ind w:firstLine="0" w:firstLineChars="0"/>
      <w:jc w:val="center"/>
    </w:pPr>
    <w:rPr>
      <w:rFonts w:ascii="Times New Roman" w:eastAsia="宋体"/>
      <w:kern w:val="0"/>
      <w:sz w:val="20"/>
      <w:szCs w:val="20"/>
    </w:rPr>
  </w:style>
  <w:style w:type="paragraph" w:customStyle="1" w:styleId="1712">
    <w:name w:val="封面标题 1"/>
    <w:basedOn w:val="1"/>
    <w:next w:val="1"/>
    <w:qFormat/>
    <w:uiPriority w:val="0"/>
    <w:pPr>
      <w:spacing w:beforeLines="100" w:afterLines="100"/>
      <w:ind w:firstLine="0" w:firstLineChars="0"/>
      <w:jc w:val="center"/>
    </w:pPr>
    <w:rPr>
      <w:rFonts w:ascii="华文新魏" w:hAnsi="仿宋_GB2312" w:eastAsia="华文新魏"/>
      <w:sz w:val="52"/>
      <w:szCs w:val="52"/>
    </w:rPr>
  </w:style>
  <w:style w:type="paragraph" w:customStyle="1" w:styleId="1713">
    <w:name w:val="xl56"/>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ascii="宋体" w:hAnsi="宋体" w:eastAsia="宋体" w:cs="宋体"/>
      <w:color w:val="000000"/>
      <w:kern w:val="0"/>
      <w:sz w:val="16"/>
      <w:szCs w:val="16"/>
    </w:rPr>
  </w:style>
  <w:style w:type="paragraph" w:customStyle="1" w:styleId="1714">
    <w:name w:val="A"/>
    <w:basedOn w:val="1"/>
    <w:qFormat/>
    <w:uiPriority w:val="0"/>
    <w:pPr>
      <w:widowControl/>
      <w:tabs>
        <w:tab w:val="left" w:pos="372"/>
        <w:tab w:val="left" w:pos="425"/>
        <w:tab w:val="left" w:pos="4669"/>
        <w:tab w:val="left" w:pos="8308"/>
      </w:tabs>
      <w:autoSpaceDE w:val="0"/>
      <w:autoSpaceDN w:val="0"/>
      <w:adjustRightInd w:val="0"/>
      <w:snapToGrid w:val="0"/>
      <w:spacing w:before="120" w:line="360" w:lineRule="auto"/>
      <w:ind w:left="1050" w:hanging="690" w:firstLineChars="0"/>
      <w:jc w:val="left"/>
      <w:textAlignment w:val="bottom"/>
    </w:pPr>
    <w:rPr>
      <w:rFonts w:ascii="Arial" w:hAnsi="Arial" w:eastAsia="宋体"/>
      <w:kern w:val="0"/>
      <w:position w:val="-16"/>
      <w:szCs w:val="30"/>
    </w:rPr>
  </w:style>
  <w:style w:type="paragraph" w:customStyle="1" w:styleId="1715">
    <w:name w:val="样式 样式 仿宋_GB2312 居中 首行缩进:  0 字符 + 五号"/>
    <w:basedOn w:val="1716"/>
    <w:qFormat/>
    <w:uiPriority w:val="0"/>
    <w:rPr>
      <w:sz w:val="21"/>
    </w:rPr>
  </w:style>
  <w:style w:type="paragraph" w:customStyle="1" w:styleId="1716">
    <w:name w:val="样式 仿宋_GB2312 居中 首行缩进:  2 字符"/>
    <w:basedOn w:val="1"/>
    <w:qFormat/>
    <w:uiPriority w:val="0"/>
    <w:pPr>
      <w:spacing w:line="240" w:lineRule="auto"/>
      <w:ind w:firstLine="0" w:firstLineChars="0"/>
      <w:jc w:val="center"/>
    </w:pPr>
    <w:rPr>
      <w:rFonts w:cs="宋体"/>
      <w:szCs w:val="20"/>
    </w:rPr>
  </w:style>
  <w:style w:type="paragraph" w:customStyle="1" w:styleId="1717">
    <w:name w:val="Char Char Char1 Char Char Char Char Char Char2 Char1"/>
    <w:basedOn w:val="1"/>
    <w:qFormat/>
    <w:uiPriority w:val="0"/>
    <w:pPr>
      <w:spacing w:line="240" w:lineRule="auto"/>
      <w:ind w:firstLine="0" w:firstLineChars="0"/>
    </w:pPr>
    <w:rPr>
      <w:rFonts w:ascii="Times New Roman" w:eastAsia="宋体"/>
      <w:sz w:val="21"/>
      <w:szCs w:val="24"/>
    </w:rPr>
  </w:style>
  <w:style w:type="paragraph" w:customStyle="1" w:styleId="1718">
    <w:name w:val="xl5112"/>
    <w:basedOn w:val="1"/>
    <w:qFormat/>
    <w:uiPriority w:val="0"/>
    <w:pPr>
      <w:widowControl/>
      <w:pBdr>
        <w:left w:val="single" w:color="auto" w:sz="4" w:space="0"/>
        <w:right w:val="single" w:color="auto" w:sz="4" w:space="0"/>
      </w:pBdr>
      <w:spacing w:before="100" w:beforeAutospacing="1" w:after="100" w:afterAutospacing="1" w:line="240" w:lineRule="auto"/>
      <w:ind w:firstLine="0" w:firstLineChars="0"/>
      <w:jc w:val="center"/>
      <w:textAlignment w:val="center"/>
    </w:pPr>
    <w:rPr>
      <w:rFonts w:ascii="Times New Roman" w:eastAsia="宋体"/>
      <w:kern w:val="0"/>
      <w:sz w:val="18"/>
      <w:szCs w:val="18"/>
    </w:rPr>
  </w:style>
  <w:style w:type="paragraph" w:customStyle="1" w:styleId="1719">
    <w:name w:val="xl1619"/>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textAlignment w:val="center"/>
    </w:pPr>
    <w:rPr>
      <w:rFonts w:ascii="宋体" w:hAnsi="宋体" w:eastAsia="宋体" w:cs="宋体"/>
      <w:kern w:val="0"/>
      <w:sz w:val="24"/>
      <w:szCs w:val="24"/>
    </w:rPr>
  </w:style>
  <w:style w:type="paragraph" w:customStyle="1" w:styleId="1720">
    <w:name w:val="样式 样式 首行缩进:  0.85 厘米 字距调整八号 + 首行缩进:  2 字符"/>
    <w:basedOn w:val="1"/>
    <w:qFormat/>
    <w:uiPriority w:val="0"/>
    <w:pPr>
      <w:spacing w:line="240" w:lineRule="auto"/>
      <w:ind w:firstLine="480"/>
    </w:pPr>
    <w:rPr>
      <w:rFonts w:ascii="Times New Roman" w:eastAsia="华文中宋"/>
      <w:kern w:val="10"/>
      <w:sz w:val="24"/>
      <w:szCs w:val="20"/>
    </w:rPr>
  </w:style>
  <w:style w:type="paragraph" w:customStyle="1" w:styleId="1721">
    <w:name w:val="xl2276"/>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firstLineChars="0"/>
      <w:jc w:val="center"/>
    </w:pPr>
    <w:rPr>
      <w:rFonts w:ascii="楷体_GB2312" w:hAnsi="宋体" w:eastAsia="楷体_GB2312" w:cs="宋体"/>
      <w:kern w:val="0"/>
      <w:sz w:val="20"/>
      <w:szCs w:val="20"/>
    </w:rPr>
  </w:style>
  <w:style w:type="paragraph" w:customStyle="1" w:styleId="1722">
    <w:name w:val="样式 行距: 固定值 26 磅1"/>
    <w:basedOn w:val="1"/>
    <w:qFormat/>
    <w:uiPriority w:val="0"/>
    <w:pPr>
      <w:spacing w:line="500" w:lineRule="exact"/>
    </w:pPr>
    <w:rPr>
      <w:rFonts w:ascii="Times New Roman" w:eastAsia="宋体"/>
      <w:sz w:val="24"/>
      <w:szCs w:val="20"/>
    </w:rPr>
  </w:style>
  <w:style w:type="paragraph" w:customStyle="1" w:styleId="1723">
    <w:name w:val="一"/>
    <w:basedOn w:val="1"/>
    <w:qFormat/>
    <w:uiPriority w:val="0"/>
    <w:pPr>
      <w:adjustRightInd w:val="0"/>
      <w:snapToGrid w:val="0"/>
      <w:spacing w:line="240" w:lineRule="auto"/>
      <w:ind w:firstLine="0" w:firstLineChars="0"/>
      <w:outlineLvl w:val="2"/>
    </w:pPr>
    <w:rPr>
      <w:rFonts w:ascii="宋体" w:eastAsia="宋体"/>
      <w:b/>
      <w:sz w:val="32"/>
      <w:szCs w:val="20"/>
    </w:rPr>
  </w:style>
  <w:style w:type="paragraph" w:customStyle="1" w:styleId="1724">
    <w:name w:val="XW表内文字"/>
    <w:basedOn w:val="1"/>
    <w:qFormat/>
    <w:uiPriority w:val="0"/>
    <w:pPr>
      <w:adjustRightInd w:val="0"/>
      <w:spacing w:before="60" w:after="60" w:line="300" w:lineRule="exact"/>
      <w:ind w:firstLine="0" w:firstLineChars="0"/>
      <w:jc w:val="center"/>
      <w:textAlignment w:val="baseline"/>
    </w:pPr>
    <w:rPr>
      <w:rFonts w:ascii="Times New Roman" w:eastAsia="宋体"/>
      <w:kern w:val="0"/>
      <w:sz w:val="21"/>
      <w:szCs w:val="20"/>
    </w:rPr>
  </w:style>
  <w:style w:type="paragraph" w:customStyle="1" w:styleId="1725">
    <w:name w:val="样式 标题1 + 红色"/>
    <w:basedOn w:val="1"/>
    <w:qFormat/>
    <w:uiPriority w:val="0"/>
    <w:pPr>
      <w:keepLines/>
      <w:pageBreakBefore/>
      <w:tabs>
        <w:tab w:val="left" w:pos="720"/>
      </w:tabs>
      <w:spacing w:before="240" w:after="240"/>
      <w:ind w:firstLine="0" w:firstLineChars="0"/>
      <w:jc w:val="left"/>
      <w:outlineLvl w:val="0"/>
    </w:pPr>
    <w:rPr>
      <w:rFonts w:ascii="Arial" w:hAnsi="Arial" w:eastAsia="黑体"/>
      <w:kern w:val="44"/>
      <w:sz w:val="36"/>
      <w:szCs w:val="36"/>
    </w:rPr>
  </w:style>
  <w:style w:type="paragraph" w:customStyle="1" w:styleId="1726">
    <w:name w:val="表数字"/>
    <w:basedOn w:val="543"/>
    <w:qFormat/>
    <w:uiPriority w:val="0"/>
    <w:pPr>
      <w:adjustRightInd w:val="0"/>
      <w:snapToGrid w:val="0"/>
      <w:spacing w:beforeLines="10" w:afterLines="10" w:line="320" w:lineRule="exact"/>
      <w:jc w:val="center"/>
      <w:textAlignment w:val="auto"/>
    </w:pPr>
    <w:rPr>
      <w:rFonts w:ascii="Arial" w:hAnsi="Arial" w:eastAsia="Times New Roman" w:cs="Arial"/>
      <w:snapToGrid w:val="0"/>
      <w:color w:val="000000"/>
    </w:rPr>
  </w:style>
  <w:style w:type="paragraph" w:customStyle="1" w:styleId="1727">
    <w:name w:val="xl162"/>
    <w:basedOn w:val="1"/>
    <w:qFormat/>
    <w:uiPriority w:val="0"/>
    <w:pPr>
      <w:widowControl/>
      <w:pBdr>
        <w:left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20"/>
      <w:szCs w:val="20"/>
    </w:rPr>
  </w:style>
  <w:style w:type="paragraph" w:customStyle="1" w:styleId="1728">
    <w:name w:val="xl51"/>
    <w:basedOn w:val="1"/>
    <w:qFormat/>
    <w:uiPriority w:val="0"/>
    <w:pPr>
      <w:widowControl/>
      <w:numPr>
        <w:ilvl w:val="0"/>
        <w:numId w:val="10"/>
      </w:numPr>
      <w:pBdr>
        <w:top w:val="single" w:color="auto" w:sz="4" w:space="0"/>
        <w:left w:val="single" w:color="auto" w:sz="4" w:space="0"/>
        <w:bottom w:val="single" w:color="auto" w:sz="4" w:space="0"/>
        <w:right w:val="single" w:color="auto" w:sz="4" w:space="0"/>
      </w:pBdr>
      <w:tabs>
        <w:tab w:val="clear" w:pos="1200"/>
      </w:tabs>
      <w:spacing w:before="100" w:beforeAutospacing="1" w:after="100" w:afterAutospacing="1" w:line="240" w:lineRule="auto"/>
      <w:ind w:left="0" w:leftChars="0" w:firstLine="0" w:firstLineChars="0"/>
      <w:jc w:val="center"/>
      <w:textAlignment w:val="center"/>
    </w:pPr>
    <w:rPr>
      <w:rFonts w:ascii="Times New Roman" w:eastAsia="宋体"/>
      <w:kern w:val="0"/>
      <w:sz w:val="16"/>
      <w:szCs w:val="16"/>
    </w:rPr>
  </w:style>
  <w:style w:type="paragraph" w:customStyle="1" w:styleId="1729">
    <w:name w:val="样式 表格 + 行距: 单倍行距"/>
    <w:basedOn w:val="1"/>
    <w:qFormat/>
    <w:uiPriority w:val="0"/>
    <w:pPr>
      <w:adjustRightInd w:val="0"/>
      <w:spacing w:line="0" w:lineRule="atLeast"/>
      <w:ind w:firstLine="0" w:firstLineChars="0"/>
      <w:jc w:val="center"/>
      <w:textAlignment w:val="baseline"/>
    </w:pPr>
    <w:rPr>
      <w:rFonts w:ascii="楷体_GB2312" w:eastAsia="楷体_GB2312" w:cs="宋体"/>
      <w:kern w:val="0"/>
      <w:sz w:val="21"/>
      <w:szCs w:val="20"/>
    </w:rPr>
  </w:style>
  <w:style w:type="paragraph" w:customStyle="1" w:styleId="1730">
    <w:name w:val="Char Char Char Char Char Char1 Char Char Char1 Char"/>
    <w:basedOn w:val="1"/>
    <w:qFormat/>
    <w:uiPriority w:val="0"/>
    <w:pPr>
      <w:jc w:val="left"/>
    </w:pPr>
    <w:rPr>
      <w:rFonts w:ascii="Arial" w:hAnsi="Arial" w:eastAsia="方正小标宋_GBK"/>
      <w:u w:val="none" w:color="000000"/>
    </w:rPr>
  </w:style>
  <w:style w:type="paragraph" w:customStyle="1" w:styleId="1731">
    <w:name w:val="xl103"/>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18"/>
      <w:szCs w:val="18"/>
    </w:rPr>
  </w:style>
  <w:style w:type="paragraph" w:customStyle="1" w:styleId="1732">
    <w:name w:val="SB标题2"/>
    <w:basedOn w:val="1"/>
    <w:qFormat/>
    <w:uiPriority w:val="0"/>
    <w:pPr>
      <w:widowControl/>
      <w:numPr>
        <w:ilvl w:val="1"/>
        <w:numId w:val="3"/>
      </w:numPr>
      <w:spacing w:before="93" w:after="93" w:line="360" w:lineRule="auto"/>
      <w:ind w:firstLineChars="0"/>
      <w:jc w:val="left"/>
      <w:outlineLvl w:val="1"/>
    </w:pPr>
    <w:rPr>
      <w:rFonts w:ascii="Times New Roman" w:eastAsia="宋体"/>
      <w:b/>
      <w:bCs/>
      <w:szCs w:val="20"/>
    </w:rPr>
  </w:style>
  <w:style w:type="paragraph" w:customStyle="1" w:styleId="1733">
    <w:name w:val="xl3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Arial Unicode MS" w:hAnsi="Arial Unicode MS" w:eastAsia="Arial Unicode MS" w:cs="Arial Unicode MS"/>
      <w:kern w:val="0"/>
      <w:sz w:val="20"/>
      <w:szCs w:val="20"/>
    </w:rPr>
  </w:style>
  <w:style w:type="paragraph" w:customStyle="1" w:styleId="1734">
    <w:name w:val="样式 标题 1 + 仿宋_GB2312 小三 段前: 0 磅 段后: 0 磅"/>
    <w:basedOn w:val="4"/>
    <w:qFormat/>
    <w:uiPriority w:val="0"/>
    <w:pPr>
      <w:keepNext/>
      <w:keepLines/>
      <w:spacing w:beforeLines="50" w:after="120" w:afterLines="50" w:line="300" w:lineRule="auto"/>
    </w:pPr>
    <w:rPr>
      <w:rFonts w:ascii="仿宋_GB2312" w:hAnsi="黑体" w:eastAsia="仿宋_GB2312" w:cs="宋体"/>
      <w:b/>
      <w:sz w:val="30"/>
      <w:szCs w:val="20"/>
    </w:rPr>
  </w:style>
  <w:style w:type="paragraph" w:customStyle="1" w:styleId="1735">
    <w:name w:val="8"/>
    <w:qFormat/>
    <w:uiPriority w:val="0"/>
    <w:pPr>
      <w:widowControl w:val="0"/>
      <w:adjustRightInd w:val="0"/>
      <w:spacing w:line="560" w:lineRule="exact"/>
      <w:ind w:firstLine="200" w:firstLineChars="200"/>
      <w:jc w:val="both"/>
      <w:textAlignment w:val="baseline"/>
    </w:pPr>
    <w:rPr>
      <w:rFonts w:ascii="仿宋_GB2312" w:hAnsi="Times New Roman" w:eastAsia="仿宋_GB2312" w:cs="Times New Roman"/>
      <w:sz w:val="28"/>
      <w:szCs w:val="28"/>
      <w:lang w:val="en-US" w:eastAsia="zh-CN" w:bidi="ar-SA"/>
    </w:rPr>
  </w:style>
  <w:style w:type="paragraph" w:customStyle="1" w:styleId="1736">
    <w:name w:val="样式 样式 样式 标题 4 + 仿宋_GB2312 + 段前: 0.1 行 段后: 0.1 行 + 段前: 0.5 行 段后:..."/>
    <w:basedOn w:val="1349"/>
    <w:qFormat/>
    <w:uiPriority w:val="0"/>
    <w:pPr>
      <w:spacing w:afterLines="0"/>
    </w:pPr>
  </w:style>
  <w:style w:type="paragraph" w:customStyle="1" w:styleId="1737">
    <w:name w:val="正文 + 四号"/>
    <w:basedOn w:val="6"/>
    <w:qFormat/>
    <w:uiPriority w:val="0"/>
    <w:pPr>
      <w:spacing w:line="240" w:lineRule="auto"/>
      <w:ind w:firstLine="560"/>
    </w:pPr>
    <w:rPr>
      <w:rFonts w:ascii="Times New Roman" w:eastAsia="宋体"/>
      <w:kern w:val="0"/>
    </w:rPr>
  </w:style>
  <w:style w:type="paragraph" w:customStyle="1" w:styleId="1738">
    <w:name w:val="xl190"/>
    <w:basedOn w:val="1"/>
    <w:qFormat/>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24"/>
      <w:szCs w:val="24"/>
    </w:rPr>
  </w:style>
  <w:style w:type="paragraph" w:customStyle="1" w:styleId="1739">
    <w:name w:val="xl2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Times New Roman" w:eastAsia="Arial Unicode MS"/>
      <w:kern w:val="0"/>
      <w:sz w:val="20"/>
      <w:szCs w:val="20"/>
    </w:rPr>
  </w:style>
  <w:style w:type="paragraph" w:customStyle="1" w:styleId="1740">
    <w:name w:val="表名称及编号"/>
    <w:basedOn w:val="1"/>
    <w:next w:val="1"/>
    <w:qFormat/>
    <w:uiPriority w:val="0"/>
    <w:pPr>
      <w:spacing w:line="400" w:lineRule="exact"/>
      <w:ind w:firstLine="560"/>
      <w:jc w:val="center"/>
    </w:pPr>
    <w:rPr>
      <w:rFonts w:ascii="黑体" w:eastAsia="黑体"/>
      <w:kern w:val="0"/>
      <w:szCs w:val="20"/>
      <w:u w:val="none" w:color="000000"/>
    </w:rPr>
  </w:style>
  <w:style w:type="paragraph" w:customStyle="1" w:styleId="1741">
    <w:name w:val="标 题 2"/>
    <w:basedOn w:val="5"/>
    <w:qFormat/>
    <w:uiPriority w:val="0"/>
    <w:pPr>
      <w:keepNext/>
      <w:keepLines/>
      <w:tabs>
        <w:tab w:val="left" w:pos="567"/>
      </w:tabs>
      <w:spacing w:before="0" w:after="0"/>
      <w:ind w:left="567" w:hanging="567"/>
    </w:pPr>
    <w:rPr>
      <w:rFonts w:cs="宋体"/>
      <w:color w:val="000000"/>
      <w:szCs w:val="20"/>
    </w:rPr>
  </w:style>
  <w:style w:type="paragraph" w:customStyle="1" w:styleId="1742">
    <w:name w:val="Char Char Char1 Char"/>
    <w:basedOn w:val="1"/>
    <w:qFormat/>
    <w:uiPriority w:val="0"/>
    <w:pPr>
      <w:spacing w:line="360" w:lineRule="auto"/>
    </w:pPr>
    <w:rPr>
      <w:rFonts w:ascii="宋体" w:hAnsi="宋体" w:eastAsia="宋体" w:cs="宋体"/>
      <w:sz w:val="24"/>
      <w:szCs w:val="24"/>
    </w:rPr>
  </w:style>
  <w:style w:type="paragraph" w:customStyle="1" w:styleId="1743">
    <w:name w:val="样式 (中文) 楷体_GB2312 首行缩进:  2 字符 行距: 固定值 28 磅"/>
    <w:basedOn w:val="1"/>
    <w:qFormat/>
    <w:uiPriority w:val="0"/>
    <w:rPr>
      <w:rFonts w:ascii="楷体_GB2312" w:eastAsia="楷体_GB2312" w:cs="宋体"/>
      <w:szCs w:val="20"/>
    </w:rPr>
  </w:style>
  <w:style w:type="paragraph" w:customStyle="1" w:styleId="1744">
    <w:name w:val="xl2285"/>
    <w:basedOn w:val="1"/>
    <w:qFormat/>
    <w:uiPriority w:val="0"/>
    <w:pPr>
      <w:widowControl/>
      <w:pBdr>
        <w:top w:val="single" w:color="auto" w:sz="4" w:space="0"/>
        <w:bottom w:val="single" w:color="auto" w:sz="4" w:space="0"/>
      </w:pBdr>
      <w:spacing w:before="100" w:beforeAutospacing="1" w:after="100" w:afterAutospacing="1" w:line="240" w:lineRule="auto"/>
      <w:ind w:firstLine="0" w:firstLineChars="0"/>
      <w:jc w:val="left"/>
    </w:pPr>
    <w:rPr>
      <w:rFonts w:ascii="宋体" w:hAnsi="宋体" w:eastAsia="宋体" w:cs="宋体"/>
      <w:kern w:val="0"/>
      <w:sz w:val="24"/>
      <w:szCs w:val="24"/>
    </w:rPr>
  </w:style>
  <w:style w:type="paragraph" w:customStyle="1" w:styleId="1745">
    <w:name w:val="xl2810"/>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Lines="25" w:beforeAutospacing="1" w:after="100" w:afterAutospacing="1" w:line="240" w:lineRule="auto"/>
      <w:ind w:firstLine="0" w:firstLineChars="0"/>
      <w:jc w:val="center"/>
      <w:textAlignment w:val="center"/>
    </w:pPr>
    <w:rPr>
      <w:rFonts w:ascii="Times New Roman" w:eastAsia="宋体"/>
      <w:kern w:val="0"/>
      <w:sz w:val="24"/>
      <w:szCs w:val="24"/>
    </w:rPr>
  </w:style>
  <w:style w:type="paragraph" w:customStyle="1" w:styleId="1746">
    <w:name w:val="xl132"/>
    <w:basedOn w:val="1"/>
    <w:qFormat/>
    <w:uiPriority w:val="0"/>
    <w:pPr>
      <w:widowControl/>
      <w:pBdr>
        <w:left w:val="single" w:color="auto" w:sz="4" w:space="0"/>
        <w:bottom w:val="single" w:color="auto" w:sz="4" w:space="0"/>
      </w:pBdr>
      <w:spacing w:before="100" w:beforeAutospacing="1" w:after="100" w:afterAutospacing="1" w:line="240" w:lineRule="auto"/>
      <w:ind w:firstLine="0" w:firstLineChars="0"/>
      <w:jc w:val="center"/>
    </w:pPr>
    <w:rPr>
      <w:rFonts w:ascii="宋体" w:hAnsi="宋体" w:eastAsia="宋体" w:cs="宋体"/>
      <w:kern w:val="0"/>
      <w:sz w:val="20"/>
      <w:szCs w:val="20"/>
    </w:rPr>
  </w:style>
  <w:style w:type="paragraph" w:customStyle="1" w:styleId="1747">
    <w:name w:val="Table Paragraph"/>
    <w:basedOn w:val="1"/>
    <w:qFormat/>
    <w:uiPriority w:val="0"/>
    <w:pPr>
      <w:spacing w:line="240" w:lineRule="auto"/>
      <w:ind w:firstLine="0" w:firstLineChars="0"/>
      <w:jc w:val="left"/>
    </w:pPr>
    <w:rPr>
      <w:rFonts w:ascii="Calibri" w:hAnsi="Calibri" w:eastAsia="宋体" w:cs="Times New Roman"/>
      <w:kern w:val="0"/>
      <w:sz w:val="22"/>
      <w:szCs w:val="22"/>
      <w:lang w:eastAsia="en-US"/>
    </w:rPr>
  </w:style>
  <w:style w:type="paragraph" w:customStyle="1" w:styleId="1748">
    <w:name w:val="xl203"/>
    <w:basedOn w:val="1"/>
    <w:qFormat/>
    <w:uiPriority w:val="0"/>
    <w:pPr>
      <w:widowControl/>
      <w:pBdr>
        <w:top w:val="single" w:color="auto" w:sz="4" w:space="0"/>
        <w:left w:val="single" w:color="auto" w:sz="4" w:space="0"/>
        <w:bottom w:val="single" w:color="auto" w:sz="4" w:space="0"/>
        <w:right w:val="single" w:color="auto" w:sz="4" w:space="0"/>
      </w:pBdr>
      <w:shd w:val="clear" w:color="000000" w:fill="FF00FF"/>
      <w:spacing w:before="100" w:beforeAutospacing="1" w:after="100" w:afterAutospacing="1" w:line="240" w:lineRule="auto"/>
      <w:ind w:firstLine="0" w:firstLineChars="0"/>
      <w:jc w:val="center"/>
      <w:textAlignment w:val="center"/>
    </w:pPr>
    <w:rPr>
      <w:rFonts w:ascii="宋体" w:hAnsi="宋体" w:eastAsia="宋体" w:cs="宋体"/>
      <w:b/>
      <w:bCs/>
      <w:kern w:val="0"/>
      <w:sz w:val="18"/>
      <w:szCs w:val="18"/>
    </w:rPr>
  </w:style>
  <w:style w:type="paragraph" w:customStyle="1" w:styleId="1749">
    <w:name w:val="样式 标题 1 + 黑体 三号 非加粗"/>
    <w:basedOn w:val="4"/>
    <w:qFormat/>
    <w:uiPriority w:val="0"/>
    <w:pPr>
      <w:keepNext/>
      <w:keepLines/>
      <w:spacing w:after="120" w:line="240" w:lineRule="auto"/>
    </w:pPr>
    <w:rPr>
      <w:rFonts w:ascii="黑体" w:hAnsi="黑体"/>
      <w:bCs w:val="0"/>
      <w:sz w:val="30"/>
      <w:szCs w:val="44"/>
    </w:rPr>
  </w:style>
  <w:style w:type="paragraph" w:customStyle="1" w:styleId="1750">
    <w:name w:val="样式 标题 2 + 段前: 0.5 行 段后: 0.5 行1"/>
    <w:basedOn w:val="5"/>
    <w:qFormat/>
    <w:uiPriority w:val="0"/>
    <w:pPr>
      <w:keepNext/>
      <w:keepLines/>
      <w:tabs>
        <w:tab w:val="left" w:pos="567"/>
      </w:tabs>
      <w:spacing w:before="0" w:beforeLines="50" w:after="0" w:afterLines="600" w:line="440" w:lineRule="exact"/>
      <w:ind w:left="567" w:hanging="567"/>
    </w:pPr>
    <w:rPr>
      <w:rFonts w:ascii="Times New Roman" w:hAnsi="Times New Roman" w:eastAsia="华文中宋"/>
      <w:b/>
      <w:sz w:val="30"/>
      <w:szCs w:val="30"/>
    </w:rPr>
  </w:style>
  <w:style w:type="paragraph" w:customStyle="1" w:styleId="1751">
    <w:name w:val="样式 样式 样式 样式 首行缩进:  2 字符 + 首行缩进:  2 字符 + (符号) 华文中宋 黑色 首行缩进:  2 字符...1"/>
    <w:basedOn w:val="1"/>
    <w:qFormat/>
    <w:uiPriority w:val="0"/>
    <w:pPr>
      <w:spacing w:line="240" w:lineRule="auto"/>
      <w:ind w:firstLine="489"/>
    </w:pPr>
    <w:rPr>
      <w:rFonts w:ascii="Times New Roman" w:eastAsia="华文中宋"/>
      <w:sz w:val="24"/>
      <w:szCs w:val="20"/>
    </w:rPr>
  </w:style>
  <w:style w:type="paragraph" w:customStyle="1" w:styleId="1752">
    <w:name w:val="font17"/>
    <w:basedOn w:val="1"/>
    <w:qFormat/>
    <w:uiPriority w:val="0"/>
    <w:pPr>
      <w:widowControl/>
      <w:spacing w:before="100" w:beforeAutospacing="1" w:after="100" w:afterAutospacing="1" w:line="240" w:lineRule="auto"/>
      <w:ind w:firstLine="0" w:firstLineChars="0"/>
      <w:jc w:val="left"/>
    </w:pPr>
    <w:rPr>
      <w:rFonts w:ascii="Times New Roman" w:eastAsia="宋体"/>
      <w:kern w:val="0"/>
      <w:sz w:val="24"/>
      <w:szCs w:val="24"/>
    </w:rPr>
  </w:style>
  <w:style w:type="paragraph" w:customStyle="1" w:styleId="1753">
    <w:name w:val="样式 标题 4白鹤滩标题 4第三层条标题 4 Char + (中文) 仿宋_GB2312 行距: 单倍行距"/>
    <w:basedOn w:val="8"/>
    <w:semiHidden/>
    <w:qFormat/>
    <w:uiPriority w:val="0"/>
    <w:pPr>
      <w:numPr>
        <w:ilvl w:val="3"/>
        <w:numId w:val="0"/>
      </w:numPr>
      <w:tabs>
        <w:tab w:val="left" w:pos="0"/>
      </w:tabs>
      <w:snapToGrid w:val="0"/>
      <w:spacing w:before="0" w:after="0" w:line="360" w:lineRule="auto"/>
      <w:ind w:right="280" w:rightChars="100" w:firstLine="524" w:firstLineChars="187"/>
      <w:jc w:val="left"/>
      <w:outlineLvl w:val="9"/>
    </w:pPr>
    <w:rPr>
      <w:rFonts w:ascii="仿宋_GB2312" w:hAnsi="Times New Roman" w:eastAsia="仿宋_GB2312" w:cs="宋体"/>
      <w:b w:val="0"/>
      <w:color w:val="000000"/>
      <w:kern w:val="0"/>
      <w:szCs w:val="20"/>
      <w:lang w:val="zh-CN"/>
    </w:rPr>
  </w:style>
  <w:style w:type="paragraph" w:customStyle="1" w:styleId="1754">
    <w:name w:val="正文+ 首行缩进:  2 字符 段后: 0.5 行"/>
    <w:basedOn w:val="1"/>
    <w:qFormat/>
    <w:uiPriority w:val="0"/>
    <w:pPr>
      <w:textAlignment w:val="baseline"/>
    </w:pPr>
    <w:rPr>
      <w:rFonts w:cs="宋体"/>
      <w:szCs w:val="20"/>
      <w:u w:val="none" w:color="000000"/>
    </w:rPr>
  </w:style>
  <w:style w:type="paragraph" w:customStyle="1" w:styleId="1755">
    <w:name w:val="xl182"/>
    <w:basedOn w:val="1"/>
    <w:qFormat/>
    <w:uiPriority w:val="0"/>
    <w:pPr>
      <w:widowControl/>
      <w:pBdr>
        <w:top w:val="single" w:color="auto" w:sz="4" w:space="0"/>
        <w:left w:val="single" w:color="auto" w:sz="8"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 w:val="20"/>
      <w:szCs w:val="20"/>
    </w:rPr>
  </w:style>
  <w:style w:type="paragraph" w:customStyle="1" w:styleId="1756">
    <w:name w:val="正文0"/>
    <w:basedOn w:val="1"/>
    <w:semiHidden/>
    <w:qFormat/>
    <w:uiPriority w:val="0"/>
    <w:pPr>
      <w:adjustRightInd w:val="0"/>
      <w:spacing w:line="360" w:lineRule="auto"/>
      <w:ind w:firstLine="482" w:firstLineChars="0"/>
      <w:textAlignment w:val="baseline"/>
    </w:pPr>
    <w:rPr>
      <w:rFonts w:ascii="Times New Roman" w:eastAsia="宋体"/>
      <w:kern w:val="24"/>
      <w:sz w:val="24"/>
      <w:szCs w:val="20"/>
    </w:rPr>
  </w:style>
  <w:style w:type="paragraph" w:customStyle="1" w:styleId="1757">
    <w:name w:val="样式 标题 1 + 黑体 小三 黑色 段前: 10 磅 段后: 10 磅 行距: 固定值 20 磅"/>
    <w:basedOn w:val="4"/>
    <w:qFormat/>
    <w:uiPriority w:val="0"/>
    <w:pPr>
      <w:keepNext/>
      <w:keepLines/>
      <w:spacing w:after="120" w:line="400" w:lineRule="exact"/>
      <w:jc w:val="center"/>
    </w:pPr>
    <w:rPr>
      <w:rFonts w:ascii="黑体" w:hAnsi="黑体"/>
      <w:b/>
      <w:color w:val="000000"/>
      <w:sz w:val="30"/>
      <w:szCs w:val="20"/>
    </w:rPr>
  </w:style>
  <w:style w:type="paragraph" w:customStyle="1" w:styleId="1758">
    <w:name w:val="xl45349"/>
    <w:basedOn w:val="1"/>
    <w:qFormat/>
    <w:uiPriority w:val="0"/>
    <w:pPr>
      <w:widowControl/>
      <w:pBdr>
        <w:top w:val="single" w:color="auto" w:sz="4" w:space="0"/>
        <w:bottom w:val="single" w:color="auto" w:sz="4" w:space="0"/>
      </w:pBdr>
      <w:spacing w:before="100" w:beforeAutospacing="1" w:after="100" w:afterAutospacing="1" w:line="240" w:lineRule="auto"/>
      <w:ind w:firstLine="0" w:firstLineChars="0"/>
      <w:jc w:val="left"/>
    </w:pPr>
    <w:rPr>
      <w:rFonts w:hAnsi="宋体" w:cs="宋体"/>
      <w:kern w:val="0"/>
      <w:sz w:val="20"/>
      <w:szCs w:val="20"/>
    </w:rPr>
  </w:style>
  <w:style w:type="paragraph" w:customStyle="1" w:styleId="1759">
    <w:name w:val="文档结构图1"/>
    <w:basedOn w:val="1"/>
    <w:qFormat/>
    <w:uiPriority w:val="0"/>
    <w:pPr>
      <w:shd w:val="clear" w:color="auto" w:fill="000080"/>
      <w:adjustRightInd w:val="0"/>
      <w:spacing w:line="360" w:lineRule="auto"/>
      <w:ind w:firstLine="560"/>
      <w:textAlignment w:val="baseline"/>
    </w:pPr>
    <w:rPr>
      <w:kern w:val="0"/>
      <w:u w:val="none" w:color="000000"/>
    </w:rPr>
  </w:style>
  <w:style w:type="paragraph" w:customStyle="1" w:styleId="1760">
    <w:name w:val="样式 样式 正文（首行缩进两字）首行缩进 + 首行缩进:  2 字符 + 首行缩进:  2 字符"/>
    <w:basedOn w:val="1"/>
    <w:semiHidden/>
    <w:qFormat/>
    <w:uiPriority w:val="0"/>
    <w:pPr>
      <w:spacing w:line="240" w:lineRule="auto"/>
      <w:ind w:firstLine="546"/>
    </w:pPr>
    <w:rPr>
      <w:rFonts w:ascii="Times New Roman" w:eastAsia="宋体" w:cs="宋体"/>
      <w:sz w:val="24"/>
      <w:szCs w:val="24"/>
    </w:rPr>
  </w:style>
  <w:style w:type="paragraph" w:customStyle="1" w:styleId="1761">
    <w:name w:val="样式 正文文本缩进 + 首行缩进:  2 字符"/>
    <w:basedOn w:val="1"/>
    <w:next w:val="36"/>
    <w:qFormat/>
    <w:uiPriority w:val="0"/>
    <w:pPr>
      <w:spacing w:line="240" w:lineRule="auto"/>
      <w:ind w:firstLine="0" w:firstLineChars="0"/>
    </w:pPr>
    <w:rPr>
      <w:rFonts w:ascii="Times New Roman" w:eastAsia="宋体"/>
      <w:sz w:val="21"/>
      <w:szCs w:val="24"/>
    </w:rPr>
  </w:style>
  <w:style w:type="paragraph" w:customStyle="1" w:styleId="1762">
    <w:name w:val="33333333333333333"/>
    <w:basedOn w:val="1"/>
    <w:qFormat/>
    <w:uiPriority w:val="0"/>
    <w:pPr>
      <w:ind w:firstLine="0" w:firstLineChars="0"/>
      <w:outlineLvl w:val="2"/>
    </w:pPr>
    <w:rPr>
      <w:rFonts w:ascii="Arial" w:hAnsi="Arial" w:eastAsia="方正小标宋_GBK"/>
      <w:color w:val="000000"/>
    </w:rPr>
  </w:style>
  <w:style w:type="paragraph" w:customStyle="1" w:styleId="1763">
    <w:name w:val="xl173"/>
    <w:basedOn w:val="1"/>
    <w:qFormat/>
    <w:uiPriority w:val="0"/>
    <w:pPr>
      <w:widowControl/>
      <w:pBdr>
        <w:bottom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20"/>
      <w:szCs w:val="20"/>
    </w:rPr>
  </w:style>
  <w:style w:type="paragraph" w:customStyle="1" w:styleId="1764">
    <w:name w:val="签名2"/>
    <w:basedOn w:val="1"/>
    <w:semiHidden/>
    <w:qFormat/>
    <w:uiPriority w:val="0"/>
    <w:pPr>
      <w:spacing w:line="360" w:lineRule="auto"/>
      <w:ind w:right="260" w:rightChars="100" w:firstLine="1234" w:firstLineChars="410"/>
      <w:jc w:val="left"/>
    </w:pPr>
    <w:rPr>
      <w:rFonts w:ascii="宋体" w:hAnsi="宋体" w:eastAsia="宋体"/>
      <w:b/>
      <w:bCs/>
      <w:spacing w:val="10"/>
      <w:kern w:val="28"/>
      <w:szCs w:val="24"/>
    </w:rPr>
  </w:style>
  <w:style w:type="paragraph" w:customStyle="1" w:styleId="1765">
    <w:name w:val="表内"/>
    <w:basedOn w:val="1"/>
    <w:qFormat/>
    <w:uiPriority w:val="0"/>
    <w:pPr>
      <w:spacing w:line="360" w:lineRule="auto"/>
      <w:ind w:firstLine="0" w:firstLineChars="0"/>
      <w:jc w:val="center"/>
    </w:pPr>
    <w:rPr>
      <w:rFonts w:ascii="Times New Roman" w:eastAsia="宋体"/>
      <w:sz w:val="18"/>
      <w:szCs w:val="18"/>
    </w:rPr>
  </w:style>
  <w:style w:type="paragraph" w:customStyle="1" w:styleId="1766">
    <w:name w:val="样式47"/>
    <w:basedOn w:val="1"/>
    <w:qFormat/>
    <w:uiPriority w:val="0"/>
    <w:pPr>
      <w:spacing w:line="240" w:lineRule="auto"/>
      <w:ind w:firstLine="420"/>
    </w:pPr>
    <w:rPr>
      <w:rFonts w:ascii="Times New Roman" w:eastAsia="华文中宋"/>
      <w:color w:val="000000"/>
      <w:sz w:val="21"/>
      <w:szCs w:val="24"/>
    </w:rPr>
  </w:style>
  <w:style w:type="paragraph" w:customStyle="1" w:styleId="1767">
    <w:name w:val="gyy正文"/>
    <w:basedOn w:val="1"/>
    <w:qFormat/>
    <w:uiPriority w:val="0"/>
    <w:pPr>
      <w:spacing w:line="360" w:lineRule="auto"/>
      <w:ind w:firstLine="480"/>
    </w:pPr>
    <w:rPr>
      <w:rFonts w:ascii="Times New Roman" w:eastAsia="宋体"/>
      <w:spacing w:val="14"/>
      <w:sz w:val="24"/>
      <w:szCs w:val="24"/>
    </w:rPr>
  </w:style>
  <w:style w:type="paragraph" w:customStyle="1" w:styleId="1768">
    <w:name w:val="正文+首行缩进"/>
    <w:basedOn w:val="1"/>
    <w:semiHidden/>
    <w:qFormat/>
    <w:uiPriority w:val="0"/>
    <w:pPr>
      <w:spacing w:line="360" w:lineRule="auto"/>
      <w:ind w:firstLine="0" w:firstLineChars="0"/>
    </w:pPr>
    <w:rPr>
      <w:rFonts w:ascii="Times New Roman" w:eastAsia="宋体"/>
      <w:kern w:val="4"/>
      <w:sz w:val="24"/>
      <w:szCs w:val="20"/>
    </w:rPr>
  </w:style>
  <w:style w:type="paragraph" w:customStyle="1" w:styleId="1769">
    <w:name w:val="xl2274"/>
    <w:basedOn w:val="1"/>
    <w:qFormat/>
    <w:uiPriority w:val="0"/>
    <w:pPr>
      <w:widowControl/>
      <w:spacing w:before="100" w:beforeAutospacing="1" w:after="100" w:afterAutospacing="1" w:line="240" w:lineRule="auto"/>
      <w:ind w:firstLine="0" w:firstLineChars="0"/>
      <w:jc w:val="center"/>
    </w:pPr>
    <w:rPr>
      <w:rFonts w:ascii="楷体_GB2312" w:hAnsi="宋体" w:eastAsia="楷体_GB2312" w:cs="宋体"/>
      <w:kern w:val="0"/>
      <w:sz w:val="20"/>
      <w:szCs w:val="20"/>
    </w:rPr>
  </w:style>
  <w:style w:type="paragraph" w:customStyle="1" w:styleId="1770">
    <w:name w:val="设计说明2"/>
    <w:basedOn w:val="1"/>
    <w:qFormat/>
    <w:uiPriority w:val="0"/>
    <w:pPr>
      <w:tabs>
        <w:tab w:val="left" w:pos="630"/>
        <w:tab w:val="left" w:pos="1320"/>
      </w:tabs>
      <w:spacing w:before="120" w:after="120" w:line="400" w:lineRule="exact"/>
      <w:ind w:left="1320" w:hanging="420" w:firstLineChars="0"/>
      <w:jc w:val="left"/>
      <w:outlineLvl w:val="1"/>
    </w:pPr>
    <w:rPr>
      <w:rFonts w:ascii="新宋体" w:hAnsi="新宋体" w:eastAsia="宋体"/>
      <w:b/>
      <w:szCs w:val="20"/>
    </w:rPr>
  </w:style>
  <w:style w:type="paragraph" w:customStyle="1" w:styleId="1771">
    <w:name w:val="font14"/>
    <w:basedOn w:val="1"/>
    <w:qFormat/>
    <w:uiPriority w:val="0"/>
    <w:pPr>
      <w:widowControl/>
      <w:spacing w:before="100" w:beforeAutospacing="1" w:after="100" w:afterAutospacing="1" w:line="240" w:lineRule="auto"/>
      <w:ind w:firstLine="0" w:firstLineChars="0"/>
      <w:jc w:val="left"/>
    </w:pPr>
    <w:rPr>
      <w:rFonts w:ascii="Times New Roman" w:eastAsia="Arial Unicode MS"/>
      <w:kern w:val="0"/>
      <w:sz w:val="32"/>
      <w:szCs w:val="32"/>
    </w:rPr>
  </w:style>
  <w:style w:type="paragraph" w:customStyle="1" w:styleId="1772">
    <w:name w:val="样式6 正文"/>
    <w:qFormat/>
    <w:uiPriority w:val="0"/>
    <w:pPr>
      <w:spacing w:line="360" w:lineRule="auto"/>
      <w:ind w:firstLine="510"/>
      <w:jc w:val="both"/>
    </w:pPr>
    <w:rPr>
      <w:rFonts w:ascii="Times New Roman" w:hAnsi="Times New Roman" w:eastAsia="宋体" w:cs="Times New Roman"/>
      <w:sz w:val="24"/>
      <w:lang w:val="en-US" w:eastAsia="zh-CN" w:bidi="ar-SA"/>
    </w:rPr>
  </w:style>
  <w:style w:type="paragraph" w:customStyle="1" w:styleId="1773">
    <w:name w:val="Char Char Char Char Char Char Char Char Char Char Char Char Char"/>
    <w:basedOn w:val="1"/>
    <w:qFormat/>
    <w:uiPriority w:val="0"/>
    <w:pPr>
      <w:spacing w:line="360" w:lineRule="auto"/>
    </w:pPr>
    <w:rPr>
      <w:rFonts w:ascii="宋体" w:hAnsi="宋体" w:eastAsia="宋体"/>
      <w:sz w:val="24"/>
      <w:szCs w:val="24"/>
    </w:rPr>
  </w:style>
  <w:style w:type="paragraph" w:customStyle="1" w:styleId="1774">
    <w:name w:val="小节标题4（大英）"/>
    <w:basedOn w:val="1"/>
    <w:semiHidden/>
    <w:qFormat/>
    <w:uiPriority w:val="0"/>
    <w:pPr>
      <w:tabs>
        <w:tab w:val="left" w:pos="720"/>
      </w:tabs>
      <w:spacing w:beforeLines="50" w:afterLines="50" w:line="420" w:lineRule="auto"/>
      <w:ind w:firstLine="0" w:firstLineChars="0"/>
    </w:pPr>
    <w:rPr>
      <w:rFonts w:ascii="Times New Roman" w:eastAsia="黑体"/>
      <w:b/>
      <w:spacing w:val="14"/>
      <w:szCs w:val="20"/>
    </w:rPr>
  </w:style>
  <w:style w:type="paragraph" w:customStyle="1" w:styleId="1775">
    <w:name w:val="目次、标准名称标题"/>
    <w:basedOn w:val="1"/>
    <w:next w:val="1"/>
    <w:qFormat/>
    <w:uiPriority w:val="0"/>
    <w:pPr>
      <w:widowControl/>
      <w:shd w:val="clear" w:color="FFFFFF" w:fill="FFFFFF"/>
      <w:spacing w:before="25" w:after="25" w:line="460" w:lineRule="exact"/>
      <w:jc w:val="center"/>
      <w:outlineLvl w:val="0"/>
    </w:pPr>
    <w:rPr>
      <w:rFonts w:ascii="黑体" w:eastAsia="黑体"/>
      <w:kern w:val="0"/>
      <w:sz w:val="32"/>
      <w:szCs w:val="20"/>
      <w:u w:val="none" w:color="000000"/>
    </w:rPr>
  </w:style>
  <w:style w:type="paragraph" w:customStyle="1" w:styleId="1776">
    <w:name w:val="标 2"/>
    <w:basedOn w:val="5"/>
    <w:qFormat/>
    <w:uiPriority w:val="0"/>
    <w:pPr>
      <w:spacing w:before="0" w:after="0" w:line="480" w:lineRule="auto"/>
      <w:jc w:val="left"/>
    </w:pPr>
    <w:rPr>
      <w:rFonts w:hAnsi="Times New Roman" w:cs="宋体"/>
      <w:bCs w:val="0"/>
      <w:spacing w:val="-4"/>
      <w:kern w:val="0"/>
      <w:szCs w:val="20"/>
      <w:lang w:val="en-US" w:eastAsia="zh-CN"/>
    </w:rPr>
  </w:style>
  <w:style w:type="paragraph" w:customStyle="1" w:styleId="1777">
    <w:name w:val="表格内容字"/>
    <w:basedOn w:val="1"/>
    <w:semiHidden/>
    <w:qFormat/>
    <w:uiPriority w:val="0"/>
    <w:pPr>
      <w:spacing w:line="400" w:lineRule="exact"/>
      <w:ind w:firstLine="0" w:firstLineChars="0"/>
      <w:jc w:val="center"/>
    </w:pPr>
    <w:rPr>
      <w:rFonts w:ascii="Times New Roman" w:eastAsia="宋体"/>
      <w:sz w:val="21"/>
      <w:szCs w:val="20"/>
    </w:rPr>
  </w:style>
  <w:style w:type="paragraph" w:customStyle="1" w:styleId="1778">
    <w:name w:val="样式16"/>
    <w:basedOn w:val="989"/>
    <w:qFormat/>
    <w:uiPriority w:val="0"/>
    <w:rPr>
      <w:rFonts w:eastAsia="华文中宋"/>
      <w:snapToGrid/>
      <w:kern w:val="2"/>
    </w:rPr>
  </w:style>
  <w:style w:type="paragraph" w:customStyle="1" w:styleId="1779">
    <w:name w:val="样式 标题4 + 段前: 0.5 行"/>
    <w:basedOn w:val="1780"/>
    <w:qFormat/>
    <w:uiPriority w:val="0"/>
    <w:rPr>
      <w:szCs w:val="20"/>
    </w:rPr>
  </w:style>
  <w:style w:type="paragraph" w:customStyle="1" w:styleId="1780">
    <w:name w:val="标题4 Char Char"/>
    <w:basedOn w:val="1"/>
    <w:qFormat/>
    <w:uiPriority w:val="0"/>
    <w:pPr>
      <w:spacing w:before="100" w:beforeAutospacing="1" w:line="360" w:lineRule="auto"/>
      <w:ind w:firstLine="0" w:firstLineChars="0"/>
      <w:outlineLvl w:val="3"/>
    </w:pPr>
    <w:rPr>
      <w:rFonts w:ascii="Times New Roman" w:eastAsia="黑体"/>
      <w:bCs/>
      <w:sz w:val="24"/>
      <w:szCs w:val="24"/>
    </w:rPr>
  </w:style>
  <w:style w:type="paragraph" w:customStyle="1" w:styleId="1781">
    <w:name w:val="正文 + 首行缩进:  2 字符"/>
    <w:basedOn w:val="1"/>
    <w:qFormat/>
    <w:uiPriority w:val="0"/>
    <w:pPr>
      <w:adjustRightInd w:val="0"/>
      <w:snapToGrid w:val="0"/>
      <w:spacing w:beforeLines="25" w:line="264" w:lineRule="auto"/>
      <w:ind w:firstLine="530"/>
    </w:pPr>
    <w:rPr>
      <w:rFonts w:eastAsia="华文中宋"/>
      <w:sz w:val="24"/>
      <w:szCs w:val="24"/>
    </w:rPr>
  </w:style>
  <w:style w:type="paragraph" w:customStyle="1" w:styleId="1782">
    <w:name w:val="图hy"/>
    <w:basedOn w:val="1"/>
    <w:qFormat/>
    <w:uiPriority w:val="0"/>
    <w:pPr>
      <w:adjustRightInd w:val="0"/>
      <w:spacing w:line="240" w:lineRule="auto"/>
      <w:ind w:firstLine="0" w:firstLineChars="0"/>
      <w:jc w:val="center"/>
      <w:textAlignment w:val="baseline"/>
    </w:pPr>
    <w:rPr>
      <w:rFonts w:ascii="黑体" w:eastAsia="黑体"/>
      <w:kern w:val="0"/>
      <w:sz w:val="24"/>
      <w:szCs w:val="24"/>
    </w:rPr>
  </w:style>
  <w:style w:type="paragraph" w:customStyle="1" w:styleId="1783">
    <w:name w:val="正文内标题一"/>
    <w:semiHidden/>
    <w:qFormat/>
    <w:uiPriority w:val="0"/>
    <w:rPr>
      <w:rFonts w:ascii="Calibri" w:hAnsi="Calibri" w:eastAsia="宋体" w:cs="Times New Roman"/>
      <w:spacing w:val="14"/>
      <w:kern w:val="2"/>
      <w:sz w:val="21"/>
      <w:lang w:val="en-US" w:eastAsia="zh-CN" w:bidi="ar-SA"/>
    </w:rPr>
  </w:style>
  <w:style w:type="paragraph" w:customStyle="1" w:styleId="1784">
    <w:name w:val="xl511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Times New Roman" w:eastAsia="宋体"/>
      <w:kern w:val="0"/>
      <w:sz w:val="18"/>
      <w:szCs w:val="18"/>
    </w:rPr>
  </w:style>
  <w:style w:type="paragraph" w:customStyle="1" w:styleId="1785">
    <w:name w:val="xl222"/>
    <w:basedOn w:val="1"/>
    <w:qFormat/>
    <w:uiPriority w:val="0"/>
    <w:pPr>
      <w:widowControl/>
      <w:pBdr>
        <w:top w:val="single" w:color="auto" w:sz="4" w:space="0"/>
        <w:left w:val="single" w:color="auto" w:sz="4" w:space="0"/>
        <w:bottom w:val="single" w:color="auto" w:sz="4" w:space="0"/>
        <w:right w:val="single" w:color="auto" w:sz="4" w:space="0"/>
      </w:pBdr>
      <w:adjustRightInd w:val="0"/>
      <w:snapToGrid w:val="0"/>
      <w:spacing w:before="100" w:beforeAutospacing="1" w:after="100" w:afterAutospacing="1" w:line="360" w:lineRule="auto"/>
      <w:ind w:firstLine="0" w:firstLineChars="0"/>
      <w:jc w:val="center"/>
    </w:pPr>
    <w:rPr>
      <w:rFonts w:ascii="Times New Roman" w:eastAsia="宋体"/>
      <w:kern w:val="0"/>
      <w:sz w:val="24"/>
      <w:szCs w:val="24"/>
    </w:rPr>
  </w:style>
  <w:style w:type="paragraph" w:customStyle="1" w:styleId="1786">
    <w:name w:val="xl50"/>
    <w:basedOn w:val="1"/>
    <w:qFormat/>
    <w:uiPriority w:val="0"/>
    <w:pPr>
      <w:widowControl/>
      <w:numPr>
        <w:ilvl w:val="0"/>
        <w:numId w:val="11"/>
      </w:numPr>
      <w:pBdr>
        <w:top w:val="single" w:color="auto" w:sz="4" w:space="0"/>
        <w:left w:val="single" w:color="auto" w:sz="4" w:space="0"/>
        <w:bottom w:val="single" w:color="auto" w:sz="4" w:space="0"/>
        <w:right w:val="single" w:color="auto" w:sz="4" w:space="0"/>
      </w:pBdr>
      <w:tabs>
        <w:tab w:val="clear" w:pos="780"/>
      </w:tabs>
      <w:spacing w:before="100" w:beforeAutospacing="1" w:after="100" w:afterAutospacing="1" w:line="240" w:lineRule="auto"/>
      <w:ind w:left="0" w:leftChars="0" w:firstLine="0" w:firstLineChars="0"/>
      <w:jc w:val="center"/>
      <w:textAlignment w:val="center"/>
    </w:pPr>
    <w:rPr>
      <w:rFonts w:ascii="宋体" w:hAnsi="宋体" w:eastAsia="宋体" w:cs="宋体"/>
      <w:kern w:val="0"/>
      <w:sz w:val="16"/>
      <w:szCs w:val="16"/>
    </w:rPr>
  </w:style>
  <w:style w:type="paragraph" w:customStyle="1" w:styleId="1787">
    <w:name w:val="表中文字（石）"/>
    <w:next w:val="1"/>
    <w:qFormat/>
    <w:uiPriority w:val="0"/>
    <w:pPr>
      <w:widowControl w:val="0"/>
      <w:spacing w:before="40" w:after="40"/>
      <w:jc w:val="center"/>
    </w:pPr>
    <w:rPr>
      <w:rFonts w:ascii="Times New Roman" w:hAnsi="Times New Roman" w:eastAsia="宋体" w:cs="Arial"/>
      <w:kern w:val="2"/>
      <w:sz w:val="21"/>
      <w:szCs w:val="24"/>
      <w:lang w:val="en-US" w:eastAsia="zh-CN" w:bidi="ar-SA"/>
    </w:rPr>
  </w:style>
  <w:style w:type="paragraph" w:customStyle="1" w:styleId="1788">
    <w:name w:val="Char Char Char1 Char2"/>
    <w:basedOn w:val="1"/>
    <w:qFormat/>
    <w:uiPriority w:val="0"/>
    <w:pPr>
      <w:widowControl/>
      <w:spacing w:after="160" w:line="240" w:lineRule="exact"/>
      <w:jc w:val="left"/>
    </w:pPr>
    <w:rPr>
      <w:rFonts w:ascii="宋体" w:hAnsi="宋体"/>
      <w:spacing w:val="14"/>
      <w:kern w:val="0"/>
      <w:sz w:val="24"/>
      <w:u w:val="none" w:color="000000"/>
    </w:rPr>
  </w:style>
  <w:style w:type="paragraph" w:customStyle="1" w:styleId="1789">
    <w:name w:val="无段前正文"/>
    <w:basedOn w:val="36"/>
    <w:qFormat/>
    <w:uiPriority w:val="0"/>
    <w:pPr>
      <w:autoSpaceDE w:val="0"/>
      <w:spacing w:line="300" w:lineRule="auto"/>
      <w:ind w:firstLine="488" w:firstLineChars="0"/>
    </w:pPr>
    <w:rPr>
      <w:rFonts w:ascii="Times New Roman" w:eastAsia="宋体"/>
      <w:kern w:val="0"/>
      <w:sz w:val="24"/>
    </w:rPr>
  </w:style>
  <w:style w:type="paragraph" w:customStyle="1" w:styleId="1790">
    <w:name w:val="样式 正文1 + 首行缩进:  2 字符3"/>
    <w:basedOn w:val="649"/>
    <w:qFormat/>
    <w:uiPriority w:val="0"/>
    <w:pPr>
      <w:widowControl w:val="0"/>
      <w:spacing w:line="560" w:lineRule="exact"/>
      <w:ind w:firstLine="200" w:firstLineChars="200"/>
    </w:pPr>
    <w:rPr>
      <w:rFonts w:ascii="楷体_GB2312" w:hAnsi="Times New Roman" w:eastAsia="楷体_GB2312"/>
      <w:sz w:val="28"/>
      <w:szCs w:val="20"/>
    </w:rPr>
  </w:style>
  <w:style w:type="paragraph" w:customStyle="1" w:styleId="1791">
    <w:name w:val="小节标题2（大罗马）"/>
    <w:basedOn w:val="1"/>
    <w:semiHidden/>
    <w:qFormat/>
    <w:uiPriority w:val="0"/>
    <w:pPr>
      <w:tabs>
        <w:tab w:val="left" w:pos="720"/>
      </w:tabs>
      <w:spacing w:beforeLines="50" w:afterLines="50" w:line="420" w:lineRule="auto"/>
      <w:ind w:firstLine="0" w:firstLineChars="0"/>
    </w:pPr>
    <w:rPr>
      <w:rFonts w:ascii="Times New Roman" w:eastAsia="黑体"/>
      <w:b/>
      <w:spacing w:val="14"/>
      <w:szCs w:val="20"/>
    </w:rPr>
  </w:style>
  <w:style w:type="paragraph" w:customStyle="1" w:styleId="1792">
    <w:name w:val="xl2760"/>
    <w:basedOn w:val="1"/>
    <w:qFormat/>
    <w:uiPriority w:val="0"/>
    <w:pPr>
      <w:widowControl/>
      <w:shd w:val="clear" w:color="000000" w:fill="FFFFFF"/>
      <w:spacing w:before="100" w:beforeAutospacing="1" w:after="100" w:afterAutospacing="1" w:line="240" w:lineRule="auto"/>
      <w:ind w:firstLine="0" w:firstLineChars="0"/>
      <w:jc w:val="center"/>
    </w:pPr>
    <w:rPr>
      <w:rFonts w:ascii="宋体" w:hAnsi="宋体" w:eastAsia="宋体" w:cs="宋体"/>
      <w:kern w:val="0"/>
      <w:sz w:val="20"/>
      <w:szCs w:val="20"/>
    </w:rPr>
  </w:style>
  <w:style w:type="paragraph" w:customStyle="1" w:styleId="1793">
    <w:name w:val="样式 标题 2 + 段前: 0.5 行 段后: 0.5 行"/>
    <w:basedOn w:val="5"/>
    <w:qFormat/>
    <w:uiPriority w:val="0"/>
    <w:pPr>
      <w:keepNext/>
      <w:keepLines/>
      <w:tabs>
        <w:tab w:val="left" w:pos="567"/>
      </w:tabs>
      <w:spacing w:before="0" w:beforeLines="50" w:after="0" w:afterLines="50" w:line="440" w:lineRule="exact"/>
      <w:ind w:left="567" w:hanging="567"/>
    </w:pPr>
    <w:rPr>
      <w:rFonts w:ascii="Times New Roman" w:hAnsi="Times New Roman"/>
      <w:b/>
      <w:sz w:val="30"/>
      <w:szCs w:val="30"/>
    </w:rPr>
  </w:style>
  <w:style w:type="paragraph" w:customStyle="1" w:styleId="1794">
    <w:name w:val=":)"/>
    <w:semiHidden/>
    <w:qFormat/>
    <w:uiPriority w:val="0"/>
    <w:pPr>
      <w:overflowPunct w:val="0"/>
      <w:autoSpaceDE w:val="0"/>
      <w:autoSpaceDN w:val="0"/>
      <w:adjustRightInd w:val="0"/>
      <w:textAlignment w:val="baseline"/>
    </w:pPr>
    <w:rPr>
      <w:rFonts w:ascii="Times New Roman" w:hAnsi="Times New Roman" w:eastAsia="宋体" w:cs="Times New Roman"/>
      <w:lang w:val="en-US" w:eastAsia="zh-CN" w:bidi="ar-SA"/>
    </w:rPr>
  </w:style>
  <w:style w:type="paragraph" w:customStyle="1" w:styleId="1795">
    <w:name w:val="样式43"/>
    <w:basedOn w:val="5"/>
    <w:qFormat/>
    <w:uiPriority w:val="0"/>
    <w:rPr>
      <w:rFonts w:ascii="Arial" w:hAnsi="Arial"/>
    </w:rPr>
  </w:style>
  <w:style w:type="paragraph" w:customStyle="1" w:styleId="1796">
    <w:name w:val="xl2587"/>
    <w:basedOn w:val="1"/>
    <w:qFormat/>
    <w:uiPriority w:val="0"/>
    <w:pPr>
      <w:widowControl/>
      <w:pBdr>
        <w:left w:val="single" w:color="auto" w:sz="4" w:space="0"/>
        <w:bottom w:val="single" w:color="auto" w:sz="4" w:space="0"/>
      </w:pBdr>
      <w:spacing w:before="100" w:beforeAutospacing="1" w:after="100" w:afterAutospacing="1" w:line="240" w:lineRule="auto"/>
      <w:ind w:firstLine="0" w:firstLineChars="0"/>
      <w:jc w:val="center"/>
    </w:pPr>
    <w:rPr>
      <w:rFonts w:ascii="楷体_GB2312" w:hAnsi="宋体" w:eastAsia="楷体_GB2312" w:cs="宋体"/>
      <w:kern w:val="0"/>
      <w:sz w:val="20"/>
      <w:szCs w:val="20"/>
    </w:rPr>
  </w:style>
  <w:style w:type="paragraph" w:customStyle="1" w:styleId="1797">
    <w:name w:val="正文页脚"/>
    <w:basedOn w:val="1"/>
    <w:qFormat/>
    <w:uiPriority w:val="0"/>
    <w:pPr>
      <w:tabs>
        <w:tab w:val="center" w:pos="4153"/>
        <w:tab w:val="right" w:pos="8306"/>
      </w:tabs>
      <w:snapToGrid w:val="0"/>
      <w:spacing w:line="240" w:lineRule="atLeast"/>
      <w:ind w:firstLine="0" w:firstLineChars="0"/>
      <w:jc w:val="center"/>
    </w:pPr>
    <w:rPr>
      <w:rFonts w:ascii="Arial" w:hAnsi="Arial" w:eastAsia="Arial"/>
      <w:sz w:val="15"/>
      <w:szCs w:val="18"/>
    </w:rPr>
  </w:style>
  <w:style w:type="paragraph" w:customStyle="1" w:styleId="1798">
    <w:name w:val="样式 样式6 + (中文) 华文中宋 五号 行距: 固定值 15 磅"/>
    <w:basedOn w:val="1602"/>
    <w:qFormat/>
    <w:uiPriority w:val="0"/>
    <w:pPr>
      <w:adjustRightInd/>
      <w:snapToGrid/>
      <w:spacing w:beforeLines="0" w:afterLines="0" w:line="300" w:lineRule="exact"/>
      <w:ind w:left="-120" w:leftChars="-50" w:right="-120" w:rightChars="-50" w:firstLine="0" w:firstLineChars="0"/>
    </w:pPr>
    <w:rPr>
      <w:rFonts w:ascii="Times New Roman" w:hAnsi="Times New Roman" w:eastAsia="华文中宋"/>
      <w:bCs w:val="0"/>
      <w:snapToGrid/>
      <w:color w:val="auto"/>
      <w:kern w:val="2"/>
      <w:sz w:val="21"/>
    </w:rPr>
  </w:style>
  <w:style w:type="paragraph" w:customStyle="1" w:styleId="1799">
    <w:name w:val="标题 04"/>
    <w:basedOn w:val="884"/>
    <w:qFormat/>
    <w:uiPriority w:val="0"/>
  </w:style>
  <w:style w:type="paragraph" w:customStyle="1" w:styleId="1800">
    <w:name w:val="bbbb"/>
    <w:basedOn w:val="1"/>
    <w:qFormat/>
    <w:uiPriority w:val="0"/>
    <w:pPr>
      <w:widowControl/>
      <w:spacing w:line="0" w:lineRule="atLeast"/>
      <w:jc w:val="center"/>
    </w:pPr>
    <w:rPr>
      <w:rFonts w:ascii="楷体_GB2312" w:hAnsi="宋体" w:eastAsia="楷体_GB2312" w:cs="宋体"/>
      <w:kern w:val="0"/>
      <w:sz w:val="24"/>
      <w:szCs w:val="21"/>
      <w:u w:val="none" w:color="000000"/>
    </w:rPr>
  </w:style>
  <w:style w:type="paragraph" w:customStyle="1" w:styleId="1801">
    <w:name w:val="大君四级"/>
    <w:basedOn w:val="8"/>
    <w:qFormat/>
    <w:uiPriority w:val="0"/>
    <w:pPr>
      <w:keepNext w:val="0"/>
      <w:keepLines w:val="0"/>
      <w:numPr>
        <w:ilvl w:val="0"/>
        <w:numId w:val="0"/>
      </w:numPr>
    </w:pPr>
    <w:rPr>
      <w:rFonts w:ascii="Arial" w:hAnsi="Arial" w:eastAsia="宋体"/>
      <w:b w:val="0"/>
      <w:color w:val="000000"/>
      <w:kern w:val="2"/>
    </w:rPr>
  </w:style>
  <w:style w:type="paragraph" w:customStyle="1" w:styleId="1802">
    <w:name w:val="xl2251"/>
    <w:basedOn w:val="1"/>
    <w:qFormat/>
    <w:uiPriority w:val="0"/>
    <w:pPr>
      <w:widowControl/>
      <w:pBdr>
        <w:top w:val="single" w:color="auto" w:sz="4" w:space="0"/>
        <w:bottom w:val="single" w:color="auto" w:sz="4" w:space="0"/>
      </w:pBdr>
      <w:spacing w:before="100" w:beforeAutospacing="1" w:after="100" w:afterAutospacing="1" w:line="240" w:lineRule="auto"/>
      <w:ind w:firstLine="0" w:firstLineChars="0"/>
      <w:jc w:val="center"/>
    </w:pPr>
    <w:rPr>
      <w:rFonts w:ascii="楷体_GB2312" w:hAnsi="宋体" w:eastAsia="楷体_GB2312" w:cs="宋体"/>
      <w:kern w:val="0"/>
      <w:sz w:val="20"/>
      <w:szCs w:val="20"/>
    </w:rPr>
  </w:style>
  <w:style w:type="paragraph" w:customStyle="1" w:styleId="1803">
    <w:name w:val="font7"/>
    <w:basedOn w:val="1"/>
    <w:qFormat/>
    <w:uiPriority w:val="0"/>
    <w:pPr>
      <w:widowControl/>
      <w:spacing w:before="100" w:beforeAutospacing="1" w:after="100" w:afterAutospacing="1" w:line="240" w:lineRule="auto"/>
      <w:jc w:val="left"/>
    </w:pPr>
    <w:rPr>
      <w:rFonts w:hint="eastAsia" w:ascii="黑体" w:hAnsi="Arial Unicode MS" w:eastAsia="黑体" w:cs="Arial Unicode MS"/>
      <w:kern w:val="0"/>
    </w:rPr>
  </w:style>
  <w:style w:type="paragraph" w:customStyle="1" w:styleId="1804">
    <w:name w:val="正文荣"/>
    <w:basedOn w:val="1"/>
    <w:qFormat/>
    <w:uiPriority w:val="0"/>
    <w:rPr>
      <w:rFonts w:cs="宋体"/>
      <w:szCs w:val="24"/>
    </w:rPr>
  </w:style>
  <w:style w:type="paragraph" w:customStyle="1" w:styleId="1805">
    <w:name w:val="样式33"/>
    <w:basedOn w:val="1276"/>
    <w:qFormat/>
    <w:uiPriority w:val="0"/>
    <w:pPr>
      <w:spacing w:before="240" w:after="120" w:line="240" w:lineRule="auto"/>
      <w:ind w:firstLine="480" w:firstLineChars="200"/>
      <w:outlineLvl w:val="9"/>
    </w:pPr>
    <w:rPr>
      <w:rFonts w:ascii="Times New Roman" w:hAnsi="Times New Roman" w:eastAsia="华文中宋"/>
      <w:sz w:val="24"/>
      <w:szCs w:val="20"/>
    </w:rPr>
  </w:style>
  <w:style w:type="paragraph" w:customStyle="1" w:styleId="1806">
    <w:name w:val="Char Char Char Char Char Char1 Char1 Char Char Char Char Char Char1"/>
    <w:basedOn w:val="1"/>
    <w:qFormat/>
    <w:uiPriority w:val="0"/>
    <w:pPr>
      <w:spacing w:line="240" w:lineRule="auto"/>
      <w:ind w:left="510" w:firstLine="0" w:firstLineChars="0"/>
    </w:pPr>
    <w:rPr>
      <w:rFonts w:ascii="Times New Roman" w:eastAsia="宋体"/>
      <w:sz w:val="21"/>
      <w:szCs w:val="21"/>
    </w:rPr>
  </w:style>
  <w:style w:type="paragraph" w:customStyle="1" w:styleId="1807">
    <w:name w:val="-标题 3"/>
    <w:basedOn w:val="1"/>
    <w:next w:val="1"/>
    <w:qFormat/>
    <w:uiPriority w:val="0"/>
    <w:pPr>
      <w:widowControl/>
      <w:ind w:firstLine="0" w:firstLineChars="0"/>
      <w:jc w:val="left"/>
      <w:outlineLvl w:val="2"/>
    </w:pPr>
    <w:rPr>
      <w:rFonts w:ascii="Arial" w:hAnsi="Arial" w:eastAsia="方正小标宋_GBK"/>
      <w:lang w:val="zh-CN"/>
    </w:rPr>
  </w:style>
  <w:style w:type="paragraph" w:customStyle="1" w:styleId="1808">
    <w:name w:val="我的章"/>
    <w:basedOn w:val="1"/>
    <w:qFormat/>
    <w:uiPriority w:val="0"/>
    <w:pPr>
      <w:pageBreakBefore/>
      <w:tabs>
        <w:tab w:val="left" w:pos="720"/>
      </w:tabs>
      <w:ind w:left="720" w:hanging="720"/>
      <w:jc w:val="left"/>
      <w:outlineLvl w:val="0"/>
    </w:pPr>
    <w:rPr>
      <w:rFonts w:eastAsia="黑体"/>
      <w:kern w:val="32"/>
      <w:sz w:val="32"/>
      <w:u w:val="none" w:color="000000"/>
    </w:rPr>
  </w:style>
  <w:style w:type="paragraph" w:customStyle="1" w:styleId="1809">
    <w:name w:val="首行缩进1"/>
    <w:basedOn w:val="1"/>
    <w:qFormat/>
    <w:uiPriority w:val="0"/>
    <w:pPr>
      <w:adjustRightInd w:val="0"/>
      <w:snapToGrid w:val="0"/>
      <w:spacing w:line="460" w:lineRule="exact"/>
      <w:ind w:firstLine="160" w:firstLineChars="160"/>
    </w:pPr>
    <w:rPr>
      <w:rFonts w:ascii="宋体" w:hAnsi="宋体"/>
      <w:color w:val="000000"/>
      <w:kern w:val="0"/>
      <w:sz w:val="24"/>
      <w:u w:val="none" w:color="000000"/>
    </w:rPr>
  </w:style>
  <w:style w:type="paragraph" w:customStyle="1" w:styleId="1810">
    <w:name w:val="表标题"/>
    <w:basedOn w:val="1"/>
    <w:qFormat/>
    <w:uiPriority w:val="0"/>
    <w:pPr>
      <w:spacing w:afterLines="50" w:line="240" w:lineRule="atLeast"/>
      <w:ind w:firstLine="50" w:firstLineChars="50"/>
      <w:jc w:val="left"/>
    </w:pPr>
    <w:rPr>
      <w:rFonts w:ascii="黑体" w:hAnsi="Arial" w:eastAsia="黑体"/>
      <w:bCs/>
      <w:kern w:val="44"/>
      <w:sz w:val="24"/>
      <w:szCs w:val="44"/>
    </w:rPr>
  </w:style>
  <w:style w:type="paragraph" w:customStyle="1" w:styleId="1811">
    <w:name w:val="样式 (中文) 楷体_GB2312 居中 首行缩进:  0.85 厘米 行距: 最小值 12 磅1"/>
    <w:basedOn w:val="1"/>
    <w:qFormat/>
    <w:uiPriority w:val="0"/>
    <w:pPr>
      <w:spacing w:line="240" w:lineRule="atLeast"/>
      <w:ind w:firstLine="0" w:firstLineChars="0"/>
      <w:jc w:val="center"/>
    </w:pPr>
    <w:rPr>
      <w:rFonts w:ascii="Times New Roman" w:eastAsia="楷体_GB2312" w:cs="宋体"/>
      <w:sz w:val="21"/>
      <w:szCs w:val="20"/>
    </w:rPr>
  </w:style>
  <w:style w:type="paragraph" w:customStyle="1" w:styleId="1812">
    <w:name w:val="样式 普通文字 + 小四 左侧:  0.56 厘米"/>
    <w:basedOn w:val="46"/>
    <w:qFormat/>
    <w:uiPriority w:val="0"/>
    <w:pPr>
      <w:widowControl w:val="0"/>
      <w:spacing w:line="240" w:lineRule="auto"/>
      <w:ind w:left="315" w:firstLine="0" w:firstLineChars="0"/>
      <w:textAlignment w:val="auto"/>
    </w:pPr>
    <w:rPr>
      <w:rFonts w:hAnsi="Courier New" w:eastAsia="宋体" w:cs="宋体"/>
      <w:color w:val="auto"/>
      <w:kern w:val="2"/>
      <w:u w:val="none" w:color="auto"/>
      <w:lang w:bidi="he-IL"/>
    </w:rPr>
  </w:style>
  <w:style w:type="paragraph" w:customStyle="1" w:styleId="1813">
    <w:name w:val="样式 样式 表格 + Times New Roman 黑色 首行缩进:  0.37 厘米 行距: 固定值 16 磅 + 自动设置..."/>
    <w:basedOn w:val="1814"/>
    <w:qFormat/>
    <w:uiPriority w:val="0"/>
    <w:pPr>
      <w:adjustRightInd w:val="0"/>
      <w:snapToGrid w:val="0"/>
      <w:jc w:val="both"/>
    </w:pPr>
    <w:rPr>
      <w:color w:val="auto"/>
    </w:rPr>
  </w:style>
  <w:style w:type="paragraph" w:customStyle="1" w:styleId="1814">
    <w:name w:val="样式 表格 + Times New Roman 黑色 首行缩进:  0.37 厘米 行距: 固定值 16 磅"/>
    <w:basedOn w:val="66"/>
    <w:semiHidden/>
    <w:qFormat/>
    <w:uiPriority w:val="0"/>
    <w:pPr>
      <w:spacing w:line="320" w:lineRule="exact"/>
      <w:ind w:left="0" w:firstLine="0" w:firstLineChars="0"/>
      <w:jc w:val="center"/>
      <w:textAlignment w:val="baseline"/>
    </w:pPr>
    <w:rPr>
      <w:rFonts w:eastAsia="楷体_GB2312" w:cs="宋体"/>
      <w:color w:val="000000"/>
      <w:kern w:val="0"/>
      <w:sz w:val="21"/>
    </w:rPr>
  </w:style>
  <w:style w:type="paragraph" w:customStyle="1" w:styleId="1815">
    <w:name w:val="括 号"/>
    <w:basedOn w:val="675"/>
    <w:qFormat/>
    <w:uiPriority w:val="0"/>
    <w:rPr>
      <w:rFonts w:ascii="楷体_GB2312" w:eastAsia="楷体_GB2312"/>
    </w:rPr>
  </w:style>
  <w:style w:type="paragraph" w:customStyle="1" w:styleId="1816">
    <w:name w:val="WPS Plain"/>
    <w:qFormat/>
    <w:uiPriority w:val="0"/>
    <w:rPr>
      <w:rFonts w:ascii="Times New Roman" w:hAnsi="Times New Roman" w:eastAsia="宋体" w:cs="Times New Roman"/>
      <w:lang w:val="en-US" w:eastAsia="zh-CN" w:bidi="ar-SA"/>
    </w:rPr>
  </w:style>
  <w:style w:type="paragraph" w:customStyle="1" w:styleId="1817">
    <w:name w:val="样式 目录 1 + 行距: 固定值 22 磅2"/>
    <w:basedOn w:val="59"/>
    <w:qFormat/>
    <w:uiPriority w:val="0"/>
    <w:pPr>
      <w:tabs>
        <w:tab w:val="right" w:leader="dot" w:pos="8302"/>
      </w:tabs>
      <w:spacing w:line="440" w:lineRule="exact"/>
      <w:jc w:val="center"/>
    </w:pPr>
    <w:rPr>
      <w:rFonts w:ascii="黑体" w:hAnsi="宋体"/>
      <w:sz w:val="32"/>
      <w:szCs w:val="20"/>
    </w:rPr>
  </w:style>
  <w:style w:type="paragraph" w:customStyle="1" w:styleId="1818">
    <w:name w:val="样式 正 文 1 + 首行缩进:  2 字符"/>
    <w:basedOn w:val="1"/>
    <w:qFormat/>
    <w:uiPriority w:val="0"/>
    <w:pPr>
      <w:ind w:firstLine="560"/>
      <w:textAlignment w:val="baseline"/>
    </w:pPr>
    <w:rPr>
      <w:rFonts w:ascii="楷体_GB2312" w:eastAsia="楷体_GB2312" w:cs="宋体"/>
      <w:color w:val="000000"/>
      <w:kern w:val="0"/>
      <w:szCs w:val="20"/>
    </w:rPr>
  </w:style>
  <w:style w:type="paragraph" w:customStyle="1" w:styleId="1819">
    <w:name w:val="表内方字"/>
    <w:basedOn w:val="1"/>
    <w:qFormat/>
    <w:uiPriority w:val="0"/>
    <w:pPr>
      <w:adjustRightInd w:val="0"/>
      <w:spacing w:line="360" w:lineRule="exact"/>
      <w:ind w:firstLine="0" w:firstLineChars="0"/>
      <w:jc w:val="center"/>
    </w:pPr>
    <w:rPr>
      <w:rFonts w:ascii="Times New Roman" w:eastAsia="宋体"/>
      <w:sz w:val="18"/>
      <w:szCs w:val="20"/>
    </w:rPr>
  </w:style>
  <w:style w:type="paragraph" w:customStyle="1" w:styleId="1820">
    <w:name w:val="样式 2 + 段后: 0.5 行"/>
    <w:basedOn w:val="1821"/>
    <w:semiHidden/>
    <w:qFormat/>
    <w:uiPriority w:val="0"/>
    <w:pPr>
      <w:tabs>
        <w:tab w:val="left" w:pos="567"/>
      </w:tabs>
      <w:spacing w:after="120"/>
    </w:pPr>
    <w:rPr>
      <w:rFonts w:cs="宋体"/>
    </w:rPr>
  </w:style>
  <w:style w:type="paragraph" w:customStyle="1" w:styleId="1821">
    <w:name w:val="MY2"/>
    <w:basedOn w:val="5"/>
    <w:semiHidden/>
    <w:qFormat/>
    <w:uiPriority w:val="0"/>
    <w:pPr>
      <w:keepNext/>
      <w:keepLines/>
      <w:numPr>
        <w:ilvl w:val="1"/>
        <w:numId w:val="0"/>
      </w:numPr>
      <w:tabs>
        <w:tab w:val="left" w:pos="567"/>
      </w:tabs>
      <w:snapToGrid w:val="0"/>
      <w:spacing w:before="0" w:beforeLines="600" w:after="0" w:afterLines="50" w:line="384" w:lineRule="auto"/>
      <w:ind w:left="567" w:hanging="567"/>
    </w:pPr>
    <w:rPr>
      <w:rFonts w:ascii="宋体" w:hAnsi="宋体" w:eastAsia="宋体"/>
      <w:sz w:val="30"/>
      <w:szCs w:val="30"/>
    </w:rPr>
  </w:style>
  <w:style w:type="paragraph" w:customStyle="1" w:styleId="1822">
    <w:name w:val="目录2"/>
    <w:basedOn w:val="1"/>
    <w:qFormat/>
    <w:uiPriority w:val="0"/>
    <w:pPr>
      <w:tabs>
        <w:tab w:val="left" w:pos="480"/>
      </w:tabs>
      <w:adjustRightInd w:val="0"/>
      <w:snapToGrid w:val="0"/>
      <w:spacing w:beforeLines="50" w:line="420" w:lineRule="auto"/>
      <w:ind w:left="680" w:hanging="680" w:firstLineChars="0"/>
    </w:pPr>
    <w:rPr>
      <w:rFonts w:ascii="宋体" w:eastAsia="宋体"/>
      <w:b/>
      <w:szCs w:val="24"/>
    </w:rPr>
  </w:style>
  <w:style w:type="paragraph" w:customStyle="1" w:styleId="1823">
    <w:name w:val="样式 样式 样式6 + (西文) Times New Roman (中文) 华文中宋 加粗 Char + 段前: 0.5 行 ..."/>
    <w:basedOn w:val="1"/>
    <w:qFormat/>
    <w:uiPriority w:val="0"/>
    <w:pPr>
      <w:spacing w:beforeLines="50" w:afterLines="50" w:line="240" w:lineRule="auto"/>
    </w:pPr>
    <w:rPr>
      <w:rFonts w:ascii="Times New Roman" w:eastAsia="华文中宋"/>
      <w:b/>
      <w:bCs/>
      <w:szCs w:val="20"/>
    </w:rPr>
  </w:style>
  <w:style w:type="paragraph" w:customStyle="1" w:styleId="1824">
    <w:name w:val="表5-1"/>
    <w:basedOn w:val="1"/>
    <w:qFormat/>
    <w:uiPriority w:val="0"/>
    <w:pPr>
      <w:spacing w:line="240" w:lineRule="auto"/>
      <w:ind w:firstLine="0" w:firstLineChars="0"/>
    </w:pPr>
    <w:rPr>
      <w:rFonts w:ascii="黑体" w:hAnsi="Courier New" w:eastAsia="黑体"/>
      <w:sz w:val="26"/>
      <w:szCs w:val="26"/>
    </w:rPr>
  </w:style>
  <w:style w:type="paragraph" w:customStyle="1" w:styleId="1825">
    <w:name w:val="设计说明1"/>
    <w:basedOn w:val="1"/>
    <w:qFormat/>
    <w:uiPriority w:val="0"/>
    <w:pPr>
      <w:tabs>
        <w:tab w:val="left" w:pos="840"/>
      </w:tabs>
      <w:spacing w:before="240" w:after="240" w:line="400" w:lineRule="exact"/>
      <w:ind w:left="840" w:hanging="360" w:firstLineChars="0"/>
      <w:jc w:val="left"/>
      <w:outlineLvl w:val="0"/>
    </w:pPr>
    <w:rPr>
      <w:rFonts w:ascii="宋体" w:hAnsi="宋体" w:eastAsia="宋体"/>
      <w:b/>
      <w:sz w:val="24"/>
      <w:szCs w:val="20"/>
    </w:rPr>
  </w:style>
  <w:style w:type="paragraph" w:customStyle="1" w:styleId="1826">
    <w:name w:val="样式 样式 标题 2 + 段前: 0.5 行 段后: 0.5 行 + 段前: 0.5 行 段后: 0.5 行"/>
    <w:basedOn w:val="1793"/>
    <w:qFormat/>
    <w:uiPriority w:val="0"/>
    <w:pPr>
      <w:spacing w:before="50" w:afterLines="0"/>
    </w:pPr>
    <w:rPr>
      <w:rFonts w:eastAsia="华文中宋"/>
    </w:rPr>
  </w:style>
  <w:style w:type="paragraph" w:customStyle="1" w:styleId="1827">
    <w:name w:val="表格WK文字"/>
    <w:basedOn w:val="1"/>
    <w:qFormat/>
    <w:uiPriority w:val="0"/>
    <w:pPr>
      <w:spacing w:line="240" w:lineRule="exact"/>
      <w:ind w:firstLine="0" w:firstLineChars="0"/>
      <w:jc w:val="left"/>
    </w:pPr>
    <w:rPr>
      <w:rFonts w:ascii="Times New Roman" w:eastAsia="宋体" w:cs="宋体"/>
      <w:bCs/>
      <w:sz w:val="21"/>
      <w:szCs w:val="21"/>
    </w:rPr>
  </w:style>
  <w:style w:type="paragraph" w:customStyle="1" w:styleId="1828">
    <w:name w:val="图片"/>
    <w:basedOn w:val="1"/>
    <w:qFormat/>
    <w:uiPriority w:val="0"/>
    <w:pPr>
      <w:adjustRightInd w:val="0"/>
      <w:snapToGrid w:val="0"/>
      <w:jc w:val="center"/>
      <w:textAlignment w:val="baseline"/>
    </w:pPr>
    <w:rPr>
      <w:color w:val="000000"/>
      <w:kern w:val="0"/>
      <w:sz w:val="24"/>
      <w:szCs w:val="20"/>
    </w:rPr>
  </w:style>
  <w:style w:type="paragraph" w:customStyle="1" w:styleId="1829">
    <w:name w:val="Char21"/>
    <w:basedOn w:val="1"/>
    <w:qFormat/>
    <w:uiPriority w:val="0"/>
    <w:rPr>
      <w:szCs w:val="24"/>
    </w:rPr>
  </w:style>
  <w:style w:type="paragraph" w:customStyle="1" w:styleId="1830">
    <w:name w:val="表字五号"/>
    <w:basedOn w:val="1"/>
    <w:qFormat/>
    <w:uiPriority w:val="0"/>
    <w:pPr>
      <w:autoSpaceDE w:val="0"/>
      <w:autoSpaceDN w:val="0"/>
      <w:adjustRightInd w:val="0"/>
      <w:snapToGrid w:val="0"/>
      <w:spacing w:beforeLines="10" w:afterLines="10"/>
      <w:jc w:val="center"/>
      <w:textAlignment w:val="bottom"/>
    </w:pPr>
    <w:rPr>
      <w:rFonts w:ascii="Times New Roman"/>
      <w:kern w:val="0"/>
      <w:szCs w:val="20"/>
      <w:u w:val="none" w:color="000000"/>
    </w:rPr>
  </w:style>
  <w:style w:type="paragraph" w:customStyle="1" w:styleId="1831">
    <w:name w:val="样式 正文首行缩进 2正文首行缩进 2-y Char正文首行缩进 2-y正文首行缩进 2石正文首行缩进 2-rebecc..."/>
    <w:basedOn w:val="87"/>
    <w:qFormat/>
    <w:uiPriority w:val="0"/>
    <w:pPr>
      <w:ind w:left="0" w:firstLine="0"/>
      <w:jc w:val="center"/>
    </w:pPr>
    <w:rPr>
      <w:rFonts w:eastAsia="楷体_GB2312" w:cs="宋体"/>
      <w:kern w:val="0"/>
    </w:rPr>
  </w:style>
  <w:style w:type="paragraph" w:customStyle="1" w:styleId="1832">
    <w:name w:val="xl45359"/>
    <w:basedOn w:val="1"/>
    <w:qFormat/>
    <w:uiPriority w:val="0"/>
    <w:pPr>
      <w:widowControl/>
      <w:spacing w:before="100" w:beforeAutospacing="1" w:after="100" w:afterAutospacing="1" w:line="240" w:lineRule="auto"/>
      <w:ind w:firstLine="0" w:firstLineChars="0"/>
      <w:jc w:val="left"/>
    </w:pPr>
    <w:rPr>
      <w:rFonts w:ascii="Times New Roman" w:eastAsia="宋体"/>
      <w:kern w:val="0"/>
      <w:sz w:val="24"/>
      <w:szCs w:val="24"/>
    </w:rPr>
  </w:style>
  <w:style w:type="paragraph" w:customStyle="1" w:styleId="1833">
    <w:name w:val="报告正文 Char1 Char Char Char1"/>
    <w:basedOn w:val="1"/>
    <w:qFormat/>
    <w:uiPriority w:val="0"/>
    <w:pPr>
      <w:topLinePunct/>
      <w:spacing w:line="360" w:lineRule="auto"/>
    </w:pPr>
    <w:rPr>
      <w:rFonts w:ascii="Times New Roman" w:eastAsia="宋体"/>
      <w:bCs/>
      <w:spacing w:val="14"/>
      <w:sz w:val="24"/>
      <w:szCs w:val="24"/>
    </w:rPr>
  </w:style>
  <w:style w:type="paragraph" w:customStyle="1" w:styleId="1834">
    <w:name w:val="样式 + 首行缩进:  2 字符"/>
    <w:basedOn w:val="1"/>
    <w:qFormat/>
    <w:uiPriority w:val="0"/>
    <w:pPr>
      <w:spacing w:line="240" w:lineRule="auto"/>
      <w:ind w:firstLine="560"/>
    </w:pPr>
    <w:rPr>
      <w:rFonts w:ascii="Times New Roman" w:eastAsia="宋体"/>
      <w:bCs/>
    </w:rPr>
  </w:style>
  <w:style w:type="paragraph" w:customStyle="1" w:styleId="1835">
    <w:name w:val="xl67"/>
    <w:basedOn w:val="1"/>
    <w:qFormat/>
    <w:uiPriority w:val="0"/>
    <w:pPr>
      <w:widowControl/>
      <w:pBdr>
        <w:top w:val="single" w:color="auto" w:sz="4" w:space="0"/>
        <w:left w:val="single" w:color="auto" w:sz="4" w:space="0"/>
        <w:right w:val="single" w:color="auto" w:sz="4" w:space="0"/>
      </w:pBdr>
      <w:spacing w:before="100" w:beforeAutospacing="1" w:after="100" w:afterAutospacing="1" w:line="240" w:lineRule="auto"/>
      <w:ind w:firstLine="0" w:firstLineChars="0"/>
      <w:jc w:val="center"/>
      <w:textAlignment w:val="center"/>
    </w:pPr>
    <w:rPr>
      <w:rFonts w:ascii="Times New Roman" w:eastAsia="宋体"/>
      <w:kern w:val="0"/>
      <w:sz w:val="18"/>
      <w:szCs w:val="18"/>
    </w:rPr>
  </w:style>
  <w:style w:type="paragraph" w:customStyle="1" w:styleId="1836">
    <w:name w:val="HTML 预先格式化"/>
    <w:basedOn w:val="1"/>
    <w:qFormat/>
    <w:uiPriority w:val="0"/>
    <w:pPr>
      <w:widowControl/>
      <w:spacing w:line="351" w:lineRule="atLeast"/>
      <w:ind w:firstLine="419"/>
      <w:jc w:val="left"/>
      <w:textAlignment w:val="baseline"/>
    </w:pPr>
    <w:rPr>
      <w:rFonts w:ascii="黑体" w:eastAsia="黑体"/>
      <w:color w:val="000000"/>
      <w:kern w:val="0"/>
      <w:sz w:val="20"/>
      <w:szCs w:val="20"/>
      <w:u w:val="none" w:color="000000"/>
    </w:rPr>
  </w:style>
  <w:style w:type="paragraph" w:customStyle="1" w:styleId="1837">
    <w:name w:val="表格"/>
    <w:basedOn w:val="36"/>
    <w:qFormat/>
    <w:uiPriority w:val="0"/>
    <w:pPr>
      <w:adjustRightInd w:val="0"/>
      <w:snapToGrid w:val="0"/>
      <w:spacing w:line="0" w:lineRule="atLeast"/>
      <w:ind w:firstLine="0" w:firstLineChars="0"/>
      <w:jc w:val="center"/>
    </w:pPr>
    <w:rPr>
      <w:rFonts w:ascii="楷体_GB2312" w:eastAsia="楷体_GB2312"/>
      <w:bCs/>
      <w:kern w:val="0"/>
      <w:sz w:val="21"/>
      <w:szCs w:val="21"/>
    </w:rPr>
  </w:style>
  <w:style w:type="paragraph" w:customStyle="1" w:styleId="1838">
    <w:name w:val="3"/>
    <w:basedOn w:val="1"/>
    <w:next w:val="36"/>
    <w:qFormat/>
    <w:uiPriority w:val="0"/>
    <w:pPr>
      <w:spacing w:line="324" w:lineRule="auto"/>
      <w:ind w:firstLine="459" w:firstLineChars="0"/>
    </w:pPr>
    <w:rPr>
      <w:rFonts w:ascii="Times New Roman" w:eastAsia="宋体"/>
      <w:spacing w:val="15"/>
      <w:kern w:val="0"/>
      <w:sz w:val="24"/>
      <w:szCs w:val="20"/>
    </w:rPr>
  </w:style>
  <w:style w:type="paragraph" w:customStyle="1" w:styleId="1839">
    <w:name w:val="小标题 Char Char"/>
    <w:basedOn w:val="87"/>
    <w:qFormat/>
    <w:uiPriority w:val="0"/>
    <w:pPr>
      <w:spacing w:after="0" w:line="360" w:lineRule="auto"/>
      <w:ind w:left="0" w:firstLine="200" w:firstLineChars="200"/>
    </w:pPr>
    <w:rPr>
      <w:b/>
      <w:spacing w:val="4"/>
      <w:sz w:val="24"/>
      <w:szCs w:val="28"/>
    </w:rPr>
  </w:style>
  <w:style w:type="paragraph" w:customStyle="1" w:styleId="1840">
    <w:name w:val="样式11"/>
    <w:basedOn w:val="1"/>
    <w:qFormat/>
    <w:uiPriority w:val="0"/>
    <w:pPr>
      <w:spacing w:line="240" w:lineRule="auto"/>
      <w:ind w:firstLine="480"/>
    </w:pPr>
    <w:rPr>
      <w:rFonts w:ascii="Times New Roman" w:eastAsia="华文中宋"/>
      <w:kern w:val="0"/>
      <w:sz w:val="24"/>
      <w:szCs w:val="24"/>
    </w:rPr>
  </w:style>
  <w:style w:type="paragraph" w:customStyle="1" w:styleId="1841">
    <w:name w:val="表格5"/>
    <w:basedOn w:val="1"/>
    <w:semiHidden/>
    <w:qFormat/>
    <w:uiPriority w:val="0"/>
    <w:pPr>
      <w:tabs>
        <w:tab w:val="left" w:pos="-89"/>
      </w:tabs>
      <w:spacing w:line="240" w:lineRule="auto"/>
      <w:ind w:firstLine="0" w:firstLineChars="0"/>
      <w:jc w:val="center"/>
    </w:pPr>
    <w:rPr>
      <w:rFonts w:ascii="Arial" w:hAnsi="Arial" w:eastAsia="宋体"/>
      <w:color w:val="000000"/>
      <w:spacing w:val="12"/>
      <w:kern w:val="0"/>
      <w:sz w:val="21"/>
      <w:szCs w:val="21"/>
    </w:rPr>
  </w:style>
  <w:style w:type="paragraph" w:customStyle="1" w:styleId="1842">
    <w:name w:val="表5号字"/>
    <w:qFormat/>
    <w:uiPriority w:val="0"/>
    <w:pPr>
      <w:keepNext/>
      <w:widowControl w:val="0"/>
      <w:adjustRightInd w:val="0"/>
      <w:spacing w:before="120" w:line="60" w:lineRule="atLeast"/>
      <w:jc w:val="center"/>
      <w:textAlignment w:val="baseline"/>
    </w:pPr>
    <w:rPr>
      <w:rFonts w:ascii="Times New Roman" w:hAnsi="Times New Roman" w:eastAsia="宋体" w:cs="Times New Roman"/>
      <w:sz w:val="21"/>
      <w:lang w:val="en-US" w:eastAsia="zh-CN" w:bidi="ar-SA"/>
    </w:rPr>
  </w:style>
  <w:style w:type="paragraph" w:customStyle="1" w:styleId="1843">
    <w:name w:val="正文文字一"/>
    <w:basedOn w:val="1"/>
    <w:qFormat/>
    <w:uiPriority w:val="0"/>
    <w:pPr>
      <w:adjustRightInd w:val="0"/>
      <w:snapToGrid w:val="0"/>
      <w:spacing w:line="520" w:lineRule="exact"/>
      <w:ind w:firstLine="567"/>
    </w:pPr>
    <w:rPr>
      <w:rFonts w:ascii="宋体" w:hAnsi="宋体"/>
      <w:kern w:val="0"/>
      <w:u w:val="none" w:color="000000"/>
    </w:rPr>
  </w:style>
  <w:style w:type="paragraph" w:customStyle="1" w:styleId="1844">
    <w:name w:val="签名页"/>
    <w:basedOn w:val="1"/>
    <w:semiHidden/>
    <w:qFormat/>
    <w:uiPriority w:val="0"/>
    <w:pPr>
      <w:spacing w:before="800" w:line="240" w:lineRule="auto"/>
      <w:ind w:firstLine="0" w:firstLineChars="0"/>
      <w:jc w:val="center"/>
    </w:pPr>
    <w:rPr>
      <w:rFonts w:ascii="Arial" w:hAnsi="Arial" w:eastAsia="黑体"/>
      <w:spacing w:val="30"/>
      <w:szCs w:val="20"/>
    </w:rPr>
  </w:style>
  <w:style w:type="paragraph" w:customStyle="1" w:styleId="1845">
    <w:name w:val="列出段落21"/>
    <w:basedOn w:val="1"/>
    <w:semiHidden/>
    <w:qFormat/>
    <w:uiPriority w:val="0"/>
    <w:pPr>
      <w:ind w:firstLine="420"/>
    </w:pPr>
    <w:rPr>
      <w:szCs w:val="24"/>
    </w:rPr>
  </w:style>
  <w:style w:type="paragraph" w:customStyle="1" w:styleId="1846">
    <w:name w:val="表格（一）"/>
    <w:basedOn w:val="1"/>
    <w:qFormat/>
    <w:uiPriority w:val="0"/>
    <w:pPr>
      <w:overflowPunct w:val="0"/>
      <w:topLinePunct/>
      <w:autoSpaceDE w:val="0"/>
      <w:adjustRightInd w:val="0"/>
      <w:snapToGrid w:val="0"/>
      <w:spacing w:line="300" w:lineRule="exact"/>
      <w:ind w:right="-55" w:rightChars="-23" w:firstLine="0" w:firstLineChars="0"/>
      <w:jc w:val="center"/>
    </w:pPr>
    <w:rPr>
      <w:rFonts w:ascii="Times New Roman" w:eastAsia="宋体"/>
      <w:bCs/>
      <w:w w:val="80"/>
      <w:kern w:val="0"/>
      <w:szCs w:val="24"/>
    </w:rPr>
  </w:style>
  <w:style w:type="paragraph" w:customStyle="1" w:styleId="1847">
    <w:name w:val="样式 样式 样式 (中文) 仿宋_GB2312 四号 黑色 行距: 1.5 倍行距 + 首行缩进:  2 字符 + 首行缩进: ..."/>
    <w:basedOn w:val="1"/>
    <w:qFormat/>
    <w:uiPriority w:val="0"/>
    <w:pPr>
      <w:ind w:firstLine="560"/>
    </w:pPr>
    <w:rPr>
      <w:rFonts w:cs="宋体"/>
      <w:color w:val="000000"/>
      <w:kern w:val="0"/>
      <w:szCs w:val="20"/>
    </w:rPr>
  </w:style>
  <w:style w:type="paragraph" w:customStyle="1" w:styleId="1848">
    <w:name w:val="xl68"/>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Times New Roman" w:eastAsia="宋体"/>
      <w:kern w:val="0"/>
      <w:sz w:val="18"/>
      <w:szCs w:val="18"/>
    </w:rPr>
  </w:style>
  <w:style w:type="paragraph" w:customStyle="1" w:styleId="1849">
    <w:name w:val="222222"/>
    <w:qFormat/>
    <w:uiPriority w:val="0"/>
    <w:pPr>
      <w:spacing w:line="560" w:lineRule="exact"/>
      <w:ind w:firstLine="640"/>
      <w:jc w:val="both"/>
    </w:pPr>
    <w:rPr>
      <w:rFonts w:ascii="宋体" w:hAnsi="宋体" w:eastAsia="宋体" w:cs="Times New Roman"/>
      <w:color w:val="FF0000"/>
      <w:kern w:val="2"/>
      <w:sz w:val="28"/>
      <w:szCs w:val="28"/>
      <w:lang w:val="en-US" w:eastAsia="zh-CN" w:bidi="ar-SA"/>
    </w:rPr>
  </w:style>
  <w:style w:type="paragraph" w:customStyle="1" w:styleId="1850">
    <w:name w:val="简单回函地址"/>
    <w:basedOn w:val="1"/>
    <w:qFormat/>
    <w:uiPriority w:val="0"/>
    <w:pPr>
      <w:spacing w:line="240" w:lineRule="auto"/>
      <w:ind w:firstLine="0" w:firstLineChars="0"/>
    </w:pPr>
    <w:rPr>
      <w:rFonts w:ascii="Times New Roman" w:eastAsia="宋体"/>
      <w:sz w:val="21"/>
      <w:szCs w:val="24"/>
    </w:rPr>
  </w:style>
  <w:style w:type="paragraph" w:customStyle="1" w:styleId="1851">
    <w:name w:val="样式 标题 2 + 加粗"/>
    <w:basedOn w:val="5"/>
    <w:semiHidden/>
    <w:qFormat/>
    <w:uiPriority w:val="0"/>
    <w:pPr>
      <w:keepNext/>
      <w:keepLines/>
      <w:numPr>
        <w:ilvl w:val="1"/>
        <w:numId w:val="0"/>
      </w:numPr>
      <w:tabs>
        <w:tab w:val="left" w:pos="360"/>
        <w:tab w:val="left" w:pos="567"/>
      </w:tabs>
      <w:spacing w:before="0" w:beforeLines="600" w:after="0" w:afterLines="600" w:line="240" w:lineRule="exact"/>
      <w:ind w:left="567" w:hanging="567"/>
    </w:pPr>
    <w:rPr>
      <w:rFonts w:ascii="Times New Roman" w:hAnsi="Times New Roman"/>
      <w:b/>
      <w:color w:val="000000"/>
      <w:spacing w:val="-2"/>
      <w:sz w:val="28"/>
      <w:szCs w:val="32"/>
    </w:rPr>
  </w:style>
  <w:style w:type="paragraph" w:customStyle="1" w:styleId="1852">
    <w:name w:val="r图名"/>
    <w:basedOn w:val="1"/>
    <w:qFormat/>
    <w:uiPriority w:val="0"/>
    <w:pPr>
      <w:adjustRightInd w:val="0"/>
      <w:snapToGrid w:val="0"/>
      <w:spacing w:line="360" w:lineRule="auto"/>
      <w:ind w:firstLine="0" w:firstLineChars="0"/>
      <w:jc w:val="center"/>
    </w:pPr>
    <w:rPr>
      <w:rFonts w:ascii="Calibri" w:hAnsi="Calibri" w:eastAsia="黑体" w:cs="Arial"/>
      <w:color w:val="000000"/>
      <w:sz w:val="21"/>
      <w:szCs w:val="24"/>
    </w:rPr>
  </w:style>
  <w:style w:type="paragraph" w:customStyle="1" w:styleId="1853">
    <w:name w:val="Char2 Char Char Char Char Char Char1 Char Char Char Char Char Char1"/>
    <w:basedOn w:val="1"/>
    <w:qFormat/>
    <w:uiPriority w:val="0"/>
    <w:pPr>
      <w:spacing w:line="360" w:lineRule="auto"/>
    </w:pPr>
    <w:rPr>
      <w:rFonts w:eastAsia="楷体_GB2312"/>
      <w:sz w:val="24"/>
      <w:szCs w:val="20"/>
    </w:rPr>
  </w:style>
  <w:style w:type="paragraph" w:customStyle="1" w:styleId="1854">
    <w:name w:val="样式 表格 + 两端对齐"/>
    <w:basedOn w:val="1837"/>
    <w:qFormat/>
    <w:uiPriority w:val="0"/>
    <w:rPr>
      <w:rFonts w:cs="宋体"/>
      <w:bCs w:val="0"/>
      <w:szCs w:val="20"/>
    </w:rPr>
  </w:style>
  <w:style w:type="paragraph" w:customStyle="1" w:styleId="1855">
    <w:name w:val="续图名"/>
    <w:basedOn w:val="795"/>
    <w:semiHidden/>
    <w:qFormat/>
    <w:uiPriority w:val="0"/>
    <w:pPr>
      <w:autoSpaceDE w:val="0"/>
      <w:autoSpaceDN w:val="0"/>
      <w:adjustRightInd w:val="0"/>
      <w:snapToGrid w:val="0"/>
      <w:spacing w:line="360" w:lineRule="auto"/>
      <w:ind w:firstLine="200" w:firstLineChars="200"/>
      <w:outlineLvl w:val="3"/>
    </w:pPr>
    <w:rPr>
      <w:rFonts w:ascii="Times New Roman"/>
      <w:b/>
      <w:bCs/>
      <w:szCs w:val="24"/>
      <w:lang w:val="en-US" w:eastAsia="zh-CN"/>
    </w:rPr>
  </w:style>
  <w:style w:type="paragraph" w:customStyle="1" w:styleId="1856">
    <w:name w:val="样式 仿宋_GB2312 四号"/>
    <w:basedOn w:val="1"/>
    <w:qFormat/>
    <w:uiPriority w:val="0"/>
    <w:rPr>
      <w:rFonts w:cs="宋体"/>
      <w:szCs w:val="20"/>
    </w:rPr>
  </w:style>
  <w:style w:type="paragraph" w:customStyle="1" w:styleId="1857">
    <w:name w:val="TOC 标题2"/>
    <w:basedOn w:val="4"/>
    <w:next w:val="1"/>
    <w:qFormat/>
    <w:uiPriority w:val="0"/>
    <w:pPr>
      <w:keepNext/>
      <w:widowControl/>
      <w:spacing w:after="60" w:line="240" w:lineRule="auto"/>
      <w:jc w:val="left"/>
      <w:outlineLvl w:val="9"/>
    </w:pPr>
    <w:rPr>
      <w:rFonts w:ascii="Cambria" w:hAnsi="Cambria" w:eastAsia="宋体"/>
      <w:kern w:val="32"/>
      <w:szCs w:val="32"/>
      <w:lang w:eastAsia="en-US"/>
    </w:rPr>
  </w:style>
  <w:style w:type="paragraph" w:customStyle="1" w:styleId="1858">
    <w:name w:val="样式 样式 样式 样式 公正文 + 黑体 小四 首行缩进:  2 字符 + 首行缩进:  1 字符 + 首行缩进:  1 字符 ..."/>
    <w:basedOn w:val="1859"/>
    <w:qFormat/>
    <w:uiPriority w:val="0"/>
    <w:pPr>
      <w:outlineLvl w:val="5"/>
    </w:pPr>
  </w:style>
  <w:style w:type="paragraph" w:customStyle="1" w:styleId="1859">
    <w:name w:val="样式 样式 样式 公正文 + 黑体 小四 首行缩进:  2 字符 + 首行缩进:  1 字符 + 首行缩进:  1 字符"/>
    <w:basedOn w:val="1860"/>
    <w:qFormat/>
    <w:uiPriority w:val="0"/>
  </w:style>
  <w:style w:type="paragraph" w:customStyle="1" w:styleId="1860">
    <w:name w:val="样式 样式 公正文 + 黑体 小四 首行缩进:  2 字符 + 首行缩进:  1 字符"/>
    <w:basedOn w:val="1577"/>
    <w:qFormat/>
    <w:uiPriority w:val="0"/>
  </w:style>
  <w:style w:type="paragraph" w:customStyle="1" w:styleId="1861">
    <w:name w:val="篇章标题"/>
    <w:basedOn w:val="59"/>
    <w:qFormat/>
    <w:uiPriority w:val="0"/>
    <w:pPr>
      <w:tabs>
        <w:tab w:val="right" w:leader="dot" w:pos="8392"/>
        <w:tab w:val="right" w:leader="dot" w:pos="9000"/>
      </w:tabs>
      <w:spacing w:before="120" w:line="324" w:lineRule="auto"/>
      <w:jc w:val="left"/>
    </w:pPr>
    <w:rPr>
      <w:rFonts w:ascii="宋体" w:eastAsia="宋体"/>
      <w:bCs/>
      <w:smallCaps/>
      <w:color w:val="000000"/>
      <w:sz w:val="52"/>
    </w:rPr>
  </w:style>
  <w:style w:type="paragraph" w:customStyle="1" w:styleId="1862">
    <w:name w:val="xl1597"/>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pPr>
    <w:rPr>
      <w:rFonts w:ascii="Times New Roman" w:eastAsia="宋体"/>
      <w:kern w:val="0"/>
      <w:sz w:val="24"/>
      <w:szCs w:val="24"/>
    </w:rPr>
  </w:style>
  <w:style w:type="paragraph" w:customStyle="1" w:styleId="1863">
    <w:name w:val="样式 样式 样式 左 首行缩进:  2 字符 + 首行缩进:  2 字符 + 首行缩进:  2 字符"/>
    <w:basedOn w:val="1"/>
    <w:qFormat/>
    <w:uiPriority w:val="0"/>
    <w:rPr>
      <w:rFonts w:ascii="Times New Roman" w:cs="宋体"/>
    </w:rPr>
  </w:style>
  <w:style w:type="paragraph" w:customStyle="1" w:styleId="1864">
    <w:name w:val="BT 2"/>
    <w:basedOn w:val="5"/>
    <w:qFormat/>
    <w:uiPriority w:val="0"/>
    <w:pPr>
      <w:spacing w:before="0" w:after="0"/>
      <w:jc w:val="left"/>
      <w:textAlignment w:val="baseline"/>
    </w:pPr>
    <w:rPr>
      <w:rFonts w:ascii="Arial" w:hAnsi="Arial"/>
      <w:snapToGrid w:val="0"/>
      <w:color w:val="000000"/>
      <w:kern w:val="32"/>
      <w:szCs w:val="32"/>
      <w:u w:val="none" w:color="000000"/>
      <w:lang w:val="en-US" w:eastAsia="zh-CN"/>
    </w:rPr>
  </w:style>
  <w:style w:type="paragraph" w:customStyle="1" w:styleId="1865">
    <w:name w:val="xl193"/>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24"/>
      <w:szCs w:val="24"/>
    </w:rPr>
  </w:style>
  <w:style w:type="paragraph" w:customStyle="1" w:styleId="1866">
    <w:name w:val="font22"/>
    <w:basedOn w:val="1"/>
    <w:qFormat/>
    <w:uiPriority w:val="0"/>
    <w:pPr>
      <w:widowControl/>
      <w:spacing w:before="100" w:beforeAutospacing="1" w:after="100" w:afterAutospacing="1" w:line="240" w:lineRule="auto"/>
      <w:ind w:firstLine="0" w:firstLineChars="0"/>
      <w:jc w:val="left"/>
    </w:pPr>
    <w:rPr>
      <w:rFonts w:ascii="Times New Roman" w:eastAsia="宋体"/>
      <w:color w:val="000000"/>
      <w:kern w:val="0"/>
      <w:sz w:val="21"/>
      <w:szCs w:val="21"/>
    </w:rPr>
  </w:style>
  <w:style w:type="paragraph" w:customStyle="1" w:styleId="1867">
    <w:name w:val="样式 标题 4 + 段前: 0.5 行 段后: 0.5 行1"/>
    <w:basedOn w:val="8"/>
    <w:qFormat/>
    <w:uiPriority w:val="0"/>
    <w:pPr>
      <w:spacing w:before="0" w:after="0" w:line="440" w:lineRule="exact"/>
      <w:ind w:firstLine="0" w:firstLineChars="0"/>
      <w:jc w:val="left"/>
    </w:pPr>
    <w:rPr>
      <w:rFonts w:ascii="Times New Roman" w:hAnsi="Times New Roman" w:eastAsia="华文中宋"/>
      <w:sz w:val="24"/>
      <w:szCs w:val="24"/>
    </w:rPr>
  </w:style>
  <w:style w:type="paragraph" w:customStyle="1" w:styleId="1868">
    <w:name w:val="图表"/>
    <w:basedOn w:val="1"/>
    <w:qFormat/>
    <w:uiPriority w:val="0"/>
    <w:pPr>
      <w:spacing w:line="240" w:lineRule="auto"/>
      <w:ind w:firstLine="0" w:firstLineChars="0"/>
      <w:jc w:val="center"/>
    </w:pPr>
    <w:rPr>
      <w:rFonts w:ascii="Times New Roman" w:eastAsia="宋体" w:cs="宋体"/>
      <w:sz w:val="24"/>
      <w:szCs w:val="20"/>
    </w:rPr>
  </w:style>
  <w:style w:type="paragraph" w:customStyle="1" w:styleId="1869">
    <w:name w:val="font24"/>
    <w:basedOn w:val="1"/>
    <w:qFormat/>
    <w:uiPriority w:val="0"/>
    <w:pPr>
      <w:widowControl/>
      <w:spacing w:before="100" w:beforeAutospacing="1" w:after="100" w:afterAutospacing="1" w:line="240" w:lineRule="auto"/>
      <w:ind w:firstLine="0" w:firstLineChars="0"/>
      <w:jc w:val="left"/>
    </w:pPr>
    <w:rPr>
      <w:rFonts w:ascii="Times New Roman" w:eastAsia="宋体"/>
      <w:color w:val="FF0000"/>
      <w:kern w:val="0"/>
      <w:sz w:val="21"/>
      <w:szCs w:val="21"/>
    </w:rPr>
  </w:style>
  <w:style w:type="paragraph" w:customStyle="1" w:styleId="1870">
    <w:name w:val="图号"/>
    <w:basedOn w:val="1"/>
    <w:qFormat/>
    <w:uiPriority w:val="0"/>
    <w:pPr>
      <w:adjustRightInd w:val="0"/>
      <w:jc w:val="center"/>
      <w:textAlignment w:val="baseline"/>
    </w:pPr>
    <w:rPr>
      <w:rFonts w:eastAsia="黑体"/>
      <w:bCs/>
      <w:color w:val="000000"/>
      <w:kern w:val="0"/>
      <w:sz w:val="24"/>
      <w:szCs w:val="20"/>
    </w:rPr>
  </w:style>
  <w:style w:type="paragraph" w:customStyle="1" w:styleId="1871">
    <w:name w:val="插图表"/>
    <w:basedOn w:val="46"/>
    <w:qFormat/>
    <w:uiPriority w:val="0"/>
    <w:pPr>
      <w:pageBreakBefore/>
      <w:widowControl w:val="0"/>
      <w:spacing w:afterLines="5000" w:line="480" w:lineRule="auto"/>
      <w:ind w:firstLine="0" w:firstLineChars="0"/>
      <w:textAlignment w:val="auto"/>
      <w:outlineLvl w:val="3"/>
    </w:pPr>
    <w:rPr>
      <w:rFonts w:hAnsi="宋体"/>
      <w:color w:val="auto"/>
      <w:kern w:val="28"/>
      <w:sz w:val="24"/>
      <w:szCs w:val="24"/>
      <w:lang w:val="en-US" w:eastAsia="zh-CN"/>
    </w:rPr>
  </w:style>
  <w:style w:type="paragraph" w:customStyle="1" w:styleId="1872">
    <w:name w:val="xl2804"/>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textAlignment w:val="center"/>
    </w:pPr>
    <w:rPr>
      <w:rFonts w:ascii="宋体" w:hAnsi="宋体" w:eastAsia="宋体" w:cs="宋体"/>
      <w:kern w:val="0"/>
      <w:sz w:val="24"/>
      <w:szCs w:val="24"/>
    </w:rPr>
  </w:style>
  <w:style w:type="paragraph" w:customStyle="1" w:styleId="1873">
    <w:name w:val="表中文字左对齐1"/>
    <w:basedOn w:val="1"/>
    <w:next w:val="87"/>
    <w:qFormat/>
    <w:uiPriority w:val="0"/>
    <w:pPr>
      <w:widowControl/>
      <w:adjustRightInd w:val="0"/>
      <w:snapToGrid w:val="0"/>
      <w:spacing w:line="240" w:lineRule="auto"/>
      <w:ind w:left="100" w:leftChars="100" w:firstLine="0" w:firstLineChars="0"/>
      <w:jc w:val="left"/>
    </w:pPr>
    <w:rPr>
      <w:rFonts w:ascii="宋体" w:hAnsi="宋体" w:eastAsia="宋体" w:cs="Arial"/>
      <w:iCs/>
      <w:color w:val="000000"/>
      <w:sz w:val="24"/>
      <w:szCs w:val="24"/>
    </w:rPr>
  </w:style>
  <w:style w:type="paragraph" w:customStyle="1" w:styleId="1874">
    <w:name w:val="xl45347"/>
    <w:basedOn w:val="1"/>
    <w:qFormat/>
    <w:uiPriority w:val="0"/>
    <w:pPr>
      <w:widowControl/>
      <w:pBdr>
        <w:top w:val="single" w:color="auto" w:sz="4" w:space="0"/>
        <w:bottom w:val="single" w:color="auto" w:sz="4" w:space="0"/>
      </w:pBdr>
      <w:spacing w:before="100" w:beforeAutospacing="1" w:after="100" w:afterAutospacing="1" w:line="240" w:lineRule="auto"/>
      <w:ind w:firstLine="0" w:firstLineChars="0"/>
      <w:jc w:val="left"/>
    </w:pPr>
    <w:rPr>
      <w:rFonts w:ascii="Times New Roman" w:eastAsia="宋体"/>
      <w:color w:val="000000"/>
      <w:kern w:val="0"/>
      <w:sz w:val="20"/>
      <w:szCs w:val="20"/>
    </w:rPr>
  </w:style>
  <w:style w:type="paragraph" w:customStyle="1" w:styleId="1875">
    <w:name w:val="样式 标题 1 + 段前: 0.5 行 段后: 0.5 行"/>
    <w:basedOn w:val="4"/>
    <w:qFormat/>
    <w:uiPriority w:val="0"/>
    <w:pPr>
      <w:keepNext/>
      <w:keepLines/>
      <w:spacing w:beforeLines="50" w:after="120" w:afterLines="50" w:line="440" w:lineRule="exact"/>
      <w:jc w:val="center"/>
    </w:pPr>
    <w:rPr>
      <w:rFonts w:ascii="Times New Roman" w:hAnsi="Times New Roman"/>
      <w:b/>
      <w:sz w:val="32"/>
      <w:szCs w:val="32"/>
    </w:rPr>
  </w:style>
  <w:style w:type="paragraph" w:customStyle="1" w:styleId="1876">
    <w:name w:val="默认段落字体 Para Char Char Char Char Char Char2 Char Char Char Char Char Char Char"/>
    <w:basedOn w:val="1"/>
    <w:semiHidden/>
    <w:qFormat/>
    <w:uiPriority w:val="0"/>
    <w:pPr>
      <w:spacing w:line="240" w:lineRule="auto"/>
      <w:ind w:firstLine="0" w:firstLineChars="0"/>
    </w:pPr>
    <w:rPr>
      <w:rFonts w:ascii="Times New Roman" w:eastAsia="宋体"/>
      <w:sz w:val="21"/>
    </w:rPr>
  </w:style>
  <w:style w:type="paragraph" w:customStyle="1" w:styleId="1877">
    <w:name w:val="样式 标题 1 +"/>
    <w:basedOn w:val="4"/>
    <w:semiHidden/>
    <w:qFormat/>
    <w:uiPriority w:val="0"/>
    <w:pPr>
      <w:keepLines/>
      <w:pageBreakBefore/>
      <w:tabs>
        <w:tab w:val="left" w:pos="1125"/>
      </w:tabs>
      <w:spacing w:after="120" w:line="720" w:lineRule="exact"/>
      <w:ind w:left="1125" w:hanging="420"/>
    </w:pPr>
    <w:rPr>
      <w:rFonts w:ascii="黑体" w:hAnsi="Times New Roman"/>
      <w:bCs w:val="0"/>
      <w:sz w:val="30"/>
      <w:szCs w:val="44"/>
    </w:rPr>
  </w:style>
  <w:style w:type="paragraph" w:customStyle="1" w:styleId="1878">
    <w:name w:val="xl66"/>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Times New Roman" w:eastAsia="宋体"/>
      <w:kern w:val="0"/>
      <w:sz w:val="18"/>
      <w:szCs w:val="18"/>
    </w:rPr>
  </w:style>
  <w:style w:type="paragraph" w:customStyle="1" w:styleId="1879">
    <w:name w:val="xl62"/>
    <w:basedOn w:val="1"/>
    <w:qFormat/>
    <w:uiPriority w:val="0"/>
    <w:pPr>
      <w:widowControl/>
      <w:pBdr>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24"/>
      <w:szCs w:val="24"/>
    </w:rPr>
  </w:style>
  <w:style w:type="paragraph" w:customStyle="1" w:styleId="1880">
    <w:name w:val="xl1600"/>
    <w:basedOn w:val="1"/>
    <w:qFormat/>
    <w:uiPriority w:val="0"/>
    <w:pPr>
      <w:widowControl/>
      <w:pBdr>
        <w:top w:val="single" w:color="auto" w:sz="4" w:space="0"/>
        <w:left w:val="single" w:color="auto" w:sz="4" w:space="0"/>
        <w:bottom w:val="single" w:color="auto" w:sz="4" w:space="0"/>
        <w:right w:val="single" w:color="auto" w:sz="4" w:space="0"/>
      </w:pBdr>
      <w:shd w:val="clear" w:color="000000" w:fill="DA9694"/>
      <w:spacing w:beforeLines="25" w:beforeAutospacing="1" w:after="100" w:afterAutospacing="1" w:line="240" w:lineRule="auto"/>
      <w:ind w:firstLine="0" w:firstLineChars="0"/>
      <w:jc w:val="center"/>
      <w:textAlignment w:val="center"/>
    </w:pPr>
    <w:rPr>
      <w:rFonts w:ascii="Times New Roman" w:eastAsia="宋体"/>
      <w:kern w:val="0"/>
      <w:sz w:val="24"/>
      <w:szCs w:val="24"/>
    </w:rPr>
  </w:style>
  <w:style w:type="paragraph" w:customStyle="1" w:styleId="1881">
    <w:name w:val="正文文本缩进 211"/>
    <w:basedOn w:val="1"/>
    <w:next w:val="52"/>
    <w:qFormat/>
    <w:uiPriority w:val="0"/>
    <w:pPr>
      <w:ind w:firstLine="555"/>
    </w:pPr>
    <w:rPr>
      <w:rFonts w:ascii="宋体"/>
      <w:sz w:val="24"/>
      <w:szCs w:val="20"/>
    </w:rPr>
  </w:style>
  <w:style w:type="paragraph" w:customStyle="1" w:styleId="1882">
    <w:name w:val="样式 标题 3条标题1.1.1W3Section Header3标题 3 Char标题3标题 3 Char Char..."/>
    <w:basedOn w:val="7"/>
    <w:qFormat/>
    <w:uiPriority w:val="0"/>
    <w:pPr>
      <w:keepNext/>
      <w:keepLines/>
      <w:tabs>
        <w:tab w:val="left" w:pos="2977"/>
      </w:tabs>
      <w:adjustRightInd w:val="0"/>
      <w:snapToGrid w:val="0"/>
      <w:spacing w:line="400" w:lineRule="exact"/>
      <w:jc w:val="left"/>
    </w:pPr>
    <w:rPr>
      <w:rFonts w:ascii="黑体" w:hAnsi="宋体" w:eastAsia="黑体" w:cs="宋体"/>
      <w:bCs w:val="0"/>
      <w:color w:val="000000"/>
      <w:szCs w:val="20"/>
    </w:rPr>
  </w:style>
  <w:style w:type="paragraph" w:customStyle="1" w:styleId="1883">
    <w:name w:val="无间隔1"/>
    <w:qFormat/>
    <w:uiPriority w:val="0"/>
    <w:rPr>
      <w:rFonts w:ascii="Calibri" w:hAnsi="Calibri" w:eastAsia="宋体" w:cs="Times New Roman"/>
      <w:sz w:val="22"/>
      <w:lang w:val="en-US" w:eastAsia="zh-CN" w:bidi="ar-SA"/>
    </w:rPr>
  </w:style>
  <w:style w:type="paragraph" w:customStyle="1" w:styleId="1884">
    <w:name w:val="列表1 小五"/>
    <w:basedOn w:val="1"/>
    <w:next w:val="1"/>
    <w:qFormat/>
    <w:uiPriority w:val="0"/>
    <w:pPr>
      <w:tabs>
        <w:tab w:val="left" w:pos="177"/>
      </w:tabs>
      <w:adjustRightInd w:val="0"/>
      <w:snapToGrid w:val="0"/>
      <w:ind w:firstLine="0" w:firstLineChars="0"/>
      <w:jc w:val="center"/>
    </w:pPr>
    <w:rPr>
      <w:rFonts w:eastAsia="宋体"/>
      <w:color w:val="000000"/>
      <w:kern w:val="0"/>
      <w:sz w:val="18"/>
      <w:szCs w:val="18"/>
      <w:u w:val="none" w:color="000000"/>
    </w:rPr>
  </w:style>
  <w:style w:type="paragraph" w:customStyle="1" w:styleId="1885">
    <w:name w:val="样式26"/>
    <w:basedOn w:val="1886"/>
    <w:qFormat/>
    <w:uiPriority w:val="0"/>
    <w:pPr>
      <w:spacing w:line="400" w:lineRule="exact"/>
      <w:ind w:left="0" w:leftChars="0" w:right="0" w:rightChars="0"/>
      <w:jc w:val="both"/>
    </w:pPr>
  </w:style>
  <w:style w:type="paragraph" w:customStyle="1" w:styleId="1886">
    <w:name w:val="样式 样式 样式 样式22 + 左  0 字符 + 左  -0.5 字符 + (中文) 华文中宋"/>
    <w:basedOn w:val="1"/>
    <w:qFormat/>
    <w:uiPriority w:val="0"/>
    <w:pPr>
      <w:spacing w:line="300" w:lineRule="exact"/>
      <w:ind w:left="-120" w:leftChars="-50" w:right="-120" w:rightChars="-50"/>
      <w:jc w:val="center"/>
    </w:pPr>
    <w:rPr>
      <w:rFonts w:ascii="黑体" w:eastAsia="华文中宋"/>
      <w:sz w:val="24"/>
      <w:szCs w:val="20"/>
    </w:rPr>
  </w:style>
  <w:style w:type="paragraph" w:customStyle="1" w:styleId="1887">
    <w:name w:val="样式 标题 4标题 4XW Char标题 4XW Char Char标题 4 Char标题 4XW Char Char ..."/>
    <w:basedOn w:val="8"/>
    <w:qFormat/>
    <w:uiPriority w:val="0"/>
    <w:pPr>
      <w:keepNext w:val="0"/>
      <w:keepLines w:val="0"/>
      <w:numPr>
        <w:ilvl w:val="3"/>
        <w:numId w:val="0"/>
      </w:numPr>
      <w:spacing w:before="240" w:after="0" w:line="360" w:lineRule="auto"/>
      <w:ind w:left="650" w:hanging="864"/>
      <w:jc w:val="left"/>
    </w:pPr>
    <w:rPr>
      <w:rFonts w:ascii="Times New Roman" w:hAnsi="Times New Roman" w:eastAsia="仿宋_GB2312"/>
      <w:kern w:val="0"/>
    </w:rPr>
  </w:style>
  <w:style w:type="paragraph" w:customStyle="1" w:styleId="1888">
    <w:name w:val="样式 样式 样式 表中文字 + (中文) 楷体_GB2312 五号 + Calibri3 + Times New Roman"/>
    <w:basedOn w:val="1374"/>
    <w:qFormat/>
    <w:uiPriority w:val="0"/>
    <w:pPr>
      <w:ind w:firstLine="0" w:firstLineChars="0"/>
    </w:pPr>
    <w:rPr>
      <w:rFonts w:ascii="Times New Roman" w:hAnsi="Times New Roman"/>
    </w:rPr>
  </w:style>
  <w:style w:type="paragraph" w:customStyle="1" w:styleId="1889">
    <w:name w:val="xl625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Times New Roman" w:eastAsia="宋体"/>
      <w:kern w:val="0"/>
      <w:sz w:val="20"/>
      <w:szCs w:val="20"/>
    </w:rPr>
  </w:style>
  <w:style w:type="paragraph" w:customStyle="1" w:styleId="1890">
    <w:name w:val="xl45346"/>
    <w:basedOn w:val="1"/>
    <w:qFormat/>
    <w:uiPriority w:val="0"/>
    <w:pPr>
      <w:widowControl/>
      <w:pBdr>
        <w:top w:val="single" w:color="auto" w:sz="4" w:space="0"/>
        <w:bottom w:val="single" w:color="auto" w:sz="4" w:space="0"/>
      </w:pBdr>
      <w:spacing w:before="100" w:beforeAutospacing="1" w:after="100" w:afterAutospacing="1" w:line="240" w:lineRule="auto"/>
      <w:ind w:firstLine="0" w:firstLineChars="0"/>
      <w:jc w:val="left"/>
    </w:pPr>
    <w:rPr>
      <w:rFonts w:ascii="宋体" w:hAnsi="宋体" w:eastAsia="宋体" w:cs="宋体"/>
      <w:kern w:val="0"/>
      <w:sz w:val="20"/>
      <w:szCs w:val="20"/>
    </w:rPr>
  </w:style>
  <w:style w:type="paragraph" w:customStyle="1" w:styleId="1891">
    <w:name w:val="正文文字 2"/>
    <w:basedOn w:val="1"/>
    <w:qFormat/>
    <w:uiPriority w:val="0"/>
    <w:pPr>
      <w:widowControl/>
      <w:spacing w:after="119" w:line="850" w:lineRule="atLeast"/>
      <w:ind w:firstLine="419"/>
      <w:textAlignment w:val="baseline"/>
    </w:pPr>
    <w:rPr>
      <w:rFonts w:ascii="Times New Roman" w:eastAsia="宋体"/>
      <w:color w:val="000000"/>
      <w:kern w:val="0"/>
      <w:sz w:val="21"/>
      <w:u w:val="none" w:color="000000"/>
    </w:rPr>
  </w:style>
  <w:style w:type="paragraph" w:customStyle="1" w:styleId="1892">
    <w:name w:val="样式 (中文) 楷体_GB2312 居中 首行缩进:  0.71 厘米1"/>
    <w:basedOn w:val="1"/>
    <w:qFormat/>
    <w:uiPriority w:val="0"/>
    <w:pPr>
      <w:spacing w:line="240" w:lineRule="auto"/>
      <w:ind w:firstLine="0" w:firstLineChars="0"/>
      <w:jc w:val="center"/>
    </w:pPr>
    <w:rPr>
      <w:rFonts w:ascii="Times New Roman" w:eastAsia="楷体_GB2312" w:cs="宋体"/>
      <w:sz w:val="21"/>
      <w:szCs w:val="20"/>
    </w:rPr>
  </w:style>
  <w:style w:type="paragraph" w:customStyle="1" w:styleId="1893">
    <w:name w:val="biaoge"/>
    <w:basedOn w:val="1"/>
    <w:qFormat/>
    <w:uiPriority w:val="0"/>
    <w:pPr>
      <w:widowControl/>
      <w:adjustRightInd w:val="0"/>
      <w:spacing w:line="0" w:lineRule="atLeast"/>
      <w:ind w:firstLine="0" w:firstLineChars="0"/>
      <w:jc w:val="center"/>
      <w:textAlignment w:val="baseline"/>
    </w:pPr>
    <w:rPr>
      <w:rFonts w:ascii="楷体_GB2312" w:hAnsi="宋体" w:eastAsia="楷体_GB2312" w:cs="宋体"/>
      <w:kern w:val="0"/>
      <w:sz w:val="21"/>
      <w:szCs w:val="21"/>
    </w:rPr>
  </w:style>
  <w:style w:type="paragraph" w:customStyle="1" w:styleId="1894">
    <w:name w:val="6"/>
    <w:basedOn w:val="1"/>
    <w:next w:val="36"/>
    <w:qFormat/>
    <w:uiPriority w:val="0"/>
    <w:pPr>
      <w:spacing w:line="324" w:lineRule="auto"/>
      <w:ind w:firstLine="459" w:firstLineChars="0"/>
    </w:pPr>
    <w:rPr>
      <w:rFonts w:ascii="Times New Roman" w:eastAsia="宋体"/>
      <w:spacing w:val="15"/>
      <w:kern w:val="0"/>
      <w:sz w:val="24"/>
      <w:szCs w:val="20"/>
    </w:rPr>
  </w:style>
  <w:style w:type="paragraph" w:customStyle="1" w:styleId="1895">
    <w:name w:val="xl109"/>
    <w:basedOn w:val="1"/>
    <w:qFormat/>
    <w:uiPriority w:val="0"/>
    <w:pPr>
      <w:widowControl/>
      <w:pBdr>
        <w:left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18"/>
      <w:szCs w:val="18"/>
    </w:rPr>
  </w:style>
  <w:style w:type="paragraph" w:customStyle="1" w:styleId="1896">
    <w:name w:val="样式 正文缩进正文（首行缩进两字）首行缩进正文（首行缩进两字） Char + 首行缩进:  2 字符1"/>
    <w:basedOn w:val="6"/>
    <w:semiHidden/>
    <w:qFormat/>
    <w:uiPriority w:val="0"/>
    <w:pPr>
      <w:spacing w:line="240" w:lineRule="auto"/>
      <w:ind w:firstLine="200"/>
    </w:pPr>
    <w:rPr>
      <w:rFonts w:ascii="Times New Roman" w:eastAsia="宋体" w:cs="宋体"/>
      <w:sz w:val="24"/>
      <w:szCs w:val="24"/>
    </w:rPr>
  </w:style>
  <w:style w:type="paragraph" w:customStyle="1" w:styleId="1897">
    <w:name w:val="样式 标题 4 + 段前: 0.5 行 段后: 0.5 行2"/>
    <w:basedOn w:val="8"/>
    <w:qFormat/>
    <w:uiPriority w:val="0"/>
    <w:pPr>
      <w:spacing w:before="0" w:after="0" w:line="440" w:lineRule="exact"/>
      <w:ind w:firstLine="0" w:firstLineChars="0"/>
      <w:jc w:val="left"/>
    </w:pPr>
    <w:rPr>
      <w:rFonts w:ascii="Times New Roman" w:hAnsi="Times New Roman"/>
      <w:sz w:val="24"/>
      <w:szCs w:val="20"/>
    </w:rPr>
  </w:style>
  <w:style w:type="paragraph" w:customStyle="1" w:styleId="1898">
    <w:name w:val="表格名称"/>
    <w:basedOn w:val="1"/>
    <w:next w:val="1"/>
    <w:qFormat/>
    <w:uiPriority w:val="0"/>
    <w:pPr>
      <w:keepNext/>
      <w:adjustRightInd w:val="0"/>
      <w:snapToGrid w:val="0"/>
      <w:spacing w:after="60"/>
      <w:ind w:firstLine="100" w:firstLineChars="100"/>
    </w:pPr>
    <w:rPr>
      <w:rFonts w:ascii="黑体" w:eastAsia="黑体"/>
      <w:sz w:val="24"/>
      <w:szCs w:val="24"/>
    </w:rPr>
  </w:style>
  <w:style w:type="paragraph" w:customStyle="1" w:styleId="1899">
    <w:name w:val="Char Char Char Char Char Char Char Char Char Char Char Char1 Char"/>
    <w:basedOn w:val="1"/>
    <w:qFormat/>
    <w:uiPriority w:val="0"/>
    <w:pPr>
      <w:snapToGrid w:val="0"/>
      <w:spacing w:line="360" w:lineRule="auto"/>
    </w:pPr>
    <w:rPr>
      <w:rFonts w:ascii="Times New Roman"/>
      <w:sz w:val="24"/>
      <w:szCs w:val="24"/>
    </w:rPr>
  </w:style>
  <w:style w:type="paragraph" w:customStyle="1" w:styleId="1900">
    <w:name w:val="xl164"/>
    <w:basedOn w:val="1"/>
    <w:qFormat/>
    <w:uiPriority w:val="0"/>
    <w:pPr>
      <w:widowControl/>
      <w:pBdr>
        <w:top w:val="single" w:color="auto" w:sz="4" w:space="0"/>
        <w:left w:val="single" w:color="auto" w:sz="4" w:space="0"/>
      </w:pBdr>
      <w:spacing w:before="100" w:beforeAutospacing="1" w:after="100" w:afterAutospacing="1" w:line="240" w:lineRule="auto"/>
      <w:ind w:firstLine="0" w:firstLineChars="0"/>
      <w:jc w:val="center"/>
    </w:pPr>
    <w:rPr>
      <w:rFonts w:ascii="宋体" w:hAnsi="宋体" w:eastAsia="宋体" w:cs="宋体"/>
      <w:kern w:val="0"/>
      <w:sz w:val="20"/>
      <w:szCs w:val="20"/>
    </w:rPr>
  </w:style>
  <w:style w:type="paragraph" w:customStyle="1" w:styleId="1901">
    <w:name w:val="标题6"/>
    <w:basedOn w:val="1"/>
    <w:qFormat/>
    <w:uiPriority w:val="0"/>
    <w:pPr>
      <w:ind w:firstLine="560"/>
    </w:pPr>
    <w:rPr>
      <w:rFonts w:ascii="楷体_GB2312" w:hAnsi="宋体" w:eastAsia="楷体_GB2312"/>
      <w:color w:val="000000"/>
    </w:rPr>
  </w:style>
  <w:style w:type="paragraph" w:customStyle="1" w:styleId="1902">
    <w:name w:val="昆院三级标题"/>
    <w:basedOn w:val="1903"/>
    <w:semiHidden/>
    <w:qFormat/>
    <w:uiPriority w:val="0"/>
    <w:pPr>
      <w:tabs>
        <w:tab w:val="left" w:pos="1440"/>
        <w:tab w:val="left" w:pos="8080"/>
      </w:tabs>
      <w:spacing w:before="240"/>
      <w:outlineLvl w:val="2"/>
    </w:pPr>
    <w:rPr>
      <w:sz w:val="24"/>
    </w:rPr>
  </w:style>
  <w:style w:type="paragraph" w:customStyle="1" w:styleId="1903">
    <w:name w:val="昆院二级标题"/>
    <w:basedOn w:val="1435"/>
    <w:semiHidden/>
    <w:qFormat/>
    <w:uiPriority w:val="0"/>
    <w:pPr>
      <w:snapToGrid w:val="0"/>
      <w:spacing w:before="300"/>
      <w:outlineLvl w:val="1"/>
    </w:pPr>
    <w:rPr>
      <w:sz w:val="28"/>
    </w:rPr>
  </w:style>
  <w:style w:type="paragraph" w:customStyle="1" w:styleId="1904">
    <w:name w:val="xl2583"/>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楷体_GB2312" w:hAnsi="宋体" w:eastAsia="楷体_GB2312" w:cs="宋体"/>
      <w:kern w:val="0"/>
      <w:sz w:val="20"/>
      <w:szCs w:val="20"/>
    </w:rPr>
  </w:style>
  <w:style w:type="paragraph" w:customStyle="1" w:styleId="1905">
    <w:name w:val="样式 楷体_GB2312 五号 居中 行距: 最小值 0 磅 首行缩进:  0 字符"/>
    <w:basedOn w:val="1"/>
    <w:qFormat/>
    <w:uiPriority w:val="0"/>
    <w:pPr>
      <w:adjustRightInd w:val="0"/>
      <w:spacing w:line="0" w:lineRule="atLeast"/>
      <w:ind w:firstLine="0" w:firstLineChars="0"/>
      <w:jc w:val="center"/>
      <w:textAlignment w:val="baseline"/>
    </w:pPr>
    <w:rPr>
      <w:rFonts w:ascii="楷体_GB2312" w:eastAsia="楷体_GB2312" w:cs="宋体"/>
      <w:kern w:val="0"/>
      <w:sz w:val="21"/>
      <w:szCs w:val="20"/>
    </w:rPr>
  </w:style>
  <w:style w:type="paragraph" w:customStyle="1" w:styleId="1906">
    <w:name w:val="表内文字 ..."/>
    <w:basedOn w:val="1"/>
    <w:qFormat/>
    <w:uiPriority w:val="0"/>
    <w:pPr>
      <w:spacing w:line="0" w:lineRule="atLeast"/>
      <w:ind w:firstLine="0" w:firstLineChars="0"/>
      <w:jc w:val="center"/>
    </w:pPr>
    <w:rPr>
      <w:rFonts w:hint="eastAsia" w:ascii="楷体_GB2312" w:eastAsia="楷体_GB2312" w:cs="宋体"/>
      <w:sz w:val="21"/>
      <w:szCs w:val="20"/>
    </w:rPr>
  </w:style>
  <w:style w:type="paragraph" w:customStyle="1" w:styleId="1907">
    <w:name w:val="xl2280"/>
    <w:basedOn w:val="1"/>
    <w:qFormat/>
    <w:uiPriority w:val="0"/>
    <w:pPr>
      <w:widowControl/>
      <w:pBdr>
        <w:left w:val="single" w:color="auto" w:sz="4" w:space="0"/>
        <w:right w:val="single" w:color="auto" w:sz="4" w:space="0"/>
      </w:pBdr>
      <w:spacing w:before="100" w:beforeAutospacing="1" w:after="100" w:afterAutospacing="1" w:line="240" w:lineRule="auto"/>
      <w:ind w:firstLine="0" w:firstLineChars="0"/>
      <w:jc w:val="center"/>
    </w:pPr>
    <w:rPr>
      <w:rFonts w:ascii="楷体_GB2312" w:hAnsi="宋体" w:eastAsia="楷体_GB2312" w:cs="宋体"/>
      <w:kern w:val="0"/>
      <w:sz w:val="20"/>
      <w:szCs w:val="20"/>
    </w:rPr>
  </w:style>
  <w:style w:type="paragraph" w:customStyle="1" w:styleId="1908">
    <w:name w:val="样式 标题 1 + (中文) 黑体 小二 非加粗 段前: 12 磅 段后: 12 磅 行距: 1.5 倍行距1"/>
    <w:basedOn w:val="4"/>
    <w:semiHidden/>
    <w:qFormat/>
    <w:uiPriority w:val="0"/>
    <w:pPr>
      <w:keepLines/>
      <w:pageBreakBefore/>
      <w:tabs>
        <w:tab w:val="left" w:pos="720"/>
      </w:tabs>
      <w:spacing w:after="120" w:afterLines="50" w:line="720" w:lineRule="exact"/>
      <w:ind w:left="420" w:hanging="420" w:firstLineChars="200"/>
      <w:jc w:val="left"/>
    </w:pPr>
    <w:rPr>
      <w:rFonts w:ascii="仿宋_GB2312"/>
      <w:b/>
      <w:sz w:val="30"/>
      <w:szCs w:val="20"/>
    </w:rPr>
  </w:style>
  <w:style w:type="paragraph" w:customStyle="1" w:styleId="1909">
    <w:name w:val="xl2771"/>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Lines="25" w:beforeAutospacing="1" w:after="100" w:afterAutospacing="1" w:line="240" w:lineRule="auto"/>
      <w:ind w:firstLine="0" w:firstLineChars="0"/>
      <w:jc w:val="center"/>
      <w:textAlignment w:val="center"/>
    </w:pPr>
    <w:rPr>
      <w:rFonts w:ascii="Times New Roman" w:eastAsia="宋体"/>
      <w:kern w:val="0"/>
      <w:sz w:val="24"/>
      <w:szCs w:val="24"/>
    </w:rPr>
  </w:style>
  <w:style w:type="paragraph" w:customStyle="1" w:styleId="1910">
    <w:name w:val="表附注"/>
    <w:semiHidden/>
    <w:qFormat/>
    <w:uiPriority w:val="0"/>
    <w:pPr>
      <w:ind w:firstLine="454"/>
    </w:pPr>
    <w:rPr>
      <w:rFonts w:ascii="Times New Roman" w:hAnsi="Times New Roman" w:eastAsia="楷体_GB2312" w:cs="Times New Roman"/>
      <w:sz w:val="18"/>
      <w:lang w:val="en-US" w:eastAsia="zh-CN" w:bidi="ar-SA"/>
    </w:rPr>
  </w:style>
  <w:style w:type="paragraph" w:customStyle="1" w:styleId="1911">
    <w:name w:val="样式 正文首行缩进 + (西文) 宋体 (中文) 仿宋_GB2312"/>
    <w:basedOn w:val="1"/>
    <w:next w:val="86"/>
    <w:qFormat/>
    <w:uiPriority w:val="0"/>
    <w:pPr>
      <w:spacing w:line="240" w:lineRule="auto"/>
    </w:pPr>
    <w:rPr>
      <w:rFonts w:ascii="Calibri" w:hAnsi="Calibri"/>
      <w:szCs w:val="22"/>
    </w:rPr>
  </w:style>
  <w:style w:type="paragraph" w:customStyle="1" w:styleId="1912">
    <w:name w:val="表格数据"/>
    <w:semiHidden/>
    <w:qFormat/>
    <w:uiPriority w:val="0"/>
    <w:pPr>
      <w:adjustRightInd w:val="0"/>
      <w:snapToGrid w:val="0"/>
      <w:spacing w:beforeLines="20" w:afterLines="20"/>
      <w:ind w:left="-134" w:leftChars="-50" w:firstLine="57" w:firstLineChars="27"/>
      <w:jc w:val="center"/>
    </w:pPr>
    <w:rPr>
      <w:rFonts w:ascii="Times" w:hAnsi="Times New Roman" w:eastAsia="宋体" w:cs="Times New Roman"/>
      <w:bCs/>
      <w:sz w:val="21"/>
      <w:szCs w:val="21"/>
      <w:lang w:val="en-US" w:eastAsia="zh-CN" w:bidi="ar-SA"/>
    </w:rPr>
  </w:style>
  <w:style w:type="paragraph" w:customStyle="1" w:styleId="1913">
    <w:name w:val="样式 样式13 + 首行缩进:  2 字符"/>
    <w:basedOn w:val="1914"/>
    <w:qFormat/>
    <w:uiPriority w:val="0"/>
    <w:rPr>
      <w:rFonts w:cs="宋体"/>
      <w:kern w:val="2"/>
      <w:szCs w:val="20"/>
    </w:rPr>
  </w:style>
  <w:style w:type="paragraph" w:customStyle="1" w:styleId="1914">
    <w:name w:val="样式13"/>
    <w:basedOn w:val="1"/>
    <w:qFormat/>
    <w:uiPriority w:val="0"/>
    <w:pPr>
      <w:spacing w:line="240" w:lineRule="auto"/>
      <w:ind w:firstLine="480"/>
    </w:pPr>
    <w:rPr>
      <w:rFonts w:ascii="Times New Roman" w:eastAsia="华文中宋"/>
      <w:color w:val="000000"/>
      <w:kern w:val="0"/>
      <w:sz w:val="24"/>
      <w:szCs w:val="24"/>
    </w:rPr>
  </w:style>
  <w:style w:type="paragraph" w:customStyle="1" w:styleId="1915">
    <w:name w:val="表格文字二"/>
    <w:basedOn w:val="1000"/>
    <w:semiHidden/>
    <w:qFormat/>
    <w:uiPriority w:val="0"/>
    <w:pPr>
      <w:adjustRightInd/>
      <w:snapToGrid/>
      <w:spacing w:beforeLines="15" w:afterLines="15" w:line="260" w:lineRule="exact"/>
      <w:ind w:firstLine="0" w:firstLineChars="0"/>
    </w:pPr>
    <w:rPr>
      <w:rFonts w:ascii="Times New Roman" w:hAnsi="Times New Roman" w:eastAsia="宋体"/>
      <w:snapToGrid w:val="0"/>
      <w:kern w:val="0"/>
      <w:sz w:val="21"/>
      <w:szCs w:val="20"/>
      <w:lang w:val="en-US" w:eastAsia="zh-CN"/>
    </w:rPr>
  </w:style>
  <w:style w:type="paragraph" w:customStyle="1" w:styleId="1916">
    <w:name w:val="样式 首行缩进:  2 字符7"/>
    <w:basedOn w:val="1"/>
    <w:qFormat/>
    <w:uiPriority w:val="0"/>
    <w:rPr>
      <w:rFonts w:cs="宋体"/>
      <w:szCs w:val="20"/>
    </w:rPr>
  </w:style>
  <w:style w:type="paragraph" w:customStyle="1" w:styleId="1917">
    <w:name w:val="xl86"/>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 w:val="18"/>
      <w:szCs w:val="18"/>
    </w:rPr>
  </w:style>
  <w:style w:type="paragraph" w:customStyle="1" w:styleId="1918">
    <w:name w:val="xl144"/>
    <w:basedOn w:val="1"/>
    <w:qFormat/>
    <w:uiPriority w:val="0"/>
    <w:pPr>
      <w:widowControl/>
      <w:pBdr>
        <w:left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20"/>
      <w:szCs w:val="20"/>
    </w:rPr>
  </w:style>
  <w:style w:type="paragraph" w:customStyle="1" w:styleId="1919">
    <w:name w:val="样式29"/>
    <w:basedOn w:val="46"/>
    <w:qFormat/>
    <w:uiPriority w:val="0"/>
    <w:pPr>
      <w:widowControl w:val="0"/>
      <w:spacing w:line="300" w:lineRule="atLeast"/>
      <w:ind w:firstLine="0" w:firstLineChars="0"/>
      <w:jc w:val="center"/>
      <w:textAlignment w:val="auto"/>
    </w:pPr>
    <w:rPr>
      <w:rFonts w:ascii="Times New Roman" w:eastAsia="华文中宋"/>
      <w:color w:val="auto"/>
      <w:kern w:val="2"/>
      <w:sz w:val="21"/>
      <w:szCs w:val="24"/>
      <w:u w:val="none" w:color="auto"/>
    </w:rPr>
  </w:style>
  <w:style w:type="paragraph" w:customStyle="1" w:styleId="1920">
    <w:name w:val="样式 标题 3 + 段前: 0.5 行 段后: 0.5 行"/>
    <w:basedOn w:val="7"/>
    <w:qFormat/>
    <w:uiPriority w:val="0"/>
    <w:pPr>
      <w:keepNext/>
      <w:keepLines/>
      <w:spacing w:before="260" w:beforeLines="50" w:after="260" w:afterLines="50" w:line="440" w:lineRule="exact"/>
    </w:pPr>
    <w:rPr>
      <w:rFonts w:ascii="Times New Roman" w:hAnsi="Times New Roman" w:eastAsia="黑体"/>
      <w:b/>
      <w:bCs w:val="0"/>
    </w:rPr>
  </w:style>
  <w:style w:type="paragraph" w:customStyle="1" w:styleId="1921">
    <w:name w:val="日期1"/>
    <w:basedOn w:val="1"/>
    <w:next w:val="1"/>
    <w:qFormat/>
    <w:uiPriority w:val="0"/>
    <w:pPr>
      <w:adjustRightInd w:val="0"/>
      <w:textAlignment w:val="baseline"/>
    </w:pPr>
    <w:rPr>
      <w:kern w:val="0"/>
    </w:rPr>
  </w:style>
  <w:style w:type="paragraph" w:customStyle="1" w:styleId="1922">
    <w:name w:val="样式 出版日期 + 行距: 单倍行距"/>
    <w:basedOn w:val="1"/>
    <w:qFormat/>
    <w:uiPriority w:val="0"/>
    <w:pPr>
      <w:spacing w:before="100" w:line="240" w:lineRule="auto"/>
      <w:ind w:firstLine="0" w:firstLineChars="0"/>
      <w:jc w:val="center"/>
    </w:pPr>
    <w:rPr>
      <w:rFonts w:ascii="Times New Roman" w:eastAsia="宋体" w:cs="宋体"/>
      <w:b/>
      <w:bCs/>
      <w:sz w:val="24"/>
      <w:szCs w:val="20"/>
    </w:rPr>
  </w:style>
  <w:style w:type="paragraph" w:customStyle="1" w:styleId="1923">
    <w:name w:val="样式 样式 样式 样式 样式 样式 样式 样式 表头头 + 首行缩进:  1 字符 + 首行缩进:  1 字符1 + 首行缩进:..."/>
    <w:basedOn w:val="1"/>
    <w:qFormat/>
    <w:uiPriority w:val="0"/>
    <w:pPr>
      <w:spacing w:after="60"/>
      <w:ind w:firstLine="100" w:firstLineChars="100"/>
      <w:outlineLvl w:val="7"/>
    </w:pPr>
    <w:rPr>
      <w:rFonts w:ascii="黑体" w:hAnsi="黑体" w:eastAsia="黑体" w:cs="宋体"/>
      <w:sz w:val="24"/>
      <w:szCs w:val="20"/>
    </w:rPr>
  </w:style>
  <w:style w:type="paragraph" w:customStyle="1" w:styleId="1924">
    <w:name w:val="xl45341"/>
    <w:basedOn w:val="1"/>
    <w:qFormat/>
    <w:uiPriority w:val="0"/>
    <w:pPr>
      <w:widowControl/>
      <w:pBdr>
        <w:top w:val="single" w:color="auto" w:sz="4" w:space="0"/>
        <w:bottom w:val="single" w:color="auto" w:sz="4" w:space="0"/>
      </w:pBdr>
      <w:spacing w:before="100" w:beforeAutospacing="1" w:after="100" w:afterAutospacing="1" w:line="240" w:lineRule="auto"/>
      <w:ind w:firstLine="0" w:firstLineChars="0"/>
      <w:jc w:val="left"/>
    </w:pPr>
    <w:rPr>
      <w:rFonts w:ascii="Times New Roman" w:eastAsia="宋体"/>
      <w:kern w:val="0"/>
      <w:sz w:val="20"/>
      <w:szCs w:val="20"/>
    </w:rPr>
  </w:style>
  <w:style w:type="paragraph" w:customStyle="1" w:styleId="1925">
    <w:name w:val="font13"/>
    <w:basedOn w:val="1"/>
    <w:qFormat/>
    <w:uiPriority w:val="0"/>
    <w:pPr>
      <w:widowControl/>
      <w:spacing w:before="100" w:beforeAutospacing="1" w:after="100" w:afterAutospacing="1" w:line="240" w:lineRule="auto"/>
      <w:ind w:firstLine="0" w:firstLineChars="0"/>
      <w:jc w:val="left"/>
    </w:pPr>
    <w:rPr>
      <w:rFonts w:ascii="Times New Roman" w:eastAsia="Arial Unicode MS"/>
      <w:kern w:val="0"/>
      <w:sz w:val="21"/>
      <w:szCs w:val="21"/>
    </w:rPr>
  </w:style>
  <w:style w:type="paragraph" w:customStyle="1" w:styleId="1926">
    <w:name w:val="xl2573"/>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firstLineChars="0"/>
      <w:jc w:val="center"/>
    </w:pPr>
    <w:rPr>
      <w:rFonts w:ascii="楷体_GB2312" w:hAnsi="宋体" w:eastAsia="楷体_GB2312" w:cs="宋体"/>
      <w:kern w:val="0"/>
      <w:sz w:val="20"/>
      <w:szCs w:val="20"/>
    </w:rPr>
  </w:style>
  <w:style w:type="paragraph" w:customStyle="1" w:styleId="1927">
    <w:name w:val="xl12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ascii="宋体" w:hAnsi="宋体" w:eastAsia="宋体" w:cs="宋体"/>
      <w:b/>
      <w:bCs/>
      <w:kern w:val="0"/>
      <w:sz w:val="20"/>
      <w:szCs w:val="20"/>
    </w:rPr>
  </w:style>
  <w:style w:type="paragraph" w:customStyle="1" w:styleId="1928">
    <w:name w:val="定型表格"/>
    <w:basedOn w:val="1"/>
    <w:qFormat/>
    <w:uiPriority w:val="0"/>
    <w:pPr>
      <w:widowControl/>
      <w:spacing w:line="320" w:lineRule="exact"/>
      <w:ind w:firstLine="0" w:firstLineChars="0"/>
      <w:jc w:val="center"/>
    </w:pPr>
    <w:rPr>
      <w:rFonts w:ascii="Times New Roman" w:eastAsia="楷体"/>
      <w:color w:val="000000"/>
      <w:kern w:val="0"/>
      <w:sz w:val="21"/>
      <w:szCs w:val="20"/>
      <w:u w:val="none" w:color="000000"/>
    </w:rPr>
  </w:style>
  <w:style w:type="paragraph" w:customStyle="1" w:styleId="1929">
    <w:name w:val="font19"/>
    <w:basedOn w:val="1"/>
    <w:qFormat/>
    <w:uiPriority w:val="0"/>
    <w:pPr>
      <w:widowControl/>
      <w:spacing w:before="100" w:beforeAutospacing="1" w:after="100" w:afterAutospacing="1" w:line="240" w:lineRule="auto"/>
      <w:ind w:firstLine="0" w:firstLineChars="0"/>
      <w:jc w:val="left"/>
    </w:pPr>
    <w:rPr>
      <w:rFonts w:ascii="Times New Roman" w:eastAsia="宋体"/>
      <w:color w:val="000000"/>
      <w:kern w:val="0"/>
      <w:sz w:val="18"/>
      <w:szCs w:val="18"/>
    </w:rPr>
  </w:style>
  <w:style w:type="paragraph" w:customStyle="1" w:styleId="1930">
    <w:name w:val="列出段落1"/>
    <w:basedOn w:val="1"/>
    <w:qFormat/>
    <w:uiPriority w:val="0"/>
    <w:pPr>
      <w:spacing w:line="240" w:lineRule="auto"/>
      <w:ind w:firstLine="420"/>
    </w:pPr>
    <w:rPr>
      <w:rFonts w:ascii="Times New Roman" w:eastAsia="宋体"/>
      <w:sz w:val="21"/>
      <w:szCs w:val="24"/>
    </w:rPr>
  </w:style>
  <w:style w:type="paragraph" w:customStyle="1" w:styleId="1931">
    <w:name w:val="样式 样式2 + 黑色"/>
    <w:basedOn w:val="965"/>
    <w:qFormat/>
    <w:uiPriority w:val="0"/>
    <w:pPr>
      <w:tabs>
        <w:tab w:val="left" w:pos="567"/>
      </w:tabs>
      <w:adjustRightInd/>
      <w:snapToGrid/>
      <w:spacing w:beforeLines="50" w:afterLines="50" w:line="240" w:lineRule="exact"/>
      <w:ind w:left="567" w:hanging="567"/>
      <w:jc w:val="both"/>
    </w:pPr>
    <w:rPr>
      <w:rFonts w:ascii="Times New Roman" w:eastAsia="黑体"/>
      <w:b/>
      <w:bCs/>
      <w:color w:val="000000"/>
      <w:sz w:val="30"/>
      <w:szCs w:val="30"/>
    </w:rPr>
  </w:style>
  <w:style w:type="paragraph" w:customStyle="1" w:styleId="1932">
    <w:name w:val="xl6265"/>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textAlignment w:val="center"/>
    </w:pPr>
    <w:rPr>
      <w:rFonts w:ascii="Times New Roman" w:eastAsia="宋体"/>
      <w:kern w:val="0"/>
      <w:sz w:val="24"/>
      <w:szCs w:val="24"/>
    </w:rPr>
  </w:style>
  <w:style w:type="paragraph" w:customStyle="1" w:styleId="1933">
    <w:name w:val="xl2756"/>
    <w:basedOn w:val="1"/>
    <w:qFormat/>
    <w:uiPriority w:val="0"/>
    <w:pPr>
      <w:widowControl/>
      <w:pBdr>
        <w:top w:val="single" w:color="auto" w:sz="4" w:space="0"/>
        <w:left w:val="single" w:color="auto" w:sz="4" w:space="0"/>
        <w:bottom w:val="single" w:color="auto" w:sz="4" w:space="0"/>
        <w:right w:val="single" w:color="auto" w:sz="4" w:space="0"/>
      </w:pBdr>
      <w:shd w:val="clear" w:color="000000" w:fill="CCE8CF"/>
      <w:spacing w:before="100" w:beforeAutospacing="1" w:after="100" w:afterAutospacing="1" w:line="240" w:lineRule="auto"/>
      <w:ind w:firstLine="0" w:firstLineChars="0"/>
      <w:jc w:val="center"/>
    </w:pPr>
    <w:rPr>
      <w:rFonts w:ascii="Times New Roman" w:eastAsia="宋体"/>
      <w:kern w:val="0"/>
      <w:sz w:val="20"/>
      <w:szCs w:val="20"/>
    </w:rPr>
  </w:style>
  <w:style w:type="paragraph" w:customStyle="1" w:styleId="1934">
    <w:name w:val="样式 标提 1 +"/>
    <w:basedOn w:val="1"/>
    <w:semiHidden/>
    <w:qFormat/>
    <w:uiPriority w:val="0"/>
    <w:pPr>
      <w:widowControl/>
      <w:spacing w:before="160" w:after="160" w:line="240" w:lineRule="auto"/>
    </w:pPr>
    <w:rPr>
      <w:rFonts w:ascii="宋体" w:eastAsia="宋体"/>
      <w:kern w:val="0"/>
      <w:sz w:val="24"/>
      <w:szCs w:val="24"/>
    </w:rPr>
  </w:style>
  <w:style w:type="paragraph" w:customStyle="1" w:styleId="1935">
    <w:name w:val="Char Char Char Char Char Char Char Char Char Char Char Char Char Char Char Char Char Char Char1"/>
    <w:basedOn w:val="1"/>
    <w:qFormat/>
    <w:uiPriority w:val="0"/>
    <w:pPr>
      <w:widowControl/>
      <w:jc w:val="left"/>
    </w:pPr>
  </w:style>
  <w:style w:type="paragraph" w:customStyle="1" w:styleId="1936">
    <w:name w:val="彩色列表 - 强调文字颜色 12"/>
    <w:basedOn w:val="1"/>
    <w:qFormat/>
    <w:uiPriority w:val="0"/>
    <w:pPr>
      <w:ind w:firstLine="420"/>
    </w:pPr>
    <w:rPr>
      <w:rFonts w:ascii="Calibri" w:hAnsi="Calibri"/>
      <w:szCs w:val="22"/>
    </w:rPr>
  </w:style>
  <w:style w:type="paragraph" w:customStyle="1" w:styleId="1937">
    <w:name w:val="xl57"/>
    <w:basedOn w:val="1"/>
    <w:qFormat/>
    <w:uiPriority w:val="0"/>
    <w:pPr>
      <w:widowControl/>
      <w:pBdr>
        <w:top w:val="single" w:color="auto" w:sz="8"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color w:val="000000"/>
      <w:kern w:val="0"/>
      <w:sz w:val="16"/>
      <w:szCs w:val="16"/>
    </w:rPr>
  </w:style>
  <w:style w:type="paragraph" w:customStyle="1" w:styleId="1938">
    <w:name w:val="样式 样式 样式 行距: 固定值 22 磅 + 首行缩进:  2 字符 + 首行缩进:  2 字符"/>
    <w:basedOn w:val="1"/>
    <w:qFormat/>
    <w:uiPriority w:val="0"/>
    <w:pPr>
      <w:spacing w:line="240" w:lineRule="auto"/>
    </w:pPr>
    <w:rPr>
      <w:rFonts w:ascii="Times New Roman" w:eastAsia="华文中宋"/>
      <w:sz w:val="24"/>
      <w:szCs w:val="20"/>
    </w:rPr>
  </w:style>
  <w:style w:type="paragraph" w:customStyle="1" w:styleId="1939">
    <w:name w:val="a9"/>
    <w:basedOn w:val="1"/>
    <w:qFormat/>
    <w:uiPriority w:val="0"/>
    <w:pPr>
      <w:widowControl/>
      <w:spacing w:before="60" w:after="60"/>
      <w:ind w:firstLine="0" w:firstLineChars="0"/>
      <w:jc w:val="right"/>
    </w:pPr>
    <w:rPr>
      <w:rFonts w:ascii="Times New Roman"/>
      <w:kern w:val="0"/>
      <w:sz w:val="21"/>
      <w:szCs w:val="21"/>
    </w:rPr>
  </w:style>
  <w:style w:type="paragraph" w:customStyle="1" w:styleId="1940">
    <w:name w:val="xl2592"/>
    <w:basedOn w:val="1"/>
    <w:qFormat/>
    <w:uiPriority w:val="0"/>
    <w:pPr>
      <w:widowControl/>
      <w:pBdr>
        <w:top w:val="single" w:color="auto" w:sz="4" w:space="0"/>
        <w:bottom w:val="single" w:color="auto" w:sz="4" w:space="0"/>
      </w:pBdr>
      <w:spacing w:before="100" w:beforeAutospacing="1" w:after="100" w:afterAutospacing="1" w:line="240" w:lineRule="auto"/>
      <w:ind w:firstLine="0" w:firstLineChars="0"/>
      <w:jc w:val="left"/>
    </w:pPr>
    <w:rPr>
      <w:rFonts w:ascii="宋体" w:hAnsi="宋体" w:eastAsia="宋体" w:cs="宋体"/>
      <w:kern w:val="0"/>
      <w:sz w:val="24"/>
      <w:szCs w:val="24"/>
    </w:rPr>
  </w:style>
  <w:style w:type="paragraph" w:customStyle="1" w:styleId="1941">
    <w:name w:val="插表文字五号"/>
    <w:basedOn w:val="637"/>
    <w:qFormat/>
    <w:uiPriority w:val="0"/>
    <w:pPr>
      <w:spacing w:line="240" w:lineRule="auto"/>
      <w:ind w:firstLine="0" w:firstLineChars="0"/>
    </w:pPr>
    <w:rPr>
      <w:rFonts w:ascii="Times New Roman" w:eastAsia="宋体"/>
      <w:sz w:val="21"/>
    </w:rPr>
  </w:style>
  <w:style w:type="paragraph" w:customStyle="1" w:styleId="1942">
    <w:name w:val="表格0000"/>
    <w:basedOn w:val="1"/>
    <w:qFormat/>
    <w:uiPriority w:val="0"/>
    <w:pPr>
      <w:adjustRightInd w:val="0"/>
      <w:spacing w:line="0" w:lineRule="atLeast"/>
      <w:ind w:firstLine="0" w:firstLineChars="0"/>
      <w:jc w:val="center"/>
      <w:textAlignment w:val="baseline"/>
    </w:pPr>
    <w:rPr>
      <w:rFonts w:ascii="楷体_GB2312" w:eastAsia="楷体_GB2312"/>
      <w:kern w:val="0"/>
      <w:sz w:val="21"/>
    </w:rPr>
  </w:style>
  <w:style w:type="paragraph" w:customStyle="1" w:styleId="1943">
    <w:name w:val="xl626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 w:val="20"/>
      <w:szCs w:val="20"/>
    </w:rPr>
  </w:style>
  <w:style w:type="paragraph" w:customStyle="1" w:styleId="1944">
    <w:name w:val="公式"/>
    <w:next w:val="1"/>
    <w:qFormat/>
    <w:uiPriority w:val="0"/>
    <w:pPr>
      <w:spacing w:line="305" w:lineRule="auto"/>
      <w:jc w:val="center"/>
      <w:outlineLvl w:val="4"/>
    </w:pPr>
    <w:rPr>
      <w:rFonts w:ascii="Times New Roman" w:hAnsi="Times New Roman" w:eastAsia="宋体" w:cs="Times New Roman"/>
      <w:kern w:val="2"/>
      <w:sz w:val="24"/>
      <w:szCs w:val="24"/>
      <w:lang w:val="en-US" w:eastAsia="zh-CN" w:bidi="ar-SA"/>
    </w:rPr>
  </w:style>
  <w:style w:type="paragraph" w:customStyle="1" w:styleId="1945">
    <w:name w:val="何氏正文"/>
    <w:basedOn w:val="1"/>
    <w:qFormat/>
    <w:uiPriority w:val="0"/>
    <w:pPr>
      <w:adjustRightInd w:val="0"/>
      <w:spacing w:line="360" w:lineRule="auto"/>
      <w:ind w:right="280" w:firstLine="588" w:firstLineChars="210"/>
    </w:pPr>
    <w:rPr>
      <w:rFonts w:cs="宋体"/>
      <w:kern w:val="0"/>
      <w:szCs w:val="20"/>
      <w:u w:val="none" w:color="000000"/>
    </w:rPr>
  </w:style>
  <w:style w:type="paragraph" w:customStyle="1" w:styleId="1946">
    <w:name w:val="xl510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Times New Roman" w:eastAsia="宋体"/>
      <w:kern w:val="0"/>
      <w:sz w:val="20"/>
      <w:szCs w:val="20"/>
    </w:rPr>
  </w:style>
  <w:style w:type="paragraph" w:customStyle="1" w:styleId="1947">
    <w:name w:val="样式 标题1 + Times New Roman1"/>
    <w:basedOn w:val="1"/>
    <w:qFormat/>
    <w:uiPriority w:val="0"/>
    <w:pPr>
      <w:snapToGrid w:val="0"/>
      <w:spacing w:before="240" w:after="240"/>
      <w:ind w:firstLine="0" w:firstLineChars="0"/>
      <w:jc w:val="left"/>
      <w:outlineLvl w:val="0"/>
    </w:pPr>
    <w:rPr>
      <w:rFonts w:hAnsi="宋体"/>
    </w:rPr>
  </w:style>
  <w:style w:type="paragraph" w:customStyle="1" w:styleId="1948">
    <w:name w:val="xl2816"/>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pPr>
    <w:rPr>
      <w:rFonts w:ascii="宋体" w:hAnsi="宋体" w:eastAsia="宋体" w:cs="宋体"/>
      <w:color w:val="FF0000"/>
      <w:kern w:val="0"/>
      <w:sz w:val="24"/>
      <w:szCs w:val="24"/>
    </w:rPr>
  </w:style>
  <w:style w:type="paragraph" w:customStyle="1" w:styleId="1949">
    <w:name w:val="样式 五号 首行缩进:  2 字符"/>
    <w:basedOn w:val="1"/>
    <w:qFormat/>
    <w:uiPriority w:val="0"/>
    <w:pPr>
      <w:spacing w:line="240" w:lineRule="auto"/>
      <w:ind w:firstLine="100" w:firstLineChars="100"/>
    </w:pPr>
    <w:rPr>
      <w:rFonts w:ascii="Times New Roman" w:eastAsia="华文中宋"/>
      <w:sz w:val="21"/>
      <w:szCs w:val="20"/>
    </w:rPr>
  </w:style>
  <w:style w:type="paragraph" w:customStyle="1" w:styleId="1950">
    <w:name w:val="xl7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Times New Roman" w:eastAsia="宋体"/>
      <w:kern w:val="0"/>
      <w:sz w:val="18"/>
      <w:szCs w:val="18"/>
    </w:rPr>
  </w:style>
  <w:style w:type="paragraph" w:customStyle="1" w:styleId="1951">
    <w:name w:val="xl45355"/>
    <w:basedOn w:val="1"/>
    <w:qFormat/>
    <w:uiPriority w:val="0"/>
    <w:pPr>
      <w:widowControl/>
      <w:pBdr>
        <w:top w:val="single" w:color="auto" w:sz="4" w:space="0"/>
        <w:bottom w:val="single" w:color="auto" w:sz="4" w:space="0"/>
      </w:pBdr>
      <w:spacing w:before="100" w:beforeAutospacing="1" w:after="100" w:afterAutospacing="1" w:line="240" w:lineRule="auto"/>
      <w:ind w:firstLine="0" w:firstLineChars="0"/>
      <w:jc w:val="left"/>
    </w:pPr>
    <w:rPr>
      <w:rFonts w:hAnsi="宋体" w:cs="宋体"/>
      <w:kern w:val="0"/>
      <w:sz w:val="20"/>
      <w:szCs w:val="20"/>
    </w:rPr>
  </w:style>
  <w:style w:type="paragraph" w:customStyle="1" w:styleId="1952">
    <w:name w:val="Char Char Char4"/>
    <w:basedOn w:val="1"/>
    <w:qFormat/>
    <w:uiPriority w:val="0"/>
    <w:pPr>
      <w:widowControl/>
      <w:spacing w:after="160" w:line="240" w:lineRule="exact"/>
      <w:jc w:val="left"/>
    </w:pPr>
    <w:rPr>
      <w:sz w:val="32"/>
      <w:szCs w:val="32"/>
    </w:rPr>
  </w:style>
  <w:style w:type="paragraph" w:customStyle="1" w:styleId="1953">
    <w:name w:val="标号正文"/>
    <w:basedOn w:val="1"/>
    <w:qFormat/>
    <w:uiPriority w:val="0"/>
    <w:pPr>
      <w:tabs>
        <w:tab w:val="left" w:pos="0"/>
        <w:tab w:val="left" w:pos="1134"/>
      </w:tabs>
      <w:adjustRightInd w:val="0"/>
      <w:spacing w:line="360" w:lineRule="auto"/>
      <w:ind w:firstLine="0" w:firstLineChars="0"/>
      <w:textAlignment w:val="baseline"/>
    </w:pPr>
    <w:rPr>
      <w:rFonts w:ascii="宋体" w:hAnsi="Arial" w:eastAsia="宋体" w:cs="Arial"/>
      <w:bCs/>
      <w:kern w:val="0"/>
      <w:sz w:val="24"/>
      <w:szCs w:val="24"/>
    </w:rPr>
  </w:style>
  <w:style w:type="paragraph" w:customStyle="1" w:styleId="1954">
    <w:name w:val="样式 样式1 +"/>
    <w:basedOn w:val="1276"/>
    <w:semiHidden/>
    <w:qFormat/>
    <w:uiPriority w:val="0"/>
    <w:pPr>
      <w:keepLines/>
      <w:pageBreakBefore/>
      <w:tabs>
        <w:tab w:val="left" w:pos="360"/>
        <w:tab w:val="left" w:pos="720"/>
      </w:tabs>
      <w:spacing w:before="240" w:after="120" w:afterLines="50"/>
      <w:ind w:left="1376" w:hanging="690"/>
      <w:outlineLvl w:val="0"/>
    </w:pPr>
    <w:rPr>
      <w:rFonts w:ascii="黑体" w:hAnsi="Times New Roman" w:eastAsia="黑体"/>
      <w:kern w:val="44"/>
      <w:sz w:val="30"/>
      <w:szCs w:val="44"/>
    </w:rPr>
  </w:style>
  <w:style w:type="paragraph" w:customStyle="1" w:styleId="1955">
    <w:name w:val="表 头hy"/>
    <w:basedOn w:val="1"/>
    <w:qFormat/>
    <w:uiPriority w:val="0"/>
    <w:pPr>
      <w:adjustRightInd w:val="0"/>
      <w:spacing w:after="60"/>
      <w:ind w:firstLine="100" w:firstLineChars="100"/>
      <w:jc w:val="left"/>
      <w:textAlignment w:val="baseline"/>
    </w:pPr>
    <w:rPr>
      <w:rFonts w:ascii="黑体" w:eastAsia="黑体"/>
      <w:kern w:val="0"/>
      <w:sz w:val="24"/>
      <w:szCs w:val="24"/>
    </w:rPr>
  </w:style>
  <w:style w:type="paragraph" w:customStyle="1" w:styleId="1956">
    <w:name w:val="xl5113"/>
    <w:basedOn w:val="1"/>
    <w:qFormat/>
    <w:uiPriority w:val="0"/>
    <w:pPr>
      <w:widowControl/>
      <w:pBdr>
        <w:top w:val="single" w:color="auto" w:sz="4" w:space="0"/>
        <w:left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 w:val="18"/>
      <w:szCs w:val="18"/>
    </w:rPr>
  </w:style>
  <w:style w:type="paragraph" w:customStyle="1" w:styleId="1957">
    <w:name w:val="xl210"/>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b/>
      <w:bCs/>
      <w:kern w:val="0"/>
      <w:sz w:val="18"/>
      <w:szCs w:val="18"/>
    </w:rPr>
  </w:style>
  <w:style w:type="paragraph" w:customStyle="1" w:styleId="1958">
    <w:name w:val="表格头"/>
    <w:basedOn w:val="6"/>
    <w:semiHidden/>
    <w:qFormat/>
    <w:uiPriority w:val="0"/>
    <w:pPr>
      <w:adjustRightInd w:val="0"/>
      <w:snapToGrid w:val="0"/>
      <w:spacing w:line="300" w:lineRule="auto"/>
      <w:ind w:firstLine="562"/>
      <w:textAlignment w:val="baseline"/>
    </w:pPr>
    <w:rPr>
      <w:rFonts w:ascii="宋体" w:eastAsia="宋体"/>
      <w:b/>
      <w:kern w:val="28"/>
      <w:szCs w:val="20"/>
      <w:lang w:val="en-US" w:eastAsia="zh-CN"/>
    </w:rPr>
  </w:style>
  <w:style w:type="paragraph" w:customStyle="1" w:styleId="1959">
    <w:name w:val="Char Char Char1 Char Char Char Char Char Char Char Char Char Char Char Char Char Char Char Char Char Char Char Char Char Char Char Char Char Char Char Char Char Char Char Char Char Char1"/>
    <w:basedOn w:val="1"/>
    <w:qFormat/>
    <w:uiPriority w:val="0"/>
    <w:pPr>
      <w:snapToGrid w:val="0"/>
      <w:spacing w:line="440" w:lineRule="exact"/>
    </w:pPr>
    <w:rPr>
      <w:sz w:val="24"/>
      <w:szCs w:val="24"/>
    </w:rPr>
  </w:style>
  <w:style w:type="paragraph" w:customStyle="1" w:styleId="1960">
    <w:name w:val="xl35"/>
    <w:basedOn w:val="1"/>
    <w:qFormat/>
    <w:uiPriority w:val="0"/>
    <w:pPr>
      <w:widowControl/>
      <w:spacing w:before="100" w:beforeAutospacing="1" w:after="100" w:afterAutospacing="1" w:line="240" w:lineRule="auto"/>
      <w:jc w:val="center"/>
      <w:textAlignment w:val="center"/>
    </w:pPr>
    <w:rPr>
      <w:rFonts w:ascii="Times New Roman" w:eastAsia="Arial Unicode MS"/>
      <w:kern w:val="0"/>
    </w:rPr>
  </w:style>
  <w:style w:type="paragraph" w:customStyle="1" w:styleId="1961">
    <w:name w:val="标题 42"/>
    <w:basedOn w:val="1"/>
    <w:qFormat/>
    <w:uiPriority w:val="0"/>
    <w:pPr>
      <w:spacing w:line="240" w:lineRule="auto"/>
      <w:ind w:firstLine="0" w:firstLineChars="0"/>
    </w:pPr>
    <w:rPr>
      <w:rFonts w:ascii="Times New Roman" w:eastAsia="宋体"/>
      <w:sz w:val="21"/>
      <w:szCs w:val="24"/>
    </w:rPr>
  </w:style>
  <w:style w:type="paragraph" w:customStyle="1" w:styleId="1962">
    <w:name w:val="xl12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ascii="宋体" w:hAnsi="宋体" w:eastAsia="宋体" w:cs="宋体"/>
      <w:color w:val="000000"/>
      <w:kern w:val="0"/>
      <w:sz w:val="20"/>
      <w:szCs w:val="20"/>
    </w:rPr>
  </w:style>
  <w:style w:type="paragraph" w:customStyle="1" w:styleId="1963">
    <w:name w:val="ML"/>
    <w:basedOn w:val="1"/>
    <w:qFormat/>
    <w:uiPriority w:val="0"/>
    <w:pPr>
      <w:tabs>
        <w:tab w:val="left" w:pos="1134"/>
      </w:tabs>
      <w:autoSpaceDE w:val="0"/>
      <w:autoSpaceDN w:val="0"/>
      <w:adjustRightInd w:val="0"/>
      <w:spacing w:before="60" w:after="60" w:line="227" w:lineRule="atLeast"/>
      <w:ind w:firstLine="284"/>
      <w:jc w:val="left"/>
    </w:pPr>
    <w:rPr>
      <w:rFonts w:ascii="Arial" w:hAnsi="Arial"/>
      <w:spacing w:val="5"/>
      <w:kern w:val="0"/>
      <w:sz w:val="24"/>
      <w:szCs w:val="20"/>
      <w:u w:val="none" w:color="000000"/>
    </w:rPr>
  </w:style>
  <w:style w:type="paragraph" w:customStyle="1" w:styleId="1964">
    <w:name w:val="表文1"/>
    <w:basedOn w:val="989"/>
    <w:qFormat/>
    <w:uiPriority w:val="0"/>
    <w:pPr>
      <w:spacing w:line="500" w:lineRule="exact"/>
      <w:jc w:val="both"/>
    </w:pPr>
    <w:rPr>
      <w:rFonts w:ascii="CG Times" w:hAnsi="CG Times"/>
      <w:snapToGrid/>
      <w:kern w:val="2"/>
    </w:rPr>
  </w:style>
  <w:style w:type="paragraph" w:customStyle="1" w:styleId="1965">
    <w:name w:val="xl2788"/>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left"/>
      <w:textAlignment w:val="bottom"/>
    </w:pPr>
    <w:rPr>
      <w:rFonts w:ascii="宋体" w:hAnsi="宋体" w:eastAsia="宋体" w:cs="宋体"/>
      <w:kern w:val="0"/>
      <w:sz w:val="18"/>
      <w:szCs w:val="18"/>
    </w:rPr>
  </w:style>
  <w:style w:type="paragraph" w:customStyle="1" w:styleId="1966">
    <w:name w:val="样式 小五 居中 首行缩进:  0.63 厘米 段前: 5 磅 段后: 5 磅"/>
    <w:basedOn w:val="1"/>
    <w:qFormat/>
    <w:uiPriority w:val="0"/>
    <w:pPr>
      <w:spacing w:before="100" w:after="100" w:line="240" w:lineRule="auto"/>
      <w:ind w:firstLine="0" w:firstLineChars="0"/>
      <w:jc w:val="center"/>
    </w:pPr>
    <w:rPr>
      <w:rFonts w:ascii="Times New Roman" w:eastAsia="宋体" w:cs="宋体"/>
      <w:sz w:val="18"/>
      <w:szCs w:val="20"/>
    </w:rPr>
  </w:style>
  <w:style w:type="paragraph" w:customStyle="1" w:styleId="1967">
    <w:name w:val="样式 样式 (西文) 仿宋_GB2312 (中文) 仿宋_GB2312 四号 首行缩进:  1 厘米 行距: 固定值 28 磅 ..."/>
    <w:basedOn w:val="1"/>
    <w:qFormat/>
    <w:uiPriority w:val="0"/>
    <w:rPr>
      <w:rFonts w:hAnsi="Calibri" w:cs="宋体"/>
      <w:szCs w:val="20"/>
    </w:rPr>
  </w:style>
  <w:style w:type="paragraph" w:customStyle="1" w:styleId="1968">
    <w:name w:val="Char Char Char Char Char Char Char Char Char Char Char Char Char Char Char Char Char Char Char Char Char Char Char Char Char1"/>
    <w:basedOn w:val="1"/>
    <w:qFormat/>
    <w:uiPriority w:val="0"/>
    <w:pPr>
      <w:spacing w:line="360" w:lineRule="auto"/>
    </w:pPr>
    <w:rPr>
      <w:rFonts w:ascii="宋体" w:hAnsi="宋体"/>
      <w:sz w:val="24"/>
      <w:szCs w:val="24"/>
    </w:rPr>
  </w:style>
  <w:style w:type="paragraph" w:customStyle="1" w:styleId="1969">
    <w:name w:val="xl143"/>
    <w:basedOn w:val="1"/>
    <w:qFormat/>
    <w:uiPriority w:val="0"/>
    <w:pPr>
      <w:widowControl/>
      <w:pBdr>
        <w:top w:val="single" w:color="auto" w:sz="4" w:space="0"/>
        <w:left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20"/>
      <w:szCs w:val="20"/>
    </w:rPr>
  </w:style>
  <w:style w:type="paragraph" w:customStyle="1" w:styleId="1970">
    <w:name w:val="2.1"/>
    <w:basedOn w:val="1"/>
    <w:qFormat/>
    <w:uiPriority w:val="0"/>
    <w:pPr>
      <w:spacing w:beforeLines="50" w:afterLines="50" w:line="240" w:lineRule="auto"/>
      <w:ind w:firstLine="0" w:firstLineChars="0"/>
    </w:pPr>
    <w:rPr>
      <w:rFonts w:ascii="Times New Roman" w:eastAsia="黑体"/>
      <w:b/>
      <w:sz w:val="30"/>
      <w:szCs w:val="30"/>
    </w:rPr>
  </w:style>
  <w:style w:type="paragraph" w:customStyle="1" w:styleId="1971">
    <w:name w:val="样式 表头 + 首行缩进:  1 字符2"/>
    <w:basedOn w:val="1"/>
    <w:qFormat/>
    <w:uiPriority w:val="0"/>
    <w:pPr>
      <w:adjustRightInd w:val="0"/>
      <w:snapToGrid w:val="0"/>
      <w:spacing w:line="300" w:lineRule="auto"/>
      <w:ind w:firstLine="100" w:firstLineChars="100"/>
    </w:pPr>
    <w:rPr>
      <w:rFonts w:ascii="黑体" w:hAnsi="宋体" w:eastAsia="黑体" w:cs="宋体"/>
      <w:sz w:val="24"/>
      <w:szCs w:val="20"/>
    </w:rPr>
  </w:style>
  <w:style w:type="paragraph" w:customStyle="1" w:styleId="1972">
    <w:name w:val="xl102"/>
    <w:basedOn w:val="1"/>
    <w:qFormat/>
    <w:uiPriority w:val="0"/>
    <w:pPr>
      <w:widowControl/>
      <w:pBdr>
        <w:top w:val="single" w:color="auto" w:sz="4" w:space="0"/>
        <w:left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18"/>
      <w:szCs w:val="18"/>
    </w:rPr>
  </w:style>
  <w:style w:type="paragraph" w:customStyle="1" w:styleId="1973">
    <w:name w:val="编制单位"/>
    <w:basedOn w:val="1"/>
    <w:qFormat/>
    <w:uiPriority w:val="0"/>
    <w:pPr>
      <w:autoSpaceDE w:val="0"/>
      <w:autoSpaceDN w:val="0"/>
      <w:adjustRightInd w:val="0"/>
      <w:snapToGrid w:val="0"/>
      <w:spacing w:line="305" w:lineRule="auto"/>
      <w:ind w:firstLine="560"/>
      <w:jc w:val="center"/>
      <w:textAlignment w:val="baseline"/>
    </w:pPr>
    <w:rPr>
      <w:rFonts w:eastAsia="华文行楷"/>
      <w:snapToGrid w:val="0"/>
      <w:spacing w:val="40"/>
      <w:kern w:val="32"/>
      <w:sz w:val="32"/>
      <w:szCs w:val="20"/>
      <w:u w:val="none" w:color="000000"/>
    </w:rPr>
  </w:style>
  <w:style w:type="paragraph" w:customStyle="1" w:styleId="1974">
    <w:name w:val="Char Char2 Char Char Char Char"/>
    <w:basedOn w:val="1"/>
    <w:qFormat/>
    <w:uiPriority w:val="0"/>
    <w:pPr>
      <w:spacing w:line="240" w:lineRule="auto"/>
      <w:ind w:firstLine="0" w:firstLineChars="0"/>
    </w:pPr>
    <w:rPr>
      <w:rFonts w:ascii="Times New Roman" w:eastAsia="宋体"/>
      <w:sz w:val="21"/>
      <w:szCs w:val="24"/>
    </w:rPr>
  </w:style>
  <w:style w:type="paragraph" w:customStyle="1" w:styleId="1975">
    <w:name w:val="xl1618"/>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pPr>
    <w:rPr>
      <w:rFonts w:ascii="Times New Roman" w:eastAsia="宋体"/>
      <w:kern w:val="0"/>
      <w:sz w:val="24"/>
      <w:szCs w:val="24"/>
    </w:rPr>
  </w:style>
  <w:style w:type="paragraph" w:customStyle="1" w:styleId="1976">
    <w:name w:val="样式 标题 4 + (西文) Times New Roman (中文) 华文细黑 行距: 固定值 28 磅1"/>
    <w:basedOn w:val="8"/>
    <w:qFormat/>
    <w:uiPriority w:val="0"/>
    <w:pPr>
      <w:keepNext w:val="0"/>
      <w:keepLines w:val="0"/>
      <w:spacing w:before="0" w:after="0" w:line="560" w:lineRule="exact"/>
      <w:ind w:firstLine="0" w:firstLineChars="0"/>
      <w:jc w:val="left"/>
    </w:pPr>
    <w:rPr>
      <w:rFonts w:ascii="Arial" w:hAnsi="Arial" w:cs="宋体"/>
      <w:b w:val="0"/>
      <w:bCs w:val="0"/>
      <w:szCs w:val="20"/>
    </w:rPr>
  </w:style>
  <w:style w:type="paragraph" w:customStyle="1" w:styleId="1977">
    <w:name w:val="表内标题"/>
    <w:qFormat/>
    <w:uiPriority w:val="0"/>
    <w:pPr>
      <w:spacing w:before="40" w:after="40"/>
      <w:jc w:val="center"/>
    </w:pPr>
    <w:rPr>
      <w:rFonts w:ascii="Times New Roman" w:hAnsi="Times New Roman" w:eastAsia="宋体" w:cs="Times New Roman"/>
      <w:bCs/>
      <w:sz w:val="21"/>
      <w:lang w:val="en-US" w:eastAsia="zh-CN" w:bidi="ar-SA"/>
    </w:rPr>
  </w:style>
  <w:style w:type="paragraph" w:customStyle="1" w:styleId="1978">
    <w:name w:val="xl237"/>
    <w:basedOn w:val="1"/>
    <w:qFormat/>
    <w:uiPriority w:val="0"/>
    <w:pPr>
      <w:widowControl/>
      <w:pBdr>
        <w:top w:val="single" w:color="auto" w:sz="4" w:space="0"/>
        <w:left w:val="single" w:color="auto" w:sz="4" w:space="0"/>
        <w:bottom w:val="single" w:color="auto" w:sz="4" w:space="0"/>
        <w:right w:val="single" w:color="auto" w:sz="4" w:space="0"/>
      </w:pBdr>
      <w:adjustRightInd w:val="0"/>
      <w:snapToGrid w:val="0"/>
      <w:spacing w:before="100" w:beforeAutospacing="1" w:after="100" w:afterAutospacing="1" w:line="360" w:lineRule="auto"/>
      <w:ind w:firstLine="0" w:firstLineChars="0"/>
      <w:jc w:val="center"/>
    </w:pPr>
    <w:rPr>
      <w:rFonts w:ascii="Times New Roman" w:eastAsia="宋体"/>
      <w:b/>
      <w:bCs/>
      <w:kern w:val="0"/>
      <w:sz w:val="24"/>
      <w:szCs w:val="24"/>
    </w:rPr>
  </w:style>
  <w:style w:type="paragraph" w:customStyle="1" w:styleId="1979">
    <w:name w:val="1.1.1.1N"/>
    <w:basedOn w:val="1"/>
    <w:qFormat/>
    <w:uiPriority w:val="0"/>
    <w:pPr>
      <w:adjustRightInd w:val="0"/>
      <w:spacing w:before="60" w:after="60" w:line="360" w:lineRule="atLeast"/>
      <w:ind w:left="1134"/>
      <w:textAlignment w:val="baseline"/>
    </w:pPr>
    <w:rPr>
      <w:rFonts w:ascii="宋体"/>
      <w:kern w:val="0"/>
      <w:sz w:val="24"/>
      <w:u w:val="none" w:color="000000"/>
    </w:rPr>
  </w:style>
  <w:style w:type="paragraph" w:customStyle="1" w:styleId="1980">
    <w:name w:val="2级标题"/>
    <w:basedOn w:val="5"/>
    <w:qFormat/>
    <w:uiPriority w:val="0"/>
    <w:pPr>
      <w:spacing w:before="0" w:after="0"/>
      <w:jc w:val="left"/>
      <w:textAlignment w:val="baseline"/>
    </w:pPr>
    <w:rPr>
      <w:rFonts w:ascii="Arial" w:hAnsi="Arial"/>
      <w:kern w:val="0"/>
      <w:szCs w:val="30"/>
      <w:lang w:val="en-US" w:eastAsia="zh-CN"/>
    </w:rPr>
  </w:style>
  <w:style w:type="paragraph" w:customStyle="1" w:styleId="1981">
    <w:name w:val="xl510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Times New Roman" w:eastAsia="宋体"/>
      <w:kern w:val="0"/>
      <w:sz w:val="20"/>
      <w:szCs w:val="20"/>
    </w:rPr>
  </w:style>
  <w:style w:type="paragraph" w:customStyle="1" w:styleId="1982">
    <w:name w:val="表文加粗"/>
    <w:basedOn w:val="989"/>
    <w:next w:val="989"/>
    <w:semiHidden/>
    <w:qFormat/>
    <w:uiPriority w:val="0"/>
    <w:pPr>
      <w:adjustRightInd w:val="0"/>
      <w:snapToGrid/>
      <w:spacing w:line="280" w:lineRule="exact"/>
      <w:ind w:firstLine="200" w:firstLineChars="200"/>
      <w:jc w:val="both"/>
      <w:textAlignment w:val="baseline"/>
    </w:pPr>
    <w:rPr>
      <w:rFonts w:ascii="楷体_GB2312" w:hAnsi="楷体" w:eastAsia="楷体_GB2312"/>
      <w:b/>
      <w:bCs w:val="0"/>
      <w:sz w:val="21"/>
      <w:szCs w:val="18"/>
      <w:lang w:val="en-US" w:eastAsia="zh-CN"/>
    </w:rPr>
  </w:style>
  <w:style w:type="paragraph" w:customStyle="1" w:styleId="1983">
    <w:name w:val="正文 + 仿宋_GB2312"/>
    <w:basedOn w:val="1"/>
    <w:qFormat/>
    <w:uiPriority w:val="0"/>
    <w:pPr>
      <w:spacing w:line="500" w:lineRule="exact"/>
      <w:ind w:firstLine="590" w:firstLineChars="0"/>
    </w:pPr>
    <w:rPr>
      <w:rFonts w:ascii="Times New Roman" w:eastAsia="宋体"/>
      <w:sz w:val="21"/>
      <w:szCs w:val="24"/>
    </w:rPr>
  </w:style>
  <w:style w:type="paragraph" w:customStyle="1" w:styleId="1984">
    <w:name w:val="p17"/>
    <w:basedOn w:val="1"/>
    <w:qFormat/>
    <w:uiPriority w:val="0"/>
    <w:pPr>
      <w:widowControl/>
      <w:spacing w:line="240" w:lineRule="auto"/>
      <w:ind w:firstLine="420" w:firstLineChars="0"/>
    </w:pPr>
    <w:rPr>
      <w:rFonts w:ascii="Times New Roman" w:eastAsia="Times New Roman"/>
      <w:kern w:val="0"/>
      <w:lang w:eastAsia="en-US"/>
    </w:rPr>
  </w:style>
  <w:style w:type="paragraph" w:customStyle="1" w:styleId="1985">
    <w:name w:val="刘丽标题"/>
    <w:next w:val="1986"/>
    <w:qFormat/>
    <w:uiPriority w:val="0"/>
    <w:pPr>
      <w:keepNext/>
      <w:snapToGrid w:val="0"/>
      <w:spacing w:before="240" w:after="120"/>
      <w:ind w:firstLine="1120" w:firstLineChars="400"/>
    </w:pPr>
    <w:rPr>
      <w:rFonts w:ascii="Times New Roman" w:hAnsi="Times New Roman" w:eastAsia="黑体" w:cs="Times New Roman"/>
      <w:sz w:val="28"/>
      <w:lang w:val="en-US" w:eastAsia="zh-CN" w:bidi="ar-SA"/>
    </w:rPr>
  </w:style>
  <w:style w:type="paragraph" w:customStyle="1" w:styleId="1986">
    <w:name w:val="刘丽正文"/>
    <w:qFormat/>
    <w:uiPriority w:val="0"/>
    <w:pPr>
      <w:keepNext/>
      <w:widowControl w:val="0"/>
      <w:adjustRightInd w:val="0"/>
      <w:spacing w:line="312" w:lineRule="auto"/>
      <w:ind w:left="567"/>
      <w:jc w:val="both"/>
      <w:textAlignment w:val="baseline"/>
    </w:pPr>
    <w:rPr>
      <w:rFonts w:ascii="Times New Roman" w:hAnsi="Times New Roman" w:eastAsia="宋体" w:cs="Times New Roman"/>
      <w:kern w:val="28"/>
      <w:sz w:val="28"/>
      <w:lang w:val="en-US" w:eastAsia="zh-CN" w:bidi="ar-SA"/>
    </w:rPr>
  </w:style>
  <w:style w:type="paragraph" w:customStyle="1" w:styleId="1987">
    <w:name w:val="插入表格"/>
    <w:basedOn w:val="1"/>
    <w:qFormat/>
    <w:uiPriority w:val="0"/>
    <w:pPr>
      <w:spacing w:line="300" w:lineRule="exact"/>
      <w:ind w:firstLine="0" w:firstLineChars="0"/>
      <w:jc w:val="center"/>
    </w:pPr>
    <w:rPr>
      <w:rFonts w:ascii="Arial" w:hAnsi="Arial" w:cs="Arial"/>
      <w:kern w:val="0"/>
      <w:sz w:val="18"/>
      <w:szCs w:val="18"/>
    </w:rPr>
  </w:style>
  <w:style w:type="paragraph" w:customStyle="1" w:styleId="1988">
    <w:name w:val="设计说明3"/>
    <w:basedOn w:val="1770"/>
    <w:next w:val="1"/>
    <w:qFormat/>
    <w:uiPriority w:val="0"/>
    <w:pPr>
      <w:tabs>
        <w:tab w:val="left" w:pos="360"/>
        <w:tab w:val="left" w:pos="425"/>
        <w:tab w:val="left" w:pos="1740"/>
        <w:tab w:val="clear" w:pos="1320"/>
      </w:tabs>
      <w:spacing w:before="0" w:after="0"/>
      <w:ind w:left="425" w:hanging="425"/>
      <w:outlineLvl w:val="2"/>
    </w:pPr>
    <w:rPr>
      <w:b w:val="0"/>
    </w:rPr>
  </w:style>
  <w:style w:type="paragraph" w:customStyle="1" w:styleId="1989">
    <w:name w:val="样式 (中文) 楷体_GB2312 居中"/>
    <w:basedOn w:val="1"/>
    <w:qFormat/>
    <w:uiPriority w:val="0"/>
    <w:pPr>
      <w:spacing w:line="240" w:lineRule="auto"/>
      <w:ind w:firstLine="0" w:firstLineChars="0"/>
      <w:jc w:val="center"/>
    </w:pPr>
    <w:rPr>
      <w:rFonts w:ascii="Times New Roman" w:eastAsia="楷体_GB2312" w:cs="宋体"/>
      <w:kern w:val="0"/>
      <w:sz w:val="21"/>
      <w:szCs w:val="20"/>
    </w:rPr>
  </w:style>
  <w:style w:type="paragraph" w:customStyle="1" w:styleId="1990">
    <w:name w:val="样式 标题 2 + (中文) 华文中宋 四号"/>
    <w:basedOn w:val="5"/>
    <w:qFormat/>
    <w:uiPriority w:val="0"/>
    <w:pPr>
      <w:keepNext/>
      <w:keepLines/>
      <w:tabs>
        <w:tab w:val="left" w:pos="567"/>
        <w:tab w:val="left" w:pos="840"/>
      </w:tabs>
      <w:adjustRightInd w:val="0"/>
      <w:snapToGrid w:val="0"/>
      <w:spacing w:before="0" w:beforeLines="50" w:after="0" w:afterLines="50" w:line="240" w:lineRule="exact"/>
      <w:ind w:left="840" w:hanging="420"/>
      <w:textAlignment w:val="baseline"/>
    </w:pPr>
    <w:rPr>
      <w:rFonts w:ascii="Times New Roman" w:hAnsi="Times New Roman" w:eastAsia="华文中宋"/>
      <w:b/>
      <w:kern w:val="30"/>
      <w:sz w:val="28"/>
      <w:szCs w:val="32"/>
    </w:rPr>
  </w:style>
  <w:style w:type="paragraph" w:customStyle="1" w:styleId="1991">
    <w:name w:val="简报标题"/>
    <w:basedOn w:val="1"/>
    <w:qFormat/>
    <w:uiPriority w:val="0"/>
    <w:pPr>
      <w:spacing w:line="240" w:lineRule="auto"/>
      <w:ind w:firstLine="0" w:firstLineChars="0"/>
      <w:jc w:val="center"/>
    </w:pPr>
    <w:rPr>
      <w:rFonts w:ascii="黑体" w:eastAsia="黑体"/>
      <w:kern w:val="0"/>
      <w:sz w:val="32"/>
      <w:szCs w:val="32"/>
      <w:u w:val="none" w:color="000000"/>
    </w:rPr>
  </w:style>
  <w:style w:type="paragraph" w:customStyle="1" w:styleId="1992">
    <w:name w:val="xl6251"/>
    <w:basedOn w:val="1"/>
    <w:qFormat/>
    <w:uiPriority w:val="0"/>
    <w:pPr>
      <w:widowControl/>
      <w:pBdr>
        <w:bottom w:val="single" w:color="auto" w:sz="8" w:space="0"/>
        <w:right w:val="single" w:color="auto" w:sz="8" w:space="0"/>
      </w:pBdr>
      <w:spacing w:before="100" w:beforeAutospacing="1" w:after="100" w:afterAutospacing="1" w:line="240" w:lineRule="auto"/>
      <w:ind w:firstLine="0" w:firstLineChars="0"/>
      <w:jc w:val="center"/>
      <w:textAlignment w:val="center"/>
    </w:pPr>
    <w:rPr>
      <w:rFonts w:ascii="宋体" w:hAnsi="宋体" w:eastAsia="宋体" w:cs="宋体"/>
      <w:kern w:val="0"/>
      <w:sz w:val="18"/>
      <w:szCs w:val="18"/>
    </w:rPr>
  </w:style>
  <w:style w:type="paragraph" w:customStyle="1" w:styleId="1993">
    <w:name w:val="样式 表名 + Times New Roman 段前: 0.5 行 段后: 0.5 行"/>
    <w:basedOn w:val="624"/>
    <w:qFormat/>
    <w:uiPriority w:val="0"/>
    <w:pPr>
      <w:overflowPunct w:val="0"/>
      <w:topLinePunct/>
      <w:spacing w:beforeLines="50" w:line="440" w:lineRule="exact"/>
      <w:ind w:firstLine="0" w:firstLineChars="0"/>
      <w:jc w:val="center"/>
    </w:pPr>
    <w:rPr>
      <w:rFonts w:ascii="Times New Roman" w:hAnsi="华文楷体" w:eastAsia="宋体"/>
      <w:b/>
      <w:bCs/>
      <w:szCs w:val="20"/>
    </w:rPr>
  </w:style>
  <w:style w:type="paragraph" w:customStyle="1" w:styleId="1994">
    <w:name w:val="BG"/>
    <w:basedOn w:val="1"/>
    <w:qFormat/>
    <w:uiPriority w:val="0"/>
    <w:pPr>
      <w:spacing w:line="0" w:lineRule="atLeast"/>
      <w:jc w:val="center"/>
    </w:pPr>
    <w:rPr>
      <w:rFonts w:ascii="宋体" w:hAnsi="Garamond"/>
      <w:sz w:val="21"/>
      <w:szCs w:val="21"/>
    </w:rPr>
  </w:style>
  <w:style w:type="paragraph" w:customStyle="1" w:styleId="1995">
    <w:name w:val="biao"/>
    <w:basedOn w:val="1"/>
    <w:qFormat/>
    <w:uiPriority w:val="0"/>
    <w:pPr>
      <w:tabs>
        <w:tab w:val="left" w:pos="0"/>
      </w:tabs>
      <w:autoSpaceDE w:val="0"/>
      <w:autoSpaceDN w:val="0"/>
      <w:adjustRightInd w:val="0"/>
      <w:spacing w:before="60" w:after="60" w:line="360" w:lineRule="atLeast"/>
    </w:pPr>
    <w:rPr>
      <w:rFonts w:ascii="宋体"/>
      <w:kern w:val="0"/>
      <w:sz w:val="24"/>
      <w:szCs w:val="20"/>
      <w:u w:val="none" w:color="000000"/>
    </w:rPr>
  </w:style>
  <w:style w:type="paragraph" w:customStyle="1" w:styleId="1996">
    <w:name w:val="xl2576"/>
    <w:basedOn w:val="1"/>
    <w:qFormat/>
    <w:uiPriority w:val="0"/>
    <w:pPr>
      <w:widowControl/>
      <w:pBdr>
        <w:top w:val="single" w:color="auto" w:sz="4" w:space="0"/>
        <w:left w:val="single" w:color="auto" w:sz="4" w:space="0"/>
      </w:pBdr>
      <w:spacing w:before="100" w:beforeAutospacing="1" w:after="100" w:afterAutospacing="1" w:line="240" w:lineRule="auto"/>
      <w:ind w:firstLine="0" w:firstLineChars="0"/>
      <w:jc w:val="center"/>
    </w:pPr>
    <w:rPr>
      <w:rFonts w:ascii="楷体_GB2312" w:hAnsi="宋体" w:eastAsia="楷体_GB2312" w:cs="宋体"/>
      <w:kern w:val="0"/>
      <w:sz w:val="20"/>
      <w:szCs w:val="20"/>
    </w:rPr>
  </w:style>
  <w:style w:type="paragraph" w:customStyle="1" w:styleId="1997">
    <w:name w:val="xl4533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Times New Roman" w:eastAsia="宋体"/>
      <w:kern w:val="0"/>
      <w:sz w:val="20"/>
      <w:szCs w:val="20"/>
    </w:rPr>
  </w:style>
  <w:style w:type="paragraph" w:customStyle="1" w:styleId="1998">
    <w:name w:val="Char Char Char1 Char Char Char Char Char Char Char"/>
    <w:basedOn w:val="1"/>
    <w:qFormat/>
    <w:uiPriority w:val="0"/>
    <w:pPr>
      <w:snapToGrid w:val="0"/>
      <w:spacing w:line="440" w:lineRule="exact"/>
    </w:pPr>
    <w:rPr>
      <w:rFonts w:ascii="Times New Roman" w:eastAsia="宋体"/>
      <w:sz w:val="24"/>
      <w:szCs w:val="24"/>
    </w:rPr>
  </w:style>
  <w:style w:type="paragraph" w:customStyle="1" w:styleId="1999">
    <w:name w:val="样式 标题 1 + 行距: 固定值 28 磅"/>
    <w:basedOn w:val="4"/>
    <w:qFormat/>
    <w:uiPriority w:val="0"/>
    <w:pPr>
      <w:spacing w:after="120" w:line="240" w:lineRule="auto"/>
      <w:jc w:val="left"/>
    </w:pPr>
    <w:rPr>
      <w:rFonts w:cs="宋体"/>
      <w:bCs w:val="0"/>
      <w:kern w:val="36"/>
      <w:szCs w:val="20"/>
    </w:rPr>
  </w:style>
  <w:style w:type="paragraph" w:customStyle="1" w:styleId="2000">
    <w:name w:val="首行缩进 2 字符"/>
    <w:basedOn w:val="1"/>
    <w:qFormat/>
    <w:uiPriority w:val="0"/>
    <w:pPr>
      <w:topLinePunct/>
    </w:pPr>
    <w:rPr>
      <w:rFonts w:hAnsi="宋体"/>
    </w:rPr>
  </w:style>
  <w:style w:type="paragraph" w:customStyle="1" w:styleId="2001">
    <w:name w:val="1表标题"/>
    <w:basedOn w:val="322"/>
    <w:qFormat/>
    <w:uiPriority w:val="0"/>
    <w:pPr>
      <w:spacing w:beforeLines="30" w:afterLines="30"/>
      <w:ind w:firstLine="200"/>
      <w:jc w:val="center"/>
    </w:pPr>
  </w:style>
  <w:style w:type="paragraph" w:customStyle="1" w:styleId="2002">
    <w:name w:val="图文字"/>
    <w:basedOn w:val="35"/>
    <w:qFormat/>
    <w:uiPriority w:val="0"/>
    <w:pPr>
      <w:spacing w:after="0" w:line="240" w:lineRule="auto"/>
      <w:ind w:firstLine="0" w:firstLineChars="0"/>
      <w:jc w:val="center"/>
    </w:pPr>
    <w:rPr>
      <w:rFonts w:ascii="黑体" w:hAnsi="宋体" w:eastAsia="黑体"/>
      <w:spacing w:val="1"/>
      <w:kern w:val="0"/>
      <w:szCs w:val="20"/>
      <w:u w:val="none" w:color="000000"/>
      <w:lang w:val="en-US" w:eastAsia="zh-CN"/>
    </w:rPr>
  </w:style>
  <w:style w:type="paragraph" w:customStyle="1" w:styleId="2003">
    <w:name w:val="xl2786"/>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pPr>
    <w:rPr>
      <w:rFonts w:ascii="Times New Roman" w:eastAsia="宋体"/>
      <w:kern w:val="0"/>
      <w:sz w:val="18"/>
      <w:szCs w:val="18"/>
    </w:rPr>
  </w:style>
  <w:style w:type="paragraph" w:customStyle="1" w:styleId="2004">
    <w:name w:val="段落标题"/>
    <w:basedOn w:val="1"/>
    <w:next w:val="1"/>
    <w:semiHidden/>
    <w:qFormat/>
    <w:uiPriority w:val="0"/>
    <w:pPr>
      <w:autoSpaceDE w:val="0"/>
      <w:autoSpaceDN w:val="0"/>
      <w:spacing w:line="312" w:lineRule="auto"/>
      <w:ind w:firstLine="453"/>
    </w:pPr>
    <w:rPr>
      <w:rFonts w:ascii="宋体" w:hAnsi="宋体" w:eastAsia="宋体"/>
      <w:bCs/>
      <w:snapToGrid w:val="0"/>
      <w:kern w:val="0"/>
      <w:sz w:val="24"/>
      <w:szCs w:val="20"/>
    </w:rPr>
  </w:style>
  <w:style w:type="paragraph" w:customStyle="1" w:styleId="2005">
    <w:name w:val="封面+"/>
    <w:basedOn w:val="1"/>
    <w:qFormat/>
    <w:uiPriority w:val="0"/>
    <w:pPr>
      <w:spacing w:line="360" w:lineRule="auto"/>
      <w:ind w:firstLine="0" w:firstLineChars="0"/>
      <w:jc w:val="center"/>
    </w:pPr>
    <w:rPr>
      <w:rFonts w:ascii="黑体" w:eastAsia="黑体" w:cs="宋体"/>
      <w:sz w:val="52"/>
      <w:szCs w:val="20"/>
    </w:rPr>
  </w:style>
  <w:style w:type="paragraph" w:customStyle="1" w:styleId="2006">
    <w:name w:val="表注"/>
    <w:basedOn w:val="1"/>
    <w:qFormat/>
    <w:uiPriority w:val="0"/>
    <w:pPr>
      <w:adjustRightInd w:val="0"/>
      <w:snapToGrid w:val="0"/>
      <w:spacing w:line="240" w:lineRule="auto"/>
    </w:pPr>
    <w:rPr>
      <w:rFonts w:ascii="宋体" w:hAnsi="宋体" w:eastAsia="楷体_GB2312"/>
      <w:snapToGrid w:val="0"/>
      <w:kern w:val="0"/>
      <w:szCs w:val="21"/>
    </w:rPr>
  </w:style>
  <w:style w:type="paragraph" w:customStyle="1" w:styleId="2007">
    <w:name w:val="样式17 Char Char"/>
    <w:basedOn w:val="1"/>
    <w:qFormat/>
    <w:uiPriority w:val="0"/>
    <w:pPr>
      <w:spacing w:line="240" w:lineRule="auto"/>
      <w:ind w:firstLine="480"/>
    </w:pPr>
    <w:rPr>
      <w:rFonts w:ascii="Times New Roman" w:eastAsia="华文中宋"/>
      <w:sz w:val="24"/>
      <w:szCs w:val="24"/>
    </w:rPr>
  </w:style>
  <w:style w:type="paragraph" w:customStyle="1" w:styleId="2008">
    <w:name w:val="biaoti3"/>
    <w:basedOn w:val="1"/>
    <w:qFormat/>
    <w:uiPriority w:val="0"/>
    <w:pPr>
      <w:adjustRightInd w:val="0"/>
      <w:spacing w:line="600" w:lineRule="exact"/>
      <w:ind w:firstLine="0" w:firstLineChars="0"/>
      <w:textAlignment w:val="baseline"/>
    </w:pPr>
    <w:rPr>
      <w:rFonts w:ascii="Arial" w:hAnsi="Arial" w:eastAsia="方正小标宋_GBK"/>
      <w:kern w:val="0"/>
    </w:rPr>
  </w:style>
  <w:style w:type="paragraph" w:customStyle="1" w:styleId="2009">
    <w:name w:val="封面标题 5"/>
    <w:basedOn w:val="1"/>
    <w:next w:val="1"/>
    <w:qFormat/>
    <w:uiPriority w:val="0"/>
    <w:pPr>
      <w:spacing w:line="240" w:lineRule="auto"/>
      <w:ind w:firstLine="0" w:firstLineChars="0"/>
      <w:jc w:val="center"/>
    </w:pPr>
    <w:rPr>
      <w:rFonts w:hAnsi="仿宋_GB2312" w:eastAsia="华文新魏"/>
      <w:sz w:val="21"/>
      <w:szCs w:val="24"/>
    </w:rPr>
  </w:style>
  <w:style w:type="paragraph" w:customStyle="1" w:styleId="2010">
    <w:name w:val="xl2257"/>
    <w:basedOn w:val="1"/>
    <w:qFormat/>
    <w:uiPriority w:val="0"/>
    <w:pPr>
      <w:widowControl/>
      <w:pBdr>
        <w:top w:val="single" w:color="auto" w:sz="4" w:space="0"/>
        <w:bottom w:val="single" w:color="auto" w:sz="4" w:space="0"/>
      </w:pBdr>
      <w:spacing w:before="100" w:beforeAutospacing="1" w:after="100" w:afterAutospacing="1" w:line="240" w:lineRule="auto"/>
      <w:ind w:firstLine="0" w:firstLineChars="0"/>
      <w:jc w:val="left"/>
    </w:pPr>
    <w:rPr>
      <w:rFonts w:ascii="楷体_GB2312" w:hAnsi="宋体" w:eastAsia="楷体_GB2312" w:cs="宋体"/>
      <w:kern w:val="0"/>
      <w:sz w:val="20"/>
      <w:szCs w:val="20"/>
    </w:rPr>
  </w:style>
  <w:style w:type="paragraph" w:customStyle="1" w:styleId="2011">
    <w:name w:val="新标题2"/>
    <w:basedOn w:val="5"/>
    <w:qFormat/>
    <w:uiPriority w:val="0"/>
    <w:pPr>
      <w:widowControl/>
      <w:adjustRightInd w:val="0"/>
      <w:snapToGrid w:val="0"/>
      <w:spacing w:beforeLines="80" w:afterLines="80" w:line="355" w:lineRule="auto"/>
    </w:pPr>
    <w:rPr>
      <w:rFonts w:hAnsi="宋体"/>
      <w:szCs w:val="32"/>
      <w:lang w:val="en-US" w:eastAsia="zh-CN"/>
    </w:rPr>
  </w:style>
  <w:style w:type="paragraph" w:customStyle="1" w:styleId="2012">
    <w:name w:val="表格居中"/>
    <w:basedOn w:val="1"/>
    <w:semiHidden/>
    <w:qFormat/>
    <w:uiPriority w:val="0"/>
    <w:pPr>
      <w:spacing w:line="240" w:lineRule="auto"/>
      <w:ind w:firstLine="0" w:firstLineChars="0"/>
      <w:jc w:val="center"/>
    </w:pPr>
    <w:rPr>
      <w:rFonts w:ascii="Times New Roman" w:eastAsia="宋体"/>
      <w:sz w:val="21"/>
      <w:szCs w:val="20"/>
    </w:rPr>
  </w:style>
  <w:style w:type="paragraph" w:customStyle="1" w:styleId="2013">
    <w:name w:val="xl121"/>
    <w:basedOn w:val="1"/>
    <w:qFormat/>
    <w:uiPriority w:val="0"/>
    <w:pPr>
      <w:widowControl/>
      <w:spacing w:before="100" w:beforeAutospacing="1" w:after="100" w:afterAutospacing="1" w:line="240" w:lineRule="auto"/>
      <w:ind w:firstLine="0" w:firstLineChars="0"/>
      <w:jc w:val="center"/>
    </w:pPr>
    <w:rPr>
      <w:rFonts w:ascii="宋体" w:hAnsi="宋体" w:eastAsia="宋体" w:cs="宋体"/>
      <w:kern w:val="0"/>
      <w:sz w:val="24"/>
      <w:szCs w:val="24"/>
    </w:rPr>
  </w:style>
  <w:style w:type="paragraph" w:customStyle="1" w:styleId="2014">
    <w:name w:val="Char31"/>
    <w:basedOn w:val="1"/>
    <w:qFormat/>
    <w:uiPriority w:val="0"/>
    <w:rPr>
      <w:szCs w:val="24"/>
    </w:rPr>
  </w:style>
  <w:style w:type="paragraph" w:customStyle="1" w:styleId="2015">
    <w:name w:val="xl14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bottom"/>
    </w:pPr>
    <w:rPr>
      <w:rFonts w:ascii="宋体" w:hAnsi="宋体" w:eastAsia="宋体" w:cs="宋体"/>
      <w:kern w:val="0"/>
      <w:sz w:val="24"/>
      <w:szCs w:val="24"/>
    </w:rPr>
  </w:style>
  <w:style w:type="paragraph" w:customStyle="1" w:styleId="2016">
    <w:name w:val="@插表"/>
    <w:basedOn w:val="1"/>
    <w:next w:val="1"/>
    <w:qFormat/>
    <w:uiPriority w:val="0"/>
    <w:pPr>
      <w:widowControl/>
      <w:spacing w:line="360" w:lineRule="auto"/>
      <w:ind w:firstLine="0" w:firstLineChars="0"/>
      <w:jc w:val="center"/>
    </w:pPr>
    <w:rPr>
      <w:rFonts w:eastAsia="宋体"/>
      <w:kern w:val="0"/>
      <w:u w:val="none" w:color="000000"/>
    </w:rPr>
  </w:style>
  <w:style w:type="paragraph" w:customStyle="1" w:styleId="2017">
    <w:name w:val="样式 标题 3SottoparagrafoChar1 Char Char Char3h33rd levelH3l3...1"/>
    <w:basedOn w:val="7"/>
    <w:semiHidden/>
    <w:qFormat/>
    <w:uiPriority w:val="0"/>
    <w:pPr>
      <w:keepNext/>
      <w:keepLines/>
      <w:jc w:val="left"/>
    </w:pPr>
    <w:rPr>
      <w:rFonts w:hAnsi="宋体" w:eastAsia="黑体" w:cs="宋体"/>
      <w:b/>
      <w:bCs w:val="0"/>
      <w:szCs w:val="20"/>
    </w:rPr>
  </w:style>
  <w:style w:type="paragraph" w:customStyle="1" w:styleId="2018">
    <w:name w:val="样式 小四 首行缩进:  2 字符 行距: 最小值 12 磅"/>
    <w:basedOn w:val="1"/>
    <w:qFormat/>
    <w:uiPriority w:val="0"/>
    <w:pPr>
      <w:spacing w:line="240" w:lineRule="atLeast"/>
      <w:ind w:firstLine="0" w:firstLineChars="0"/>
      <w:textAlignment w:val="baseline"/>
    </w:pPr>
    <w:rPr>
      <w:rFonts w:cs="宋体"/>
      <w:kern w:val="0"/>
      <w:sz w:val="24"/>
      <w:szCs w:val="20"/>
    </w:rPr>
  </w:style>
  <w:style w:type="paragraph" w:customStyle="1" w:styleId="2019">
    <w:name w:val="样式 标题 4款标题1.1.1.1四标题4W4 + Times New Roman 小四 非加粗 黑色"/>
    <w:basedOn w:val="8"/>
    <w:qFormat/>
    <w:uiPriority w:val="0"/>
    <w:pPr>
      <w:adjustRightInd w:val="0"/>
      <w:snapToGrid w:val="0"/>
      <w:spacing w:before="0" w:after="0" w:line="240" w:lineRule="auto"/>
      <w:ind w:firstLine="0" w:firstLineChars="0"/>
      <w:jc w:val="left"/>
    </w:pPr>
    <w:rPr>
      <w:rFonts w:ascii="Times New Roman" w:hAnsi="Times New Roman"/>
      <w:b w:val="0"/>
      <w:bCs w:val="0"/>
      <w:color w:val="000000"/>
      <w:sz w:val="24"/>
    </w:rPr>
  </w:style>
  <w:style w:type="paragraph" w:customStyle="1" w:styleId="2020">
    <w:name w:val="表头001"/>
    <w:basedOn w:val="1"/>
    <w:qFormat/>
    <w:uiPriority w:val="0"/>
    <w:pPr>
      <w:spacing w:after="60"/>
      <w:ind w:firstLine="100" w:firstLineChars="100"/>
      <w:textAlignment w:val="baseline"/>
    </w:pPr>
    <w:rPr>
      <w:rFonts w:ascii="黑体" w:eastAsia="黑体" w:cs="宋体"/>
      <w:kern w:val="0"/>
      <w:szCs w:val="20"/>
    </w:rPr>
  </w:style>
  <w:style w:type="paragraph" w:customStyle="1" w:styleId="2021">
    <w:name w:val="xl111"/>
    <w:basedOn w:val="1"/>
    <w:qFormat/>
    <w:uiPriority w:val="0"/>
    <w:pPr>
      <w:widowControl/>
      <w:pBdr>
        <w:left w:val="single" w:color="auto" w:sz="4" w:space="0"/>
      </w:pBdr>
      <w:spacing w:before="100" w:beforeAutospacing="1" w:after="100" w:afterAutospacing="1" w:line="240" w:lineRule="auto"/>
      <w:ind w:firstLine="0" w:firstLineChars="0"/>
      <w:jc w:val="center"/>
    </w:pPr>
    <w:rPr>
      <w:rFonts w:ascii="宋体" w:hAnsi="宋体" w:eastAsia="宋体" w:cs="宋体"/>
      <w:kern w:val="0"/>
      <w:sz w:val="18"/>
      <w:szCs w:val="18"/>
    </w:rPr>
  </w:style>
  <w:style w:type="paragraph" w:customStyle="1" w:styleId="2022">
    <w:name w:val="标标3"/>
    <w:basedOn w:val="7"/>
    <w:next w:val="2023"/>
    <w:qFormat/>
    <w:uiPriority w:val="0"/>
    <w:pPr>
      <w:keepNext/>
      <w:keepLines/>
      <w:adjustRightInd w:val="0"/>
      <w:spacing w:beforeLines="50" w:afterLines="50"/>
      <w:jc w:val="left"/>
      <w:textAlignment w:val="baseline"/>
    </w:pPr>
    <w:rPr>
      <w:rFonts w:ascii="黑体" w:eastAsia="黑体"/>
      <w:bCs w:val="0"/>
      <w:kern w:val="28"/>
      <w:sz w:val="30"/>
      <w:szCs w:val="20"/>
      <w:lang w:val="en-US" w:eastAsia="zh-CN"/>
    </w:rPr>
  </w:style>
  <w:style w:type="paragraph" w:customStyle="1" w:styleId="2023">
    <w:name w:val="标正文"/>
    <w:basedOn w:val="1"/>
    <w:qFormat/>
    <w:uiPriority w:val="0"/>
    <w:pPr>
      <w:adjustRightInd w:val="0"/>
      <w:spacing w:line="305" w:lineRule="auto"/>
      <w:textAlignment w:val="baseline"/>
    </w:pPr>
    <w:rPr>
      <w:rFonts w:hAnsi="宋体"/>
      <w:kern w:val="0"/>
      <w:szCs w:val="20"/>
      <w:lang w:val="en-GB"/>
    </w:rPr>
  </w:style>
  <w:style w:type="paragraph" w:customStyle="1" w:styleId="2024">
    <w:name w:val="样式 正文1 +"/>
    <w:basedOn w:val="1"/>
    <w:qFormat/>
    <w:uiPriority w:val="0"/>
    <w:pPr>
      <w:spacing w:line="240" w:lineRule="auto"/>
    </w:pPr>
    <w:rPr>
      <w:rFonts w:ascii="Times New Roman" w:eastAsia="华文中宋"/>
      <w:kern w:val="0"/>
      <w:sz w:val="24"/>
      <w:szCs w:val="24"/>
    </w:rPr>
  </w:style>
  <w:style w:type="paragraph" w:customStyle="1" w:styleId="2025">
    <w:name w:val="xl2262"/>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firstLineChars="0"/>
      <w:jc w:val="center"/>
    </w:pPr>
    <w:rPr>
      <w:rFonts w:ascii="楷体_GB2312" w:hAnsi="宋体" w:eastAsia="楷体_GB2312" w:cs="宋体"/>
      <w:kern w:val="0"/>
      <w:sz w:val="20"/>
      <w:szCs w:val="20"/>
    </w:rPr>
  </w:style>
  <w:style w:type="paragraph" w:customStyle="1" w:styleId="2026">
    <w:name w:val="表格h"/>
    <w:basedOn w:val="1"/>
    <w:qFormat/>
    <w:uiPriority w:val="0"/>
    <w:pPr>
      <w:adjustRightInd w:val="0"/>
      <w:spacing w:line="0" w:lineRule="atLeast"/>
      <w:ind w:firstLine="0" w:firstLineChars="0"/>
      <w:jc w:val="center"/>
      <w:textAlignment w:val="baseline"/>
    </w:pPr>
    <w:rPr>
      <w:rFonts w:ascii="楷体_GB2312" w:hAnsi="宋体" w:eastAsia="楷体_GB2312"/>
      <w:kern w:val="0"/>
      <w:sz w:val="21"/>
      <w:u w:val="none" w:color="000000"/>
    </w:rPr>
  </w:style>
  <w:style w:type="paragraph" w:customStyle="1" w:styleId="2027">
    <w:name w:val="Char Char Char3 Char"/>
    <w:basedOn w:val="1"/>
    <w:qFormat/>
    <w:uiPriority w:val="0"/>
    <w:rPr>
      <w:szCs w:val="24"/>
    </w:rPr>
  </w:style>
  <w:style w:type="paragraph" w:customStyle="1" w:styleId="2028">
    <w:name w:val="表文[BW]"/>
    <w:basedOn w:val="1491"/>
    <w:next w:val="1"/>
    <w:qFormat/>
    <w:uiPriority w:val="0"/>
    <w:pPr>
      <w:spacing w:before="60" w:after="60"/>
    </w:pPr>
  </w:style>
  <w:style w:type="paragraph" w:customStyle="1" w:styleId="2029">
    <w:name w:val="xl2563"/>
    <w:basedOn w:val="1"/>
    <w:qFormat/>
    <w:uiPriority w:val="0"/>
    <w:pPr>
      <w:widowControl/>
      <w:pBdr>
        <w:top w:val="single" w:color="auto" w:sz="4" w:space="0"/>
        <w:bottom w:val="single" w:color="auto" w:sz="4" w:space="0"/>
      </w:pBdr>
      <w:spacing w:before="100" w:beforeAutospacing="1" w:after="100" w:afterAutospacing="1" w:line="240" w:lineRule="auto"/>
      <w:ind w:firstLine="0" w:firstLineChars="0"/>
      <w:jc w:val="center"/>
    </w:pPr>
    <w:rPr>
      <w:rFonts w:ascii="黑体" w:hAnsi="宋体" w:eastAsia="黑体" w:cs="宋体"/>
      <w:kern w:val="0"/>
      <w:sz w:val="20"/>
      <w:szCs w:val="20"/>
    </w:rPr>
  </w:style>
  <w:style w:type="paragraph" w:customStyle="1" w:styleId="2030">
    <w:name w:val="Plain Text （E）"/>
    <w:basedOn w:val="1"/>
    <w:next w:val="46"/>
    <w:qFormat/>
    <w:uiPriority w:val="0"/>
    <w:pPr>
      <w:adjustRightInd w:val="0"/>
      <w:spacing w:line="240" w:lineRule="atLeast"/>
      <w:ind w:firstLine="482"/>
      <w:jc w:val="left"/>
      <w:textAlignment w:val="baseline"/>
    </w:pPr>
    <w:rPr>
      <w:kern w:val="0"/>
      <w:sz w:val="24"/>
      <w:u w:val="none" w:color="000000"/>
    </w:rPr>
  </w:style>
  <w:style w:type="paragraph" w:customStyle="1" w:styleId="2031">
    <w:name w:val="样式 小四 行距: 最小值 23 磅"/>
    <w:basedOn w:val="1"/>
    <w:qFormat/>
    <w:uiPriority w:val="0"/>
    <w:rPr>
      <w:rFonts w:cs="宋体"/>
      <w:kern w:val="24"/>
      <w:szCs w:val="20"/>
    </w:rPr>
  </w:style>
  <w:style w:type="paragraph" w:customStyle="1" w:styleId="2032">
    <w:name w:val="标 题 4"/>
    <w:basedOn w:val="1"/>
    <w:qFormat/>
    <w:uiPriority w:val="0"/>
    <w:pPr>
      <w:ind w:firstLine="0" w:firstLineChars="0"/>
    </w:pPr>
    <w:rPr>
      <w:rFonts w:ascii="Arial" w:hAnsi="Arial" w:eastAsia="宋体"/>
      <w:bCs/>
      <w:color w:val="000000"/>
    </w:rPr>
  </w:style>
  <w:style w:type="paragraph" w:customStyle="1" w:styleId="2033">
    <w:name w:val="font6"/>
    <w:basedOn w:val="1"/>
    <w:qFormat/>
    <w:uiPriority w:val="0"/>
    <w:pPr>
      <w:widowControl/>
      <w:spacing w:before="100" w:beforeAutospacing="1" w:after="100" w:afterAutospacing="1" w:line="240" w:lineRule="auto"/>
      <w:jc w:val="left"/>
    </w:pPr>
    <w:rPr>
      <w:rFonts w:ascii="Times New Roman" w:eastAsia="Arial Unicode MS"/>
      <w:kern w:val="0"/>
      <w:sz w:val="20"/>
      <w:szCs w:val="20"/>
    </w:rPr>
  </w:style>
  <w:style w:type="paragraph" w:customStyle="1" w:styleId="2034">
    <w:name w:val="小节标题1（阿拉伯）"/>
    <w:basedOn w:val="1"/>
    <w:semiHidden/>
    <w:qFormat/>
    <w:uiPriority w:val="0"/>
    <w:pPr>
      <w:tabs>
        <w:tab w:val="left" w:pos="720"/>
      </w:tabs>
      <w:spacing w:beforeLines="50" w:afterLines="50" w:line="420" w:lineRule="auto"/>
      <w:ind w:firstLine="0" w:firstLineChars="0"/>
    </w:pPr>
    <w:rPr>
      <w:rFonts w:ascii="Times New Roman" w:eastAsia="黑体"/>
      <w:b/>
      <w:spacing w:val="14"/>
      <w:szCs w:val="20"/>
    </w:rPr>
  </w:style>
  <w:style w:type="paragraph" w:customStyle="1" w:styleId="2035">
    <w:name w:val="xl60"/>
    <w:basedOn w:val="1"/>
    <w:qFormat/>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 w:val="16"/>
      <w:szCs w:val="16"/>
    </w:rPr>
  </w:style>
  <w:style w:type="paragraph" w:customStyle="1" w:styleId="2036">
    <w:name w:val="报告书正文"/>
    <w:basedOn w:val="1"/>
    <w:qFormat/>
    <w:uiPriority w:val="0"/>
    <w:pPr>
      <w:spacing w:line="360" w:lineRule="auto"/>
      <w:ind w:firstLine="480"/>
      <w:jc w:val="left"/>
    </w:pPr>
    <w:rPr>
      <w:rFonts w:ascii="Times New Roman" w:eastAsia="宋体"/>
      <w:sz w:val="24"/>
      <w:szCs w:val="24"/>
    </w:rPr>
  </w:style>
  <w:style w:type="paragraph" w:customStyle="1" w:styleId="2037">
    <w:name w:val="xl20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b/>
      <w:bCs/>
      <w:color w:val="000000"/>
      <w:kern w:val="0"/>
      <w:sz w:val="18"/>
      <w:szCs w:val="18"/>
    </w:rPr>
  </w:style>
  <w:style w:type="paragraph" w:customStyle="1" w:styleId="2038">
    <w:name w:val="bbt"/>
    <w:basedOn w:val="1"/>
    <w:qFormat/>
    <w:uiPriority w:val="0"/>
    <w:pPr>
      <w:spacing w:after="60" w:line="240" w:lineRule="auto"/>
      <w:ind w:firstLine="100" w:firstLineChars="100"/>
    </w:pPr>
    <w:rPr>
      <w:rFonts w:ascii="黑体" w:eastAsia="黑体"/>
      <w:color w:val="000000"/>
      <w:kern w:val="0"/>
      <w:sz w:val="24"/>
      <w:szCs w:val="24"/>
    </w:rPr>
  </w:style>
  <w:style w:type="paragraph" w:customStyle="1" w:styleId="2039">
    <w:name w:val="xl239"/>
    <w:basedOn w:val="1"/>
    <w:qFormat/>
    <w:uiPriority w:val="0"/>
    <w:pPr>
      <w:widowControl/>
      <w:pBdr>
        <w:top w:val="single" w:color="auto" w:sz="4" w:space="0"/>
        <w:left w:val="single" w:color="auto" w:sz="4" w:space="0"/>
        <w:bottom w:val="single" w:color="auto" w:sz="4" w:space="0"/>
        <w:right w:val="single" w:color="auto" w:sz="4" w:space="0"/>
      </w:pBdr>
      <w:adjustRightInd w:val="0"/>
      <w:snapToGrid w:val="0"/>
      <w:spacing w:before="100" w:beforeAutospacing="1" w:after="100" w:afterAutospacing="1" w:line="360" w:lineRule="auto"/>
      <w:ind w:firstLine="0" w:firstLineChars="0"/>
      <w:jc w:val="left"/>
    </w:pPr>
    <w:rPr>
      <w:rFonts w:ascii="Times New Roman" w:eastAsia="宋体"/>
      <w:kern w:val="0"/>
      <w:sz w:val="24"/>
      <w:szCs w:val="24"/>
    </w:rPr>
  </w:style>
  <w:style w:type="paragraph" w:customStyle="1" w:styleId="2040">
    <w:name w:val="附图"/>
    <w:basedOn w:val="1"/>
    <w:semiHidden/>
    <w:qFormat/>
    <w:uiPriority w:val="0"/>
    <w:pPr>
      <w:spacing w:line="240" w:lineRule="auto"/>
      <w:jc w:val="center"/>
    </w:pPr>
    <w:rPr>
      <w:sz w:val="24"/>
      <w:szCs w:val="24"/>
    </w:rPr>
  </w:style>
  <w:style w:type="paragraph" w:customStyle="1" w:styleId="2041">
    <w:name w:val="仿宋_GB2312 小五 居中 行距: 单倍行距"/>
    <w:basedOn w:val="1"/>
    <w:qFormat/>
    <w:uiPriority w:val="0"/>
    <w:pPr>
      <w:spacing w:line="240" w:lineRule="auto"/>
      <w:ind w:firstLine="0" w:firstLineChars="0"/>
      <w:jc w:val="center"/>
    </w:pPr>
    <w:rPr>
      <w:rFonts w:cs="宋体"/>
      <w:sz w:val="18"/>
      <w:szCs w:val="20"/>
    </w:rPr>
  </w:style>
  <w:style w:type="paragraph" w:customStyle="1" w:styleId="2042">
    <w:name w:val="标准标题4格式"/>
    <w:basedOn w:val="1169"/>
    <w:qFormat/>
    <w:uiPriority w:val="0"/>
    <w:rPr>
      <w:b w:val="0"/>
      <w:bCs w:val="0"/>
      <w:kern w:val="0"/>
    </w:rPr>
  </w:style>
  <w:style w:type="paragraph" w:customStyle="1" w:styleId="2043">
    <w:name w:val="xl6266"/>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textAlignment w:val="center"/>
    </w:pPr>
    <w:rPr>
      <w:rFonts w:ascii="Times New Roman" w:eastAsia="宋体"/>
      <w:kern w:val="0"/>
      <w:sz w:val="24"/>
      <w:szCs w:val="24"/>
    </w:rPr>
  </w:style>
  <w:style w:type="paragraph" w:customStyle="1" w:styleId="2044">
    <w:name w:val="表内六号"/>
    <w:basedOn w:val="1"/>
    <w:qFormat/>
    <w:uiPriority w:val="0"/>
    <w:pPr>
      <w:adjustRightInd w:val="0"/>
      <w:snapToGrid w:val="0"/>
      <w:spacing w:line="360" w:lineRule="auto"/>
      <w:jc w:val="center"/>
    </w:pPr>
    <w:rPr>
      <w:rFonts w:ascii="Times New Roman" w:eastAsia="宋体"/>
      <w:snapToGrid w:val="0"/>
      <w:sz w:val="15"/>
      <w:szCs w:val="18"/>
    </w:rPr>
  </w:style>
  <w:style w:type="paragraph" w:customStyle="1" w:styleId="2045">
    <w:name w:val="xl2264"/>
    <w:basedOn w:val="1"/>
    <w:qFormat/>
    <w:uiPriority w:val="0"/>
    <w:pPr>
      <w:widowControl/>
      <w:pBdr>
        <w:top w:val="single" w:color="auto" w:sz="4" w:space="0"/>
        <w:left w:val="single" w:color="auto" w:sz="4" w:space="0"/>
        <w:right w:val="single" w:color="auto" w:sz="4" w:space="0"/>
      </w:pBdr>
      <w:spacing w:before="100" w:beforeAutospacing="1" w:after="100" w:afterAutospacing="1" w:line="240" w:lineRule="auto"/>
      <w:ind w:firstLine="0" w:firstLineChars="0"/>
      <w:jc w:val="center"/>
    </w:pPr>
    <w:rPr>
      <w:rFonts w:ascii="楷体_GB2312" w:hAnsi="宋体" w:eastAsia="楷体_GB2312" w:cs="宋体"/>
      <w:kern w:val="0"/>
      <w:sz w:val="20"/>
      <w:szCs w:val="20"/>
    </w:rPr>
  </w:style>
  <w:style w:type="paragraph" w:customStyle="1" w:styleId="2046">
    <w:name w:val="SB标题1"/>
    <w:basedOn w:val="1"/>
    <w:qFormat/>
    <w:uiPriority w:val="0"/>
    <w:pPr>
      <w:widowControl/>
      <w:numPr>
        <w:ilvl w:val="0"/>
        <w:numId w:val="3"/>
      </w:numPr>
      <w:spacing w:before="156" w:after="156" w:line="360" w:lineRule="auto"/>
      <w:ind w:firstLine="0" w:firstLineChars="0"/>
      <w:jc w:val="center"/>
      <w:outlineLvl w:val="0"/>
    </w:pPr>
    <w:rPr>
      <w:rFonts w:ascii="Times New Roman" w:eastAsia="黑体" w:cs="宋体"/>
      <w:sz w:val="32"/>
      <w:szCs w:val="20"/>
    </w:rPr>
  </w:style>
  <w:style w:type="paragraph" w:customStyle="1" w:styleId="2047">
    <w:name w:val="xl2815"/>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pPr>
    <w:rPr>
      <w:rFonts w:ascii="宋体" w:hAnsi="宋体" w:eastAsia="宋体" w:cs="宋体"/>
      <w:kern w:val="0"/>
      <w:sz w:val="24"/>
      <w:szCs w:val="24"/>
    </w:rPr>
  </w:style>
  <w:style w:type="paragraph" w:customStyle="1" w:styleId="2048">
    <w:name w:val="纯文本4"/>
    <w:basedOn w:val="1"/>
    <w:semiHidden/>
    <w:qFormat/>
    <w:uiPriority w:val="0"/>
    <w:pPr>
      <w:adjustRightInd w:val="0"/>
      <w:spacing w:line="360" w:lineRule="atLeast"/>
      <w:jc w:val="left"/>
      <w:textAlignment w:val="baseline"/>
    </w:pPr>
    <w:rPr>
      <w:rFonts w:ascii="宋体" w:hAnsi="Courier New"/>
      <w:kern w:val="0"/>
      <w:sz w:val="24"/>
      <w:szCs w:val="20"/>
    </w:rPr>
  </w:style>
  <w:style w:type="paragraph" w:customStyle="1" w:styleId="2049">
    <w:name w:val="正文文本 27"/>
    <w:basedOn w:val="1"/>
    <w:semiHidden/>
    <w:qFormat/>
    <w:uiPriority w:val="0"/>
    <w:pPr>
      <w:adjustRightInd w:val="0"/>
      <w:ind w:firstLine="461"/>
      <w:textAlignment w:val="baseline"/>
    </w:pPr>
    <w:rPr>
      <w:rFonts w:ascii="方正仿宋简体" w:eastAsia="方正仿宋简体"/>
      <w:kern w:val="0"/>
      <w:sz w:val="24"/>
      <w:szCs w:val="20"/>
    </w:rPr>
  </w:style>
  <w:style w:type="paragraph" w:customStyle="1" w:styleId="2050">
    <w:name w:val="样式 样式 标题 1 + 黑体 三号 非加粗 + 红色"/>
    <w:basedOn w:val="1749"/>
    <w:qFormat/>
    <w:uiPriority w:val="0"/>
    <w:pPr>
      <w:spacing w:line="560" w:lineRule="exact"/>
    </w:pPr>
    <w:rPr>
      <w:rFonts w:ascii="楷体_GB2312" w:hAnsi="Arial" w:eastAsia="楷体_GB2312"/>
      <w:sz w:val="32"/>
      <w:szCs w:val="32"/>
    </w:rPr>
  </w:style>
  <w:style w:type="paragraph" w:customStyle="1" w:styleId="2051">
    <w:name w:val="list1"/>
    <w:basedOn w:val="1"/>
    <w:qFormat/>
    <w:uiPriority w:val="0"/>
    <w:pPr>
      <w:tabs>
        <w:tab w:val="left" w:pos="1134"/>
      </w:tabs>
      <w:autoSpaceDE w:val="0"/>
      <w:autoSpaceDN w:val="0"/>
      <w:adjustRightInd w:val="0"/>
      <w:spacing w:before="60" w:after="60" w:line="480" w:lineRule="atLeast"/>
      <w:ind w:left="1134" w:hanging="284"/>
    </w:pPr>
    <w:rPr>
      <w:rFonts w:ascii="Arial" w:hAnsi="Arial"/>
      <w:spacing w:val="5"/>
      <w:kern w:val="0"/>
      <w:szCs w:val="20"/>
      <w:u w:val="none" w:color="000000"/>
    </w:rPr>
  </w:style>
  <w:style w:type="paragraph" w:customStyle="1" w:styleId="2052">
    <w:name w:val="xl2790"/>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pPr>
    <w:rPr>
      <w:rFonts w:ascii="Times New Roman" w:eastAsia="宋体"/>
      <w:kern w:val="0"/>
      <w:sz w:val="18"/>
      <w:szCs w:val="18"/>
    </w:rPr>
  </w:style>
  <w:style w:type="paragraph" w:customStyle="1" w:styleId="2053">
    <w:name w:val="默认段落字体 Para Char Char Char1 Char Char Char Char"/>
    <w:basedOn w:val="1"/>
    <w:qFormat/>
    <w:uiPriority w:val="0"/>
    <w:rPr>
      <w:rFonts w:ascii="宋体"/>
      <w:u w:val="none" w:color="000000"/>
    </w:rPr>
  </w:style>
  <w:style w:type="paragraph" w:customStyle="1" w:styleId="2054">
    <w:name w:val="list2"/>
    <w:basedOn w:val="2051"/>
    <w:qFormat/>
    <w:uiPriority w:val="0"/>
    <w:pPr>
      <w:tabs>
        <w:tab w:val="left" w:pos="993"/>
        <w:tab w:val="clear" w:pos="1134"/>
      </w:tabs>
      <w:spacing w:line="360" w:lineRule="atLeast"/>
      <w:ind w:hanging="340"/>
    </w:pPr>
    <w:rPr>
      <w:sz w:val="24"/>
    </w:rPr>
  </w:style>
  <w:style w:type="paragraph" w:customStyle="1" w:styleId="2055">
    <w:name w:val="标提 1 Char"/>
    <w:next w:val="1"/>
    <w:semiHidden/>
    <w:qFormat/>
    <w:uiPriority w:val="0"/>
    <w:pPr>
      <w:numPr>
        <w:ilvl w:val="3"/>
        <w:numId w:val="12"/>
      </w:numPr>
      <w:spacing w:before="160" w:after="160"/>
    </w:pPr>
    <w:rPr>
      <w:rFonts w:ascii="黑体" w:hAnsi="Times New Roman" w:eastAsia="黑体" w:cs="Times New Roman"/>
      <w:b/>
      <w:kern w:val="2"/>
      <w:sz w:val="32"/>
      <w:szCs w:val="32"/>
      <w:lang w:val="en-US" w:eastAsia="zh-CN" w:bidi="ar-SA"/>
    </w:rPr>
  </w:style>
  <w:style w:type="paragraph" w:customStyle="1" w:styleId="2056">
    <w:name w:val="默认段落字体 Para"/>
    <w:basedOn w:val="1"/>
    <w:semiHidden/>
    <w:qFormat/>
    <w:uiPriority w:val="0"/>
    <w:rPr>
      <w:szCs w:val="24"/>
    </w:rPr>
  </w:style>
  <w:style w:type="paragraph" w:customStyle="1" w:styleId="2057">
    <w:name w:val="样式 标题02 + 段前: 4 磅 段后: 4 磅"/>
    <w:basedOn w:val="1366"/>
    <w:qFormat/>
    <w:uiPriority w:val="0"/>
    <w:rPr>
      <w:rFonts w:cs="宋体"/>
      <w:bCs w:val="0"/>
      <w:szCs w:val="20"/>
    </w:rPr>
  </w:style>
  <w:style w:type="paragraph" w:customStyle="1" w:styleId="2058">
    <w:name w:val="8.1.1b Char Char Char Char Char Char Char"/>
    <w:next w:val="1"/>
    <w:qFormat/>
    <w:uiPriority w:val="0"/>
    <w:pPr>
      <w:snapToGrid w:val="0"/>
      <w:spacing w:beforeLines="50" w:afterLines="50"/>
    </w:pPr>
    <w:rPr>
      <w:rFonts w:ascii="Times New Roman" w:hAnsi="Times New Roman" w:eastAsia="华文中宋" w:cs="Times New Roman"/>
      <w:b/>
      <w:kern w:val="2"/>
      <w:sz w:val="28"/>
      <w:szCs w:val="28"/>
      <w:lang w:val="en-US" w:eastAsia="zh-CN" w:bidi="ar-SA"/>
    </w:rPr>
  </w:style>
  <w:style w:type="paragraph" w:customStyle="1" w:styleId="2059">
    <w:name w:val="样式 标题 4 + 段前: 0.5 行1"/>
    <w:basedOn w:val="8"/>
    <w:semiHidden/>
    <w:qFormat/>
    <w:uiPriority w:val="0"/>
    <w:pPr>
      <w:numPr>
        <w:ilvl w:val="3"/>
        <w:numId w:val="0"/>
      </w:numPr>
      <w:tabs>
        <w:tab w:val="left" w:pos="1620"/>
      </w:tabs>
      <w:spacing w:before="0" w:beforeLines="50" w:after="120" w:line="377" w:lineRule="auto"/>
      <w:ind w:left="540"/>
      <w:jc w:val="left"/>
    </w:pPr>
    <w:rPr>
      <w:rFonts w:ascii="Arial" w:hAnsi="Arial" w:cs="宋体"/>
      <w:spacing w:val="20"/>
      <w:szCs w:val="20"/>
    </w:rPr>
  </w:style>
  <w:style w:type="paragraph" w:customStyle="1" w:styleId="2060">
    <w:name w:val="正文 Liu"/>
    <w:basedOn w:val="1"/>
    <w:semiHidden/>
    <w:qFormat/>
    <w:uiPriority w:val="0"/>
    <w:pPr>
      <w:spacing w:line="360" w:lineRule="auto"/>
    </w:pPr>
    <w:rPr>
      <w:rFonts w:ascii="Times New Roman" w:eastAsia="幼圆"/>
      <w:spacing w:val="4"/>
      <w:sz w:val="24"/>
      <w:szCs w:val="20"/>
    </w:rPr>
  </w:style>
  <w:style w:type="paragraph" w:customStyle="1" w:styleId="2061">
    <w:name w:val="样式 样式 表格 + 两端对齐 +"/>
    <w:basedOn w:val="1854"/>
    <w:qFormat/>
    <w:uiPriority w:val="0"/>
  </w:style>
  <w:style w:type="paragraph" w:customStyle="1" w:styleId="2062">
    <w:name w:val="样式 标题 3 + 四号"/>
    <w:basedOn w:val="7"/>
    <w:qFormat/>
    <w:uiPriority w:val="0"/>
    <w:pPr>
      <w:keepNext/>
      <w:keepLines/>
      <w:spacing w:after="260" w:afterLines="50" w:line="240" w:lineRule="auto"/>
    </w:pPr>
    <w:rPr>
      <w:rFonts w:ascii="Times New Roman" w:hAnsi="Times New Roman" w:eastAsia="华文中宋"/>
      <w:bCs w:val="0"/>
    </w:rPr>
  </w:style>
  <w:style w:type="paragraph" w:customStyle="1" w:styleId="2063">
    <w:name w:val="样式 样式 (中文) 方正小标宋简体 四号 行距: 1.5 倍行距 + 五号"/>
    <w:basedOn w:val="630"/>
    <w:qFormat/>
    <w:uiPriority w:val="0"/>
    <w:rPr>
      <w:sz w:val="21"/>
    </w:rPr>
  </w:style>
  <w:style w:type="paragraph" w:customStyle="1" w:styleId="2064">
    <w:name w:val="xl134"/>
    <w:basedOn w:val="1"/>
    <w:qFormat/>
    <w:uiPriority w:val="0"/>
    <w:pPr>
      <w:widowControl/>
      <w:pBdr>
        <w:top w:val="single" w:color="auto" w:sz="4" w:space="0"/>
        <w:left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20"/>
      <w:szCs w:val="20"/>
    </w:rPr>
  </w:style>
  <w:style w:type="paragraph" w:customStyle="1" w:styleId="2065">
    <w:name w:val="大君楷体"/>
    <w:basedOn w:val="1"/>
    <w:qFormat/>
    <w:uiPriority w:val="0"/>
    <w:pPr>
      <w:tabs>
        <w:tab w:val="left" w:pos="4075"/>
      </w:tabs>
      <w:ind w:firstLine="200"/>
      <w:outlineLvl w:val="5"/>
    </w:pPr>
    <w:rPr>
      <w:rFonts w:ascii="楷体_GB2312" w:eastAsia="楷体_GB2312"/>
    </w:rPr>
  </w:style>
  <w:style w:type="paragraph" w:customStyle="1" w:styleId="2066">
    <w:name w:val="xl2780"/>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pPr>
    <w:rPr>
      <w:rFonts w:ascii="Times New Roman" w:eastAsia="宋体"/>
      <w:kern w:val="0"/>
      <w:sz w:val="18"/>
      <w:szCs w:val="18"/>
    </w:rPr>
  </w:style>
  <w:style w:type="paragraph" w:customStyle="1" w:styleId="2067">
    <w:name w:val="ChapterText"/>
    <w:basedOn w:val="1"/>
    <w:qFormat/>
    <w:uiPriority w:val="0"/>
    <w:pPr>
      <w:widowControl/>
      <w:overflowPunct w:val="0"/>
      <w:autoSpaceDE w:val="0"/>
      <w:autoSpaceDN w:val="0"/>
      <w:adjustRightInd w:val="0"/>
      <w:ind w:left="1418"/>
      <w:textAlignment w:val="baseline"/>
    </w:pPr>
    <w:rPr>
      <w:kern w:val="0"/>
      <w:sz w:val="22"/>
      <w:u w:val="none" w:color="000000"/>
      <w:lang w:val="en-GB" w:eastAsia="en-US"/>
    </w:rPr>
  </w:style>
  <w:style w:type="paragraph" w:customStyle="1" w:styleId="2068">
    <w:name w:val="xl41"/>
    <w:basedOn w:val="1"/>
    <w:qFormat/>
    <w:uiPriority w:val="0"/>
    <w:pPr>
      <w:widowControl/>
      <w:numPr>
        <w:ilvl w:val="0"/>
        <w:numId w:val="13"/>
      </w:numPr>
      <w:pBdr>
        <w:left w:val="single" w:color="auto" w:sz="4" w:space="0"/>
        <w:bottom w:val="single" w:color="auto" w:sz="4" w:space="0"/>
      </w:pBdr>
      <w:tabs>
        <w:tab w:val="clear" w:pos="1200"/>
      </w:tabs>
      <w:spacing w:before="100" w:beforeAutospacing="1" w:after="100" w:afterAutospacing="1" w:line="240" w:lineRule="auto"/>
      <w:ind w:left="0" w:leftChars="0" w:firstLine="0" w:firstLineChars="0"/>
      <w:jc w:val="center"/>
      <w:textAlignment w:val="center"/>
    </w:pPr>
    <w:rPr>
      <w:rFonts w:ascii="Times New Roman" w:eastAsia="宋体"/>
      <w:kern w:val="0"/>
      <w:sz w:val="16"/>
      <w:szCs w:val="16"/>
    </w:rPr>
  </w:style>
  <w:style w:type="paragraph" w:customStyle="1" w:styleId="2069">
    <w:name w:val="表格02"/>
    <w:basedOn w:val="1498"/>
    <w:qFormat/>
    <w:uiPriority w:val="0"/>
    <w:pPr>
      <w:spacing w:after="0" w:line="0" w:lineRule="atLeast"/>
      <w:ind w:firstLine="0" w:firstLineChars="0"/>
      <w:jc w:val="center"/>
    </w:pPr>
    <w:rPr>
      <w:rFonts w:ascii="楷体_GB2312" w:eastAsia="楷体_GB2312" w:cs="宋体"/>
      <w:color w:val="000000"/>
      <w:sz w:val="21"/>
    </w:rPr>
  </w:style>
  <w:style w:type="paragraph" w:customStyle="1" w:styleId="2070">
    <w:name w:val="样式 样式 小五 居中 +"/>
    <w:basedOn w:val="1"/>
    <w:qFormat/>
    <w:uiPriority w:val="0"/>
    <w:pPr>
      <w:spacing w:line="0" w:lineRule="atLeast"/>
      <w:ind w:firstLine="0" w:firstLineChars="0"/>
      <w:jc w:val="center"/>
    </w:pPr>
    <w:rPr>
      <w:rFonts w:ascii="Times New Roman" w:eastAsia="宋体" w:cs="宋体"/>
      <w:kern w:val="0"/>
      <w:sz w:val="21"/>
      <w:szCs w:val="20"/>
    </w:rPr>
  </w:style>
  <w:style w:type="paragraph" w:customStyle="1" w:styleId="2071">
    <w:name w:val="xl502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24"/>
      <w:szCs w:val="24"/>
    </w:rPr>
  </w:style>
  <w:style w:type="paragraph" w:customStyle="1" w:styleId="2072">
    <w:name w:val="xl6273"/>
    <w:basedOn w:val="1"/>
    <w:qFormat/>
    <w:uiPriority w:val="0"/>
    <w:pPr>
      <w:widowControl/>
      <w:pBdr>
        <w:top w:val="single" w:color="auto" w:sz="4" w:space="0"/>
        <w:bottom w:val="single" w:color="auto" w:sz="4" w:space="0"/>
      </w:pBdr>
      <w:spacing w:beforeLines="25" w:beforeAutospacing="1" w:after="100" w:afterAutospacing="1" w:line="240" w:lineRule="auto"/>
      <w:ind w:firstLine="0" w:firstLineChars="0"/>
      <w:jc w:val="center"/>
      <w:textAlignment w:val="center"/>
    </w:pPr>
    <w:rPr>
      <w:rFonts w:ascii="宋体" w:hAnsi="宋体" w:eastAsia="宋体" w:cs="宋体"/>
      <w:kern w:val="0"/>
      <w:sz w:val="24"/>
      <w:szCs w:val="24"/>
    </w:rPr>
  </w:style>
  <w:style w:type="paragraph" w:customStyle="1" w:styleId="2073">
    <w:name w:val="样式 样式 标2 + Arial 首行缩进:  0.99 厘米 段前: 6 磅 段后: 6 磅 行距: 固定值 28 磅 + 段..."/>
    <w:basedOn w:val="1592"/>
    <w:qFormat/>
    <w:uiPriority w:val="0"/>
  </w:style>
  <w:style w:type="paragraph" w:customStyle="1" w:styleId="2074">
    <w:name w:val="样式 标题 2 + 宋体"/>
    <w:basedOn w:val="5"/>
    <w:semiHidden/>
    <w:qFormat/>
    <w:uiPriority w:val="0"/>
    <w:pPr>
      <w:keepNext/>
      <w:keepLines/>
      <w:numPr>
        <w:ilvl w:val="1"/>
        <w:numId w:val="0"/>
      </w:numPr>
      <w:tabs>
        <w:tab w:val="left" w:pos="1127"/>
      </w:tabs>
      <w:spacing w:before="0" w:beforeLines="600" w:after="0" w:afterLines="50" w:line="360" w:lineRule="auto"/>
      <w:ind w:left="1127" w:hanging="567"/>
    </w:pPr>
    <w:rPr>
      <w:rFonts w:ascii="仿宋_GB2312" w:hAnsi="宋体" w:eastAsia="仿宋_GB2312"/>
      <w:sz w:val="28"/>
      <w:szCs w:val="32"/>
    </w:rPr>
  </w:style>
  <w:style w:type="paragraph" w:customStyle="1" w:styleId="2075">
    <w:name w:val="表 名000"/>
    <w:basedOn w:val="2076"/>
    <w:qFormat/>
    <w:uiPriority w:val="0"/>
    <w:pPr>
      <w:ind w:firstLine="240"/>
    </w:pPr>
  </w:style>
  <w:style w:type="paragraph" w:customStyle="1" w:styleId="2076">
    <w:name w:val="样式 样式 样式 样式 样式 公正文 + 黑体 小四 首行缩进:  2 字符 + 首行缩进:  1 字符 + 首行缩进:  1 ..."/>
    <w:basedOn w:val="1858"/>
    <w:qFormat/>
    <w:uiPriority w:val="0"/>
  </w:style>
  <w:style w:type="paragraph" w:customStyle="1" w:styleId="2077">
    <w:name w:val="style42"/>
    <w:basedOn w:val="1"/>
    <w:qFormat/>
    <w:uiPriority w:val="0"/>
    <w:pPr>
      <w:widowControl/>
      <w:spacing w:before="100" w:beforeAutospacing="1" w:after="100" w:afterAutospacing="1" w:line="240" w:lineRule="auto"/>
      <w:ind w:firstLine="0" w:firstLineChars="0"/>
      <w:jc w:val="left"/>
    </w:pPr>
    <w:rPr>
      <w:rFonts w:ascii="宋体" w:hAnsi="宋体" w:eastAsia="宋体" w:cs="宋体"/>
      <w:b/>
      <w:bCs/>
      <w:kern w:val="0"/>
      <w:sz w:val="20"/>
      <w:szCs w:val="20"/>
    </w:rPr>
  </w:style>
  <w:style w:type="paragraph" w:customStyle="1" w:styleId="2078">
    <w:name w:val="1."/>
    <w:basedOn w:val="1"/>
    <w:qFormat/>
    <w:uiPriority w:val="0"/>
    <w:pPr>
      <w:tabs>
        <w:tab w:val="left" w:pos="0"/>
        <w:tab w:val="left" w:pos="426"/>
      </w:tabs>
      <w:adjustRightInd w:val="0"/>
      <w:spacing w:line="480" w:lineRule="exact"/>
      <w:ind w:left="425" w:hanging="425"/>
      <w:textAlignment w:val="baseline"/>
    </w:pPr>
    <w:rPr>
      <w:rFonts w:ascii="Arial" w:hAnsi="Arial"/>
      <w:kern w:val="0"/>
      <w:sz w:val="24"/>
      <w:szCs w:val="20"/>
      <w:u w:val="none" w:color="000000"/>
    </w:rPr>
  </w:style>
  <w:style w:type="paragraph" w:customStyle="1" w:styleId="2079">
    <w:name w:val="标题22"/>
    <w:basedOn w:val="5"/>
    <w:next w:val="5"/>
    <w:qFormat/>
    <w:uiPriority w:val="0"/>
    <w:pPr>
      <w:spacing w:before="0" w:after="0" w:line="540" w:lineRule="exact"/>
      <w:ind w:firstLine="357"/>
    </w:pPr>
    <w:rPr>
      <w:rFonts w:ascii="黑体" w:hAnsi="宋体"/>
      <w:kern w:val="0"/>
      <w:sz w:val="30"/>
      <w:szCs w:val="30"/>
    </w:rPr>
  </w:style>
  <w:style w:type="paragraph" w:customStyle="1" w:styleId="2080">
    <w:name w:val="xl45364"/>
    <w:basedOn w:val="1"/>
    <w:qFormat/>
    <w:uiPriority w:val="0"/>
    <w:pPr>
      <w:widowControl/>
      <w:spacing w:before="100" w:beforeAutospacing="1" w:after="100" w:afterAutospacing="1" w:line="240" w:lineRule="auto"/>
      <w:ind w:firstLine="0" w:firstLineChars="0"/>
      <w:jc w:val="center"/>
    </w:pPr>
    <w:rPr>
      <w:rFonts w:ascii="Times New Roman" w:eastAsia="宋体"/>
      <w:kern w:val="0"/>
      <w:sz w:val="20"/>
      <w:szCs w:val="20"/>
    </w:rPr>
  </w:style>
  <w:style w:type="paragraph" w:customStyle="1" w:styleId="2081">
    <w:name w:val="样式 正文1 + 首行缩进:  2 字符"/>
    <w:basedOn w:val="971"/>
    <w:qFormat/>
    <w:uiPriority w:val="0"/>
    <w:pPr>
      <w:adjustRightInd w:val="0"/>
      <w:spacing w:afterLines="0"/>
      <w:ind w:firstLine="200" w:firstLineChars="200"/>
      <w:jc w:val="both"/>
      <w:textAlignment w:val="baseline"/>
    </w:pPr>
    <w:rPr>
      <w:rFonts w:ascii="楷体_GB2312" w:eastAsia="楷体_GB2312" w:cs="宋体"/>
      <w:spacing w:val="20"/>
      <w:sz w:val="28"/>
    </w:rPr>
  </w:style>
  <w:style w:type="paragraph" w:customStyle="1" w:styleId="2082">
    <w:name w:val="xl2580"/>
    <w:basedOn w:val="1"/>
    <w:qFormat/>
    <w:uiPriority w:val="0"/>
    <w:pPr>
      <w:widowControl/>
      <w:pBdr>
        <w:right w:val="single" w:color="auto" w:sz="4" w:space="0"/>
      </w:pBdr>
      <w:spacing w:before="100" w:beforeAutospacing="1" w:after="100" w:afterAutospacing="1" w:line="240" w:lineRule="auto"/>
      <w:ind w:firstLine="0" w:firstLineChars="0"/>
      <w:jc w:val="center"/>
    </w:pPr>
    <w:rPr>
      <w:rFonts w:ascii="楷体_GB2312" w:hAnsi="宋体" w:eastAsia="楷体_GB2312" w:cs="宋体"/>
      <w:kern w:val="0"/>
      <w:sz w:val="20"/>
      <w:szCs w:val="20"/>
    </w:rPr>
  </w:style>
  <w:style w:type="paragraph" w:customStyle="1" w:styleId="2083">
    <w:name w:val="标题1"/>
    <w:basedOn w:val="1954"/>
    <w:qFormat/>
    <w:uiPriority w:val="0"/>
    <w:pPr>
      <w:tabs>
        <w:tab w:val="clear" w:pos="360"/>
      </w:tabs>
      <w:spacing w:afterLines="0"/>
      <w:ind w:left="0" w:firstLine="0"/>
      <w:jc w:val="left"/>
    </w:pPr>
    <w:rPr>
      <w:rFonts w:ascii="Arial" w:hAnsi="Arial"/>
      <w:bCs/>
      <w:sz w:val="36"/>
      <w:szCs w:val="36"/>
    </w:rPr>
  </w:style>
  <w:style w:type="paragraph" w:customStyle="1" w:styleId="2084">
    <w:name w:val="Char6"/>
    <w:basedOn w:val="1"/>
    <w:qFormat/>
    <w:uiPriority w:val="0"/>
    <w:pPr>
      <w:snapToGrid w:val="0"/>
      <w:spacing w:line="360" w:lineRule="auto"/>
    </w:pPr>
    <w:rPr>
      <w:rFonts w:ascii="Times New Roman"/>
      <w:sz w:val="24"/>
      <w:szCs w:val="24"/>
      <w:u w:val="none" w:color="000000"/>
    </w:rPr>
  </w:style>
  <w:style w:type="paragraph" w:customStyle="1" w:styleId="2085">
    <w:name w:val="大表"/>
    <w:basedOn w:val="1"/>
    <w:semiHidden/>
    <w:qFormat/>
    <w:uiPriority w:val="0"/>
    <w:pPr>
      <w:snapToGrid w:val="0"/>
      <w:spacing w:line="360" w:lineRule="auto"/>
      <w:ind w:firstLine="480"/>
    </w:pPr>
    <w:rPr>
      <w:rFonts w:ascii="宋体" w:hAnsi="宋体" w:eastAsia="宋体"/>
      <w:sz w:val="24"/>
      <w:szCs w:val="24"/>
    </w:rPr>
  </w:style>
  <w:style w:type="paragraph" w:customStyle="1" w:styleId="2086">
    <w:name w:val="样式 样式 楷体_GB2312 首行缩进:  2 字符 + 五号 行距: 最小值 0 磅"/>
    <w:basedOn w:val="1065"/>
    <w:qFormat/>
    <w:uiPriority w:val="0"/>
    <w:pPr>
      <w:spacing w:line="0" w:lineRule="atLeast"/>
      <w:ind w:firstLine="0" w:firstLineChars="0"/>
      <w:jc w:val="center"/>
    </w:pPr>
    <w:rPr>
      <w:rFonts w:hAnsi="Times New Roman"/>
      <w:sz w:val="21"/>
    </w:rPr>
  </w:style>
  <w:style w:type="paragraph" w:customStyle="1" w:styleId="2087">
    <w:name w:val="xl2585"/>
    <w:basedOn w:val="1"/>
    <w:qFormat/>
    <w:uiPriority w:val="0"/>
    <w:pPr>
      <w:widowControl/>
      <w:spacing w:before="100" w:beforeAutospacing="1" w:after="100" w:afterAutospacing="1" w:line="240" w:lineRule="auto"/>
      <w:ind w:firstLine="0" w:firstLineChars="0"/>
      <w:jc w:val="left"/>
    </w:pPr>
    <w:rPr>
      <w:rFonts w:ascii="宋体" w:hAnsi="宋体" w:eastAsia="宋体" w:cs="宋体"/>
      <w:kern w:val="0"/>
      <w:sz w:val="24"/>
      <w:szCs w:val="24"/>
    </w:rPr>
  </w:style>
  <w:style w:type="paragraph" w:customStyle="1" w:styleId="2088">
    <w:name w:val="样式 表头 + 首行缩进:  1 字符1"/>
    <w:basedOn w:val="1"/>
    <w:qFormat/>
    <w:uiPriority w:val="0"/>
    <w:pPr>
      <w:spacing w:after="60"/>
      <w:ind w:firstLine="240" w:firstLineChars="100"/>
    </w:pPr>
    <w:rPr>
      <w:rFonts w:ascii="黑体" w:eastAsia="黑体" w:cs="宋体"/>
      <w:sz w:val="24"/>
      <w:szCs w:val="20"/>
    </w:rPr>
  </w:style>
  <w:style w:type="paragraph" w:customStyle="1" w:styleId="2089">
    <w:name w:val="报告标题"/>
    <w:basedOn w:val="1"/>
    <w:qFormat/>
    <w:uiPriority w:val="0"/>
    <w:pPr>
      <w:spacing w:line="305" w:lineRule="auto"/>
      <w:ind w:firstLine="560"/>
    </w:pPr>
    <w:rPr>
      <w:rFonts w:ascii="华文新魏" w:eastAsia="华文新魏"/>
      <w:snapToGrid w:val="0"/>
      <w:kern w:val="0"/>
      <w:szCs w:val="24"/>
    </w:rPr>
  </w:style>
  <w:style w:type="paragraph" w:customStyle="1" w:styleId="2090">
    <w:name w:val="标题四"/>
    <w:basedOn w:val="1"/>
    <w:qFormat/>
    <w:uiPriority w:val="0"/>
    <w:pPr>
      <w:ind w:firstLine="0" w:firstLineChars="0"/>
    </w:pPr>
    <w:rPr>
      <w:rFonts w:ascii="Arial" w:hAnsi="Arial" w:eastAsia="宋体"/>
    </w:rPr>
  </w:style>
  <w:style w:type="paragraph" w:customStyle="1" w:styleId="2091">
    <w:name w:val="xl186"/>
    <w:basedOn w:val="1"/>
    <w:qFormat/>
    <w:uiPriority w:val="0"/>
    <w:pPr>
      <w:widowControl/>
      <w:pBdr>
        <w:top w:val="single" w:color="auto" w:sz="4" w:space="0"/>
        <w:left w:val="single" w:color="auto" w:sz="8" w:space="0"/>
        <w:bottom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 w:val="20"/>
      <w:szCs w:val="20"/>
    </w:rPr>
  </w:style>
  <w:style w:type="paragraph" w:customStyle="1" w:styleId="2092">
    <w:name w:val="标 题 0 1"/>
    <w:basedOn w:val="1461"/>
    <w:qFormat/>
    <w:uiPriority w:val="0"/>
  </w:style>
  <w:style w:type="paragraph" w:customStyle="1" w:styleId="2093">
    <w:name w:val="样式48"/>
    <w:basedOn w:val="2094"/>
    <w:qFormat/>
    <w:uiPriority w:val="0"/>
    <w:pPr>
      <w:ind w:firstLine="200"/>
    </w:pPr>
  </w:style>
  <w:style w:type="paragraph" w:customStyle="1" w:styleId="2094">
    <w:name w:val="样式 样式38 + 首行缩进:  2 字符"/>
    <w:basedOn w:val="1"/>
    <w:qFormat/>
    <w:uiPriority w:val="0"/>
    <w:pPr>
      <w:adjustRightInd w:val="0"/>
      <w:ind w:firstLine="576"/>
      <w:textAlignment w:val="baseline"/>
    </w:pPr>
    <w:rPr>
      <w:rFonts w:cs="宋体"/>
      <w:kern w:val="0"/>
      <w:szCs w:val="20"/>
    </w:rPr>
  </w:style>
  <w:style w:type="paragraph" w:customStyle="1" w:styleId="2095">
    <w:name w:val="样式7"/>
    <w:basedOn w:val="2006"/>
    <w:qFormat/>
    <w:uiPriority w:val="0"/>
    <w:rPr>
      <w:color w:val="000000"/>
    </w:rPr>
  </w:style>
  <w:style w:type="paragraph" w:customStyle="1" w:styleId="2096">
    <w:name w:val="xl626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 w:val="20"/>
      <w:szCs w:val="20"/>
    </w:rPr>
  </w:style>
  <w:style w:type="paragraph" w:customStyle="1" w:styleId="2097">
    <w:name w:val="大君表格"/>
    <w:basedOn w:val="1"/>
    <w:qFormat/>
    <w:uiPriority w:val="0"/>
    <w:pPr>
      <w:spacing w:line="0" w:lineRule="atLeast"/>
      <w:ind w:firstLine="0" w:firstLineChars="0"/>
      <w:jc w:val="center"/>
    </w:pPr>
    <w:rPr>
      <w:rFonts w:ascii="楷体_GB2312" w:eastAsia="楷体_GB2312"/>
      <w:sz w:val="21"/>
      <w:szCs w:val="24"/>
    </w:rPr>
  </w:style>
  <w:style w:type="paragraph" w:customStyle="1" w:styleId="2098">
    <w:name w:val="样式 样式 样式 样式 hy 表名 + 首行缩进:  1 字符3 + 首行缩进:  1 字符 + 首行缩进:  1 字符 + 首..."/>
    <w:basedOn w:val="1"/>
    <w:qFormat/>
    <w:uiPriority w:val="0"/>
    <w:pPr>
      <w:adjustRightInd w:val="0"/>
      <w:spacing w:after="60" w:line="460" w:lineRule="exact"/>
      <w:ind w:firstLine="240" w:firstLineChars="100"/>
    </w:pPr>
    <w:rPr>
      <w:rFonts w:ascii="黑体" w:eastAsia="黑体" w:cs="宋体"/>
      <w:sz w:val="24"/>
      <w:szCs w:val="20"/>
    </w:rPr>
  </w:style>
  <w:style w:type="paragraph" w:customStyle="1" w:styleId="2099">
    <w:name w:val="xl83"/>
    <w:basedOn w:val="1"/>
    <w:qFormat/>
    <w:uiPriority w:val="0"/>
    <w:pPr>
      <w:widowControl/>
      <w:pBdr>
        <w:left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 w:val="18"/>
      <w:szCs w:val="18"/>
    </w:rPr>
  </w:style>
  <w:style w:type="paragraph" w:customStyle="1" w:styleId="2100">
    <w:name w:val="样式 标题 3 + 黑体 四号"/>
    <w:basedOn w:val="7"/>
    <w:qFormat/>
    <w:uiPriority w:val="0"/>
    <w:pPr>
      <w:keepNext/>
      <w:keepLines/>
      <w:adjustRightInd w:val="0"/>
      <w:snapToGrid w:val="0"/>
      <w:spacing w:before="120" w:after="120" w:line="360" w:lineRule="auto"/>
      <w:jc w:val="left"/>
    </w:pPr>
    <w:rPr>
      <w:rFonts w:ascii="华文中宋" w:hAnsi="Times New Roman" w:eastAsia="华文中宋"/>
      <w:b/>
      <w:sz w:val="24"/>
      <w:szCs w:val="24"/>
    </w:rPr>
  </w:style>
  <w:style w:type="paragraph" w:customStyle="1" w:styleId="2101">
    <w:name w:val="样式 标题 1 + 四号"/>
    <w:basedOn w:val="4"/>
    <w:semiHidden/>
    <w:qFormat/>
    <w:uiPriority w:val="0"/>
    <w:pPr>
      <w:keepNext/>
      <w:keepLines/>
      <w:tabs>
        <w:tab w:val="left" w:pos="1270"/>
      </w:tabs>
      <w:adjustRightInd w:val="0"/>
      <w:snapToGrid w:val="0"/>
      <w:spacing w:after="480" w:line="720" w:lineRule="auto"/>
      <w:ind w:left="1270" w:hanging="630"/>
      <w:jc w:val="center"/>
      <w:textAlignment w:val="baseline"/>
    </w:pPr>
    <w:rPr>
      <w:b/>
      <w:bCs w:val="0"/>
      <w:sz w:val="28"/>
      <w:szCs w:val="20"/>
    </w:rPr>
  </w:style>
  <w:style w:type="paragraph" w:customStyle="1" w:styleId="2102">
    <w:name w:val="表头 + 仿宋_GB2312 黑色 两端对齐 左侧:  0.25 厘米 段前: 9.7 磅 + 首行缩进:  1 字符"/>
    <w:basedOn w:val="1"/>
    <w:qFormat/>
    <w:uiPriority w:val="0"/>
    <w:pPr>
      <w:adjustRightInd w:val="0"/>
      <w:snapToGrid w:val="0"/>
      <w:spacing w:after="60"/>
      <w:ind w:firstLine="100" w:firstLineChars="100"/>
      <w:jc w:val="center"/>
      <w:textAlignment w:val="baseline"/>
    </w:pPr>
    <w:rPr>
      <w:rFonts w:ascii="黑体" w:hAnsi="宋体" w:eastAsia="黑体"/>
      <w:color w:val="000000"/>
      <w:kern w:val="0"/>
      <w:sz w:val="24"/>
      <w:u w:val="none" w:color="000000"/>
    </w:rPr>
  </w:style>
  <w:style w:type="paragraph" w:customStyle="1" w:styleId="2103">
    <w:name w:val="正文段落"/>
    <w:basedOn w:val="1"/>
    <w:qFormat/>
    <w:uiPriority w:val="0"/>
    <w:pPr>
      <w:widowControl/>
      <w:spacing w:line="240" w:lineRule="auto"/>
      <w:jc w:val="left"/>
    </w:pPr>
    <w:rPr>
      <w:rFonts w:ascii="Times New Roman" w:eastAsia="宋体"/>
      <w:kern w:val="0"/>
      <w:szCs w:val="22"/>
      <w:lang w:eastAsia="en-US" w:bidi="en-US"/>
    </w:rPr>
  </w:style>
  <w:style w:type="paragraph" w:customStyle="1" w:styleId="2104">
    <w:name w:val="xl2267"/>
    <w:basedOn w:val="1"/>
    <w:qFormat/>
    <w:uiPriority w:val="0"/>
    <w:pPr>
      <w:widowControl/>
      <w:pBdr>
        <w:left w:val="single" w:color="auto" w:sz="4" w:space="0"/>
        <w:right w:val="single" w:color="auto" w:sz="4" w:space="0"/>
      </w:pBdr>
      <w:spacing w:before="100" w:beforeAutospacing="1" w:after="100" w:afterAutospacing="1" w:line="240" w:lineRule="auto"/>
      <w:ind w:firstLine="0" w:firstLineChars="0"/>
      <w:jc w:val="center"/>
    </w:pPr>
    <w:rPr>
      <w:rFonts w:ascii="楷体_GB2312" w:hAnsi="宋体" w:eastAsia="楷体_GB2312" w:cs="宋体"/>
      <w:kern w:val="0"/>
      <w:sz w:val="20"/>
      <w:szCs w:val="20"/>
    </w:rPr>
  </w:style>
  <w:style w:type="paragraph" w:customStyle="1" w:styleId="2105">
    <w:name w:val="xl59"/>
    <w:basedOn w:val="1"/>
    <w:qFormat/>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color w:val="000000"/>
      <w:kern w:val="0"/>
      <w:sz w:val="16"/>
      <w:szCs w:val="16"/>
    </w:rPr>
  </w:style>
  <w:style w:type="paragraph" w:customStyle="1" w:styleId="2106">
    <w:name w:val="xl192"/>
    <w:basedOn w:val="1"/>
    <w:qFormat/>
    <w:uiPriority w:val="0"/>
    <w:pPr>
      <w:widowControl/>
      <w:pBdr>
        <w:left w:val="single" w:color="auto" w:sz="8"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24"/>
      <w:szCs w:val="24"/>
    </w:rPr>
  </w:style>
  <w:style w:type="paragraph" w:customStyle="1" w:styleId="2107">
    <w:name w:val="已访问的超级链接"/>
    <w:qFormat/>
    <w:uiPriority w:val="99"/>
    <w:pPr>
      <w:widowControl w:val="0"/>
      <w:spacing w:line="560" w:lineRule="exact"/>
      <w:ind w:firstLine="200" w:firstLineChars="200"/>
      <w:jc w:val="both"/>
    </w:pPr>
    <w:rPr>
      <w:rFonts w:ascii="Times New Roman" w:hAnsi="Times New Roman" w:eastAsia="仿宋_GB2312" w:cs="Times New Roman"/>
      <w:kern w:val="2"/>
      <w:sz w:val="28"/>
      <w:szCs w:val="28"/>
      <w:lang w:val="en-US" w:eastAsia="zh-CN" w:bidi="ar-SA"/>
    </w:rPr>
  </w:style>
  <w:style w:type="paragraph" w:customStyle="1" w:styleId="2108">
    <w:name w:val="xl2588"/>
    <w:basedOn w:val="1"/>
    <w:qFormat/>
    <w:uiPriority w:val="0"/>
    <w:pPr>
      <w:widowControl/>
      <w:pBdr>
        <w:bottom w:val="single" w:color="auto" w:sz="4" w:space="0"/>
      </w:pBdr>
      <w:spacing w:before="100" w:beforeAutospacing="1" w:after="100" w:afterAutospacing="1" w:line="240" w:lineRule="auto"/>
      <w:ind w:firstLine="0" w:firstLineChars="0"/>
      <w:jc w:val="center"/>
    </w:pPr>
    <w:rPr>
      <w:rFonts w:ascii="楷体_GB2312" w:hAnsi="宋体" w:eastAsia="楷体_GB2312" w:cs="宋体"/>
      <w:kern w:val="0"/>
      <w:sz w:val="20"/>
      <w:szCs w:val="20"/>
    </w:rPr>
  </w:style>
  <w:style w:type="paragraph" w:customStyle="1" w:styleId="2109">
    <w:name w:val="表目录"/>
    <w:basedOn w:val="1"/>
    <w:semiHidden/>
    <w:qFormat/>
    <w:uiPriority w:val="0"/>
    <w:pPr>
      <w:adjustRightInd w:val="0"/>
      <w:snapToGrid w:val="0"/>
      <w:spacing w:line="240" w:lineRule="auto"/>
      <w:ind w:firstLine="0" w:firstLineChars="0"/>
      <w:jc w:val="center"/>
    </w:pPr>
    <w:rPr>
      <w:rFonts w:ascii="Arial" w:hAnsi="Arial" w:eastAsia="黑体"/>
      <w:w w:val="95"/>
      <w:kern w:val="0"/>
      <w:szCs w:val="24"/>
    </w:rPr>
  </w:style>
  <w:style w:type="paragraph" w:customStyle="1" w:styleId="2110">
    <w:name w:val="样式44"/>
    <w:basedOn w:val="1"/>
    <w:qFormat/>
    <w:uiPriority w:val="0"/>
    <w:pPr>
      <w:spacing w:line="240" w:lineRule="auto"/>
      <w:jc w:val="center"/>
    </w:pPr>
    <w:rPr>
      <w:rFonts w:ascii="黑体" w:eastAsia="黑体"/>
      <w:sz w:val="24"/>
      <w:szCs w:val="24"/>
    </w:rPr>
  </w:style>
  <w:style w:type="paragraph" w:customStyle="1" w:styleId="2111">
    <w:name w:val="正文文本缩进 24"/>
    <w:basedOn w:val="1"/>
    <w:next w:val="52"/>
    <w:semiHidden/>
    <w:qFormat/>
    <w:uiPriority w:val="0"/>
    <w:pPr>
      <w:ind w:firstLine="555"/>
    </w:pPr>
    <w:rPr>
      <w:rFonts w:ascii="宋体"/>
      <w:sz w:val="24"/>
      <w:szCs w:val="20"/>
    </w:rPr>
  </w:style>
  <w:style w:type="paragraph" w:customStyle="1" w:styleId="2112">
    <w:name w:val="表 格11111"/>
    <w:basedOn w:val="1"/>
    <w:qFormat/>
    <w:uiPriority w:val="0"/>
    <w:pPr>
      <w:spacing w:line="0" w:lineRule="atLeast"/>
      <w:ind w:firstLine="0" w:firstLineChars="0"/>
      <w:jc w:val="center"/>
      <w:textAlignment w:val="baseline"/>
      <w:outlineLvl w:val="7"/>
    </w:pPr>
    <w:rPr>
      <w:rFonts w:ascii="Times New Roman" w:eastAsia="楷体_GB2312"/>
      <w:kern w:val="0"/>
      <w:sz w:val="21"/>
      <w:szCs w:val="21"/>
    </w:rPr>
  </w:style>
  <w:style w:type="paragraph" w:customStyle="1" w:styleId="2113">
    <w:name w:val="样式 (中文) 黑体 四号"/>
    <w:basedOn w:val="1"/>
    <w:qFormat/>
    <w:uiPriority w:val="0"/>
    <w:pPr>
      <w:spacing w:line="160" w:lineRule="exact"/>
      <w:ind w:firstLine="560"/>
    </w:pPr>
    <w:rPr>
      <w:rFonts w:ascii="Times New Roman"/>
    </w:rPr>
  </w:style>
  <w:style w:type="paragraph" w:customStyle="1" w:styleId="2114">
    <w:name w:val="通用样式"/>
    <w:basedOn w:val="1"/>
    <w:qFormat/>
    <w:uiPriority w:val="0"/>
    <w:pPr>
      <w:spacing w:line="360" w:lineRule="auto"/>
      <w:ind w:firstLine="567" w:firstLineChars="0"/>
    </w:pPr>
    <w:rPr>
      <w:rFonts w:ascii="Times New Roman" w:eastAsia="宋体"/>
      <w:szCs w:val="20"/>
    </w:rPr>
  </w:style>
  <w:style w:type="paragraph" w:customStyle="1" w:styleId="2115">
    <w:name w:val="Char Char Char Char Char Char Char Char Char Char Char Char Char Char Char Char Char Char Char Char Char Char Char Char Char Char Char Char Char"/>
    <w:basedOn w:val="1"/>
    <w:semiHidden/>
    <w:qFormat/>
    <w:uiPriority w:val="0"/>
    <w:pPr>
      <w:widowControl/>
      <w:spacing w:after="160" w:line="240" w:lineRule="exact"/>
      <w:ind w:firstLine="0" w:firstLineChars="0"/>
      <w:jc w:val="left"/>
    </w:pPr>
    <w:rPr>
      <w:rFonts w:ascii="宋体" w:hAnsi="宋体" w:eastAsia="宋体"/>
      <w:spacing w:val="14"/>
      <w:kern w:val="0"/>
      <w:sz w:val="24"/>
      <w:szCs w:val="24"/>
      <w:u w:val="none" w:color="000000"/>
    </w:rPr>
  </w:style>
  <w:style w:type="paragraph" w:customStyle="1" w:styleId="2116">
    <w:name w:val="样式 样式 标题 3标题 3 Charl3CTl3+toc 3heading 3h3Sub-section Title... +..."/>
    <w:basedOn w:val="1434"/>
    <w:qFormat/>
    <w:uiPriority w:val="0"/>
  </w:style>
  <w:style w:type="paragraph" w:customStyle="1" w:styleId="2117">
    <w:name w:val="正文A1"/>
    <w:basedOn w:val="1"/>
    <w:semiHidden/>
    <w:qFormat/>
    <w:uiPriority w:val="0"/>
    <w:pPr>
      <w:adjustRightInd w:val="0"/>
      <w:spacing w:line="360" w:lineRule="auto"/>
      <w:ind w:firstLine="482" w:firstLineChars="0"/>
      <w:textAlignment w:val="baseline"/>
    </w:pPr>
    <w:rPr>
      <w:rFonts w:ascii="Times New Roman" w:eastAsia="宋体"/>
      <w:kern w:val="0"/>
      <w:sz w:val="24"/>
      <w:szCs w:val="20"/>
    </w:rPr>
  </w:style>
  <w:style w:type="paragraph" w:customStyle="1" w:styleId="2118">
    <w:name w:val="Default"/>
    <w:qFormat/>
    <w:uiPriority w:val="0"/>
    <w:pPr>
      <w:widowControl w:val="0"/>
      <w:autoSpaceDE w:val="0"/>
      <w:autoSpaceDN w:val="0"/>
      <w:adjustRightInd w:val="0"/>
    </w:pPr>
    <w:rPr>
      <w:rFonts w:ascii="仿宋_GB2312" w:hAnsi="仿宋_GB2312" w:eastAsia="宋体" w:cs="仿宋_GB2312"/>
      <w:color w:val="000000"/>
      <w:sz w:val="24"/>
      <w:szCs w:val="24"/>
      <w:lang w:val="en-US" w:eastAsia="zh-CN" w:bidi="ar-SA"/>
    </w:rPr>
  </w:style>
  <w:style w:type="paragraph" w:customStyle="1" w:styleId="2119">
    <w:name w:val="样式 样式 表格 + Times New Roman 黑色 首行缩进:  0.37 厘米 行距: 固定值 16 磅 + 橙色 ..."/>
    <w:basedOn w:val="1814"/>
    <w:qFormat/>
    <w:uiPriority w:val="0"/>
    <w:rPr>
      <w:color w:val="FF6600"/>
    </w:rPr>
  </w:style>
  <w:style w:type="paragraph" w:customStyle="1" w:styleId="2120">
    <w:name w:val="样式 公表头 + 首行缩进:  2 字符1"/>
    <w:basedOn w:val="1449"/>
    <w:qFormat/>
    <w:uiPriority w:val="0"/>
    <w:pPr>
      <w:spacing w:after="60"/>
    </w:pPr>
  </w:style>
  <w:style w:type="paragraph" w:customStyle="1" w:styleId="2121">
    <w:name w:val="a0"/>
    <w:basedOn w:val="1"/>
    <w:semiHidden/>
    <w:qFormat/>
    <w:uiPriority w:val="0"/>
    <w:pPr>
      <w:widowControl/>
      <w:spacing w:before="100" w:beforeAutospacing="1" w:after="100" w:afterAutospacing="1" w:line="240" w:lineRule="auto"/>
      <w:ind w:firstLine="0" w:firstLineChars="0"/>
      <w:jc w:val="left"/>
    </w:pPr>
    <w:rPr>
      <w:rFonts w:ascii="宋体" w:hAnsi="宋体" w:eastAsia="宋体" w:cs="宋体"/>
      <w:kern w:val="0"/>
      <w:sz w:val="24"/>
      <w:szCs w:val="24"/>
    </w:rPr>
  </w:style>
  <w:style w:type="paragraph" w:customStyle="1" w:styleId="2122">
    <w:name w:val="样式 表名 + 首行缩进:  1 字符1"/>
    <w:basedOn w:val="624"/>
    <w:qFormat/>
    <w:uiPriority w:val="0"/>
    <w:pPr>
      <w:adjustRightInd w:val="0"/>
      <w:snapToGrid w:val="0"/>
      <w:textAlignment w:val="baseline"/>
    </w:pPr>
    <w:rPr>
      <w:rFonts w:cs="宋体"/>
      <w:kern w:val="0"/>
      <w:szCs w:val="20"/>
    </w:rPr>
  </w:style>
  <w:style w:type="paragraph" w:customStyle="1" w:styleId="2123">
    <w:name w:val="xl2277"/>
    <w:basedOn w:val="1"/>
    <w:qFormat/>
    <w:uiPriority w:val="0"/>
    <w:pPr>
      <w:widowControl/>
      <w:pBdr>
        <w:top w:val="single" w:color="auto" w:sz="4" w:space="0"/>
        <w:bottom w:val="single" w:color="auto" w:sz="4" w:space="0"/>
      </w:pBdr>
      <w:spacing w:before="100" w:beforeAutospacing="1" w:after="100" w:afterAutospacing="1" w:line="240" w:lineRule="auto"/>
      <w:ind w:firstLine="0" w:firstLineChars="0"/>
      <w:jc w:val="center"/>
    </w:pPr>
    <w:rPr>
      <w:rFonts w:ascii="楷体_GB2312" w:hAnsi="宋体" w:eastAsia="楷体_GB2312" w:cs="宋体"/>
      <w:kern w:val="0"/>
      <w:sz w:val="20"/>
      <w:szCs w:val="20"/>
    </w:rPr>
  </w:style>
  <w:style w:type="paragraph" w:customStyle="1" w:styleId="2124">
    <w:name w:val="xl2791"/>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pPr>
    <w:rPr>
      <w:rFonts w:ascii="Times New Roman" w:eastAsia="宋体"/>
      <w:kern w:val="0"/>
      <w:sz w:val="18"/>
      <w:szCs w:val="18"/>
    </w:rPr>
  </w:style>
  <w:style w:type="paragraph" w:customStyle="1" w:styleId="2125">
    <w:name w:val="表格名"/>
    <w:basedOn w:val="35"/>
    <w:semiHidden/>
    <w:qFormat/>
    <w:uiPriority w:val="0"/>
    <w:pPr>
      <w:spacing w:after="0"/>
      <w:ind w:firstLine="0" w:firstLineChars="0"/>
      <w:jc w:val="center"/>
    </w:pPr>
    <w:rPr>
      <w:rFonts w:ascii="黑体" w:eastAsia="黑体"/>
      <w:sz w:val="28"/>
      <w:szCs w:val="20"/>
      <w:lang w:val="en-US" w:eastAsia="zh-CN"/>
    </w:rPr>
  </w:style>
  <w:style w:type="paragraph" w:customStyle="1" w:styleId="2126">
    <w:name w:val="样式 标题 2 + Times New Roman 小三"/>
    <w:basedOn w:val="5"/>
    <w:qFormat/>
    <w:uiPriority w:val="0"/>
    <w:pPr>
      <w:keepNext/>
      <w:keepLines/>
      <w:spacing w:before="0" w:after="0" w:afterLines="50" w:line="400" w:lineRule="exact"/>
    </w:pPr>
    <w:rPr>
      <w:rFonts w:ascii="Times New Roman" w:hAnsi="Times New Roman"/>
      <w:sz w:val="28"/>
    </w:rPr>
  </w:style>
  <w:style w:type="paragraph" w:customStyle="1" w:styleId="2127">
    <w:name w:val="样式20"/>
    <w:basedOn w:val="2128"/>
    <w:qFormat/>
    <w:uiPriority w:val="0"/>
  </w:style>
  <w:style w:type="paragraph" w:customStyle="1" w:styleId="2128">
    <w:name w:val="样式19"/>
    <w:basedOn w:val="1"/>
    <w:qFormat/>
    <w:uiPriority w:val="0"/>
    <w:pPr>
      <w:widowControl/>
      <w:spacing w:beforeLines="50" w:afterLines="50" w:line="240" w:lineRule="auto"/>
    </w:pPr>
    <w:rPr>
      <w:rFonts w:ascii="黑体" w:eastAsia="华文中宋"/>
      <w:b/>
      <w:kern w:val="0"/>
    </w:rPr>
  </w:style>
  <w:style w:type="paragraph" w:customStyle="1" w:styleId="2129">
    <w:name w:val="4 Char Char Char Char"/>
    <w:basedOn w:val="1"/>
    <w:qFormat/>
    <w:uiPriority w:val="0"/>
    <w:pPr>
      <w:spacing w:line="240" w:lineRule="auto"/>
      <w:ind w:firstLine="0" w:firstLineChars="0"/>
    </w:pPr>
    <w:rPr>
      <w:rFonts w:ascii="Times New Roman" w:eastAsia="宋体"/>
      <w:sz w:val="30"/>
      <w:szCs w:val="30"/>
    </w:rPr>
  </w:style>
  <w:style w:type="paragraph" w:customStyle="1" w:styleId="2130">
    <w:name w:val="标准正文格式 Char Char Char"/>
    <w:basedOn w:val="1"/>
    <w:qFormat/>
    <w:uiPriority w:val="0"/>
    <w:pPr>
      <w:spacing w:line="360" w:lineRule="auto"/>
      <w:ind w:firstLine="490" w:firstLineChars="204"/>
    </w:pPr>
    <w:rPr>
      <w:rFonts w:ascii="宋体" w:hAnsi="宋体" w:eastAsia="宋体"/>
      <w:kern w:val="0"/>
      <w:sz w:val="24"/>
      <w:szCs w:val="24"/>
    </w:rPr>
  </w:style>
  <w:style w:type="paragraph" w:customStyle="1" w:styleId="2131">
    <w:name w:val="俺的标题4"/>
    <w:basedOn w:val="8"/>
    <w:semiHidden/>
    <w:qFormat/>
    <w:uiPriority w:val="0"/>
    <w:pPr>
      <w:tabs>
        <w:tab w:val="left" w:pos="720"/>
      </w:tabs>
      <w:spacing w:before="40" w:after="0" w:line="360" w:lineRule="auto"/>
      <w:ind w:firstLine="0" w:firstLineChars="0"/>
      <w:jc w:val="left"/>
    </w:pPr>
    <w:rPr>
      <w:rFonts w:ascii="楷体_GB2312" w:hAnsi="Arial" w:eastAsia="仿宋_GB2312" w:cs="宋体"/>
      <w:kern w:val="0"/>
      <w:szCs w:val="20"/>
      <w:lang w:val="en-US" w:eastAsia="zh-CN"/>
    </w:rPr>
  </w:style>
  <w:style w:type="paragraph" w:customStyle="1" w:styleId="2132">
    <w:name w:val="样式22"/>
    <w:basedOn w:val="1"/>
    <w:qFormat/>
    <w:uiPriority w:val="0"/>
    <w:pPr>
      <w:spacing w:line="240" w:lineRule="auto"/>
      <w:jc w:val="center"/>
    </w:pPr>
    <w:rPr>
      <w:rFonts w:ascii="Times New Roman" w:eastAsia="黑体"/>
      <w:sz w:val="24"/>
      <w:szCs w:val="24"/>
    </w:rPr>
  </w:style>
  <w:style w:type="paragraph" w:customStyle="1" w:styleId="2133">
    <w:name w:val="标题 4A"/>
    <w:basedOn w:val="8"/>
    <w:next w:val="8"/>
    <w:semiHidden/>
    <w:qFormat/>
    <w:uiPriority w:val="0"/>
    <w:pPr>
      <w:spacing w:before="0" w:beforeLines="50" w:after="0" w:afterLines="50" w:line="360" w:lineRule="auto"/>
      <w:ind w:firstLine="0" w:firstLineChars="0"/>
      <w:jc w:val="left"/>
    </w:pPr>
    <w:rPr>
      <w:rFonts w:ascii="Arial" w:hAnsi="Arial"/>
      <w:sz w:val="24"/>
      <w:szCs w:val="24"/>
      <w:lang w:val="en-US" w:eastAsia="zh-CN"/>
    </w:rPr>
  </w:style>
  <w:style w:type="paragraph" w:customStyle="1" w:styleId="2134">
    <w:name w:val="样式25"/>
    <w:basedOn w:val="1"/>
    <w:qFormat/>
    <w:uiPriority w:val="0"/>
    <w:pPr>
      <w:adjustRightInd w:val="0"/>
      <w:spacing w:line="460" w:lineRule="exact"/>
      <w:ind w:firstLine="480"/>
      <w:textAlignment w:val="baseline"/>
    </w:pPr>
    <w:rPr>
      <w:rFonts w:ascii="Times New Roman" w:eastAsia="宋体"/>
      <w:color w:val="000000"/>
      <w:sz w:val="24"/>
      <w:szCs w:val="20"/>
    </w:rPr>
  </w:style>
  <w:style w:type="paragraph" w:customStyle="1" w:styleId="2135">
    <w:name w:val="标注"/>
    <w:basedOn w:val="1"/>
    <w:qFormat/>
    <w:uiPriority w:val="0"/>
    <w:pPr>
      <w:spacing w:line="360" w:lineRule="auto"/>
      <w:jc w:val="left"/>
    </w:pPr>
    <w:rPr>
      <w:rFonts w:ascii="黑体" w:hAnsi="黑体" w:eastAsia="楷体"/>
      <w:kern w:val="0"/>
      <w:sz w:val="24"/>
      <w:szCs w:val="24"/>
    </w:rPr>
  </w:style>
  <w:style w:type="paragraph" w:customStyle="1" w:styleId="2136">
    <w:name w:val="xl2744"/>
    <w:basedOn w:val="1"/>
    <w:qFormat/>
    <w:uiPriority w:val="0"/>
    <w:pPr>
      <w:widowControl/>
      <w:spacing w:before="100" w:beforeAutospacing="1" w:after="100" w:afterAutospacing="1" w:line="240" w:lineRule="auto"/>
      <w:ind w:firstLine="0" w:firstLineChars="0"/>
      <w:jc w:val="left"/>
    </w:pPr>
    <w:rPr>
      <w:rFonts w:ascii="楷体_GB2312" w:hAnsi="宋体" w:eastAsia="楷体_GB2312" w:cs="宋体"/>
      <w:kern w:val="0"/>
      <w:sz w:val="20"/>
      <w:szCs w:val="20"/>
    </w:rPr>
  </w:style>
  <w:style w:type="paragraph" w:customStyle="1" w:styleId="2137">
    <w:name w:val="样式61"/>
    <w:basedOn w:val="1"/>
    <w:qFormat/>
    <w:uiPriority w:val="0"/>
    <w:pPr>
      <w:keepNext/>
      <w:spacing w:line="240" w:lineRule="auto"/>
      <w:ind w:firstLine="475"/>
    </w:pPr>
    <w:rPr>
      <w:rFonts w:ascii="Times New Roman" w:eastAsia="华文中宋"/>
      <w:sz w:val="24"/>
      <w:szCs w:val="24"/>
    </w:rPr>
  </w:style>
  <w:style w:type="paragraph" w:customStyle="1" w:styleId="2138">
    <w:name w:val="样式 样式 样式 样式 样式 ZW + 首行缩进:  2 字符 + 首行缩进:  2 字符 + 首行缩进:  2 字符 + 首行...1"/>
    <w:basedOn w:val="1"/>
    <w:qFormat/>
    <w:uiPriority w:val="0"/>
    <w:rPr>
      <w:rFonts w:cs="宋体"/>
      <w:szCs w:val="20"/>
    </w:rPr>
  </w:style>
  <w:style w:type="paragraph" w:customStyle="1" w:styleId="2139">
    <w:name w:val="标提 2"/>
    <w:basedOn w:val="5"/>
    <w:next w:val="1526"/>
    <w:semiHidden/>
    <w:qFormat/>
    <w:uiPriority w:val="0"/>
    <w:pPr>
      <w:numPr>
        <w:ilvl w:val="1"/>
        <w:numId w:val="0"/>
      </w:numPr>
      <w:tabs>
        <w:tab w:val="left" w:pos="315"/>
        <w:tab w:val="left" w:pos="945"/>
      </w:tabs>
      <w:spacing w:before="0" w:beforeLines="600" w:after="0" w:afterLines="600" w:line="240" w:lineRule="exact"/>
      <w:ind w:left="567" w:hanging="567"/>
      <w:jc w:val="left"/>
    </w:pPr>
    <w:rPr>
      <w:rFonts w:ascii="Times New Roman" w:hAnsi="Times New Roman" w:eastAsia="宋体"/>
      <w:color w:val="000000"/>
      <w:sz w:val="30"/>
      <w:szCs w:val="30"/>
    </w:rPr>
  </w:style>
  <w:style w:type="paragraph" w:customStyle="1" w:styleId="2140">
    <w:name w:val="SB标题3"/>
    <w:basedOn w:val="1"/>
    <w:qFormat/>
    <w:uiPriority w:val="0"/>
    <w:pPr>
      <w:widowControl/>
      <w:numPr>
        <w:ilvl w:val="2"/>
        <w:numId w:val="3"/>
      </w:numPr>
      <w:spacing w:before="93" w:after="93" w:line="360" w:lineRule="auto"/>
      <w:ind w:firstLineChars="0"/>
      <w:jc w:val="left"/>
      <w:outlineLvl w:val="2"/>
    </w:pPr>
    <w:rPr>
      <w:rFonts w:ascii="Times New Roman" w:eastAsia="宋体"/>
      <w:b/>
      <w:bCs/>
      <w:sz w:val="24"/>
      <w:szCs w:val="20"/>
    </w:rPr>
  </w:style>
  <w:style w:type="paragraph" w:customStyle="1" w:styleId="2141">
    <w:name w:val="aaa"/>
    <w:basedOn w:val="46"/>
    <w:qFormat/>
    <w:uiPriority w:val="0"/>
    <w:pPr>
      <w:widowControl w:val="0"/>
      <w:spacing w:line="580" w:lineRule="exact"/>
      <w:ind w:firstLine="567"/>
      <w:textAlignment w:val="auto"/>
    </w:pPr>
    <w:rPr>
      <w:rFonts w:ascii="仿宋_GB2312" w:hAnsi="宋体" w:eastAsia="仿宋_GB2312"/>
      <w:color w:val="auto"/>
      <w:kern w:val="28"/>
      <w:sz w:val="28"/>
      <w:szCs w:val="24"/>
      <w:lang w:val="en-US" w:eastAsia="zh-CN"/>
    </w:rPr>
  </w:style>
  <w:style w:type="paragraph" w:customStyle="1" w:styleId="2142">
    <w:name w:val="Char Char Char Char Char Char Char Char Char Char Char Char Char Char Char Char Char Char Char Char Char Char Char Char Char Char"/>
    <w:basedOn w:val="1"/>
    <w:semiHidden/>
    <w:qFormat/>
    <w:uiPriority w:val="0"/>
    <w:pPr>
      <w:widowControl/>
      <w:spacing w:after="160" w:line="240" w:lineRule="exact"/>
      <w:ind w:firstLine="0" w:firstLineChars="0"/>
      <w:jc w:val="left"/>
    </w:pPr>
    <w:rPr>
      <w:rFonts w:ascii="宋体" w:hAnsi="宋体" w:eastAsia="宋体"/>
      <w:spacing w:val="14"/>
      <w:kern w:val="0"/>
      <w:sz w:val="24"/>
      <w:szCs w:val="24"/>
      <w:u w:val="none" w:color="000000"/>
    </w:rPr>
  </w:style>
  <w:style w:type="paragraph" w:customStyle="1" w:styleId="2143">
    <w:name w:val="样式41"/>
    <w:basedOn w:val="1"/>
    <w:qFormat/>
    <w:uiPriority w:val="0"/>
    <w:pPr>
      <w:spacing w:line="240" w:lineRule="auto"/>
      <w:ind w:firstLine="0" w:firstLineChars="0"/>
      <w:jc w:val="center"/>
    </w:pPr>
    <w:rPr>
      <w:rFonts w:ascii="Times New Roman" w:eastAsia="黑体"/>
      <w:sz w:val="24"/>
      <w:szCs w:val="20"/>
    </w:rPr>
  </w:style>
  <w:style w:type="paragraph" w:customStyle="1" w:styleId="2144">
    <w:name w:val="xl1606"/>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textAlignment w:val="center"/>
    </w:pPr>
    <w:rPr>
      <w:rFonts w:ascii="Times New Roman" w:eastAsia="宋体"/>
      <w:color w:val="00B050"/>
      <w:kern w:val="0"/>
      <w:sz w:val="24"/>
      <w:szCs w:val="24"/>
    </w:rPr>
  </w:style>
  <w:style w:type="paragraph" w:customStyle="1" w:styleId="2145">
    <w:name w:val="小括号YM"/>
    <w:basedOn w:val="1"/>
    <w:qFormat/>
    <w:uiPriority w:val="0"/>
    <w:rPr>
      <w:rFonts w:ascii="Times New Roman" w:eastAsia="楷体_GB2312" w:cs="宋体"/>
      <w:szCs w:val="20"/>
    </w:rPr>
  </w:style>
  <w:style w:type="paragraph" w:customStyle="1" w:styleId="2146">
    <w:name w:val="xl2561"/>
    <w:basedOn w:val="1"/>
    <w:qFormat/>
    <w:uiPriority w:val="0"/>
    <w:pPr>
      <w:widowControl/>
      <w:pBdr>
        <w:top w:val="single" w:color="auto" w:sz="4" w:space="0"/>
        <w:bottom w:val="single" w:color="auto" w:sz="4" w:space="0"/>
      </w:pBdr>
      <w:spacing w:before="100" w:beforeAutospacing="1" w:after="100" w:afterAutospacing="1" w:line="240" w:lineRule="auto"/>
      <w:ind w:firstLine="0" w:firstLineChars="0"/>
      <w:jc w:val="center"/>
    </w:pPr>
    <w:rPr>
      <w:rFonts w:ascii="黑体" w:hAnsi="宋体" w:eastAsia="黑体" w:cs="宋体"/>
      <w:kern w:val="0"/>
      <w:sz w:val="20"/>
      <w:szCs w:val="20"/>
    </w:rPr>
  </w:style>
  <w:style w:type="paragraph" w:customStyle="1" w:styleId="2147">
    <w:name w:val="表文(小)"/>
    <w:basedOn w:val="1"/>
    <w:qFormat/>
    <w:uiPriority w:val="0"/>
    <w:pPr>
      <w:jc w:val="center"/>
    </w:pPr>
    <w:rPr>
      <w:rFonts w:eastAsia="楷体_GB2312"/>
      <w:kern w:val="0"/>
      <w:sz w:val="18"/>
      <w:szCs w:val="24"/>
      <w:u w:val="none" w:color="000000"/>
    </w:rPr>
  </w:style>
  <w:style w:type="paragraph" w:customStyle="1" w:styleId="2148">
    <w:name w:val="xl274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Times New Roman" w:eastAsia="宋体"/>
      <w:kern w:val="0"/>
      <w:sz w:val="20"/>
      <w:szCs w:val="20"/>
    </w:rPr>
  </w:style>
  <w:style w:type="paragraph" w:customStyle="1" w:styleId="2149">
    <w:name w:val="样式 标题 2 + 黑色"/>
    <w:basedOn w:val="5"/>
    <w:qFormat/>
    <w:uiPriority w:val="0"/>
    <w:pPr>
      <w:keepNext/>
      <w:keepLines/>
      <w:tabs>
        <w:tab w:val="left" w:pos="567"/>
      </w:tabs>
      <w:spacing w:before="0" w:beforeLines="50" w:after="0" w:afterLines="50" w:line="240" w:lineRule="exact"/>
      <w:ind w:left="567" w:hanging="567"/>
    </w:pPr>
    <w:rPr>
      <w:rFonts w:eastAsia="华文中宋"/>
      <w:b/>
      <w:color w:val="000000"/>
      <w:sz w:val="28"/>
    </w:rPr>
  </w:style>
  <w:style w:type="paragraph" w:customStyle="1" w:styleId="2150">
    <w:name w:val="大君3标题"/>
    <w:basedOn w:val="2116"/>
    <w:qFormat/>
    <w:uiPriority w:val="0"/>
    <w:rPr>
      <w:szCs w:val="20"/>
    </w:rPr>
  </w:style>
  <w:style w:type="paragraph" w:customStyle="1" w:styleId="2151">
    <w:name w:val="Char Char Char Char"/>
    <w:basedOn w:val="4"/>
    <w:qFormat/>
    <w:uiPriority w:val="0"/>
    <w:pPr>
      <w:keepNext/>
      <w:keepLines/>
      <w:tabs>
        <w:tab w:val="left" w:pos="360"/>
        <w:tab w:val="left" w:pos="900"/>
      </w:tabs>
      <w:adjustRightInd w:val="0"/>
      <w:snapToGrid w:val="0"/>
      <w:spacing w:beforeLines="50" w:after="120" w:afterLines="50" w:line="720" w:lineRule="exact"/>
      <w:jc w:val="left"/>
    </w:pPr>
    <w:rPr>
      <w:rFonts w:ascii="Times New Roman" w:hAnsi="Times New Roman"/>
      <w:bCs w:val="0"/>
      <w:snapToGrid w:val="0"/>
      <w:sz w:val="28"/>
      <w:szCs w:val="24"/>
    </w:rPr>
  </w:style>
  <w:style w:type="paragraph" w:customStyle="1" w:styleId="2152">
    <w:name w:val="xl1591"/>
    <w:basedOn w:val="1"/>
    <w:qFormat/>
    <w:uiPriority w:val="0"/>
    <w:pPr>
      <w:widowControl/>
      <w:spacing w:beforeLines="25" w:beforeAutospacing="1" w:after="100" w:afterAutospacing="1" w:line="240" w:lineRule="auto"/>
      <w:ind w:firstLine="0" w:firstLineChars="0"/>
      <w:jc w:val="center"/>
    </w:pPr>
    <w:rPr>
      <w:rFonts w:ascii="Times New Roman" w:eastAsia="宋体"/>
      <w:kern w:val="0"/>
      <w:sz w:val="24"/>
      <w:szCs w:val="24"/>
    </w:rPr>
  </w:style>
  <w:style w:type="paragraph" w:customStyle="1" w:styleId="2153">
    <w:name w:val="xl146"/>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0" w:firstLineChars="0"/>
      <w:jc w:val="left"/>
    </w:pPr>
    <w:rPr>
      <w:rFonts w:ascii="Times New Roman" w:eastAsia="宋体"/>
      <w:kern w:val="0"/>
      <w:sz w:val="20"/>
      <w:szCs w:val="20"/>
    </w:rPr>
  </w:style>
  <w:style w:type="paragraph" w:customStyle="1" w:styleId="2154">
    <w:name w:val="*正文风"/>
    <w:basedOn w:val="1"/>
    <w:qFormat/>
    <w:uiPriority w:val="0"/>
    <w:pPr>
      <w:tabs>
        <w:tab w:val="left" w:pos="417"/>
      </w:tabs>
      <w:adjustRightInd w:val="0"/>
      <w:spacing w:line="312" w:lineRule="atLeast"/>
      <w:ind w:left="284" w:hanging="227" w:firstLineChars="0"/>
      <w:textAlignment w:val="baseline"/>
    </w:pPr>
    <w:rPr>
      <w:rFonts w:ascii="Times New Roman" w:eastAsia="宋体"/>
      <w:kern w:val="0"/>
      <w:szCs w:val="30"/>
    </w:rPr>
  </w:style>
  <w:style w:type="paragraph" w:customStyle="1" w:styleId="2155">
    <w:name w:val="居中"/>
    <w:basedOn w:val="1"/>
    <w:qFormat/>
    <w:uiPriority w:val="0"/>
    <w:pPr>
      <w:spacing w:line="240" w:lineRule="auto"/>
      <w:ind w:firstLine="0" w:firstLineChars="0"/>
      <w:jc w:val="center"/>
    </w:pPr>
    <w:rPr>
      <w:sz w:val="21"/>
      <w:szCs w:val="21"/>
      <w:u w:val="none" w:color="000000"/>
    </w:rPr>
  </w:style>
  <w:style w:type="paragraph" w:customStyle="1" w:styleId="2156">
    <w:name w:val="样式 公正文 + 首行缩进:  2 字符3"/>
    <w:basedOn w:val="382"/>
    <w:semiHidden/>
    <w:qFormat/>
    <w:uiPriority w:val="0"/>
    <w:pPr>
      <w:adjustRightInd w:val="0"/>
      <w:snapToGrid w:val="0"/>
    </w:pPr>
    <w:rPr>
      <w:rFonts w:hAnsi="宋体"/>
      <w:kern w:val="0"/>
    </w:rPr>
  </w:style>
  <w:style w:type="paragraph" w:customStyle="1" w:styleId="2157">
    <w:name w:val="样式39"/>
    <w:basedOn w:val="1"/>
    <w:qFormat/>
    <w:uiPriority w:val="0"/>
    <w:pPr>
      <w:spacing w:line="320" w:lineRule="exact"/>
      <w:ind w:firstLine="0" w:firstLineChars="0"/>
      <w:jc w:val="center"/>
    </w:pPr>
    <w:rPr>
      <w:rFonts w:ascii="Times New Roman" w:eastAsia="华文中宋"/>
      <w:sz w:val="21"/>
      <w:szCs w:val="24"/>
    </w:rPr>
  </w:style>
  <w:style w:type="paragraph" w:customStyle="1" w:styleId="2158">
    <w:name w:val="空行"/>
    <w:basedOn w:val="1"/>
    <w:qFormat/>
    <w:uiPriority w:val="0"/>
    <w:pPr>
      <w:adjustRightInd w:val="0"/>
      <w:snapToGrid w:val="0"/>
      <w:spacing w:line="240" w:lineRule="auto"/>
      <w:ind w:firstLine="100" w:firstLineChars="100"/>
    </w:pPr>
    <w:rPr>
      <w:rFonts w:ascii="黑体" w:hAnsi="宋体" w:eastAsia="黑体"/>
      <w:sz w:val="10"/>
      <w:szCs w:val="24"/>
    </w:rPr>
  </w:style>
  <w:style w:type="paragraph" w:customStyle="1" w:styleId="2159">
    <w:name w:val="表头 样式 首行缩进:  2 字符"/>
    <w:basedOn w:val="1"/>
    <w:qFormat/>
    <w:uiPriority w:val="0"/>
    <w:pPr>
      <w:adjustRightInd w:val="0"/>
      <w:spacing w:afterLines="300"/>
      <w:ind w:left="100" w:leftChars="100" w:firstLine="1100" w:firstLineChars="1100"/>
      <w:textAlignment w:val="baseline"/>
    </w:pPr>
    <w:rPr>
      <w:rFonts w:ascii="黑体" w:eastAsia="黑体" w:cs="宋体"/>
      <w:kern w:val="0"/>
      <w:sz w:val="24"/>
      <w:szCs w:val="20"/>
      <w:u w:val="none" w:color="000000"/>
    </w:rPr>
  </w:style>
  <w:style w:type="paragraph" w:customStyle="1" w:styleId="2160">
    <w:name w:val="xl2757"/>
    <w:basedOn w:val="1"/>
    <w:qFormat/>
    <w:uiPriority w:val="0"/>
    <w:pPr>
      <w:widowControl/>
      <w:spacing w:before="100" w:beforeAutospacing="1" w:after="100" w:afterAutospacing="1" w:line="240" w:lineRule="auto"/>
      <w:ind w:firstLine="0" w:firstLineChars="0"/>
      <w:jc w:val="center"/>
    </w:pPr>
    <w:rPr>
      <w:rFonts w:ascii="宋体" w:hAnsi="宋体" w:eastAsia="宋体" w:cs="宋体"/>
      <w:kern w:val="0"/>
      <w:sz w:val="20"/>
      <w:szCs w:val="20"/>
    </w:rPr>
  </w:style>
  <w:style w:type="paragraph" w:customStyle="1" w:styleId="2161">
    <w:name w:val="font0"/>
    <w:basedOn w:val="1"/>
    <w:qFormat/>
    <w:uiPriority w:val="0"/>
    <w:pPr>
      <w:widowControl/>
      <w:numPr>
        <w:ilvl w:val="0"/>
        <w:numId w:val="14"/>
      </w:numPr>
      <w:tabs>
        <w:tab w:val="clear" w:pos="2040"/>
      </w:tabs>
      <w:spacing w:before="100" w:beforeAutospacing="1" w:after="100" w:afterAutospacing="1" w:line="240" w:lineRule="auto"/>
      <w:ind w:left="0" w:leftChars="0" w:firstLine="0" w:firstLineChars="0"/>
      <w:jc w:val="left"/>
    </w:pPr>
    <w:rPr>
      <w:rFonts w:ascii="宋体" w:hAnsi="宋体" w:eastAsia="宋体" w:cs="宋体"/>
      <w:kern w:val="0"/>
      <w:sz w:val="24"/>
      <w:szCs w:val="24"/>
    </w:rPr>
  </w:style>
  <w:style w:type="paragraph" w:customStyle="1" w:styleId="2162">
    <w:name w:val="xl97"/>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18"/>
      <w:szCs w:val="18"/>
    </w:rPr>
  </w:style>
  <w:style w:type="paragraph" w:customStyle="1" w:styleId="2163">
    <w:name w:val="脚注文本（E）"/>
    <w:basedOn w:val="67"/>
    <w:qFormat/>
    <w:uiPriority w:val="0"/>
    <w:pPr>
      <w:adjustRightInd w:val="0"/>
      <w:spacing w:line="320" w:lineRule="atLeast"/>
      <w:ind w:firstLine="425" w:firstLineChars="200"/>
      <w:jc w:val="both"/>
      <w:textAlignment w:val="baseline"/>
    </w:pPr>
    <w:rPr>
      <w:rFonts w:eastAsia="仿宋_GB2312"/>
      <w:kern w:val="0"/>
      <w:sz w:val="24"/>
      <w:szCs w:val="28"/>
      <w:u w:val="none" w:color="000000"/>
      <w:lang w:val="en-US" w:eastAsia="zh-CN"/>
    </w:rPr>
  </w:style>
  <w:style w:type="paragraph" w:customStyle="1" w:styleId="2164">
    <w:name w:val="何氏正亠"/>
    <w:basedOn w:val="1"/>
    <w:qFormat/>
    <w:uiPriority w:val="0"/>
    <w:pPr>
      <w:adjustRightInd w:val="0"/>
      <w:spacing w:line="360" w:lineRule="auto"/>
      <w:ind w:right="280" w:firstLine="588" w:firstLineChars="210"/>
    </w:pPr>
    <w:rPr>
      <w:rFonts w:cs="宋体"/>
      <w:kern w:val="0"/>
      <w:szCs w:val="20"/>
      <w:u w:val="none" w:color="000000"/>
    </w:rPr>
  </w:style>
  <w:style w:type="paragraph" w:customStyle="1" w:styleId="2165">
    <w:name w:val="样式 样式 (西文) Times New Roman 首行缩进:  2 字符1 + 首行缩进:  2 字符"/>
    <w:basedOn w:val="1"/>
    <w:qFormat/>
    <w:uiPriority w:val="0"/>
    <w:rPr>
      <w:rFonts w:cs="宋体"/>
      <w:szCs w:val="20"/>
    </w:rPr>
  </w:style>
  <w:style w:type="paragraph" w:customStyle="1" w:styleId="2166">
    <w:name w:val="编章标题"/>
    <w:next w:val="87"/>
    <w:qFormat/>
    <w:uiPriority w:val="0"/>
    <w:pPr>
      <w:spacing w:before="300" w:after="300"/>
      <w:jc w:val="center"/>
    </w:pPr>
    <w:rPr>
      <w:rFonts w:ascii="Arial" w:hAnsi="Arial" w:eastAsia="黑体" w:cs="Times New Roman"/>
      <w:b/>
      <w:spacing w:val="20"/>
      <w:kern w:val="2"/>
      <w:sz w:val="52"/>
      <w:szCs w:val="44"/>
      <w:lang w:val="en-US" w:eastAsia="zh-CN" w:bidi="ar-SA"/>
    </w:rPr>
  </w:style>
  <w:style w:type="paragraph" w:customStyle="1" w:styleId="2167">
    <w:name w:val="表序"/>
    <w:next w:val="12"/>
    <w:qFormat/>
    <w:uiPriority w:val="0"/>
    <w:pPr>
      <w:adjustRightInd w:val="0"/>
      <w:snapToGrid w:val="0"/>
      <w:spacing w:line="300" w:lineRule="auto"/>
    </w:pPr>
    <w:rPr>
      <w:rFonts w:ascii="Times New Roman" w:hAnsi="Times New Roman" w:eastAsia="黑体" w:cs="Times New Roman"/>
      <w:sz w:val="24"/>
      <w:lang w:val="en-US" w:eastAsia="zh-CN" w:bidi="ar-SA"/>
    </w:rPr>
  </w:style>
  <w:style w:type="paragraph" w:customStyle="1" w:styleId="2168">
    <w:name w:val="样式 标题 1 +1"/>
    <w:basedOn w:val="4"/>
    <w:semiHidden/>
    <w:qFormat/>
    <w:uiPriority w:val="0"/>
    <w:pPr>
      <w:numPr>
        <w:ilvl w:val="0"/>
        <w:numId w:val="15"/>
      </w:numPr>
      <w:spacing w:before="160" w:after="160" w:line="240" w:lineRule="auto"/>
    </w:pPr>
    <w:rPr>
      <w:rFonts w:ascii="Times New Roman" w:hAnsi="Times New Roman"/>
      <w:bCs w:val="0"/>
      <w:color w:val="000000"/>
      <w:kern w:val="2"/>
      <w:sz w:val="32"/>
      <w:szCs w:val="32"/>
    </w:rPr>
  </w:style>
  <w:style w:type="paragraph" w:customStyle="1" w:styleId="2169">
    <w:name w:val="表头NN +"/>
    <w:basedOn w:val="1"/>
    <w:qFormat/>
    <w:uiPriority w:val="0"/>
    <w:pPr>
      <w:widowControl/>
      <w:snapToGrid w:val="0"/>
      <w:spacing w:after="60"/>
      <w:ind w:firstLine="240" w:firstLineChars="100"/>
      <w:outlineLvl w:val="7"/>
    </w:pPr>
    <w:rPr>
      <w:rFonts w:ascii="黑体" w:eastAsia="黑体" w:cs="宋体"/>
      <w:kern w:val="0"/>
      <w:sz w:val="24"/>
      <w:szCs w:val="20"/>
    </w:rPr>
  </w:style>
  <w:style w:type="paragraph" w:customStyle="1" w:styleId="2170">
    <w:name w:val="标题 二 Char Char标题 2 CharParagrafoH22nd levelh2Heade..."/>
    <w:basedOn w:val="5"/>
    <w:qFormat/>
    <w:uiPriority w:val="0"/>
    <w:pPr>
      <w:keepNext/>
      <w:keepLines/>
      <w:adjustRightInd w:val="0"/>
      <w:spacing w:before="0" w:after="0"/>
      <w:jc w:val="left"/>
      <w:textAlignment w:val="baseline"/>
    </w:pPr>
    <w:rPr>
      <w:rFonts w:ascii="Arial" w:hAnsi="Arial"/>
      <w:b/>
      <w:kern w:val="0"/>
      <w:szCs w:val="20"/>
      <w:u w:val="none" w:color="000000"/>
      <w:lang w:val="en-US" w:eastAsia="zh-CN"/>
    </w:rPr>
  </w:style>
  <w:style w:type="paragraph" w:customStyle="1" w:styleId="2171">
    <w:name w:val="样式 表格文字 +"/>
    <w:basedOn w:val="1"/>
    <w:qFormat/>
    <w:uiPriority w:val="0"/>
    <w:pPr>
      <w:adjustRightInd w:val="0"/>
      <w:snapToGrid w:val="0"/>
      <w:spacing w:line="0" w:lineRule="atLeast"/>
      <w:jc w:val="center"/>
      <w:outlineLvl w:val="7"/>
    </w:pPr>
    <w:rPr>
      <w:rFonts w:ascii="楷体_GB2312" w:hAnsi="宋体" w:eastAsia="楷体_GB2312"/>
      <w:kern w:val="0"/>
      <w:szCs w:val="21"/>
    </w:rPr>
  </w:style>
  <w:style w:type="paragraph" w:customStyle="1" w:styleId="2172">
    <w:name w:val="font16"/>
    <w:basedOn w:val="1"/>
    <w:qFormat/>
    <w:uiPriority w:val="0"/>
    <w:pPr>
      <w:widowControl/>
      <w:spacing w:before="100" w:beforeAutospacing="1" w:after="100" w:afterAutospacing="1" w:line="240" w:lineRule="auto"/>
      <w:ind w:firstLine="0" w:firstLineChars="0"/>
      <w:jc w:val="left"/>
    </w:pPr>
    <w:rPr>
      <w:rFonts w:ascii="Times New Roman" w:eastAsia="Arial Unicode MS"/>
      <w:kern w:val="0"/>
      <w:sz w:val="20"/>
      <w:szCs w:val="20"/>
    </w:rPr>
  </w:style>
  <w:style w:type="paragraph" w:customStyle="1" w:styleId="2173">
    <w:name w:val="xl45344"/>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left"/>
    </w:pPr>
    <w:rPr>
      <w:rFonts w:ascii="Times New Roman" w:eastAsia="宋体"/>
      <w:kern w:val="0"/>
      <w:sz w:val="20"/>
      <w:szCs w:val="20"/>
    </w:rPr>
  </w:style>
  <w:style w:type="paragraph" w:customStyle="1" w:styleId="2174">
    <w:name w:val="xl1608"/>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Lines="25" w:beforeAutospacing="1" w:after="100" w:afterAutospacing="1" w:line="240" w:lineRule="auto"/>
      <w:ind w:firstLine="0" w:firstLineChars="0"/>
      <w:jc w:val="center"/>
      <w:textAlignment w:val="center"/>
    </w:pPr>
    <w:rPr>
      <w:rFonts w:ascii="Times New Roman" w:eastAsia="宋体"/>
      <w:kern w:val="0"/>
      <w:sz w:val="24"/>
      <w:szCs w:val="24"/>
    </w:rPr>
  </w:style>
  <w:style w:type="paragraph" w:customStyle="1" w:styleId="2175">
    <w:name w:val="xl45354"/>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left"/>
    </w:pPr>
    <w:rPr>
      <w:rFonts w:ascii="Times New Roman" w:eastAsia="宋体"/>
      <w:kern w:val="0"/>
      <w:sz w:val="20"/>
      <w:szCs w:val="20"/>
    </w:rPr>
  </w:style>
  <w:style w:type="paragraph" w:customStyle="1" w:styleId="2176">
    <w:name w:val="a1 Char Char Char"/>
    <w:basedOn w:val="1"/>
    <w:next w:val="52"/>
    <w:qFormat/>
    <w:uiPriority w:val="0"/>
    <w:pPr>
      <w:spacing w:line="240" w:lineRule="auto"/>
      <w:ind w:firstLine="0" w:firstLineChars="0"/>
    </w:pPr>
    <w:rPr>
      <w:rFonts w:ascii="Arial" w:hAnsi="Arial" w:eastAsia="宋体"/>
      <w:sz w:val="32"/>
      <w:szCs w:val="32"/>
    </w:rPr>
  </w:style>
  <w:style w:type="paragraph" w:customStyle="1" w:styleId="2177">
    <w:name w:val="样式 标题 4"/>
    <w:basedOn w:val="8"/>
    <w:qFormat/>
    <w:uiPriority w:val="0"/>
    <w:pPr>
      <w:keepNext w:val="0"/>
      <w:keepLines w:val="0"/>
      <w:spacing w:before="0" w:after="0" w:line="560" w:lineRule="exact"/>
      <w:ind w:firstLine="560"/>
    </w:pPr>
    <w:rPr>
      <w:rFonts w:ascii="楷体_GB2312" w:hAnsi="Calibri" w:eastAsia="楷体_GB2312" w:cs="宋体"/>
      <w:bCs w:val="0"/>
      <w:szCs w:val="20"/>
      <w:lang w:val="zh-CN"/>
    </w:rPr>
  </w:style>
  <w:style w:type="paragraph" w:customStyle="1" w:styleId="2178">
    <w:name w:val="xl116"/>
    <w:basedOn w:val="1"/>
    <w:qFormat/>
    <w:uiPriority w:val="0"/>
    <w:pPr>
      <w:widowControl/>
      <w:pBdr>
        <w:top w:val="single" w:color="000000" w:sz="4" w:space="0"/>
        <w:left w:val="single" w:color="000000" w:sz="8" w:space="0"/>
        <w:right w:val="single" w:color="000000" w:sz="4" w:space="0"/>
      </w:pBdr>
      <w:shd w:val="clear" w:color="FFFFFF" w:fill="FFFFFF"/>
      <w:spacing w:before="100" w:beforeAutospacing="1" w:after="100" w:afterAutospacing="1" w:line="240" w:lineRule="auto"/>
      <w:ind w:firstLine="0" w:firstLineChars="0"/>
      <w:jc w:val="center"/>
      <w:textAlignment w:val="center"/>
    </w:pPr>
    <w:rPr>
      <w:rFonts w:ascii="宋体" w:hAnsi="宋体" w:eastAsia="宋体" w:cs="宋体"/>
      <w:color w:val="000000"/>
      <w:kern w:val="0"/>
      <w:sz w:val="24"/>
      <w:szCs w:val="24"/>
    </w:rPr>
  </w:style>
  <w:style w:type="paragraph" w:customStyle="1" w:styleId="2179">
    <w:name w:val="样式 (中文) 楷体_GB2312 居中 行距: 最小值 12 磅1"/>
    <w:basedOn w:val="1"/>
    <w:qFormat/>
    <w:uiPriority w:val="0"/>
    <w:pPr>
      <w:adjustRightInd w:val="0"/>
      <w:snapToGrid w:val="0"/>
      <w:spacing w:line="240" w:lineRule="auto"/>
      <w:ind w:left="-693" w:leftChars="-330" w:firstLine="0" w:firstLineChars="0"/>
      <w:jc w:val="center"/>
    </w:pPr>
    <w:rPr>
      <w:rFonts w:ascii="Times New Roman" w:eastAsia="楷体_GB2312" w:cs="宋体"/>
      <w:sz w:val="21"/>
      <w:szCs w:val="20"/>
    </w:rPr>
  </w:style>
  <w:style w:type="paragraph" w:customStyle="1" w:styleId="2180">
    <w:name w:val="xl153"/>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20"/>
      <w:szCs w:val="20"/>
    </w:rPr>
  </w:style>
  <w:style w:type="paragraph" w:customStyle="1" w:styleId="2181">
    <w:name w:val="xl52"/>
    <w:basedOn w:val="1"/>
    <w:qFormat/>
    <w:uiPriority w:val="0"/>
    <w:pPr>
      <w:widowControl/>
      <w:numPr>
        <w:ilvl w:val="0"/>
        <w:numId w:val="16"/>
      </w:numPr>
      <w:pBdr>
        <w:top w:val="single" w:color="auto" w:sz="4" w:space="0"/>
        <w:left w:val="single" w:color="auto" w:sz="4" w:space="0"/>
        <w:bottom w:val="single" w:color="auto" w:sz="4" w:space="0"/>
      </w:pBdr>
      <w:tabs>
        <w:tab w:val="clear" w:pos="1620"/>
      </w:tabs>
      <w:spacing w:before="100" w:beforeAutospacing="1" w:after="100" w:afterAutospacing="1" w:line="240" w:lineRule="auto"/>
      <w:ind w:left="0" w:leftChars="0" w:firstLine="0" w:firstLineChars="0"/>
      <w:jc w:val="center"/>
      <w:textAlignment w:val="center"/>
    </w:pPr>
    <w:rPr>
      <w:rFonts w:ascii="Times New Roman" w:eastAsia="宋体"/>
      <w:kern w:val="0"/>
      <w:sz w:val="16"/>
      <w:szCs w:val="16"/>
    </w:rPr>
  </w:style>
  <w:style w:type="paragraph" w:customStyle="1" w:styleId="2182">
    <w:name w:val="封面标题 3"/>
    <w:basedOn w:val="1"/>
    <w:next w:val="1"/>
    <w:qFormat/>
    <w:uiPriority w:val="0"/>
    <w:pPr>
      <w:spacing w:beforeLines="50" w:afterLines="50"/>
      <w:ind w:firstLine="0" w:firstLineChars="0"/>
      <w:jc w:val="center"/>
    </w:pPr>
    <w:rPr>
      <w:rFonts w:hAnsi="仿宋_GB2312" w:eastAsia="华文行楷"/>
      <w:sz w:val="30"/>
      <w:szCs w:val="24"/>
    </w:rPr>
  </w:style>
  <w:style w:type="paragraph" w:customStyle="1" w:styleId="2183">
    <w:name w:val="_Style 2182"/>
    <w:basedOn w:val="4"/>
    <w:next w:val="1"/>
    <w:qFormat/>
    <w:uiPriority w:val="39"/>
    <w:pPr>
      <w:widowControl/>
      <w:spacing w:before="480" w:after="0" w:line="276" w:lineRule="auto"/>
      <w:jc w:val="left"/>
      <w:outlineLvl w:val="9"/>
    </w:pPr>
    <w:rPr>
      <w:rFonts w:ascii="Cambria" w:hAnsi="Cambria" w:eastAsia="宋体" w:cs="Times New Roman"/>
      <w:color w:val="365F91"/>
      <w:kern w:val="0"/>
      <w:sz w:val="28"/>
      <w:szCs w:val="28"/>
    </w:rPr>
  </w:style>
  <w:style w:type="paragraph" w:customStyle="1" w:styleId="2184">
    <w:name w:val="z-窗体顶端1"/>
    <w:basedOn w:val="1"/>
    <w:next w:val="1"/>
    <w:qFormat/>
    <w:uiPriority w:val="0"/>
    <w:pPr>
      <w:widowControl/>
      <w:pBdr>
        <w:bottom w:val="single" w:color="auto" w:sz="6" w:space="1"/>
      </w:pBdr>
      <w:spacing w:line="240" w:lineRule="auto"/>
      <w:ind w:firstLine="0" w:firstLineChars="0"/>
      <w:jc w:val="center"/>
    </w:pPr>
    <w:rPr>
      <w:rFonts w:ascii="Arial" w:hAnsi="Arial" w:eastAsia="宋体" w:cs="Arial"/>
      <w:vanish/>
      <w:kern w:val="0"/>
      <w:sz w:val="16"/>
      <w:szCs w:val="16"/>
    </w:rPr>
  </w:style>
  <w:style w:type="paragraph" w:customStyle="1" w:styleId="2185">
    <w:name w:val="样式 宋体 四号 鲜绿 行距: 1.5 倍行距"/>
    <w:basedOn w:val="1"/>
    <w:qFormat/>
    <w:uiPriority w:val="0"/>
    <w:pPr>
      <w:adjustRightInd w:val="0"/>
      <w:snapToGrid w:val="0"/>
      <w:spacing w:line="360" w:lineRule="auto"/>
    </w:pPr>
    <w:rPr>
      <w:rFonts w:ascii="宋体" w:hAnsi="宋体" w:eastAsia="宋体" w:cs="宋体"/>
      <w:color w:val="00FF00"/>
      <w:szCs w:val="20"/>
    </w:rPr>
  </w:style>
  <w:style w:type="paragraph" w:customStyle="1" w:styleId="2186">
    <w:name w:val="Char Char Char Char Char Char Char Char Char Char Char Char Char Char Char Char Char Char Char Char Char1 Char Char Char Char Char Char1 Char Char Char Char"/>
    <w:basedOn w:val="1"/>
    <w:semiHidden/>
    <w:qFormat/>
    <w:uiPriority w:val="0"/>
    <w:pPr>
      <w:widowControl/>
      <w:spacing w:line="240" w:lineRule="auto"/>
      <w:ind w:left="510" w:firstLine="0" w:firstLineChars="0"/>
      <w:jc w:val="left"/>
    </w:pPr>
    <w:rPr>
      <w:rFonts w:ascii="Times New Roman" w:eastAsia="宋体"/>
      <w:sz w:val="21"/>
      <w:szCs w:val="21"/>
    </w:rPr>
  </w:style>
  <w:style w:type="paragraph" w:customStyle="1" w:styleId="2187">
    <w:name w:val="Char Char Char Char Char Char Char Char"/>
    <w:basedOn w:val="1"/>
    <w:semiHidden/>
    <w:qFormat/>
    <w:uiPriority w:val="0"/>
    <w:rPr>
      <w:szCs w:val="24"/>
    </w:rPr>
  </w:style>
  <w:style w:type="paragraph" w:customStyle="1" w:styleId="2188">
    <w:name w:val="标题0004"/>
    <w:basedOn w:val="1"/>
    <w:qFormat/>
    <w:uiPriority w:val="0"/>
    <w:pPr>
      <w:ind w:firstLine="0" w:firstLineChars="0"/>
      <w:outlineLvl w:val="3"/>
    </w:pPr>
    <w:rPr>
      <w:rFonts w:ascii="Arial" w:hAnsi="Arial" w:eastAsia="宋体" w:cs="宋体"/>
      <w:szCs w:val="20"/>
    </w:rPr>
  </w:style>
  <w:style w:type="paragraph" w:customStyle="1" w:styleId="2189">
    <w:name w:val="样式 样式 样式 样式 样式 样式 样式 样式 样式 表头头 + 首行缩进:  1 字符 + 首行缩进:  1 字符1 + 首行..."/>
    <w:basedOn w:val="1"/>
    <w:qFormat/>
    <w:uiPriority w:val="0"/>
    <w:pPr>
      <w:spacing w:after="60"/>
      <w:ind w:firstLine="100" w:firstLineChars="100"/>
      <w:outlineLvl w:val="6"/>
    </w:pPr>
    <w:rPr>
      <w:rFonts w:ascii="黑体" w:hAnsi="黑体" w:eastAsia="黑体" w:cs="宋体"/>
      <w:sz w:val="24"/>
      <w:szCs w:val="21"/>
    </w:rPr>
  </w:style>
  <w:style w:type="paragraph" w:customStyle="1" w:styleId="2190">
    <w:name w:val="标3NN"/>
    <w:basedOn w:val="5"/>
    <w:qFormat/>
    <w:uiPriority w:val="0"/>
    <w:pPr>
      <w:adjustRightInd w:val="0"/>
      <w:spacing w:before="0" w:beforeLines="100" w:after="0" w:afterLines="100" w:line="520" w:lineRule="exact"/>
      <w:jc w:val="left"/>
      <w:textAlignment w:val="baseline"/>
      <w:outlineLvl w:val="2"/>
    </w:pPr>
    <w:rPr>
      <w:rFonts w:ascii="Times New Roman" w:eastAsia="方正小标宋_GBK"/>
      <w:b/>
      <w:bCs w:val="0"/>
      <w:kern w:val="0"/>
      <w:sz w:val="28"/>
    </w:rPr>
  </w:style>
  <w:style w:type="paragraph" w:customStyle="1" w:styleId="2191">
    <w:name w:val="xl2584"/>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楷体_GB2312" w:hAnsi="宋体" w:eastAsia="楷体_GB2312" w:cs="宋体"/>
      <w:kern w:val="0"/>
      <w:sz w:val="20"/>
      <w:szCs w:val="20"/>
    </w:rPr>
  </w:style>
  <w:style w:type="paragraph" w:customStyle="1" w:styleId="2192">
    <w:name w:val="xl2741"/>
    <w:basedOn w:val="1"/>
    <w:qFormat/>
    <w:uiPriority w:val="0"/>
    <w:pPr>
      <w:widowControl/>
      <w:pBdr>
        <w:bottom w:val="single" w:color="auto" w:sz="4" w:space="0"/>
      </w:pBdr>
      <w:spacing w:before="100" w:beforeAutospacing="1" w:after="100" w:afterAutospacing="1" w:line="240" w:lineRule="auto"/>
      <w:ind w:firstLine="0" w:firstLineChars="0"/>
      <w:jc w:val="left"/>
    </w:pPr>
    <w:rPr>
      <w:rFonts w:ascii="黑体" w:hAnsi="黑体" w:eastAsia="黑体" w:cs="宋体"/>
      <w:kern w:val="0"/>
      <w:sz w:val="24"/>
      <w:szCs w:val="24"/>
    </w:rPr>
  </w:style>
  <w:style w:type="paragraph" w:customStyle="1" w:styleId="2193">
    <w:name w:val="文件头"/>
    <w:basedOn w:val="1"/>
    <w:qFormat/>
    <w:uiPriority w:val="0"/>
    <w:pPr>
      <w:autoSpaceDE w:val="0"/>
      <w:autoSpaceDN w:val="0"/>
      <w:adjustRightInd w:val="0"/>
      <w:spacing w:before="360" w:after="360" w:line="360" w:lineRule="atLeast"/>
      <w:ind w:firstLine="560"/>
      <w:jc w:val="center"/>
    </w:pPr>
    <w:rPr>
      <w:rFonts w:ascii="黑体" w:eastAsia="黑体"/>
      <w:kern w:val="0"/>
      <w:sz w:val="36"/>
      <w:szCs w:val="20"/>
      <w:u w:val="none" w:color="000000"/>
    </w:rPr>
  </w:style>
  <w:style w:type="paragraph" w:customStyle="1" w:styleId="2194">
    <w:name w:val="样式 三号 加粗 首行缩进:  2 字符"/>
    <w:basedOn w:val="1"/>
    <w:qFormat/>
    <w:uiPriority w:val="0"/>
    <w:pPr>
      <w:spacing w:before="100" w:beforeAutospacing="1" w:after="100" w:afterAutospacing="1" w:line="360" w:lineRule="auto"/>
    </w:pPr>
    <w:rPr>
      <w:rFonts w:ascii="Times New Roman" w:eastAsia="宋体" w:cs="宋体"/>
      <w:b/>
      <w:bCs/>
      <w:sz w:val="32"/>
      <w:szCs w:val="32"/>
    </w:rPr>
  </w:style>
  <w:style w:type="paragraph" w:customStyle="1" w:styleId="2195">
    <w:name w:val="小标题(西文) 仿宋_GB2312 (中文) 仿宋_GB2312 (符号) 宋体 四号 加粗 行距: 固定值 30 ..."/>
    <w:basedOn w:val="1"/>
    <w:qFormat/>
    <w:uiPriority w:val="0"/>
    <w:pPr>
      <w:snapToGrid w:val="0"/>
      <w:ind w:firstLine="560"/>
    </w:pPr>
    <w:rPr>
      <w:rFonts w:ascii="楷体_GB2312" w:hAnsi="宋体" w:eastAsia="楷体_GB2312"/>
      <w:szCs w:val="20"/>
    </w:rPr>
  </w:style>
  <w:style w:type="paragraph" w:customStyle="1" w:styleId="2196">
    <w:name w:val="xl2755"/>
    <w:basedOn w:val="1"/>
    <w:qFormat/>
    <w:uiPriority w:val="0"/>
    <w:pPr>
      <w:widowControl/>
      <w:spacing w:before="100" w:beforeAutospacing="1" w:after="100" w:afterAutospacing="1" w:line="240" w:lineRule="auto"/>
      <w:ind w:firstLine="0" w:firstLineChars="0"/>
      <w:jc w:val="left"/>
    </w:pPr>
    <w:rPr>
      <w:rFonts w:ascii="楷体_GB2312" w:hAnsi="宋体" w:eastAsia="楷体_GB2312" w:cs="宋体"/>
      <w:kern w:val="0"/>
      <w:sz w:val="20"/>
      <w:szCs w:val="20"/>
    </w:rPr>
  </w:style>
  <w:style w:type="paragraph" w:customStyle="1" w:styleId="2197">
    <w:name w:val="样式 小四 加粗 行距: 1.5 倍行距3"/>
    <w:basedOn w:val="1"/>
    <w:qFormat/>
    <w:uiPriority w:val="0"/>
    <w:pPr>
      <w:spacing w:after="120" w:line="264" w:lineRule="auto"/>
      <w:ind w:firstLine="540" w:firstLineChars="224"/>
      <w:contextualSpacing/>
      <w:jc w:val="left"/>
    </w:pPr>
    <w:rPr>
      <w:rFonts w:ascii="Times New Roman" w:eastAsia="宋体" w:cs="Century"/>
      <w:b/>
      <w:bCs/>
      <w:sz w:val="24"/>
      <w:szCs w:val="20"/>
    </w:rPr>
  </w:style>
  <w:style w:type="paragraph" w:customStyle="1" w:styleId="2198">
    <w:name w:val="xl11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ascii="Times New Roman" w:eastAsia="宋体"/>
      <w:kern w:val="0"/>
      <w:sz w:val="20"/>
      <w:szCs w:val="20"/>
    </w:rPr>
  </w:style>
  <w:style w:type="paragraph" w:customStyle="1" w:styleId="2199">
    <w:name w:val="样式 标题 4款标题1.1.1.1四 + (西文) Times New Roman (中文) 宋体 小四 首行缩进: ..."/>
    <w:basedOn w:val="8"/>
    <w:qFormat/>
    <w:uiPriority w:val="0"/>
    <w:pPr>
      <w:keepNext w:val="0"/>
      <w:keepLines w:val="0"/>
      <w:spacing w:before="0" w:after="0" w:line="400" w:lineRule="exact"/>
      <w:ind w:firstLine="0" w:firstLineChars="0"/>
      <w:jc w:val="left"/>
    </w:pPr>
    <w:rPr>
      <w:rFonts w:ascii="Times New Roman" w:hAnsi="Times New Roman"/>
      <w:b w:val="0"/>
      <w:sz w:val="24"/>
      <w:szCs w:val="20"/>
    </w:rPr>
  </w:style>
  <w:style w:type="paragraph" w:customStyle="1" w:styleId="2200">
    <w:name w:val="xl225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楷体_GB2312" w:hAnsi="宋体" w:eastAsia="楷体_GB2312" w:cs="宋体"/>
      <w:kern w:val="0"/>
      <w:sz w:val="20"/>
      <w:szCs w:val="20"/>
    </w:rPr>
  </w:style>
  <w:style w:type="paragraph" w:customStyle="1" w:styleId="2201">
    <w:name w:val="样式 样式 行距: 固定值 22 磅 + 首行缩进:  2 字符"/>
    <w:basedOn w:val="1"/>
    <w:qFormat/>
    <w:uiPriority w:val="0"/>
    <w:pPr>
      <w:spacing w:line="240" w:lineRule="auto"/>
      <w:ind w:firstLine="480"/>
    </w:pPr>
    <w:rPr>
      <w:rFonts w:ascii="Times New Roman" w:eastAsia="华文中宋"/>
      <w:sz w:val="24"/>
      <w:szCs w:val="24"/>
    </w:rPr>
  </w:style>
  <w:style w:type="paragraph" w:customStyle="1" w:styleId="2202">
    <w:name w:val="A表1"/>
    <w:basedOn w:val="1"/>
    <w:qFormat/>
    <w:uiPriority w:val="0"/>
    <w:pPr>
      <w:spacing w:line="240" w:lineRule="auto"/>
      <w:ind w:firstLine="0" w:firstLineChars="0"/>
    </w:pPr>
    <w:rPr>
      <w:rFonts w:ascii="Times New Roman" w:eastAsia="宋体"/>
      <w:sz w:val="24"/>
      <w:szCs w:val="24"/>
    </w:rPr>
  </w:style>
  <w:style w:type="paragraph" w:customStyle="1" w:styleId="2203">
    <w:name w:val="xl45362"/>
    <w:basedOn w:val="1"/>
    <w:qFormat/>
    <w:uiPriority w:val="0"/>
    <w:pPr>
      <w:widowControl/>
      <w:pBdr>
        <w:top w:val="single" w:color="auto" w:sz="4" w:space="0"/>
      </w:pBdr>
      <w:spacing w:before="100" w:beforeAutospacing="1" w:after="100" w:afterAutospacing="1" w:line="240" w:lineRule="auto"/>
      <w:ind w:firstLine="0" w:firstLineChars="0"/>
      <w:jc w:val="center"/>
    </w:pPr>
    <w:rPr>
      <w:rFonts w:ascii="Times New Roman" w:eastAsia="宋体"/>
      <w:kern w:val="0"/>
      <w:sz w:val="20"/>
      <w:szCs w:val="20"/>
    </w:rPr>
  </w:style>
  <w:style w:type="paragraph" w:customStyle="1" w:styleId="2204">
    <w:name w:val="样式 公标题4 + 首行缩进:  2 字符"/>
    <w:basedOn w:val="1"/>
    <w:qFormat/>
    <w:uiPriority w:val="0"/>
    <w:pPr>
      <w:adjustRightInd w:val="0"/>
      <w:snapToGrid w:val="0"/>
      <w:spacing w:line="353" w:lineRule="auto"/>
      <w:ind w:firstLine="0" w:firstLineChars="0"/>
      <w:outlineLvl w:val="3"/>
    </w:pPr>
    <w:rPr>
      <w:rFonts w:ascii="Swis721 Lt BT" w:hAnsi="Swis721 Lt BT" w:eastAsia="方正细黑一简体" w:cs="宋体"/>
      <w:szCs w:val="20"/>
    </w:rPr>
  </w:style>
  <w:style w:type="paragraph" w:customStyle="1" w:styleId="2205">
    <w:name w:val="xl2772"/>
    <w:basedOn w:val="1"/>
    <w:qFormat/>
    <w:uiPriority w:val="0"/>
    <w:pPr>
      <w:widowControl/>
      <w:spacing w:beforeLines="25" w:beforeAutospacing="1" w:after="100" w:afterAutospacing="1" w:line="240" w:lineRule="auto"/>
      <w:ind w:firstLine="0" w:firstLineChars="0"/>
      <w:jc w:val="left"/>
    </w:pPr>
    <w:rPr>
      <w:rFonts w:ascii="Times New Roman" w:eastAsia="宋体"/>
      <w:kern w:val="0"/>
      <w:sz w:val="24"/>
      <w:szCs w:val="24"/>
    </w:rPr>
  </w:style>
  <w:style w:type="paragraph" w:customStyle="1" w:styleId="2206">
    <w:name w:val="表字五号缩进"/>
    <w:basedOn w:val="637"/>
    <w:qFormat/>
    <w:uiPriority w:val="0"/>
    <w:pPr>
      <w:spacing w:before="31" w:after="31" w:line="240" w:lineRule="auto"/>
      <w:ind w:firstLine="420"/>
      <w:jc w:val="both"/>
    </w:pPr>
    <w:rPr>
      <w:rFonts w:ascii="Times New Roman" w:eastAsia="宋体"/>
      <w:color w:val="000000"/>
      <w:sz w:val="21"/>
    </w:rPr>
  </w:style>
  <w:style w:type="paragraph" w:customStyle="1" w:styleId="2207">
    <w:name w:val="xl2773"/>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left"/>
    </w:pPr>
    <w:rPr>
      <w:rFonts w:ascii="宋体" w:hAnsi="宋体" w:eastAsia="宋体" w:cs="宋体"/>
      <w:kern w:val="0"/>
      <w:sz w:val="18"/>
      <w:szCs w:val="18"/>
    </w:rPr>
  </w:style>
  <w:style w:type="paragraph" w:customStyle="1" w:styleId="2208">
    <w:name w:val="Char Char2 Char Char Char Char1"/>
    <w:basedOn w:val="1"/>
    <w:qFormat/>
    <w:uiPriority w:val="0"/>
    <w:pPr>
      <w:spacing w:line="240" w:lineRule="auto"/>
      <w:ind w:firstLine="0" w:firstLineChars="0"/>
    </w:pPr>
    <w:rPr>
      <w:rFonts w:ascii="Times New Roman" w:eastAsia="宋体"/>
      <w:sz w:val="21"/>
      <w:szCs w:val="24"/>
    </w:rPr>
  </w:style>
  <w:style w:type="paragraph" w:customStyle="1" w:styleId="2209">
    <w:name w:val="xl110"/>
    <w:basedOn w:val="1"/>
    <w:qFormat/>
    <w:uiPriority w:val="0"/>
    <w:pPr>
      <w:widowControl/>
      <w:pBdr>
        <w:top w:val="single" w:color="auto" w:sz="4" w:space="0"/>
        <w:left w:val="single" w:color="auto" w:sz="4" w:space="0"/>
      </w:pBdr>
      <w:spacing w:before="100" w:beforeAutospacing="1" w:after="100" w:afterAutospacing="1" w:line="240" w:lineRule="auto"/>
      <w:ind w:firstLine="0" w:firstLineChars="0"/>
      <w:jc w:val="center"/>
    </w:pPr>
    <w:rPr>
      <w:rFonts w:ascii="宋体" w:hAnsi="宋体" w:eastAsia="宋体" w:cs="宋体"/>
      <w:kern w:val="0"/>
      <w:sz w:val="18"/>
      <w:szCs w:val="18"/>
    </w:rPr>
  </w:style>
  <w:style w:type="paragraph" w:customStyle="1" w:styleId="2210">
    <w:name w:val="基准页眉样式"/>
    <w:basedOn w:val="1"/>
    <w:qFormat/>
    <w:uiPriority w:val="0"/>
    <w:pPr>
      <w:tabs>
        <w:tab w:val="left" w:pos="2508"/>
        <w:tab w:val="left" w:pos="8268"/>
      </w:tabs>
      <w:spacing w:line="300" w:lineRule="atLeast"/>
      <w:ind w:firstLine="0" w:firstLineChars="0"/>
      <w:jc w:val="center"/>
    </w:pPr>
    <w:rPr>
      <w:rFonts w:ascii="宋体" w:hAnsi="宋体"/>
      <w:smallCaps/>
      <w:sz w:val="21"/>
      <w:szCs w:val="20"/>
    </w:rPr>
  </w:style>
  <w:style w:type="paragraph" w:customStyle="1" w:styleId="2211">
    <w:name w:val="Char1 Char Char Char Char Char Char11"/>
    <w:basedOn w:val="8"/>
    <w:next w:val="1"/>
    <w:qFormat/>
    <w:uiPriority w:val="0"/>
    <w:pPr>
      <w:widowControl/>
      <w:tabs>
        <w:tab w:val="left" w:pos="360"/>
        <w:tab w:val="left" w:pos="864"/>
      </w:tabs>
      <w:spacing w:before="100" w:beforeAutospacing="1" w:after="160" w:line="240" w:lineRule="exact"/>
      <w:ind w:left="864" w:hanging="864" w:firstLineChars="0"/>
      <w:jc w:val="left"/>
    </w:pPr>
    <w:rPr>
      <w:rFonts w:ascii="Verdana" w:hAnsi="Verdana" w:eastAsia="仿宋_GB2312"/>
      <w:b w:val="0"/>
      <w:bCs w:val="0"/>
      <w:snapToGrid w:val="0"/>
      <w:color w:val="000000"/>
      <w:kern w:val="0"/>
      <w:sz w:val="24"/>
      <w:szCs w:val="20"/>
      <w:lang w:val="en-US" w:eastAsia="en-US"/>
    </w:rPr>
  </w:style>
  <w:style w:type="paragraph" w:customStyle="1" w:styleId="2212">
    <w:name w:val="xl2591"/>
    <w:basedOn w:val="1"/>
    <w:qFormat/>
    <w:uiPriority w:val="0"/>
    <w:pPr>
      <w:widowControl/>
      <w:pBdr>
        <w:top w:val="single" w:color="auto" w:sz="4" w:space="0"/>
        <w:bottom w:val="single" w:color="auto" w:sz="4" w:space="0"/>
      </w:pBdr>
      <w:spacing w:before="100" w:beforeAutospacing="1" w:after="100" w:afterAutospacing="1" w:line="240" w:lineRule="auto"/>
      <w:ind w:firstLine="0" w:firstLineChars="0"/>
      <w:jc w:val="center"/>
    </w:pPr>
    <w:rPr>
      <w:rFonts w:ascii="宋体" w:hAnsi="宋体" w:eastAsia="宋体" w:cs="宋体"/>
      <w:kern w:val="0"/>
      <w:sz w:val="24"/>
      <w:szCs w:val="24"/>
    </w:rPr>
  </w:style>
  <w:style w:type="paragraph" w:customStyle="1" w:styleId="2213">
    <w:name w:val="font12"/>
    <w:basedOn w:val="1"/>
    <w:qFormat/>
    <w:uiPriority w:val="0"/>
    <w:pPr>
      <w:widowControl/>
      <w:spacing w:before="100" w:beforeAutospacing="1" w:after="100" w:afterAutospacing="1" w:line="240" w:lineRule="auto"/>
      <w:ind w:firstLine="0" w:firstLineChars="0"/>
      <w:jc w:val="left"/>
    </w:pPr>
    <w:rPr>
      <w:rFonts w:hint="eastAsia" w:ascii="宋体" w:hAnsi="宋体" w:eastAsia="宋体" w:cs="Arial Unicode MS"/>
      <w:kern w:val="0"/>
      <w:sz w:val="20"/>
      <w:szCs w:val="20"/>
    </w:rPr>
  </w:style>
  <w:style w:type="paragraph" w:customStyle="1" w:styleId="2214">
    <w:name w:val="xl2253"/>
    <w:basedOn w:val="1"/>
    <w:qFormat/>
    <w:uiPriority w:val="0"/>
    <w:pPr>
      <w:widowControl/>
      <w:pBdr>
        <w:top w:val="single" w:color="auto" w:sz="4" w:space="0"/>
        <w:bottom w:val="single" w:color="auto" w:sz="4" w:space="0"/>
      </w:pBdr>
      <w:spacing w:before="100" w:beforeAutospacing="1" w:after="100" w:afterAutospacing="1" w:line="240" w:lineRule="auto"/>
      <w:ind w:firstLine="0" w:firstLineChars="0"/>
      <w:jc w:val="left"/>
    </w:pPr>
    <w:rPr>
      <w:rFonts w:ascii="楷体_GB2312" w:hAnsi="宋体" w:eastAsia="楷体_GB2312" w:cs="宋体"/>
      <w:kern w:val="0"/>
      <w:sz w:val="20"/>
      <w:szCs w:val="20"/>
    </w:rPr>
  </w:style>
  <w:style w:type="paragraph" w:customStyle="1" w:styleId="2215">
    <w:name w:val="标题002"/>
    <w:basedOn w:val="1"/>
    <w:qFormat/>
    <w:uiPriority w:val="0"/>
    <w:pPr>
      <w:adjustRightInd w:val="0"/>
      <w:spacing w:before="120" w:after="120" w:line="600" w:lineRule="exact"/>
      <w:ind w:firstLine="560"/>
      <w:textAlignment w:val="baseline"/>
    </w:pPr>
    <w:rPr>
      <w:rFonts w:ascii="黑体" w:eastAsia="黑体" w:cs="宋体"/>
      <w:color w:val="000000"/>
      <w:kern w:val="0"/>
      <w:sz w:val="32"/>
      <w:szCs w:val="20"/>
    </w:rPr>
  </w:style>
  <w:style w:type="paragraph" w:customStyle="1" w:styleId="2216">
    <w:name w:val="样式 宋体 小一 加粗 居中 行距: 多倍行距 1.28 字行"/>
    <w:basedOn w:val="1"/>
    <w:qFormat/>
    <w:uiPriority w:val="0"/>
    <w:pPr>
      <w:spacing w:line="307" w:lineRule="auto"/>
      <w:ind w:firstLine="0" w:firstLineChars="0"/>
      <w:jc w:val="center"/>
    </w:pPr>
    <w:rPr>
      <w:rFonts w:ascii="Times New Roman" w:eastAsia="华文中宋"/>
      <w:b/>
      <w:bCs/>
      <w:color w:val="000000"/>
      <w:spacing w:val="16"/>
      <w:w w:val="90"/>
      <w:kern w:val="0"/>
      <w:sz w:val="44"/>
      <w:szCs w:val="44"/>
    </w:rPr>
  </w:style>
  <w:style w:type="paragraph" w:customStyle="1" w:styleId="2217">
    <w:name w:val="样式 样式 样式 样式 样式 样式 小括号 + 首行缩进:  2 字符 + 首行缩进:  2 字符 + 首行缩进:  2 字符 ...1"/>
    <w:basedOn w:val="1"/>
    <w:qFormat/>
    <w:uiPriority w:val="0"/>
    <w:rPr>
      <w:rFonts w:ascii="楷体_GB2312" w:eastAsia="楷体_GB2312" w:cs="宋体"/>
      <w:szCs w:val="20"/>
    </w:rPr>
  </w:style>
  <w:style w:type="paragraph" w:customStyle="1" w:styleId="2218">
    <w:name w:val="xl1613"/>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textAlignment w:val="center"/>
    </w:pPr>
    <w:rPr>
      <w:rFonts w:ascii="Times New Roman" w:eastAsia="宋体"/>
      <w:kern w:val="0"/>
      <w:sz w:val="24"/>
      <w:szCs w:val="24"/>
    </w:rPr>
  </w:style>
  <w:style w:type="paragraph" w:customStyle="1" w:styleId="2219">
    <w:name w:val="样式 标题 3段条标题1.1.1白鹤滩标题 3标题 3 Char Char标题 3 Char + 段前: 0.3 行..."/>
    <w:basedOn w:val="7"/>
    <w:qFormat/>
    <w:uiPriority w:val="0"/>
    <w:pPr>
      <w:keepNext/>
      <w:keepLines/>
      <w:spacing w:before="260" w:beforeLines="50" w:after="260" w:afterLines="50" w:line="240" w:lineRule="auto"/>
    </w:pPr>
    <w:rPr>
      <w:rFonts w:ascii="Times New Roman" w:hAnsi="Times New Roman" w:eastAsia="华文中宋"/>
      <w:b/>
    </w:rPr>
  </w:style>
  <w:style w:type="paragraph" w:customStyle="1" w:styleId="2220">
    <w:name w:val="报告正文 Char"/>
    <w:basedOn w:val="1"/>
    <w:semiHidden/>
    <w:qFormat/>
    <w:uiPriority w:val="0"/>
    <w:pPr>
      <w:topLinePunct/>
      <w:spacing w:line="360" w:lineRule="auto"/>
    </w:pPr>
    <w:rPr>
      <w:bCs/>
      <w:spacing w:val="14"/>
      <w:sz w:val="24"/>
      <w:szCs w:val="24"/>
    </w:rPr>
  </w:style>
  <w:style w:type="paragraph" w:customStyle="1" w:styleId="2221">
    <w:name w:val="样式 标04 + 自动设置 首行缩进:  0.63 厘米"/>
    <w:basedOn w:val="1"/>
    <w:qFormat/>
    <w:uiPriority w:val="0"/>
    <w:pPr>
      <w:keepNext/>
      <w:keepLines/>
      <w:ind w:firstLine="0" w:firstLineChars="0"/>
      <w:outlineLvl w:val="3"/>
    </w:pPr>
    <w:rPr>
      <w:rFonts w:ascii="Arial" w:hAnsi="Arial" w:eastAsia="宋体" w:cs="宋体"/>
      <w:szCs w:val="20"/>
    </w:rPr>
  </w:style>
  <w:style w:type="paragraph" w:customStyle="1" w:styleId="2222">
    <w:name w:val="样式 黑体 (符号) Arial Unicode MS 小四 段后: 3 磅 首行缩进:  1 字符"/>
    <w:basedOn w:val="1"/>
    <w:qFormat/>
    <w:uiPriority w:val="0"/>
    <w:pPr>
      <w:adjustRightInd w:val="0"/>
      <w:spacing w:after="60"/>
      <w:ind w:firstLine="100" w:firstLineChars="100"/>
      <w:textAlignment w:val="baseline"/>
    </w:pPr>
    <w:rPr>
      <w:rFonts w:ascii="黑体" w:hAnsi="Arial Unicode MS" w:eastAsia="黑体" w:cs="宋体"/>
      <w:kern w:val="0"/>
      <w:sz w:val="24"/>
      <w:szCs w:val="20"/>
    </w:rPr>
  </w:style>
  <w:style w:type="paragraph" w:customStyle="1" w:styleId="2223">
    <w:name w:val="xl168"/>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firstLineChars="0"/>
      <w:jc w:val="center"/>
    </w:pPr>
    <w:rPr>
      <w:rFonts w:ascii="宋体" w:hAnsi="宋体" w:eastAsia="宋体" w:cs="宋体"/>
      <w:kern w:val="0"/>
      <w:sz w:val="20"/>
      <w:szCs w:val="20"/>
    </w:rPr>
  </w:style>
  <w:style w:type="paragraph" w:customStyle="1" w:styleId="2224">
    <w:name w:val="Char Char Char1 Char Char Char Char Char Char Char Char Char Char"/>
    <w:basedOn w:val="1"/>
    <w:qFormat/>
    <w:uiPriority w:val="0"/>
    <w:pPr>
      <w:snapToGrid w:val="0"/>
      <w:spacing w:line="440" w:lineRule="exact"/>
    </w:pPr>
    <w:rPr>
      <w:rFonts w:ascii="Times New Roman" w:eastAsia="宋体"/>
      <w:sz w:val="24"/>
      <w:szCs w:val="24"/>
    </w:rPr>
  </w:style>
  <w:style w:type="paragraph" w:customStyle="1" w:styleId="2225">
    <w:name w:val="Char5"/>
    <w:basedOn w:val="1"/>
    <w:qFormat/>
    <w:uiPriority w:val="0"/>
    <w:pPr>
      <w:spacing w:line="240" w:lineRule="auto"/>
    </w:pPr>
    <w:rPr>
      <w:rFonts w:ascii="Verdana" w:hAnsi="Verdana" w:eastAsia="宋体" w:cs="Verdana"/>
      <w:sz w:val="20"/>
      <w:szCs w:val="20"/>
      <w:lang w:eastAsia="en-US"/>
    </w:rPr>
  </w:style>
  <w:style w:type="paragraph" w:customStyle="1" w:styleId="2226">
    <w:name w:val="xl2579"/>
    <w:basedOn w:val="1"/>
    <w:qFormat/>
    <w:uiPriority w:val="0"/>
    <w:pPr>
      <w:widowControl/>
      <w:spacing w:before="100" w:beforeAutospacing="1" w:after="100" w:afterAutospacing="1" w:line="240" w:lineRule="auto"/>
      <w:ind w:firstLine="0" w:firstLineChars="0"/>
      <w:jc w:val="center"/>
    </w:pPr>
    <w:rPr>
      <w:rFonts w:ascii="楷体_GB2312" w:hAnsi="宋体" w:eastAsia="楷体_GB2312" w:cs="宋体"/>
      <w:kern w:val="0"/>
      <w:sz w:val="20"/>
      <w:szCs w:val="20"/>
    </w:rPr>
  </w:style>
  <w:style w:type="paragraph" w:customStyle="1" w:styleId="2227">
    <w:name w:val="xl45369"/>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center"/>
    </w:pPr>
    <w:rPr>
      <w:rFonts w:ascii="宋体" w:hAnsi="宋体" w:eastAsia="宋体" w:cs="宋体"/>
      <w:color w:val="FF0000"/>
      <w:kern w:val="0"/>
      <w:sz w:val="20"/>
      <w:szCs w:val="20"/>
    </w:rPr>
  </w:style>
  <w:style w:type="paragraph" w:customStyle="1" w:styleId="2228">
    <w:name w:val="xl2581"/>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firstLineChars="0"/>
      <w:jc w:val="center"/>
    </w:pPr>
    <w:rPr>
      <w:rFonts w:ascii="楷体_GB2312" w:hAnsi="宋体" w:eastAsia="楷体_GB2312" w:cs="宋体"/>
      <w:kern w:val="0"/>
      <w:sz w:val="20"/>
      <w:szCs w:val="20"/>
    </w:rPr>
  </w:style>
  <w:style w:type="paragraph" w:customStyle="1" w:styleId="2229">
    <w:name w:val="xl49"/>
    <w:basedOn w:val="1"/>
    <w:qFormat/>
    <w:uiPriority w:val="0"/>
    <w:pPr>
      <w:widowControl/>
      <w:numPr>
        <w:ilvl w:val="0"/>
        <w:numId w:val="17"/>
      </w:numPr>
      <w:pBdr>
        <w:top w:val="single" w:color="auto" w:sz="4" w:space="0"/>
        <w:left w:val="single" w:color="auto" w:sz="4" w:space="0"/>
        <w:bottom w:val="single" w:color="auto" w:sz="4" w:space="0"/>
        <w:right w:val="single" w:color="auto" w:sz="4" w:space="0"/>
      </w:pBdr>
      <w:tabs>
        <w:tab w:val="clear" w:pos="360"/>
      </w:tabs>
      <w:spacing w:before="100" w:beforeAutospacing="1" w:after="100" w:afterAutospacing="1" w:line="240" w:lineRule="auto"/>
      <w:ind w:left="0" w:firstLine="0" w:firstLineChars="0"/>
      <w:jc w:val="center"/>
      <w:textAlignment w:val="center"/>
    </w:pPr>
    <w:rPr>
      <w:rFonts w:ascii="Times New Roman" w:eastAsia="宋体"/>
      <w:kern w:val="0"/>
      <w:sz w:val="16"/>
      <w:szCs w:val="16"/>
    </w:rPr>
  </w:style>
  <w:style w:type="paragraph" w:customStyle="1" w:styleId="2230">
    <w:name w:val="xl45350"/>
    <w:basedOn w:val="1"/>
    <w:qFormat/>
    <w:uiPriority w:val="0"/>
    <w:pPr>
      <w:widowControl/>
      <w:pBdr>
        <w:top w:val="single" w:color="auto" w:sz="4" w:space="0"/>
        <w:bottom w:val="single" w:color="auto" w:sz="4" w:space="0"/>
      </w:pBdr>
      <w:spacing w:before="100" w:beforeAutospacing="1" w:after="100" w:afterAutospacing="1" w:line="240" w:lineRule="auto"/>
      <w:ind w:firstLine="0" w:firstLineChars="0"/>
      <w:jc w:val="left"/>
    </w:pPr>
    <w:rPr>
      <w:rFonts w:ascii="Times New Roman" w:eastAsia="宋体"/>
      <w:kern w:val="0"/>
      <w:sz w:val="20"/>
      <w:szCs w:val="20"/>
    </w:rPr>
  </w:style>
  <w:style w:type="paragraph" w:customStyle="1" w:styleId="2231">
    <w:name w:val="样式 标题 3 + Times New Roman 行距: 固定值 28 磅1"/>
    <w:basedOn w:val="7"/>
    <w:qFormat/>
    <w:uiPriority w:val="0"/>
    <w:pPr>
      <w:jc w:val="left"/>
    </w:pPr>
    <w:rPr>
      <w:rFonts w:ascii="方正小标宋_GBK" w:cs="宋体"/>
      <w:bCs w:val="0"/>
      <w:szCs w:val="20"/>
    </w:rPr>
  </w:style>
  <w:style w:type="paragraph" w:customStyle="1" w:styleId="2232">
    <w:name w:val="xl625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Times New Roman" w:eastAsia="宋体"/>
      <w:kern w:val="0"/>
      <w:sz w:val="20"/>
      <w:szCs w:val="20"/>
    </w:rPr>
  </w:style>
  <w:style w:type="paragraph" w:customStyle="1" w:styleId="2233">
    <w:name w:val="xl45358"/>
    <w:basedOn w:val="1"/>
    <w:qFormat/>
    <w:uiPriority w:val="0"/>
    <w:pPr>
      <w:widowControl/>
      <w:pBdr>
        <w:top w:val="single" w:color="auto" w:sz="4" w:space="0"/>
        <w:bottom w:val="single" w:color="auto" w:sz="4" w:space="0"/>
      </w:pBdr>
      <w:spacing w:before="100" w:beforeAutospacing="1" w:after="100" w:afterAutospacing="1" w:line="240" w:lineRule="auto"/>
      <w:ind w:firstLine="0" w:firstLineChars="0"/>
      <w:jc w:val="left"/>
    </w:pPr>
    <w:rPr>
      <w:rFonts w:ascii="Times New Roman" w:eastAsia="宋体"/>
      <w:color w:val="000000"/>
      <w:kern w:val="0"/>
      <w:sz w:val="20"/>
      <w:szCs w:val="20"/>
    </w:rPr>
  </w:style>
  <w:style w:type="paragraph" w:customStyle="1" w:styleId="2234">
    <w:name w:val="表  格"/>
    <w:basedOn w:val="1"/>
    <w:qFormat/>
    <w:uiPriority w:val="0"/>
    <w:pPr>
      <w:adjustRightInd w:val="0"/>
      <w:snapToGrid w:val="0"/>
      <w:spacing w:line="0" w:lineRule="atLeast"/>
      <w:ind w:firstLine="0" w:firstLineChars="0"/>
      <w:jc w:val="center"/>
    </w:pPr>
    <w:rPr>
      <w:rFonts w:ascii="楷体_GB2312" w:eastAsia="楷体_GB2312"/>
      <w:kern w:val="0"/>
      <w:sz w:val="21"/>
      <w:szCs w:val="20"/>
    </w:rPr>
  </w:style>
  <w:style w:type="paragraph" w:customStyle="1" w:styleId="2235">
    <w:name w:val="表格文字(中)"/>
    <w:basedOn w:val="2236"/>
    <w:qFormat/>
    <w:uiPriority w:val="0"/>
    <w:pPr>
      <w:adjustRightInd w:val="0"/>
      <w:ind w:right="0"/>
      <w:jc w:val="center"/>
    </w:pPr>
  </w:style>
  <w:style w:type="paragraph" w:customStyle="1" w:styleId="2236">
    <w:name w:val="表格文字(右)"/>
    <w:basedOn w:val="35"/>
    <w:qFormat/>
    <w:uiPriority w:val="0"/>
    <w:pPr>
      <w:snapToGrid w:val="0"/>
      <w:spacing w:after="0" w:line="240" w:lineRule="auto"/>
      <w:ind w:right="113" w:firstLine="0" w:firstLineChars="0"/>
      <w:jc w:val="right"/>
    </w:pPr>
    <w:rPr>
      <w:rFonts w:ascii="宋体"/>
      <w:sz w:val="21"/>
      <w:szCs w:val="20"/>
      <w:u w:val="none" w:color="000000"/>
      <w:lang w:val="en-US" w:eastAsia="zh-CN"/>
    </w:rPr>
  </w:style>
  <w:style w:type="paragraph" w:customStyle="1" w:styleId="2237">
    <w:name w:val="xl2764"/>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center"/>
    </w:pPr>
    <w:rPr>
      <w:rFonts w:ascii="Times New Roman" w:eastAsia="宋体"/>
      <w:kern w:val="0"/>
      <w:sz w:val="21"/>
      <w:szCs w:val="21"/>
    </w:rPr>
  </w:style>
  <w:style w:type="paragraph" w:customStyle="1" w:styleId="2238">
    <w:name w:val="Char1 Char Char Char Char Char3"/>
    <w:basedOn w:val="1"/>
    <w:qFormat/>
    <w:uiPriority w:val="0"/>
    <w:pPr>
      <w:adjustRightInd w:val="0"/>
      <w:spacing w:line="360" w:lineRule="atLeast"/>
      <w:ind w:firstLine="0" w:firstLineChars="0"/>
      <w:textAlignment w:val="baseline"/>
    </w:pPr>
    <w:rPr>
      <w:rFonts w:ascii="Times New Roman" w:eastAsia="宋体"/>
      <w:kern w:val="0"/>
      <w:sz w:val="21"/>
      <w:szCs w:val="24"/>
      <w:u w:val="none" w:color="000000"/>
    </w:rPr>
  </w:style>
  <w:style w:type="paragraph" w:customStyle="1" w:styleId="2239">
    <w:name w:val="说明或注释（石）"/>
    <w:next w:val="87"/>
    <w:qFormat/>
    <w:uiPriority w:val="0"/>
    <w:pPr>
      <w:adjustRightInd w:val="0"/>
      <w:snapToGrid w:val="0"/>
      <w:ind w:firstLine="200" w:firstLineChars="200"/>
    </w:pPr>
    <w:rPr>
      <w:rFonts w:ascii="Times New Roman" w:hAnsi="Times New Roman" w:eastAsia="楷体_GB2312" w:cs="Times New Roman"/>
      <w:kern w:val="2"/>
      <w:sz w:val="18"/>
      <w:szCs w:val="24"/>
      <w:lang w:val="en-US" w:eastAsia="zh-CN" w:bidi="ar-SA"/>
    </w:rPr>
  </w:style>
  <w:style w:type="paragraph" w:customStyle="1" w:styleId="2240">
    <w:name w:val="表头NN"/>
    <w:basedOn w:val="1"/>
    <w:qFormat/>
    <w:uiPriority w:val="0"/>
    <w:pPr>
      <w:adjustRightInd w:val="0"/>
      <w:spacing w:after="60"/>
      <w:ind w:firstLine="100" w:firstLineChars="100"/>
      <w:textAlignment w:val="baseline"/>
      <w:outlineLvl w:val="7"/>
    </w:pPr>
    <w:rPr>
      <w:rFonts w:ascii="Times New Roman" w:eastAsia="黑体"/>
      <w:kern w:val="0"/>
      <w:sz w:val="24"/>
      <w:szCs w:val="24"/>
    </w:rPr>
  </w:style>
  <w:style w:type="paragraph" w:customStyle="1" w:styleId="2241">
    <w:name w:val="xl157"/>
    <w:basedOn w:val="1"/>
    <w:qFormat/>
    <w:uiPriority w:val="0"/>
    <w:pPr>
      <w:widowControl/>
      <w:pBdr>
        <w:top w:val="single" w:color="auto" w:sz="4" w:space="0"/>
        <w:left w:val="single" w:color="auto" w:sz="4" w:space="0"/>
      </w:pBdr>
      <w:spacing w:before="100" w:beforeAutospacing="1" w:after="100" w:afterAutospacing="1" w:line="240" w:lineRule="auto"/>
      <w:ind w:firstLine="0" w:firstLineChars="0"/>
      <w:jc w:val="center"/>
    </w:pPr>
    <w:rPr>
      <w:rFonts w:ascii="宋体" w:hAnsi="宋体" w:eastAsia="宋体" w:cs="宋体"/>
      <w:kern w:val="0"/>
      <w:sz w:val="20"/>
      <w:szCs w:val="20"/>
    </w:rPr>
  </w:style>
  <w:style w:type="paragraph" w:customStyle="1" w:styleId="2242">
    <w:name w:val="正文楷体"/>
    <w:basedOn w:val="1"/>
    <w:qFormat/>
    <w:uiPriority w:val="0"/>
    <w:pPr>
      <w:spacing w:line="360" w:lineRule="auto"/>
    </w:pPr>
    <w:rPr>
      <w:rFonts w:ascii="楷体_GB2312" w:eastAsia="楷体_GB2312"/>
      <w:sz w:val="24"/>
      <w:szCs w:val="24"/>
    </w:rPr>
  </w:style>
  <w:style w:type="paragraph" w:customStyle="1" w:styleId="2243">
    <w:name w:val="表格文字1 Char Char Char Char Char"/>
    <w:basedOn w:val="1"/>
    <w:semiHidden/>
    <w:qFormat/>
    <w:uiPriority w:val="0"/>
    <w:pPr>
      <w:adjustRightInd w:val="0"/>
      <w:snapToGrid w:val="0"/>
      <w:spacing w:line="240" w:lineRule="auto"/>
      <w:ind w:firstLine="0" w:firstLineChars="0"/>
      <w:jc w:val="center"/>
    </w:pPr>
    <w:rPr>
      <w:rFonts w:ascii="宋体" w:hAnsi="宋体" w:eastAsia="宋体-方正超大字符集"/>
      <w:kern w:val="0"/>
      <w:sz w:val="21"/>
      <w:szCs w:val="21"/>
      <w:u w:val="none" w:color="000000"/>
    </w:rPr>
  </w:style>
  <w:style w:type="paragraph" w:customStyle="1" w:styleId="2244">
    <w:name w:val="样式 标题3 + 段前: 0.5 行 段后: 0.5 行"/>
    <w:basedOn w:val="7"/>
    <w:qFormat/>
    <w:uiPriority w:val="0"/>
    <w:pPr>
      <w:overflowPunct w:val="0"/>
      <w:topLinePunct/>
      <w:spacing w:line="440" w:lineRule="exact"/>
    </w:pPr>
    <w:rPr>
      <w:rFonts w:ascii="Times New Roman" w:hAnsi="Times New Roman" w:eastAsia="华文中宋"/>
      <w:b/>
      <w:kern w:val="10"/>
      <w:szCs w:val="20"/>
    </w:rPr>
  </w:style>
  <w:style w:type="paragraph" w:customStyle="1" w:styleId="2245">
    <w:name w:val="xl94"/>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18"/>
      <w:szCs w:val="18"/>
    </w:rPr>
  </w:style>
  <w:style w:type="paragraph" w:customStyle="1" w:styleId="2246">
    <w:name w:val="样式 表名 + 仿宋_GB2312 四号"/>
    <w:basedOn w:val="624"/>
    <w:qFormat/>
    <w:uiPriority w:val="0"/>
    <w:pPr>
      <w:adjustRightInd w:val="0"/>
      <w:spacing w:line="240" w:lineRule="auto"/>
      <w:ind w:firstLine="238" w:firstLineChars="0"/>
      <w:textAlignment w:val="baseline"/>
    </w:pPr>
    <w:rPr>
      <w:rFonts w:ascii="Arial" w:hAnsi="Arial" w:eastAsia="宋体"/>
      <w:b/>
      <w:kern w:val="0"/>
      <w:sz w:val="28"/>
      <w:szCs w:val="21"/>
      <w:lang w:val="zh-CN"/>
    </w:rPr>
  </w:style>
  <w:style w:type="paragraph" w:customStyle="1" w:styleId="2247">
    <w:name w:val="样式 正文首行缩进 2正文首行缩进 2-y Char正文首行缩进 2-y正文首行缩进 2石正文首行缩进 2-rebecc...3"/>
    <w:basedOn w:val="87"/>
    <w:qFormat/>
    <w:uiPriority w:val="0"/>
    <w:pPr>
      <w:spacing w:after="0"/>
      <w:ind w:left="200" w:leftChars="200" w:firstLine="0"/>
    </w:pPr>
    <w:rPr>
      <w:rFonts w:eastAsia="楷体_GB2312" w:cs="宋体"/>
      <w:kern w:val="0"/>
    </w:rPr>
  </w:style>
  <w:style w:type="paragraph" w:customStyle="1" w:styleId="2248">
    <w:name w:val="表中文字-y"/>
    <w:next w:val="1"/>
    <w:qFormat/>
    <w:uiPriority w:val="0"/>
    <w:pPr>
      <w:widowControl w:val="0"/>
      <w:spacing w:before="40" w:after="40"/>
      <w:jc w:val="center"/>
    </w:pPr>
    <w:rPr>
      <w:rFonts w:ascii="Times New Roman" w:hAnsi="Times New Roman" w:eastAsia="宋体" w:cs="Arial"/>
      <w:kern w:val="2"/>
      <w:sz w:val="21"/>
      <w:szCs w:val="24"/>
      <w:lang w:val="en-US" w:eastAsia="zh-CN" w:bidi="ar-SA"/>
    </w:rPr>
  </w:style>
  <w:style w:type="paragraph" w:customStyle="1" w:styleId="2249">
    <w:name w:val="xl236"/>
    <w:basedOn w:val="1"/>
    <w:qFormat/>
    <w:uiPriority w:val="0"/>
    <w:pPr>
      <w:widowControl/>
      <w:pBdr>
        <w:top w:val="single" w:color="auto" w:sz="4" w:space="0"/>
        <w:left w:val="single" w:color="auto" w:sz="4" w:space="0"/>
        <w:bottom w:val="single" w:color="auto" w:sz="4" w:space="0"/>
        <w:right w:val="single" w:color="auto" w:sz="4" w:space="0"/>
      </w:pBdr>
      <w:adjustRightInd w:val="0"/>
      <w:snapToGrid w:val="0"/>
      <w:spacing w:before="100" w:beforeAutospacing="1" w:after="100" w:afterAutospacing="1" w:line="360" w:lineRule="auto"/>
      <w:ind w:firstLine="0" w:firstLineChars="0"/>
      <w:jc w:val="center"/>
    </w:pPr>
    <w:rPr>
      <w:rFonts w:ascii="Times New Roman" w:eastAsia="宋体"/>
      <w:color w:val="000000"/>
      <w:kern w:val="0"/>
      <w:sz w:val="24"/>
      <w:szCs w:val="24"/>
    </w:rPr>
  </w:style>
  <w:style w:type="paragraph" w:customStyle="1" w:styleId="2250">
    <w:name w:val="正 文～"/>
    <w:basedOn w:val="6"/>
    <w:qFormat/>
    <w:uiPriority w:val="0"/>
    <w:pPr>
      <w:ind w:firstLine="200"/>
      <w:textAlignment w:val="baseline"/>
    </w:pPr>
    <w:rPr>
      <w:rFonts w:hAnsi="仿宋_GB2312"/>
      <w:kern w:val="0"/>
      <w:lang w:val="en-US" w:eastAsia="zh-CN"/>
    </w:rPr>
  </w:style>
  <w:style w:type="paragraph" w:customStyle="1" w:styleId="2251">
    <w:name w:val="4 Char Char Char Char Char Char Char"/>
    <w:basedOn w:val="1"/>
    <w:semiHidden/>
    <w:qFormat/>
    <w:uiPriority w:val="0"/>
    <w:pPr>
      <w:spacing w:line="240" w:lineRule="auto"/>
    </w:pPr>
    <w:rPr>
      <w:rFonts w:ascii="Times New Roman"/>
      <w:sz w:val="30"/>
      <w:szCs w:val="30"/>
    </w:rPr>
  </w:style>
  <w:style w:type="paragraph" w:customStyle="1" w:styleId="2252">
    <w:name w:val="样式4 Char Char Char"/>
    <w:basedOn w:val="51"/>
    <w:qFormat/>
    <w:uiPriority w:val="0"/>
    <w:pPr>
      <w:spacing w:beforeLines="50" w:afterLines="50" w:line="240" w:lineRule="auto"/>
      <w:ind w:left="0" w:leftChars="0" w:firstLine="0" w:firstLineChars="0"/>
    </w:pPr>
    <w:rPr>
      <w:rFonts w:ascii="Times New Roman" w:eastAsia="华文中宋"/>
      <w:b/>
      <w:color w:val="000000"/>
    </w:rPr>
  </w:style>
  <w:style w:type="paragraph" w:customStyle="1" w:styleId="2253">
    <w:name w:val="bm"/>
    <w:basedOn w:val="1"/>
    <w:qFormat/>
    <w:uiPriority w:val="0"/>
    <w:pPr>
      <w:autoSpaceDE w:val="0"/>
      <w:autoSpaceDN w:val="0"/>
      <w:adjustRightInd w:val="0"/>
      <w:spacing w:line="240" w:lineRule="auto"/>
      <w:ind w:firstLine="0" w:firstLineChars="0"/>
      <w:jc w:val="center"/>
      <w:textAlignment w:val="bottom"/>
    </w:pPr>
    <w:rPr>
      <w:rFonts w:ascii="黑体" w:hAnsi="宋体" w:eastAsia="黑体"/>
      <w:kern w:val="0"/>
      <w:sz w:val="24"/>
      <w:szCs w:val="24"/>
      <w:u w:val="none" w:color="000000"/>
    </w:rPr>
  </w:style>
  <w:style w:type="paragraph" w:customStyle="1" w:styleId="2254">
    <w:name w:val="xl257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楷体_GB2312" w:hAnsi="宋体" w:eastAsia="楷体_GB2312" w:cs="宋体"/>
      <w:kern w:val="0"/>
      <w:sz w:val="20"/>
      <w:szCs w:val="20"/>
    </w:rPr>
  </w:style>
  <w:style w:type="paragraph" w:customStyle="1" w:styleId="2255">
    <w:name w:val="日期署名"/>
    <w:basedOn w:val="1"/>
    <w:qFormat/>
    <w:uiPriority w:val="0"/>
    <w:pPr>
      <w:spacing w:line="305" w:lineRule="auto"/>
      <w:ind w:firstLine="0" w:firstLineChars="0"/>
      <w:jc w:val="center"/>
    </w:pPr>
    <w:rPr>
      <w:rFonts w:ascii="Times New Roman" w:eastAsia="方正行楷简体" w:cs="宋体"/>
      <w:sz w:val="36"/>
      <w:szCs w:val="20"/>
    </w:rPr>
  </w:style>
  <w:style w:type="paragraph" w:customStyle="1" w:styleId="2256">
    <w:name w:val="样式 标题 2节标题 1.1H2h2Title Header2 + 首行缩进:  0 厘米"/>
    <w:basedOn w:val="5"/>
    <w:qFormat/>
    <w:uiPriority w:val="0"/>
    <w:pPr>
      <w:keepNext/>
      <w:keepLines/>
      <w:spacing w:before="0" w:after="0" w:line="400" w:lineRule="atLeast"/>
    </w:pPr>
    <w:rPr>
      <w:rFonts w:ascii="Times New Roman" w:hAnsi="Times New Roman"/>
      <w:sz w:val="24"/>
      <w:szCs w:val="20"/>
    </w:rPr>
  </w:style>
  <w:style w:type="paragraph" w:customStyle="1" w:styleId="2257">
    <w:name w:val="刘丽样式1"/>
    <w:next w:val="1"/>
    <w:qFormat/>
    <w:uiPriority w:val="0"/>
    <w:pPr>
      <w:tabs>
        <w:tab w:val="left" w:pos="360"/>
        <w:tab w:val="left" w:pos="720"/>
      </w:tabs>
      <w:spacing w:line="312" w:lineRule="auto"/>
      <w:ind w:left="720" w:hanging="720"/>
      <w:jc w:val="both"/>
    </w:pPr>
    <w:rPr>
      <w:rFonts w:ascii="Times New Roman" w:hAnsi="Times New Roman" w:eastAsia="宋体" w:cs="Times New Roman"/>
      <w:sz w:val="28"/>
      <w:lang w:val="en-US" w:eastAsia="zh-CN" w:bidi="ar-SA"/>
    </w:rPr>
  </w:style>
  <w:style w:type="paragraph" w:customStyle="1" w:styleId="2258">
    <w:name w:val="big bold"/>
    <w:basedOn w:val="1"/>
    <w:qFormat/>
    <w:uiPriority w:val="0"/>
    <w:pPr>
      <w:spacing w:line="240" w:lineRule="auto"/>
      <w:ind w:left="360" w:firstLine="0" w:firstLineChars="0"/>
    </w:pPr>
    <w:rPr>
      <w:rFonts w:ascii="Times New Roman" w:eastAsia="华文中宋"/>
      <w:color w:val="FF0000"/>
      <w:sz w:val="48"/>
      <w:szCs w:val="24"/>
    </w:rPr>
  </w:style>
  <w:style w:type="paragraph" w:customStyle="1" w:styleId="2259">
    <w:name w:val="公表格"/>
    <w:basedOn w:val="1"/>
    <w:qFormat/>
    <w:uiPriority w:val="0"/>
    <w:pPr>
      <w:spacing w:line="0" w:lineRule="atLeast"/>
      <w:ind w:firstLine="0" w:firstLineChars="0"/>
      <w:jc w:val="center"/>
    </w:pPr>
    <w:rPr>
      <w:rFonts w:ascii="楷体_GB2312" w:eastAsia="楷体_GB2312" w:cs="宋体"/>
      <w:kern w:val="0"/>
      <w:sz w:val="21"/>
      <w:szCs w:val="20"/>
    </w:rPr>
  </w:style>
  <w:style w:type="paragraph" w:customStyle="1" w:styleId="2260">
    <w:name w:val="样式45"/>
    <w:basedOn w:val="7"/>
    <w:qFormat/>
    <w:uiPriority w:val="0"/>
    <w:rPr>
      <w:rFonts w:ascii="Arial"/>
    </w:rPr>
  </w:style>
  <w:style w:type="paragraph" w:customStyle="1" w:styleId="2261">
    <w:name w:val="图名  99"/>
    <w:basedOn w:val="1"/>
    <w:qFormat/>
    <w:uiPriority w:val="0"/>
    <w:pPr>
      <w:spacing w:line="240" w:lineRule="auto"/>
      <w:ind w:firstLine="0" w:firstLineChars="0"/>
      <w:jc w:val="center"/>
    </w:pPr>
    <w:rPr>
      <w:rFonts w:ascii="Times New Roman" w:eastAsia="黑体"/>
      <w:sz w:val="24"/>
      <w:szCs w:val="24"/>
    </w:rPr>
  </w:style>
  <w:style w:type="paragraph" w:customStyle="1" w:styleId="2262">
    <w:name w:val="公表单位"/>
    <w:basedOn w:val="748"/>
    <w:qFormat/>
    <w:uiPriority w:val="0"/>
    <w:pPr>
      <w:ind w:right="150" w:rightChars="150" w:firstLine="0" w:firstLineChars="0"/>
      <w:jc w:val="right"/>
    </w:pPr>
    <w:rPr>
      <w:rFonts w:hAnsi="宋体"/>
      <w:szCs w:val="20"/>
      <w:lang w:val="en-US" w:eastAsia="zh-CN"/>
    </w:rPr>
  </w:style>
  <w:style w:type="paragraph" w:customStyle="1" w:styleId="2263">
    <w:name w:val="样式 样式 表名 + 左侧:  0.99 厘米 首行缩进:  1 字符 + 首行缩进:  1 字符"/>
    <w:basedOn w:val="1"/>
    <w:qFormat/>
    <w:uiPriority w:val="0"/>
    <w:pPr>
      <w:spacing w:after="60"/>
      <w:ind w:firstLine="100" w:firstLineChars="100"/>
    </w:pPr>
    <w:rPr>
      <w:rFonts w:ascii="黑体" w:eastAsia="黑体" w:cs="宋体"/>
      <w:snapToGrid w:val="0"/>
      <w:sz w:val="24"/>
      <w:szCs w:val="20"/>
    </w:rPr>
  </w:style>
  <w:style w:type="paragraph" w:customStyle="1" w:styleId="2264">
    <w:name w:val="Char Char Char11"/>
    <w:basedOn w:val="1"/>
    <w:qFormat/>
    <w:uiPriority w:val="0"/>
    <w:rPr>
      <w:szCs w:val="24"/>
    </w:rPr>
  </w:style>
  <w:style w:type="paragraph" w:customStyle="1" w:styleId="2265">
    <w:name w:val="Char1 Char Char Char Char Char Char Char Char Char"/>
    <w:basedOn w:val="1"/>
    <w:qFormat/>
    <w:uiPriority w:val="0"/>
    <w:pPr>
      <w:spacing w:line="240" w:lineRule="auto"/>
      <w:ind w:firstLine="0" w:firstLineChars="0"/>
    </w:pPr>
    <w:rPr>
      <w:rFonts w:ascii="Times New Roman" w:eastAsia="宋体"/>
      <w:sz w:val="24"/>
      <w:szCs w:val="24"/>
    </w:rPr>
  </w:style>
  <w:style w:type="paragraph" w:customStyle="1" w:styleId="2266">
    <w:name w:val="Char1 Char Char Char Char Char Char Char Char Char1"/>
    <w:basedOn w:val="1"/>
    <w:qFormat/>
    <w:uiPriority w:val="0"/>
    <w:rPr>
      <w:sz w:val="24"/>
      <w:szCs w:val="24"/>
    </w:rPr>
  </w:style>
  <w:style w:type="paragraph" w:customStyle="1" w:styleId="2267">
    <w:name w:val="TOC 标题11"/>
    <w:basedOn w:val="4"/>
    <w:next w:val="1"/>
    <w:qFormat/>
    <w:uiPriority w:val="0"/>
    <w:pPr>
      <w:keepNext/>
      <w:keepLines/>
      <w:widowControl/>
      <w:spacing w:before="240" w:beforeLines="50" w:after="240" w:afterLines="50" w:line="276" w:lineRule="auto"/>
      <w:jc w:val="left"/>
      <w:outlineLvl w:val="9"/>
    </w:pPr>
    <w:rPr>
      <w:rFonts w:ascii="Cambria" w:hAnsi="Cambria" w:eastAsia="宋体"/>
      <w:b/>
      <w:color w:val="365F91"/>
      <w:kern w:val="0"/>
      <w:sz w:val="28"/>
      <w:szCs w:val="28"/>
      <w:lang w:val="en-US" w:eastAsia="zh-CN"/>
    </w:rPr>
  </w:style>
  <w:style w:type="paragraph" w:customStyle="1" w:styleId="2268">
    <w:name w:val="xl510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Times New Roman" w:eastAsia="宋体"/>
      <w:kern w:val="0"/>
      <w:sz w:val="20"/>
      <w:szCs w:val="20"/>
    </w:rPr>
  </w:style>
  <w:style w:type="paragraph" w:customStyle="1" w:styleId="2269">
    <w:name w:val="样式4 a.b."/>
    <w:basedOn w:val="1"/>
    <w:qFormat/>
    <w:uiPriority w:val="0"/>
    <w:pPr>
      <w:widowControl/>
      <w:tabs>
        <w:tab w:val="left" w:pos="840"/>
      </w:tabs>
      <w:spacing w:line="360" w:lineRule="auto"/>
      <w:ind w:left="840" w:hanging="420" w:firstLineChars="0"/>
    </w:pPr>
    <w:rPr>
      <w:rFonts w:ascii="Times New Roman" w:eastAsia="宋体"/>
      <w:kern w:val="0"/>
      <w:sz w:val="24"/>
      <w:szCs w:val="20"/>
    </w:rPr>
  </w:style>
  <w:style w:type="paragraph" w:customStyle="1" w:styleId="2270">
    <w:name w:val="彩色底纹 - 强调文字颜色 12"/>
    <w:semiHidden/>
    <w:qFormat/>
    <w:uiPriority w:val="0"/>
    <w:rPr>
      <w:rFonts w:ascii="仿宋_GB2312" w:hAnsi="Times New Roman" w:eastAsia="仿宋_GB2312" w:cs="Times New Roman"/>
      <w:kern w:val="2"/>
      <w:sz w:val="28"/>
      <w:szCs w:val="24"/>
      <w:lang w:val="en-US" w:eastAsia="zh-CN" w:bidi="ar-SA"/>
    </w:rPr>
  </w:style>
  <w:style w:type="paragraph" w:customStyle="1" w:styleId="2271">
    <w:name w:val="Char Char Char1 Char Char Char Char Char Char2 Char"/>
    <w:basedOn w:val="1"/>
    <w:semiHidden/>
    <w:qFormat/>
    <w:uiPriority w:val="0"/>
    <w:pPr>
      <w:spacing w:line="240" w:lineRule="auto"/>
      <w:ind w:firstLine="0" w:firstLineChars="0"/>
    </w:pPr>
    <w:rPr>
      <w:rFonts w:ascii="Times New Roman" w:eastAsia="宋体"/>
      <w:sz w:val="21"/>
      <w:szCs w:val="24"/>
    </w:rPr>
  </w:style>
  <w:style w:type="paragraph" w:customStyle="1" w:styleId="2272">
    <w:name w:val="xl2803"/>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textAlignment w:val="center"/>
    </w:pPr>
    <w:rPr>
      <w:rFonts w:ascii="宋体" w:hAnsi="宋体" w:eastAsia="宋体" w:cs="宋体"/>
      <w:b/>
      <w:bCs/>
      <w:color w:val="7030A0"/>
      <w:kern w:val="0"/>
      <w:sz w:val="24"/>
      <w:szCs w:val="24"/>
    </w:rPr>
  </w:style>
  <w:style w:type="paragraph" w:customStyle="1" w:styleId="2273">
    <w:name w:val="5正文"/>
    <w:basedOn w:val="1"/>
    <w:semiHidden/>
    <w:qFormat/>
    <w:uiPriority w:val="0"/>
    <w:pPr>
      <w:spacing w:line="500" w:lineRule="exact"/>
      <w:ind w:firstLine="560"/>
    </w:pPr>
    <w:rPr>
      <w:kern w:val="0"/>
      <w:sz w:val="24"/>
      <w:u w:val="none" w:color="000000"/>
    </w:rPr>
  </w:style>
  <w:style w:type="paragraph" w:customStyle="1" w:styleId="2274">
    <w:name w:val="表头0"/>
    <w:basedOn w:val="1"/>
    <w:qFormat/>
    <w:uiPriority w:val="0"/>
    <w:pPr>
      <w:spacing w:after="60"/>
      <w:ind w:firstLine="100" w:firstLineChars="100"/>
    </w:pPr>
    <w:rPr>
      <w:rFonts w:ascii="黑体" w:eastAsia="黑体"/>
      <w:sz w:val="24"/>
      <w:szCs w:val="20"/>
    </w:rPr>
  </w:style>
  <w:style w:type="paragraph" w:customStyle="1" w:styleId="2275">
    <w:name w:val="xl44"/>
    <w:basedOn w:val="1"/>
    <w:qFormat/>
    <w:uiPriority w:val="0"/>
    <w:pPr>
      <w:widowControl/>
      <w:pBdr>
        <w:top w:val="single" w:color="auto" w:sz="4" w:space="0"/>
        <w:left w:val="single" w:color="auto" w:sz="4" w:space="0"/>
        <w:bottom w:val="single" w:color="auto" w:sz="8" w:space="0"/>
        <w:right w:val="single" w:color="auto" w:sz="4" w:space="0"/>
      </w:pBdr>
      <w:tabs>
        <w:tab w:val="left" w:pos="735"/>
      </w:tabs>
      <w:spacing w:before="100" w:beforeAutospacing="1" w:after="100" w:afterAutospacing="1" w:line="240" w:lineRule="auto"/>
      <w:ind w:firstLine="0" w:firstLineChars="0"/>
      <w:jc w:val="center"/>
      <w:textAlignment w:val="center"/>
    </w:pPr>
    <w:rPr>
      <w:rFonts w:ascii="Times New Roman" w:eastAsia="宋体"/>
      <w:kern w:val="0"/>
      <w:sz w:val="16"/>
      <w:szCs w:val="16"/>
    </w:rPr>
  </w:style>
  <w:style w:type="paragraph" w:customStyle="1" w:styleId="2276">
    <w:name w:val="xl2784"/>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pPr>
    <w:rPr>
      <w:rFonts w:ascii="Times New Roman" w:eastAsia="宋体"/>
      <w:kern w:val="0"/>
      <w:sz w:val="18"/>
      <w:szCs w:val="18"/>
    </w:rPr>
  </w:style>
  <w:style w:type="paragraph" w:customStyle="1" w:styleId="2277">
    <w:name w:val="xl95"/>
    <w:basedOn w:val="1"/>
    <w:qFormat/>
    <w:uiPriority w:val="0"/>
    <w:pPr>
      <w:widowControl/>
      <w:pBdr>
        <w:bottom w:val="single" w:color="auto" w:sz="4" w:space="0"/>
      </w:pBdr>
      <w:spacing w:before="100" w:beforeAutospacing="1" w:after="100" w:afterAutospacing="1" w:line="240" w:lineRule="auto"/>
      <w:ind w:firstLine="0" w:firstLineChars="0"/>
      <w:jc w:val="center"/>
    </w:pPr>
    <w:rPr>
      <w:rFonts w:ascii="宋体" w:hAnsi="宋体" w:eastAsia="宋体" w:cs="宋体"/>
      <w:kern w:val="0"/>
      <w:sz w:val="18"/>
      <w:szCs w:val="18"/>
    </w:rPr>
  </w:style>
  <w:style w:type="paragraph" w:customStyle="1" w:styleId="2278">
    <w:name w:val="样式 样式 样式 行距: 固定值 22 磅 + 首行缩进:  2 字符 + 首行缩进:  2 字符 Char"/>
    <w:basedOn w:val="1"/>
    <w:qFormat/>
    <w:uiPriority w:val="0"/>
    <w:pPr>
      <w:spacing w:line="480" w:lineRule="exact"/>
      <w:ind w:firstLine="480"/>
    </w:pPr>
    <w:rPr>
      <w:rFonts w:ascii="Times New Roman" w:eastAsia="华文中宋"/>
      <w:sz w:val="24"/>
      <w:szCs w:val="20"/>
    </w:rPr>
  </w:style>
  <w:style w:type="paragraph" w:customStyle="1" w:styleId="2279">
    <w:name w:val="tm"/>
    <w:basedOn w:val="1"/>
    <w:qFormat/>
    <w:uiPriority w:val="0"/>
    <w:pPr>
      <w:adjustRightInd w:val="0"/>
      <w:jc w:val="center"/>
      <w:textAlignment w:val="baseline"/>
    </w:pPr>
    <w:rPr>
      <w:rFonts w:ascii="黑体" w:hAnsi="宋体" w:eastAsia="黑体"/>
      <w:kern w:val="0"/>
      <w:sz w:val="24"/>
      <w:u w:val="none" w:color="000000"/>
    </w:rPr>
  </w:style>
  <w:style w:type="paragraph" w:customStyle="1" w:styleId="2280">
    <w:name w:val="Char2 Char Char Char"/>
    <w:basedOn w:val="1"/>
    <w:qFormat/>
    <w:uiPriority w:val="0"/>
    <w:pPr>
      <w:autoSpaceDE w:val="0"/>
      <w:autoSpaceDN w:val="0"/>
      <w:adjustRightInd w:val="0"/>
      <w:spacing w:line="240" w:lineRule="auto"/>
      <w:ind w:firstLine="0" w:firstLineChars="0"/>
    </w:pPr>
    <w:rPr>
      <w:rFonts w:ascii="Times New Roman" w:eastAsia="宋体"/>
      <w:sz w:val="21"/>
      <w:szCs w:val="24"/>
    </w:rPr>
  </w:style>
  <w:style w:type="paragraph" w:customStyle="1" w:styleId="2281">
    <w:name w:val="xl177"/>
    <w:basedOn w:val="1"/>
    <w:qFormat/>
    <w:uiPriority w:val="0"/>
    <w:pPr>
      <w:widowControl/>
      <w:pBdr>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 w:val="20"/>
      <w:szCs w:val="20"/>
    </w:rPr>
  </w:style>
  <w:style w:type="paragraph" w:customStyle="1" w:styleId="2282">
    <w:name w:val="xl2564"/>
    <w:basedOn w:val="1"/>
    <w:qFormat/>
    <w:uiPriority w:val="0"/>
    <w:pPr>
      <w:widowControl/>
      <w:pBdr>
        <w:top w:val="single" w:color="auto" w:sz="4" w:space="0"/>
        <w:bottom w:val="single" w:color="auto" w:sz="4" w:space="0"/>
      </w:pBdr>
      <w:spacing w:before="100" w:beforeAutospacing="1" w:after="100" w:afterAutospacing="1" w:line="240" w:lineRule="auto"/>
      <w:ind w:firstLine="0" w:firstLineChars="0"/>
      <w:jc w:val="center"/>
    </w:pPr>
    <w:rPr>
      <w:rFonts w:ascii="Times New Roman" w:eastAsia="宋体"/>
      <w:kern w:val="0"/>
      <w:sz w:val="20"/>
      <w:szCs w:val="20"/>
    </w:rPr>
  </w:style>
  <w:style w:type="paragraph" w:customStyle="1" w:styleId="2283">
    <w:name w:val="（一）"/>
    <w:basedOn w:val="46"/>
    <w:qFormat/>
    <w:uiPriority w:val="0"/>
    <w:pPr>
      <w:widowControl w:val="0"/>
      <w:adjustRightInd w:val="0"/>
      <w:snapToGrid w:val="0"/>
      <w:spacing w:line="240" w:lineRule="auto"/>
      <w:ind w:firstLine="200"/>
      <w:textAlignment w:val="auto"/>
      <w:outlineLvl w:val="3"/>
    </w:pPr>
    <w:rPr>
      <w:rFonts w:ascii="仿宋_GB2312" w:hAnsi="Courier New"/>
      <w:b/>
      <w:color w:val="auto"/>
      <w:kern w:val="2"/>
      <w:sz w:val="21"/>
      <w:szCs w:val="21"/>
      <w:u w:val="none" w:color="auto"/>
    </w:rPr>
  </w:style>
  <w:style w:type="paragraph" w:customStyle="1" w:styleId="2284">
    <w:name w:val="样式 样式 正文首行缩进 2正文首行缩进 2-y Char正文首行缩进 2-y正文首行缩进 2石正文首行缩进 2-rebecc...."/>
    <w:basedOn w:val="2285"/>
    <w:qFormat/>
    <w:uiPriority w:val="0"/>
  </w:style>
  <w:style w:type="paragraph" w:customStyle="1" w:styleId="2285">
    <w:name w:val="样式 正文首行缩进 2正文首行缩进 2-y Char正文首行缩进 2-y正文首行缩进 2石正文首行缩进 2-rebecc...2"/>
    <w:basedOn w:val="87"/>
    <w:qFormat/>
    <w:uiPriority w:val="0"/>
    <w:pPr>
      <w:spacing w:after="0"/>
      <w:ind w:left="200" w:leftChars="200" w:firstLine="0"/>
      <w:jc w:val="center"/>
    </w:pPr>
    <w:rPr>
      <w:rFonts w:eastAsia="楷体_GB2312" w:cs="宋体"/>
    </w:rPr>
  </w:style>
  <w:style w:type="paragraph" w:customStyle="1" w:styleId="2286">
    <w:name w:val="xl29"/>
    <w:basedOn w:val="1"/>
    <w:qFormat/>
    <w:uiPriority w:val="0"/>
    <w:pPr>
      <w:widowControl/>
      <w:spacing w:before="100" w:beforeAutospacing="1" w:after="100" w:afterAutospacing="1" w:line="240" w:lineRule="auto"/>
      <w:jc w:val="left"/>
      <w:textAlignment w:val="center"/>
    </w:pPr>
    <w:rPr>
      <w:rFonts w:ascii="Times New Roman" w:eastAsia="Arial Unicode MS"/>
      <w:kern w:val="0"/>
    </w:rPr>
  </w:style>
  <w:style w:type="paragraph" w:customStyle="1" w:styleId="2287">
    <w:name w:val="样式 样式 表名 + 首行缩进:  1 字符3 + 首行缩进:  1 字符"/>
    <w:basedOn w:val="1"/>
    <w:qFormat/>
    <w:uiPriority w:val="0"/>
    <w:pPr>
      <w:spacing w:after="60"/>
      <w:ind w:firstLine="100" w:firstLineChars="100"/>
    </w:pPr>
    <w:rPr>
      <w:rFonts w:ascii="黑体" w:eastAsia="黑体" w:cs="宋体"/>
      <w:snapToGrid w:val="0"/>
      <w:sz w:val="24"/>
      <w:szCs w:val="20"/>
    </w:rPr>
  </w:style>
  <w:style w:type="paragraph" w:customStyle="1" w:styleId="2288">
    <w:name w:val="xl45366"/>
    <w:basedOn w:val="1"/>
    <w:qFormat/>
    <w:uiPriority w:val="0"/>
    <w:pPr>
      <w:widowControl/>
      <w:pBdr>
        <w:bottom w:val="single" w:color="auto" w:sz="4" w:space="0"/>
      </w:pBdr>
      <w:spacing w:before="100" w:beforeAutospacing="1" w:after="100" w:afterAutospacing="1" w:line="240" w:lineRule="auto"/>
      <w:ind w:firstLine="0" w:firstLineChars="0"/>
      <w:jc w:val="center"/>
    </w:pPr>
    <w:rPr>
      <w:rFonts w:ascii="Times New Roman" w:eastAsia="宋体"/>
      <w:kern w:val="0"/>
      <w:sz w:val="20"/>
      <w:szCs w:val="20"/>
    </w:rPr>
  </w:style>
  <w:style w:type="paragraph" w:customStyle="1" w:styleId="2289">
    <w:name w:val="样式 黑体 居中"/>
    <w:basedOn w:val="1"/>
    <w:qFormat/>
    <w:uiPriority w:val="0"/>
    <w:pPr>
      <w:spacing w:after="60"/>
      <w:ind w:firstLine="100" w:firstLineChars="100"/>
      <w:jc w:val="left"/>
    </w:pPr>
    <w:rPr>
      <w:rFonts w:ascii="黑体" w:hAnsi="Garamond" w:eastAsia="黑体" w:cs="宋体"/>
      <w:szCs w:val="20"/>
    </w:rPr>
  </w:style>
  <w:style w:type="paragraph" w:customStyle="1" w:styleId="2290">
    <w:name w:val="小标题"/>
    <w:basedOn w:val="87"/>
    <w:qFormat/>
    <w:uiPriority w:val="0"/>
    <w:pPr>
      <w:overflowPunct w:val="0"/>
      <w:spacing w:after="0" w:line="360" w:lineRule="auto"/>
      <w:ind w:left="0" w:firstLine="480" w:firstLineChars="200"/>
      <w:jc w:val="left"/>
    </w:pPr>
    <w:rPr>
      <w:b/>
      <w:spacing w:val="4"/>
      <w:sz w:val="28"/>
      <w:szCs w:val="28"/>
    </w:rPr>
  </w:style>
  <w:style w:type="paragraph" w:customStyle="1" w:styleId="2291">
    <w:name w:val="报告正文 Char1 Char Char Char Char"/>
    <w:basedOn w:val="1"/>
    <w:qFormat/>
    <w:uiPriority w:val="0"/>
    <w:pPr>
      <w:topLinePunct/>
      <w:spacing w:line="360" w:lineRule="auto"/>
    </w:pPr>
    <w:rPr>
      <w:rFonts w:ascii="Times New Roman" w:eastAsia="宋体"/>
      <w:bCs/>
      <w:spacing w:val="14"/>
      <w:sz w:val="24"/>
      <w:szCs w:val="24"/>
    </w:rPr>
  </w:style>
  <w:style w:type="paragraph" w:customStyle="1" w:styleId="2292">
    <w:name w:val="样式 标题 2节标题 1.11.1标题2b2节标题标题 2 Char1标题 2 Char Char白鹤滩标题 2..."/>
    <w:basedOn w:val="5"/>
    <w:qFormat/>
    <w:uiPriority w:val="0"/>
    <w:pPr>
      <w:adjustRightInd w:val="0"/>
      <w:jc w:val="left"/>
    </w:pPr>
    <w:rPr>
      <w:rFonts w:cs="宋体"/>
      <w:color w:val="000000"/>
      <w:kern w:val="0"/>
      <w:szCs w:val="20"/>
    </w:rPr>
  </w:style>
  <w:style w:type="paragraph" w:customStyle="1" w:styleId="2293">
    <w:name w:val="xl189"/>
    <w:basedOn w:val="1"/>
    <w:qFormat/>
    <w:uiPriority w:val="0"/>
    <w:pPr>
      <w:widowControl/>
      <w:pBdr>
        <w:top w:val="single" w:color="auto" w:sz="8" w:space="0"/>
        <w:left w:val="single" w:color="auto" w:sz="8"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24"/>
      <w:szCs w:val="24"/>
    </w:rPr>
  </w:style>
  <w:style w:type="paragraph" w:customStyle="1" w:styleId="2294">
    <w:name w:val="xl158"/>
    <w:basedOn w:val="1"/>
    <w:qFormat/>
    <w:uiPriority w:val="0"/>
    <w:pPr>
      <w:widowControl/>
      <w:pBdr>
        <w:top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20"/>
      <w:szCs w:val="20"/>
    </w:rPr>
  </w:style>
  <w:style w:type="paragraph" w:customStyle="1" w:styleId="2295">
    <w:name w:val="xl45353"/>
    <w:basedOn w:val="1"/>
    <w:qFormat/>
    <w:uiPriority w:val="0"/>
    <w:pPr>
      <w:widowControl/>
      <w:pBdr>
        <w:top w:val="single" w:color="auto" w:sz="4" w:space="0"/>
        <w:bottom w:val="single" w:color="auto" w:sz="4" w:space="0"/>
      </w:pBdr>
      <w:spacing w:before="100" w:beforeAutospacing="1" w:after="100" w:afterAutospacing="1" w:line="240" w:lineRule="auto"/>
      <w:ind w:firstLine="0" w:firstLineChars="0"/>
      <w:jc w:val="left"/>
    </w:pPr>
    <w:rPr>
      <w:rFonts w:ascii="Times New Roman" w:eastAsia="宋体"/>
      <w:kern w:val="0"/>
      <w:sz w:val="20"/>
      <w:szCs w:val="20"/>
    </w:rPr>
  </w:style>
  <w:style w:type="paragraph" w:customStyle="1" w:styleId="2296">
    <w:name w:val="表题 Char"/>
    <w:basedOn w:val="1"/>
    <w:qFormat/>
    <w:uiPriority w:val="0"/>
    <w:pPr>
      <w:keepNext/>
      <w:keepLines/>
      <w:tabs>
        <w:tab w:val="left" w:pos="6300"/>
      </w:tabs>
      <w:spacing w:line="240" w:lineRule="auto"/>
      <w:jc w:val="center"/>
    </w:pPr>
    <w:rPr>
      <w:rFonts w:ascii="Times New Roman" w:eastAsia="黑体"/>
      <w:szCs w:val="20"/>
    </w:rPr>
  </w:style>
  <w:style w:type="paragraph" w:customStyle="1" w:styleId="2297">
    <w:name w:val="正文文本缩进 21"/>
    <w:basedOn w:val="1"/>
    <w:next w:val="52"/>
    <w:qFormat/>
    <w:uiPriority w:val="0"/>
    <w:pPr>
      <w:ind w:firstLine="555"/>
    </w:pPr>
    <w:rPr>
      <w:rFonts w:ascii="宋体"/>
      <w:sz w:val="24"/>
      <w:szCs w:val="20"/>
    </w:rPr>
  </w:style>
  <w:style w:type="paragraph" w:customStyle="1" w:styleId="2298">
    <w:name w:val="报告插图"/>
    <w:basedOn w:val="1"/>
    <w:next w:val="1"/>
    <w:semiHidden/>
    <w:qFormat/>
    <w:uiPriority w:val="0"/>
    <w:pPr>
      <w:spacing w:line="360" w:lineRule="auto"/>
      <w:ind w:firstLine="536"/>
    </w:pPr>
    <w:rPr>
      <w:rFonts w:ascii="Times New Roman" w:eastAsia="宋体"/>
      <w:bCs/>
      <w:spacing w:val="14"/>
      <w:sz w:val="24"/>
    </w:rPr>
  </w:style>
  <w:style w:type="paragraph" w:customStyle="1" w:styleId="2299">
    <w:name w:val="xl2568"/>
    <w:basedOn w:val="1"/>
    <w:qFormat/>
    <w:uiPriority w:val="0"/>
    <w:pPr>
      <w:widowControl/>
      <w:pBdr>
        <w:top w:val="single" w:color="auto" w:sz="4" w:space="0"/>
        <w:bottom w:val="single" w:color="auto" w:sz="4" w:space="0"/>
      </w:pBdr>
      <w:spacing w:before="100" w:beforeAutospacing="1" w:after="100" w:afterAutospacing="1" w:line="240" w:lineRule="auto"/>
      <w:ind w:firstLine="0" w:firstLineChars="0"/>
      <w:jc w:val="left"/>
    </w:pPr>
    <w:rPr>
      <w:rFonts w:ascii="楷体_GB2312" w:hAnsi="宋体" w:eastAsia="楷体_GB2312" w:cs="宋体"/>
      <w:kern w:val="0"/>
      <w:sz w:val="20"/>
      <w:szCs w:val="20"/>
    </w:rPr>
  </w:style>
  <w:style w:type="paragraph" w:customStyle="1" w:styleId="2300">
    <w:name w:val="(1)"/>
    <w:basedOn w:val="1"/>
    <w:qFormat/>
    <w:uiPriority w:val="0"/>
    <w:pPr>
      <w:spacing w:line="500" w:lineRule="exact"/>
    </w:pPr>
    <w:rPr>
      <w:rFonts w:ascii="Times New Roman" w:eastAsia="宋体"/>
      <w:b/>
      <w:sz w:val="24"/>
      <w:szCs w:val="20"/>
    </w:rPr>
  </w:style>
  <w:style w:type="paragraph" w:customStyle="1" w:styleId="2301">
    <w:name w:val="xl176"/>
    <w:basedOn w:val="1"/>
    <w:qFormat/>
    <w:uiPriority w:val="0"/>
    <w:pPr>
      <w:widowControl/>
      <w:pBdr>
        <w:left w:val="single" w:color="auto" w:sz="4" w:space="0"/>
        <w:bottom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 w:val="20"/>
      <w:szCs w:val="20"/>
    </w:rPr>
  </w:style>
  <w:style w:type="paragraph" w:customStyle="1" w:styleId="2302">
    <w:name w:val="msonormal"/>
    <w:basedOn w:val="1"/>
    <w:qFormat/>
    <w:uiPriority w:val="0"/>
    <w:pPr>
      <w:widowControl/>
      <w:spacing w:before="100" w:beforeAutospacing="1" w:after="100" w:afterAutospacing="1" w:line="240" w:lineRule="auto"/>
      <w:ind w:firstLine="0" w:firstLineChars="0"/>
      <w:jc w:val="left"/>
    </w:pPr>
    <w:rPr>
      <w:rFonts w:ascii="宋体" w:hAnsi="宋体" w:eastAsia="宋体" w:cs="宋体"/>
      <w:kern w:val="0"/>
      <w:sz w:val="24"/>
      <w:szCs w:val="24"/>
    </w:rPr>
  </w:style>
  <w:style w:type="paragraph" w:customStyle="1" w:styleId="2303">
    <w:name w:val="正文1 Char Char Char Char Char Char"/>
    <w:basedOn w:val="1"/>
    <w:qFormat/>
    <w:uiPriority w:val="0"/>
    <w:pPr>
      <w:adjustRightInd w:val="0"/>
      <w:snapToGrid w:val="0"/>
      <w:ind w:firstLine="560"/>
    </w:pPr>
    <w:rPr>
      <w:rFonts w:ascii="Times New Roman"/>
      <w:szCs w:val="24"/>
      <w:u w:val="none" w:color="000000"/>
    </w:rPr>
  </w:style>
  <w:style w:type="paragraph" w:customStyle="1" w:styleId="2304">
    <w:name w:val="xl197"/>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firstLineChars="0"/>
      <w:jc w:val="center"/>
    </w:pPr>
    <w:rPr>
      <w:rFonts w:ascii="宋体" w:hAnsi="宋体" w:eastAsia="宋体" w:cs="宋体"/>
      <w:kern w:val="0"/>
      <w:sz w:val="24"/>
      <w:szCs w:val="24"/>
    </w:rPr>
  </w:style>
  <w:style w:type="paragraph" w:customStyle="1" w:styleId="2305">
    <w:name w:val="xl2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Times New Roman" w:eastAsia="Arial Unicode MS"/>
      <w:kern w:val="0"/>
      <w:sz w:val="20"/>
      <w:szCs w:val="20"/>
    </w:rPr>
  </w:style>
  <w:style w:type="paragraph" w:customStyle="1" w:styleId="2306">
    <w:name w:val="样式 图名 + 首行缩进:  2 字符"/>
    <w:basedOn w:val="795"/>
    <w:qFormat/>
    <w:uiPriority w:val="0"/>
    <w:rPr>
      <w:rFonts w:cs="宋体"/>
      <w:spacing w:val="-4"/>
      <w:szCs w:val="20"/>
    </w:rPr>
  </w:style>
  <w:style w:type="paragraph" w:customStyle="1" w:styleId="2307">
    <w:name w:val="标题03正文"/>
    <w:basedOn w:val="1"/>
    <w:qFormat/>
    <w:uiPriority w:val="0"/>
    <w:pPr>
      <w:autoSpaceDE w:val="0"/>
      <w:autoSpaceDN w:val="0"/>
      <w:adjustRightInd w:val="0"/>
      <w:spacing w:line="460" w:lineRule="exact"/>
      <w:ind w:left="1134" w:hanging="1134" w:firstLineChars="0"/>
      <w:textAlignment w:val="baseline"/>
    </w:pPr>
    <w:rPr>
      <w:rFonts w:ascii="Arial" w:hAnsi="Arial" w:eastAsia="宋体"/>
      <w:kern w:val="0"/>
      <w:sz w:val="24"/>
      <w:szCs w:val="21"/>
    </w:rPr>
  </w:style>
  <w:style w:type="paragraph" w:customStyle="1" w:styleId="2308">
    <w:name w:val="表题 Char Char Char"/>
    <w:basedOn w:val="1"/>
    <w:qFormat/>
    <w:uiPriority w:val="0"/>
    <w:pPr>
      <w:keepNext/>
      <w:keepLines/>
      <w:tabs>
        <w:tab w:val="left" w:pos="8100"/>
        <w:tab w:val="left" w:pos="8280"/>
      </w:tabs>
      <w:spacing w:beforeLines="100" w:line="240" w:lineRule="auto"/>
      <w:ind w:left="482"/>
      <w:jc w:val="center"/>
    </w:pPr>
    <w:rPr>
      <w:rFonts w:ascii="黑体" w:eastAsia="黑体"/>
      <w:sz w:val="24"/>
      <w:szCs w:val="20"/>
    </w:rPr>
  </w:style>
  <w:style w:type="paragraph" w:customStyle="1" w:styleId="2309">
    <w:name w:val="xl96"/>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18"/>
      <w:szCs w:val="18"/>
    </w:rPr>
  </w:style>
  <w:style w:type="paragraph" w:customStyle="1" w:styleId="2310">
    <w:name w:val="样式 (西文) 仿宋_GB2312 (中文) 仿宋_GB2312 (符号) Times New Roman 四号 行距:..."/>
    <w:basedOn w:val="1"/>
    <w:qFormat/>
    <w:uiPriority w:val="0"/>
    <w:rPr>
      <w:rFonts w:cs="宋体"/>
      <w:kern w:val="0"/>
      <w:szCs w:val="20"/>
    </w:rPr>
  </w:style>
  <w:style w:type="paragraph" w:customStyle="1" w:styleId="2311">
    <w:name w:val="表题"/>
    <w:qFormat/>
    <w:uiPriority w:val="0"/>
    <w:pPr>
      <w:spacing w:beforeLines="50" w:afterLines="50" w:line="460" w:lineRule="atLeast"/>
      <w:jc w:val="center"/>
    </w:pPr>
    <w:rPr>
      <w:rFonts w:ascii="黑体" w:hAnsi="Times New Roman" w:eastAsia="黑体" w:cs="Times New Roman"/>
      <w:b/>
      <w:sz w:val="28"/>
      <w:lang w:val="en-US" w:eastAsia="zh-CN" w:bidi="ar-SA"/>
    </w:rPr>
  </w:style>
  <w:style w:type="paragraph" w:customStyle="1" w:styleId="2312">
    <w:name w:val="样式 样式 样式 样式 样式 样式 公正文 + 黑体 小四 首行缩进:  2 字符 + 首行缩进:  1 字符 + 首行缩进: ..."/>
    <w:basedOn w:val="2076"/>
    <w:qFormat/>
    <w:uiPriority w:val="0"/>
  </w:style>
  <w:style w:type="paragraph" w:customStyle="1" w:styleId="2313">
    <w:name w:val="标题001"/>
    <w:basedOn w:val="4"/>
    <w:qFormat/>
    <w:uiPriority w:val="0"/>
    <w:pPr>
      <w:tabs>
        <w:tab w:val="left" w:pos="8080"/>
      </w:tabs>
      <w:spacing w:before="240" w:after="240"/>
      <w:ind w:firstLine="200" w:firstLineChars="200"/>
      <w:jc w:val="left"/>
      <w:textAlignment w:val="baseline"/>
      <w:outlineLvl w:val="9"/>
    </w:pPr>
    <w:rPr>
      <w:rFonts w:hAnsi="宋体" w:cs="宋体"/>
      <w:color w:val="000000"/>
      <w:kern w:val="0"/>
      <w:szCs w:val="20"/>
      <w:lang w:val="en-US" w:eastAsia="zh-CN"/>
    </w:rPr>
  </w:style>
  <w:style w:type="paragraph" w:customStyle="1" w:styleId="2314">
    <w:name w:val="正文文本 (2)"/>
    <w:basedOn w:val="1"/>
    <w:qFormat/>
    <w:uiPriority w:val="0"/>
    <w:pPr>
      <w:shd w:val="clear" w:color="auto" w:fill="FFFFFF"/>
      <w:spacing w:before="7200" w:after="300" w:line="240" w:lineRule="atLeast"/>
      <w:ind w:firstLine="0" w:firstLineChars="0"/>
      <w:jc w:val="center"/>
    </w:pPr>
    <w:rPr>
      <w:rFonts w:ascii="MingLiU" w:hAnsi="MingLiU_HKSCS" w:eastAsia="MingLiU" w:cs="MingLiU"/>
      <w:spacing w:val="30"/>
      <w:kern w:val="0"/>
      <w:sz w:val="26"/>
      <w:szCs w:val="26"/>
    </w:rPr>
  </w:style>
  <w:style w:type="paragraph" w:customStyle="1" w:styleId="2315">
    <w:name w:val="样式 样式1 + 黑色 段前: 0.5 行 段后: 0.5 行"/>
    <w:basedOn w:val="1276"/>
    <w:qFormat/>
    <w:uiPriority w:val="0"/>
    <w:pPr>
      <w:spacing w:before="240" w:beforeLines="50" w:after="120" w:afterLines="50" w:line="240" w:lineRule="auto"/>
      <w:outlineLvl w:val="9"/>
    </w:pPr>
    <w:rPr>
      <w:rFonts w:ascii="Times New Roman" w:hAnsi="Times New Roman" w:eastAsia="黑体"/>
      <w:b/>
      <w:bCs/>
      <w:color w:val="000000"/>
      <w:sz w:val="30"/>
      <w:szCs w:val="30"/>
    </w:rPr>
  </w:style>
  <w:style w:type="paragraph" w:customStyle="1" w:styleId="2316">
    <w:name w:val="标题3 Char Char Char Char Char Char1 Char Char Char Char Char Char Char Char Char Char"/>
    <w:basedOn w:val="1"/>
    <w:qFormat/>
    <w:uiPriority w:val="0"/>
    <w:pPr>
      <w:snapToGrid w:val="0"/>
      <w:spacing w:afterLines="50"/>
      <w:ind w:firstLine="0" w:firstLineChars="0"/>
    </w:pPr>
    <w:rPr>
      <w:rFonts w:ascii="Times New Roman" w:eastAsia="黑体"/>
      <w:snapToGrid w:val="0"/>
      <w:sz w:val="30"/>
      <w:szCs w:val="30"/>
    </w:rPr>
  </w:style>
  <w:style w:type="paragraph" w:customStyle="1" w:styleId="2317">
    <w:name w:val="说明或注释7"/>
    <w:next w:val="87"/>
    <w:qFormat/>
    <w:uiPriority w:val="0"/>
    <w:pPr>
      <w:adjustRightInd w:val="0"/>
      <w:snapToGrid w:val="0"/>
      <w:spacing w:beforeLines="25"/>
    </w:pPr>
    <w:rPr>
      <w:rFonts w:ascii="Times New Roman" w:hAnsi="Times New Roman" w:eastAsia="楷体_GB2312" w:cs="Times New Roman"/>
      <w:snapToGrid w:val="0"/>
      <w:sz w:val="21"/>
      <w:szCs w:val="24"/>
      <w:lang w:val="en-US" w:eastAsia="zh-CN" w:bidi="ar-SA"/>
    </w:rPr>
  </w:style>
  <w:style w:type="paragraph" w:customStyle="1" w:styleId="2318">
    <w:name w:val="正文3"/>
    <w:basedOn w:val="1"/>
    <w:qFormat/>
    <w:uiPriority w:val="0"/>
    <w:pPr>
      <w:adjustRightInd w:val="0"/>
      <w:snapToGrid w:val="0"/>
      <w:spacing w:line="400" w:lineRule="atLeast"/>
      <w:ind w:firstLine="482" w:firstLineChars="0"/>
      <w:textAlignment w:val="baseline"/>
    </w:pPr>
    <w:rPr>
      <w:rFonts w:ascii="Times New Roman" w:eastAsia="华文中宋"/>
      <w:kern w:val="0"/>
      <w:sz w:val="24"/>
      <w:szCs w:val="20"/>
    </w:rPr>
  </w:style>
  <w:style w:type="paragraph" w:customStyle="1" w:styleId="2319">
    <w:name w:val="报告正文 Char1 Char Char Char1 Char"/>
    <w:basedOn w:val="1"/>
    <w:qFormat/>
    <w:uiPriority w:val="0"/>
    <w:pPr>
      <w:topLinePunct/>
      <w:spacing w:line="360" w:lineRule="auto"/>
    </w:pPr>
    <w:rPr>
      <w:rFonts w:ascii="Times New Roman" w:eastAsia="宋体"/>
      <w:bCs/>
      <w:spacing w:val="14"/>
      <w:sz w:val="24"/>
      <w:szCs w:val="24"/>
    </w:rPr>
  </w:style>
  <w:style w:type="paragraph" w:customStyle="1" w:styleId="2320">
    <w:name w:val="xl105"/>
    <w:basedOn w:val="1"/>
    <w:qFormat/>
    <w:uiPriority w:val="0"/>
    <w:pPr>
      <w:widowControl/>
      <w:pBdr>
        <w:top w:val="single" w:color="auto" w:sz="4" w:space="0"/>
        <w:left w:val="single" w:color="auto" w:sz="4" w:space="0"/>
      </w:pBdr>
      <w:spacing w:before="100" w:beforeAutospacing="1" w:after="100" w:afterAutospacing="1" w:line="240" w:lineRule="auto"/>
      <w:ind w:firstLine="0" w:firstLineChars="0"/>
      <w:jc w:val="center"/>
    </w:pPr>
    <w:rPr>
      <w:rFonts w:ascii="宋体" w:hAnsi="宋体" w:eastAsia="宋体" w:cs="宋体"/>
      <w:kern w:val="0"/>
      <w:sz w:val="18"/>
      <w:szCs w:val="18"/>
    </w:rPr>
  </w:style>
  <w:style w:type="paragraph" w:customStyle="1" w:styleId="2321">
    <w:name w:val="3 级标题"/>
    <w:basedOn w:val="1"/>
    <w:qFormat/>
    <w:uiPriority w:val="0"/>
    <w:pPr>
      <w:widowControl/>
      <w:jc w:val="left"/>
      <w:outlineLvl w:val="2"/>
    </w:pPr>
    <w:rPr>
      <w:rFonts w:eastAsia="黑体"/>
      <w:kern w:val="0"/>
      <w:u w:val="none" w:color="000000"/>
    </w:rPr>
  </w:style>
  <w:style w:type="paragraph" w:customStyle="1" w:styleId="2322">
    <w:name w:val="样式 (西文) 宋体 10 磅 居中 首行缩进:  2 字符"/>
    <w:basedOn w:val="1"/>
    <w:qFormat/>
    <w:uiPriority w:val="0"/>
    <w:pPr>
      <w:spacing w:line="0" w:lineRule="atLeast"/>
      <w:ind w:firstLine="0" w:firstLineChars="0"/>
      <w:jc w:val="center"/>
    </w:pPr>
    <w:rPr>
      <w:rFonts w:ascii="Times New Roman" w:eastAsia="楷体_GB2312" w:cs="宋体"/>
      <w:kern w:val="0"/>
      <w:sz w:val="21"/>
      <w:szCs w:val="20"/>
    </w:rPr>
  </w:style>
  <w:style w:type="paragraph" w:customStyle="1" w:styleId="2323">
    <w:name w:val="xl225"/>
    <w:basedOn w:val="1"/>
    <w:qFormat/>
    <w:uiPriority w:val="0"/>
    <w:pPr>
      <w:widowControl/>
      <w:pBdr>
        <w:top w:val="single" w:color="auto" w:sz="4" w:space="0"/>
        <w:left w:val="single" w:color="auto" w:sz="4" w:space="0"/>
        <w:bottom w:val="single" w:color="auto" w:sz="4" w:space="0"/>
        <w:right w:val="single" w:color="auto" w:sz="4" w:space="0"/>
      </w:pBdr>
      <w:adjustRightInd w:val="0"/>
      <w:snapToGrid w:val="0"/>
      <w:spacing w:before="100" w:beforeAutospacing="1" w:after="100" w:afterAutospacing="1" w:line="360" w:lineRule="auto"/>
      <w:ind w:firstLine="0" w:firstLineChars="0"/>
      <w:jc w:val="center"/>
      <w:textAlignment w:val="bottom"/>
    </w:pPr>
    <w:rPr>
      <w:rFonts w:ascii="Times New Roman" w:eastAsia="宋体"/>
      <w:kern w:val="0"/>
      <w:sz w:val="24"/>
      <w:szCs w:val="24"/>
    </w:rPr>
  </w:style>
  <w:style w:type="paragraph" w:customStyle="1" w:styleId="2324">
    <w:name w:val="xl625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Times New Roman" w:eastAsia="宋体"/>
      <w:kern w:val="0"/>
      <w:sz w:val="20"/>
      <w:szCs w:val="20"/>
    </w:rPr>
  </w:style>
  <w:style w:type="paragraph" w:customStyle="1" w:styleId="2325">
    <w:name w:val="一般强调"/>
    <w:basedOn w:val="1"/>
    <w:semiHidden/>
    <w:qFormat/>
    <w:uiPriority w:val="0"/>
    <w:pPr>
      <w:adjustRightInd w:val="0"/>
      <w:snapToGrid w:val="0"/>
      <w:ind w:firstLine="425"/>
    </w:pPr>
    <w:rPr>
      <w:rFonts w:eastAsia="楷体_GB2312"/>
      <w:szCs w:val="20"/>
    </w:rPr>
  </w:style>
  <w:style w:type="paragraph" w:customStyle="1" w:styleId="2326">
    <w:name w:val="9"/>
    <w:qFormat/>
    <w:uiPriority w:val="0"/>
    <w:pPr>
      <w:widowControl w:val="0"/>
      <w:adjustRightInd w:val="0"/>
      <w:spacing w:line="560" w:lineRule="exact"/>
      <w:ind w:firstLine="200" w:firstLineChars="200"/>
      <w:jc w:val="both"/>
      <w:textAlignment w:val="baseline"/>
    </w:pPr>
    <w:rPr>
      <w:rFonts w:ascii="仿宋_GB2312" w:hAnsi="Times New Roman" w:eastAsia="仿宋_GB2312" w:cs="Times New Roman"/>
      <w:sz w:val="28"/>
      <w:szCs w:val="28"/>
      <w:lang w:val="en-US" w:eastAsia="zh-CN" w:bidi="ar-SA"/>
    </w:rPr>
  </w:style>
  <w:style w:type="paragraph" w:customStyle="1" w:styleId="2327">
    <w:name w:val="BB"/>
    <w:basedOn w:val="1"/>
    <w:qFormat/>
    <w:uiPriority w:val="0"/>
    <w:pPr>
      <w:tabs>
        <w:tab w:val="left" w:pos="0"/>
      </w:tabs>
      <w:autoSpaceDE w:val="0"/>
      <w:autoSpaceDN w:val="0"/>
      <w:adjustRightInd w:val="0"/>
      <w:spacing w:before="60" w:after="60" w:line="360" w:lineRule="atLeast"/>
      <w:ind w:left="1134"/>
    </w:pPr>
    <w:rPr>
      <w:rFonts w:ascii="宋体"/>
      <w:kern w:val="0"/>
      <w:sz w:val="24"/>
      <w:szCs w:val="20"/>
      <w:u w:val="none" w:color="000000"/>
    </w:rPr>
  </w:style>
  <w:style w:type="paragraph" w:customStyle="1" w:styleId="2328">
    <w:name w:val="xl6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18"/>
      <w:szCs w:val="18"/>
    </w:rPr>
  </w:style>
  <w:style w:type="paragraph" w:customStyle="1" w:styleId="2329">
    <w:name w:val="表格注脚"/>
    <w:basedOn w:val="1"/>
    <w:qFormat/>
    <w:uiPriority w:val="0"/>
    <w:pPr>
      <w:tabs>
        <w:tab w:val="left" w:pos="180"/>
        <w:tab w:val="left" w:pos="360"/>
      </w:tabs>
      <w:adjustRightInd w:val="0"/>
      <w:snapToGrid w:val="0"/>
      <w:spacing w:line="240" w:lineRule="auto"/>
      <w:ind w:firstLine="180" w:firstLineChars="100"/>
      <w:outlineLvl w:val="0"/>
    </w:pPr>
    <w:rPr>
      <w:rFonts w:ascii="宋体" w:hAnsi="宋体" w:eastAsia="宋体" w:cs="Arial"/>
      <w:kern w:val="0"/>
      <w:sz w:val="18"/>
      <w:szCs w:val="24"/>
      <w:u w:val="none" w:color="000000"/>
    </w:rPr>
  </w:style>
  <w:style w:type="paragraph" w:customStyle="1" w:styleId="2330">
    <w:name w:val="样式 目录 1 + 行距: 固定值 22 磅1"/>
    <w:basedOn w:val="59"/>
    <w:qFormat/>
    <w:uiPriority w:val="0"/>
    <w:pPr>
      <w:spacing w:line="440" w:lineRule="exact"/>
      <w:jc w:val="center"/>
    </w:pPr>
    <w:rPr>
      <w:rFonts w:ascii="黑体" w:hAnsi="宋体"/>
      <w:sz w:val="32"/>
      <w:szCs w:val="20"/>
    </w:rPr>
  </w:style>
  <w:style w:type="paragraph" w:customStyle="1" w:styleId="2331">
    <w:name w:val="xl2783"/>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pPr>
    <w:rPr>
      <w:rFonts w:ascii="Times New Roman" w:eastAsia="宋体"/>
      <w:kern w:val="0"/>
      <w:sz w:val="18"/>
      <w:szCs w:val="18"/>
    </w:rPr>
  </w:style>
  <w:style w:type="paragraph" w:customStyle="1" w:styleId="2332">
    <w:name w:val="xl45348"/>
    <w:basedOn w:val="1"/>
    <w:qFormat/>
    <w:uiPriority w:val="0"/>
    <w:pPr>
      <w:widowControl/>
      <w:spacing w:before="100" w:beforeAutospacing="1" w:after="100" w:afterAutospacing="1" w:line="240" w:lineRule="auto"/>
      <w:ind w:firstLine="0" w:firstLineChars="0"/>
      <w:jc w:val="left"/>
    </w:pPr>
    <w:rPr>
      <w:rFonts w:ascii="Times New Roman" w:eastAsia="宋体"/>
      <w:kern w:val="0"/>
      <w:sz w:val="24"/>
      <w:szCs w:val="24"/>
    </w:rPr>
  </w:style>
  <w:style w:type="paragraph" w:customStyle="1" w:styleId="2333">
    <w:name w:val="样式 样式 样式 宋体 小四 行距: 1.5 倍行距 + 首行缩进:  2 字符 + 首行缩进:  2 字符"/>
    <w:basedOn w:val="1"/>
    <w:qFormat/>
    <w:uiPriority w:val="0"/>
    <w:pPr>
      <w:adjustRightInd w:val="0"/>
      <w:snapToGrid w:val="0"/>
      <w:spacing w:line="360" w:lineRule="auto"/>
      <w:ind w:firstLine="480"/>
    </w:pPr>
    <w:rPr>
      <w:rFonts w:ascii="Times New Roman" w:eastAsia="华文中宋"/>
      <w:sz w:val="24"/>
      <w:szCs w:val="20"/>
    </w:rPr>
  </w:style>
  <w:style w:type="paragraph" w:customStyle="1" w:styleId="2334">
    <w:name w:val="样式 样式 (中文) 楷体_GB2312 居中 行距: 最小值 12 磅 + 左侧:  -2.66 字符 行距: 单倍行距"/>
    <w:basedOn w:val="1476"/>
    <w:qFormat/>
    <w:uiPriority w:val="0"/>
    <w:pPr>
      <w:spacing w:line="240" w:lineRule="auto"/>
      <w:ind w:left="-559"/>
    </w:pPr>
  </w:style>
  <w:style w:type="paragraph" w:customStyle="1" w:styleId="2335">
    <w:name w:val="xl170"/>
    <w:basedOn w:val="1"/>
    <w:qFormat/>
    <w:uiPriority w:val="0"/>
    <w:pPr>
      <w:widowControl/>
      <w:pBdr>
        <w:top w:val="single" w:color="auto" w:sz="4" w:space="0"/>
        <w:left w:val="single" w:color="auto" w:sz="4" w:space="0"/>
        <w:right w:val="single" w:color="auto" w:sz="4" w:space="0"/>
      </w:pBdr>
      <w:spacing w:before="100" w:beforeAutospacing="1" w:after="100" w:afterAutospacing="1" w:line="240" w:lineRule="auto"/>
      <w:ind w:firstLine="0" w:firstLineChars="0"/>
      <w:jc w:val="left"/>
    </w:pPr>
    <w:rPr>
      <w:rFonts w:ascii="宋体" w:hAnsi="宋体" w:eastAsia="宋体" w:cs="宋体"/>
      <w:kern w:val="0"/>
      <w:sz w:val="20"/>
      <w:szCs w:val="20"/>
    </w:rPr>
  </w:style>
  <w:style w:type="paragraph" w:customStyle="1" w:styleId="2336">
    <w:name w:val="小节标题3（小罗马）"/>
    <w:basedOn w:val="1"/>
    <w:semiHidden/>
    <w:qFormat/>
    <w:uiPriority w:val="0"/>
    <w:pPr>
      <w:tabs>
        <w:tab w:val="left" w:pos="720"/>
      </w:tabs>
      <w:spacing w:beforeLines="50" w:afterLines="50" w:line="420" w:lineRule="auto"/>
      <w:ind w:firstLine="0" w:firstLineChars="0"/>
    </w:pPr>
    <w:rPr>
      <w:rFonts w:ascii="Times New Roman" w:eastAsia="黑体"/>
      <w:b/>
      <w:spacing w:val="14"/>
      <w:szCs w:val="20"/>
    </w:rPr>
  </w:style>
  <w:style w:type="paragraph" w:customStyle="1" w:styleId="2337">
    <w:name w:val="样式 目录 1 + 行距: 固定值 22 磅"/>
    <w:basedOn w:val="59"/>
    <w:qFormat/>
    <w:uiPriority w:val="0"/>
    <w:pPr>
      <w:tabs>
        <w:tab w:val="right" w:pos="8302"/>
      </w:tabs>
      <w:spacing w:line="440" w:lineRule="exact"/>
      <w:jc w:val="center"/>
    </w:pPr>
    <w:rPr>
      <w:rFonts w:ascii="黑体" w:hAnsi="宋体"/>
      <w:sz w:val="32"/>
      <w:szCs w:val="20"/>
    </w:rPr>
  </w:style>
  <w:style w:type="paragraph" w:customStyle="1" w:styleId="2338">
    <w:name w:val="彩色列表 - 强调文字颜色 11"/>
    <w:basedOn w:val="1"/>
    <w:qFormat/>
    <w:uiPriority w:val="0"/>
    <w:pPr>
      <w:ind w:firstLine="420"/>
    </w:pPr>
    <w:rPr>
      <w:rFonts w:ascii="Calibri" w:hAnsi="Calibri"/>
      <w:szCs w:val="22"/>
    </w:rPr>
  </w:style>
  <w:style w:type="paragraph" w:customStyle="1" w:styleId="2339">
    <w:name w:val="haydonli"/>
    <w:basedOn w:val="1"/>
    <w:qFormat/>
    <w:uiPriority w:val="0"/>
    <w:pPr>
      <w:snapToGrid w:val="0"/>
      <w:spacing w:line="360" w:lineRule="auto"/>
    </w:pPr>
    <w:rPr>
      <w:rFonts w:ascii="Times New Roman" w:eastAsia="宋体"/>
      <w:sz w:val="24"/>
      <w:szCs w:val="24"/>
      <w:u w:val="none" w:color="000000"/>
    </w:rPr>
  </w:style>
  <w:style w:type="paragraph" w:customStyle="1" w:styleId="2340">
    <w:name w:val="xl12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ascii="Times New Roman" w:eastAsia="宋体"/>
      <w:color w:val="000000"/>
      <w:kern w:val="0"/>
      <w:sz w:val="20"/>
      <w:szCs w:val="20"/>
    </w:rPr>
  </w:style>
  <w:style w:type="paragraph" w:customStyle="1" w:styleId="2341">
    <w:name w:val="Char Char Char Char Char Char Char Char Char Char1"/>
    <w:basedOn w:val="1"/>
    <w:qFormat/>
    <w:uiPriority w:val="0"/>
    <w:pPr>
      <w:spacing w:line="360" w:lineRule="auto"/>
    </w:pPr>
    <w:rPr>
      <w:rFonts w:ascii="宋体" w:hAnsi="宋体"/>
      <w:sz w:val="24"/>
      <w:szCs w:val="24"/>
    </w:rPr>
  </w:style>
  <w:style w:type="paragraph" w:customStyle="1" w:styleId="2342">
    <w:name w:val="xl209"/>
    <w:basedOn w:val="1"/>
    <w:qFormat/>
    <w:uiPriority w:val="0"/>
    <w:pPr>
      <w:widowControl/>
      <w:pBdr>
        <w:top w:val="single" w:color="auto" w:sz="4" w:space="0"/>
        <w:bottom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b/>
      <w:bCs/>
      <w:kern w:val="0"/>
      <w:sz w:val="18"/>
      <w:szCs w:val="18"/>
    </w:rPr>
  </w:style>
  <w:style w:type="paragraph" w:customStyle="1" w:styleId="2343">
    <w:name w:val="xl166"/>
    <w:basedOn w:val="1"/>
    <w:qFormat/>
    <w:uiPriority w:val="0"/>
    <w:pPr>
      <w:widowControl/>
      <w:pBdr>
        <w:top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20"/>
      <w:szCs w:val="20"/>
    </w:rPr>
  </w:style>
  <w:style w:type="paragraph" w:customStyle="1" w:styleId="2344">
    <w:name w:val="17"/>
    <w:basedOn w:val="1"/>
    <w:qFormat/>
    <w:uiPriority w:val="0"/>
    <w:pPr>
      <w:widowControl/>
      <w:snapToGrid w:val="0"/>
      <w:spacing w:before="100" w:beforeAutospacing="1" w:after="100" w:afterAutospacing="1" w:line="560" w:lineRule="atLeast"/>
      <w:ind w:firstLine="0" w:firstLineChars="0"/>
    </w:pPr>
    <w:rPr>
      <w:rFonts w:ascii="楷体_GB2312" w:hAnsi="宋体" w:eastAsia="楷体_GB2312" w:cs="宋体"/>
      <w:kern w:val="0"/>
    </w:rPr>
  </w:style>
  <w:style w:type="paragraph" w:customStyle="1" w:styleId="2345">
    <w:name w:val="样式 行距: 固定值 22 磅"/>
    <w:basedOn w:val="1"/>
    <w:qFormat/>
    <w:uiPriority w:val="0"/>
    <w:pPr>
      <w:spacing w:line="240" w:lineRule="auto"/>
    </w:pPr>
    <w:rPr>
      <w:rFonts w:ascii="Times New Roman" w:eastAsia="华文中宋"/>
      <w:sz w:val="24"/>
      <w:szCs w:val="24"/>
    </w:rPr>
  </w:style>
  <w:style w:type="paragraph" w:customStyle="1" w:styleId="2346">
    <w:name w:val="样式 小四 加粗 居中 行距: 最小值 12 磅"/>
    <w:basedOn w:val="1"/>
    <w:qFormat/>
    <w:uiPriority w:val="0"/>
    <w:pPr>
      <w:spacing w:line="240" w:lineRule="atLeast"/>
      <w:ind w:firstLine="0" w:firstLineChars="0"/>
      <w:jc w:val="center"/>
    </w:pPr>
    <w:rPr>
      <w:rFonts w:ascii="Times New Roman" w:eastAsia="宋体" w:cs="宋体"/>
      <w:b/>
      <w:bCs/>
      <w:sz w:val="24"/>
      <w:szCs w:val="20"/>
    </w:rPr>
  </w:style>
  <w:style w:type="paragraph" w:customStyle="1" w:styleId="2347">
    <w:name w:val="xl2781"/>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left"/>
    </w:pPr>
    <w:rPr>
      <w:rFonts w:ascii="Times New Roman" w:eastAsia="宋体"/>
      <w:kern w:val="0"/>
      <w:sz w:val="18"/>
      <w:szCs w:val="18"/>
    </w:rPr>
  </w:style>
  <w:style w:type="paragraph" w:customStyle="1" w:styleId="2348">
    <w:name w:val="使用样式"/>
    <w:basedOn w:val="1"/>
    <w:qFormat/>
    <w:uiPriority w:val="0"/>
    <w:rPr>
      <w:rFonts w:eastAsia="宋体"/>
      <w:sz w:val="24"/>
      <w:szCs w:val="20"/>
    </w:rPr>
  </w:style>
  <w:style w:type="paragraph" w:customStyle="1" w:styleId="2349">
    <w:name w:val="样式 样式 样式 正文缩进首行缩进 + 首行缩进:  2 字符 + 首行缩进:  2 字符 + 首行缩进:  2 字符"/>
    <w:basedOn w:val="1"/>
    <w:qFormat/>
    <w:uiPriority w:val="0"/>
    <w:pPr>
      <w:adjustRightInd w:val="0"/>
      <w:snapToGrid w:val="0"/>
      <w:spacing w:line="360" w:lineRule="auto"/>
      <w:ind w:firstLine="518"/>
    </w:pPr>
    <w:rPr>
      <w:rFonts w:ascii="宋体" w:eastAsia="宋体" w:cs="宋体"/>
      <w:snapToGrid w:val="0"/>
      <w:color w:val="000000"/>
      <w:kern w:val="0"/>
    </w:rPr>
  </w:style>
  <w:style w:type="paragraph" w:customStyle="1" w:styleId="2350">
    <w:name w:val="样式 普通文字 + 小四 首行缩进:  2 字符"/>
    <w:basedOn w:val="46"/>
    <w:qFormat/>
    <w:uiPriority w:val="0"/>
    <w:pPr>
      <w:widowControl w:val="0"/>
      <w:spacing w:line="240" w:lineRule="auto"/>
      <w:ind w:firstLine="480"/>
      <w:textAlignment w:val="auto"/>
    </w:pPr>
    <w:rPr>
      <w:rFonts w:hAnsi="Courier New" w:eastAsia="宋体" w:cs="宋体"/>
      <w:color w:val="auto"/>
      <w:kern w:val="2"/>
      <w:u w:val="none" w:color="auto"/>
      <w:lang w:bidi="he-IL"/>
    </w:rPr>
  </w:style>
  <w:style w:type="paragraph" w:customStyle="1" w:styleId="2351">
    <w:name w:val="xl2777"/>
    <w:basedOn w:val="1"/>
    <w:qFormat/>
    <w:uiPriority w:val="0"/>
    <w:pPr>
      <w:widowControl/>
      <w:spacing w:beforeLines="25" w:beforeAutospacing="1" w:after="100" w:afterAutospacing="1" w:line="240" w:lineRule="auto"/>
      <w:ind w:firstLine="0" w:firstLineChars="0"/>
      <w:jc w:val="left"/>
      <w:textAlignment w:val="bottom"/>
    </w:pPr>
    <w:rPr>
      <w:rFonts w:ascii="宋体" w:hAnsi="宋体" w:eastAsia="宋体" w:cs="宋体"/>
      <w:kern w:val="0"/>
      <w:sz w:val="24"/>
      <w:szCs w:val="24"/>
    </w:rPr>
  </w:style>
  <w:style w:type="paragraph" w:customStyle="1" w:styleId="2352">
    <w:name w:val="样式 样式 样式 表名 + 左侧:  0.99 厘米 首行缩进:  1 字符 + 首行缩进:  1 字符 + 仿宋_GB2312..."/>
    <w:basedOn w:val="2263"/>
    <w:qFormat/>
    <w:uiPriority w:val="0"/>
  </w:style>
  <w:style w:type="paragraph" w:customStyle="1" w:styleId="2353">
    <w:name w:val="标题4 Char Char Char Char Char"/>
    <w:basedOn w:val="7"/>
    <w:next w:val="1"/>
    <w:semiHidden/>
    <w:qFormat/>
    <w:uiPriority w:val="0"/>
    <w:pPr>
      <w:keepNext/>
      <w:keepLines/>
      <w:tabs>
        <w:tab w:val="left" w:pos="0"/>
      </w:tabs>
      <w:spacing w:before="260" w:after="260" w:line="416" w:lineRule="auto"/>
      <w:ind w:firstLine="566" w:firstLineChars="202"/>
    </w:pPr>
    <w:rPr>
      <w:rFonts w:ascii="Times New Roman" w:hAnsi="Times New Roman" w:eastAsia="宋体"/>
      <w:b/>
      <w:lang w:val="en-US" w:eastAsia="zh-CN"/>
    </w:rPr>
  </w:style>
  <w:style w:type="paragraph" w:customStyle="1" w:styleId="2354">
    <w:name w:val="表中文字-r"/>
    <w:next w:val="1"/>
    <w:qFormat/>
    <w:uiPriority w:val="0"/>
    <w:pPr>
      <w:widowControl w:val="0"/>
      <w:spacing w:before="40" w:after="40"/>
      <w:jc w:val="center"/>
    </w:pPr>
    <w:rPr>
      <w:rFonts w:ascii="Times New Roman" w:hAnsi="Times New Roman" w:eastAsia="宋体" w:cs="Arial"/>
      <w:kern w:val="2"/>
      <w:sz w:val="21"/>
      <w:szCs w:val="24"/>
      <w:lang w:val="en-US" w:eastAsia="zh-CN" w:bidi="ar-SA"/>
    </w:rPr>
  </w:style>
  <w:style w:type="paragraph" w:customStyle="1" w:styleId="2355">
    <w:name w:val="标03"/>
    <w:basedOn w:val="7"/>
    <w:qFormat/>
    <w:uiPriority w:val="0"/>
    <w:pPr>
      <w:keepNext/>
      <w:keepLines/>
      <w:jc w:val="left"/>
    </w:pPr>
    <w:rPr>
      <w:rFonts w:ascii="Arial"/>
      <w:szCs w:val="32"/>
      <w:lang w:val="en-US" w:eastAsia="zh-CN"/>
    </w:rPr>
  </w:style>
  <w:style w:type="paragraph" w:customStyle="1" w:styleId="2356">
    <w:name w:val="box"/>
    <w:basedOn w:val="1"/>
    <w:qFormat/>
    <w:uiPriority w:val="0"/>
    <w:pPr>
      <w:suppressLineNumbers/>
      <w:suppressAutoHyphens/>
      <w:spacing w:line="0" w:lineRule="atLeast"/>
      <w:jc w:val="center"/>
    </w:pPr>
    <w:rPr>
      <w:rFonts w:ascii="楷体_GB2312" w:hAnsi="宋体" w:eastAsia="楷体_GB2312"/>
      <w:snapToGrid w:val="0"/>
      <w:kern w:val="0"/>
      <w:sz w:val="24"/>
      <w:szCs w:val="21"/>
      <w:u w:val="none" w:color="000000"/>
    </w:rPr>
  </w:style>
  <w:style w:type="paragraph" w:customStyle="1" w:styleId="2357">
    <w:name w:val="TableHead"/>
    <w:basedOn w:val="35"/>
    <w:semiHidden/>
    <w:qFormat/>
    <w:uiPriority w:val="0"/>
    <w:pPr>
      <w:spacing w:after="0" w:line="240" w:lineRule="auto"/>
      <w:ind w:firstLine="0" w:firstLineChars="0"/>
      <w:jc w:val="center"/>
    </w:pPr>
    <w:rPr>
      <w:rFonts w:ascii="宋体" w:hAnsi="宋体"/>
      <w:b/>
      <w:bCs/>
      <w:sz w:val="21"/>
    </w:rPr>
  </w:style>
  <w:style w:type="paragraph" w:customStyle="1" w:styleId="2358">
    <w:name w:val="报告正文 Char Char Char"/>
    <w:basedOn w:val="35"/>
    <w:qFormat/>
    <w:uiPriority w:val="0"/>
    <w:pPr>
      <w:spacing w:after="0" w:line="560" w:lineRule="exact"/>
      <w:ind w:firstLine="561"/>
    </w:pPr>
    <w:rPr>
      <w:rFonts w:eastAsia="仿宋_GB2312"/>
      <w:sz w:val="28"/>
      <w:szCs w:val="28"/>
      <w:lang w:val="en-US" w:eastAsia="zh-CN"/>
    </w:rPr>
  </w:style>
  <w:style w:type="paragraph" w:customStyle="1" w:styleId="2359">
    <w:name w:val="样式 标题 1 + 段前: 7.8 磅 段后: 7.8 磅"/>
    <w:basedOn w:val="4"/>
    <w:qFormat/>
    <w:uiPriority w:val="0"/>
    <w:pPr>
      <w:keepNext/>
      <w:keepLines/>
      <w:spacing w:beforeLines="50" w:after="120" w:afterLines="50" w:line="440" w:lineRule="exact"/>
      <w:jc w:val="center"/>
    </w:pPr>
    <w:rPr>
      <w:rFonts w:ascii="Times New Roman" w:hAnsi="Times New Roman"/>
      <w:b/>
      <w:sz w:val="32"/>
      <w:szCs w:val="20"/>
    </w:rPr>
  </w:style>
  <w:style w:type="paragraph" w:customStyle="1" w:styleId="2360">
    <w:name w:val="正文1 Char + 仿宋_GB2312 四号 首行缩进:  2 字符 Char Char Char Char Ch..."/>
    <w:basedOn w:val="1"/>
    <w:qFormat/>
    <w:uiPriority w:val="0"/>
    <w:pPr>
      <w:suppressLineNumbers/>
      <w:suppressAutoHyphens/>
      <w:topLinePunct/>
      <w:adjustRightInd w:val="0"/>
      <w:snapToGrid w:val="0"/>
      <w:spacing w:line="360" w:lineRule="auto"/>
      <w:ind w:firstLine="480"/>
    </w:pPr>
    <w:rPr>
      <w:rFonts w:ascii="Times New Roman" w:eastAsia="宋体"/>
      <w:kern w:val="0"/>
      <w:sz w:val="24"/>
      <w:szCs w:val="20"/>
      <w:u w:val="none" w:color="000000"/>
    </w:rPr>
  </w:style>
  <w:style w:type="paragraph" w:customStyle="1" w:styleId="2361">
    <w:name w:val="bt1"/>
    <w:basedOn w:val="1"/>
    <w:qFormat/>
    <w:uiPriority w:val="0"/>
    <w:pPr>
      <w:jc w:val="center"/>
    </w:pPr>
    <w:rPr>
      <w:b/>
      <w:kern w:val="0"/>
      <w:sz w:val="40"/>
      <w:u w:val="none" w:color="000000"/>
    </w:rPr>
  </w:style>
  <w:style w:type="paragraph" w:customStyle="1" w:styleId="2362">
    <w:name w:val="font15"/>
    <w:basedOn w:val="1"/>
    <w:qFormat/>
    <w:uiPriority w:val="0"/>
    <w:pPr>
      <w:widowControl/>
      <w:spacing w:before="100" w:beforeAutospacing="1" w:after="100" w:afterAutospacing="1" w:line="240" w:lineRule="auto"/>
      <w:ind w:firstLine="0" w:firstLineChars="0"/>
      <w:jc w:val="left"/>
    </w:pPr>
    <w:rPr>
      <w:rFonts w:hint="eastAsia" w:ascii="宋体" w:hAnsi="宋体" w:eastAsia="宋体" w:cs="Arial Unicode MS"/>
      <w:kern w:val="0"/>
      <w:sz w:val="24"/>
      <w:szCs w:val="24"/>
    </w:rPr>
  </w:style>
  <w:style w:type="paragraph" w:customStyle="1" w:styleId="2363">
    <w:name w:val="a"/>
    <w:basedOn w:val="1"/>
    <w:semiHidden/>
    <w:qFormat/>
    <w:uiPriority w:val="0"/>
    <w:pPr>
      <w:widowControl/>
      <w:spacing w:before="100" w:beforeAutospacing="1" w:after="100" w:afterAutospacing="1" w:line="240" w:lineRule="auto"/>
      <w:ind w:firstLine="0" w:firstLineChars="0"/>
      <w:jc w:val="left"/>
    </w:pPr>
    <w:rPr>
      <w:rFonts w:ascii="宋体" w:hAnsi="宋体" w:eastAsia="宋体" w:cs="宋体"/>
      <w:kern w:val="0"/>
      <w:sz w:val="24"/>
      <w:szCs w:val="24"/>
    </w:rPr>
  </w:style>
  <w:style w:type="paragraph" w:customStyle="1" w:styleId="2364">
    <w:name w:val="@正文$"/>
    <w:qFormat/>
    <w:uiPriority w:val="0"/>
    <w:pPr>
      <w:widowControl w:val="0"/>
      <w:snapToGrid w:val="0"/>
      <w:jc w:val="both"/>
    </w:pPr>
    <w:rPr>
      <w:rFonts w:ascii="宋体" w:hAnsi="宋体" w:eastAsia="宋体" w:cs="华文中宋"/>
      <w:kern w:val="2"/>
      <w:sz w:val="18"/>
      <w:szCs w:val="18"/>
      <w:lang w:val="en-US" w:eastAsia="zh-CN" w:bidi="ar-SA"/>
    </w:rPr>
  </w:style>
  <w:style w:type="paragraph" w:customStyle="1" w:styleId="2365">
    <w:name w:val="样式 标题 1篇标题22章标题 1b11.标题 1Heading 1 Char Char CharHeading ...1"/>
    <w:basedOn w:val="4"/>
    <w:qFormat/>
    <w:uiPriority w:val="0"/>
    <w:pPr>
      <w:keepNext/>
      <w:keepLines/>
      <w:adjustRightInd w:val="0"/>
      <w:snapToGrid w:val="0"/>
      <w:spacing w:after="120" w:line="720" w:lineRule="exact"/>
      <w:jc w:val="left"/>
    </w:pPr>
    <w:rPr>
      <w:rFonts w:hAnsi="Times New Roman" w:cs="宋体"/>
      <w:bCs w:val="0"/>
      <w:szCs w:val="20"/>
    </w:rPr>
  </w:style>
  <w:style w:type="paragraph" w:customStyle="1" w:styleId="2366">
    <w:name w:val="xl276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Times New Roman" w:eastAsia="宋体"/>
      <w:kern w:val="0"/>
      <w:sz w:val="21"/>
      <w:szCs w:val="21"/>
    </w:rPr>
  </w:style>
  <w:style w:type="paragraph" w:customStyle="1" w:styleId="2367">
    <w:name w:val="我的节"/>
    <w:basedOn w:val="1808"/>
    <w:qFormat/>
    <w:uiPriority w:val="0"/>
    <w:pPr>
      <w:tabs>
        <w:tab w:val="left" w:pos="425"/>
      </w:tabs>
      <w:ind w:left="425" w:hanging="425"/>
      <w:outlineLvl w:val="1"/>
    </w:pPr>
    <w:rPr>
      <w:kern w:val="28"/>
      <w:sz w:val="28"/>
    </w:rPr>
  </w:style>
  <w:style w:type="paragraph" w:customStyle="1" w:styleId="2368">
    <w:name w:val="表5＃"/>
    <w:basedOn w:val="1"/>
    <w:next w:val="1"/>
    <w:qFormat/>
    <w:uiPriority w:val="0"/>
    <w:pPr>
      <w:framePr w:hSpace="180" w:wrap="around" w:vAnchor="text" w:hAnchor="text" w:y="1"/>
      <w:adjustRightInd w:val="0"/>
      <w:snapToGrid w:val="0"/>
      <w:spacing w:line="240" w:lineRule="auto"/>
      <w:ind w:firstLine="0" w:firstLineChars="0"/>
      <w:jc w:val="center"/>
    </w:pPr>
    <w:rPr>
      <w:rFonts w:ascii="宋体" w:hAnsi="宋体" w:eastAsia="宋体"/>
      <w:bCs/>
      <w:sz w:val="21"/>
      <w:szCs w:val="21"/>
    </w:rPr>
  </w:style>
  <w:style w:type="paragraph" w:customStyle="1" w:styleId="2369">
    <w:name w:val="样式24"/>
    <w:basedOn w:val="1"/>
    <w:qFormat/>
    <w:uiPriority w:val="0"/>
    <w:pPr>
      <w:spacing w:line="240" w:lineRule="auto"/>
      <w:ind w:firstLine="0" w:firstLineChars="0"/>
      <w:jc w:val="center"/>
    </w:pPr>
    <w:rPr>
      <w:rFonts w:ascii="Times New Roman" w:eastAsia="黑体"/>
      <w:sz w:val="24"/>
      <w:szCs w:val="24"/>
    </w:rPr>
  </w:style>
  <w:style w:type="paragraph" w:customStyle="1" w:styleId="2370">
    <w:name w:val="xl7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Times New Roman" w:eastAsia="宋体"/>
      <w:kern w:val="0"/>
      <w:sz w:val="18"/>
      <w:szCs w:val="18"/>
    </w:rPr>
  </w:style>
  <w:style w:type="paragraph" w:customStyle="1" w:styleId="2371">
    <w:name w:val="样式 正文（首行缩进两字） + 首行缩进:  2 字符1"/>
    <w:basedOn w:val="6"/>
    <w:qFormat/>
    <w:uiPriority w:val="0"/>
    <w:pPr>
      <w:ind w:firstLine="560"/>
    </w:pPr>
    <w:rPr>
      <w:rFonts w:ascii="宋体" w:hAnsi="宋体"/>
    </w:rPr>
  </w:style>
  <w:style w:type="paragraph" w:customStyle="1" w:styleId="2372">
    <w:name w:val="xl113"/>
    <w:basedOn w:val="1"/>
    <w:qFormat/>
    <w:uiPriority w:val="0"/>
    <w:pPr>
      <w:widowControl/>
      <w:pBdr>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18"/>
      <w:szCs w:val="18"/>
    </w:rPr>
  </w:style>
  <w:style w:type="paragraph" w:customStyle="1" w:styleId="2373">
    <w:name w:val="样式 目录 2 + 行距: 固定值 22 磅"/>
    <w:basedOn w:val="74"/>
    <w:qFormat/>
    <w:uiPriority w:val="0"/>
    <w:pPr>
      <w:tabs>
        <w:tab w:val="right" w:leader="dot" w:pos="8302"/>
      </w:tabs>
      <w:spacing w:line="440" w:lineRule="exact"/>
      <w:ind w:left="420" w:leftChars="200" w:firstLine="0" w:firstLineChars="0"/>
    </w:pPr>
    <w:rPr>
      <w:rFonts w:ascii="宋体" w:hAnsi="宋体" w:eastAsia="宋体"/>
      <w:sz w:val="24"/>
      <w:szCs w:val="20"/>
    </w:rPr>
  </w:style>
  <w:style w:type="paragraph" w:customStyle="1" w:styleId="2374">
    <w:name w:val="&lt;=&gt;"/>
    <w:semiHidden/>
    <w:qFormat/>
    <w:uiPriority w:val="0"/>
    <w:pPr>
      <w:overflowPunct w:val="0"/>
      <w:autoSpaceDE w:val="0"/>
      <w:autoSpaceDN w:val="0"/>
      <w:adjustRightInd w:val="0"/>
      <w:textAlignment w:val="baseline"/>
    </w:pPr>
    <w:rPr>
      <w:rFonts w:ascii="Times New Roman" w:hAnsi="Times New Roman" w:eastAsia="宋体" w:cs="Times New Roman"/>
      <w:lang w:val="en-US" w:eastAsia="zh-CN" w:bidi="ar-SA"/>
    </w:rPr>
  </w:style>
  <w:style w:type="paragraph" w:customStyle="1" w:styleId="2375">
    <w:name w:val="xl101"/>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18"/>
      <w:szCs w:val="18"/>
    </w:rPr>
  </w:style>
  <w:style w:type="paragraph" w:customStyle="1" w:styleId="2376">
    <w:name w:val="19"/>
    <w:basedOn w:val="1"/>
    <w:qFormat/>
    <w:uiPriority w:val="0"/>
    <w:pPr>
      <w:widowControl/>
      <w:snapToGrid w:val="0"/>
      <w:spacing w:before="100" w:beforeAutospacing="1" w:after="100" w:afterAutospacing="1" w:line="560" w:lineRule="atLeast"/>
      <w:ind w:firstLine="0" w:firstLineChars="0"/>
    </w:pPr>
    <w:rPr>
      <w:rFonts w:ascii="楷体_GB2312" w:hAnsi="宋体" w:eastAsia="楷体_GB2312" w:cs="宋体"/>
      <w:kern w:val="0"/>
    </w:rPr>
  </w:style>
  <w:style w:type="paragraph" w:customStyle="1" w:styleId="2377">
    <w:name w:val="xl38"/>
    <w:basedOn w:val="1"/>
    <w:qFormat/>
    <w:uiPriority w:val="0"/>
    <w:pPr>
      <w:widowControl/>
      <w:pBdr>
        <w:top w:val="single" w:color="auto" w:sz="4" w:space="0"/>
        <w:left w:val="single" w:color="auto" w:sz="4" w:space="0"/>
      </w:pBdr>
      <w:spacing w:before="100" w:beforeAutospacing="1" w:after="100" w:afterAutospacing="1" w:line="240" w:lineRule="auto"/>
      <w:jc w:val="center"/>
      <w:textAlignment w:val="center"/>
    </w:pPr>
    <w:rPr>
      <w:rFonts w:ascii="Arial Unicode MS" w:hAnsi="Arial Unicode MS" w:eastAsia="Arial Unicode MS" w:cs="Arial Unicode MS"/>
      <w:kern w:val="0"/>
      <w:sz w:val="24"/>
      <w:szCs w:val="24"/>
    </w:rPr>
  </w:style>
  <w:style w:type="paragraph" w:customStyle="1" w:styleId="2378">
    <w:name w:val="xl135"/>
    <w:basedOn w:val="1"/>
    <w:qFormat/>
    <w:uiPriority w:val="0"/>
    <w:pPr>
      <w:widowControl/>
      <w:pBdr>
        <w:left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20"/>
      <w:szCs w:val="20"/>
    </w:rPr>
  </w:style>
  <w:style w:type="paragraph" w:customStyle="1" w:styleId="2379">
    <w:name w:val="列表标题"/>
    <w:basedOn w:val="35"/>
    <w:qFormat/>
    <w:uiPriority w:val="0"/>
    <w:pPr>
      <w:spacing w:after="0" w:line="300" w:lineRule="auto"/>
      <w:ind w:firstLine="281" w:firstLineChars="100"/>
      <w:jc w:val="center"/>
      <w:outlineLvl w:val="2"/>
    </w:pPr>
    <w:rPr>
      <w:rFonts w:ascii="Arial" w:eastAsia="黑体"/>
      <w:b/>
      <w:sz w:val="28"/>
      <w:lang w:val="en-US" w:eastAsia="zh-CN"/>
    </w:rPr>
  </w:style>
  <w:style w:type="paragraph" w:customStyle="1" w:styleId="2380">
    <w:name w:val="1.1.1 Char"/>
    <w:basedOn w:val="1"/>
    <w:qFormat/>
    <w:uiPriority w:val="0"/>
    <w:pPr>
      <w:spacing w:beforeLines="50" w:afterLines="50" w:line="460" w:lineRule="exact"/>
      <w:ind w:firstLine="0" w:firstLineChars="0"/>
    </w:pPr>
    <w:rPr>
      <w:rFonts w:ascii="Times New Roman" w:eastAsia="黑体"/>
      <w:b/>
      <w:sz w:val="30"/>
      <w:szCs w:val="24"/>
    </w:rPr>
  </w:style>
  <w:style w:type="paragraph" w:customStyle="1" w:styleId="2381">
    <w:name w:val="Char Char Char Char Char Char Char Char Char Char Char Char Char Char Char Char Char Char Char Char Char Char Char"/>
    <w:basedOn w:val="1"/>
    <w:semiHidden/>
    <w:qFormat/>
    <w:uiPriority w:val="0"/>
    <w:pPr>
      <w:widowControl/>
      <w:spacing w:after="160" w:line="240" w:lineRule="exact"/>
      <w:ind w:firstLine="0" w:firstLineChars="0"/>
      <w:jc w:val="left"/>
    </w:pPr>
    <w:rPr>
      <w:rFonts w:ascii="宋体" w:hAnsi="宋体" w:eastAsia="宋体"/>
      <w:spacing w:val="14"/>
      <w:kern w:val="0"/>
      <w:sz w:val="24"/>
      <w:szCs w:val="24"/>
      <w:u w:val="none" w:color="000000"/>
    </w:rPr>
  </w:style>
  <w:style w:type="paragraph" w:customStyle="1" w:styleId="2382">
    <w:name w:val="样式 样式 样式 正文文本缩进 + Times New Roman 左侧:  0 厘米 段后: 0 磅 行距: 固定值 22 磅..."/>
    <w:basedOn w:val="1"/>
    <w:semiHidden/>
    <w:qFormat/>
    <w:uiPriority w:val="0"/>
    <w:pPr>
      <w:spacing w:line="520" w:lineRule="exact"/>
      <w:ind w:firstLine="726"/>
    </w:pPr>
    <w:rPr>
      <w:rFonts w:ascii="Times New Roman" w:eastAsia="华文仿宋" w:cs="宋体"/>
      <w:spacing w:val="-2"/>
      <w:sz w:val="30"/>
      <w:szCs w:val="30"/>
    </w:rPr>
  </w:style>
  <w:style w:type="paragraph" w:customStyle="1" w:styleId="2383">
    <w:name w:val="样式 正文 +"/>
    <w:basedOn w:val="1"/>
    <w:qFormat/>
    <w:uiPriority w:val="0"/>
    <w:pPr>
      <w:spacing w:line="400" w:lineRule="exact"/>
      <w:ind w:firstLine="0" w:firstLineChars="0"/>
    </w:pPr>
    <w:rPr>
      <w:rFonts w:ascii="Times New Roman" w:eastAsia="宋体"/>
      <w:kern w:val="0"/>
      <w:sz w:val="21"/>
      <w:szCs w:val="24"/>
    </w:rPr>
  </w:style>
  <w:style w:type="paragraph" w:customStyle="1" w:styleId="2384">
    <w:name w:val="Char Char Char Char Char"/>
    <w:basedOn w:val="1"/>
    <w:qFormat/>
    <w:uiPriority w:val="0"/>
    <w:pPr>
      <w:spacing w:line="240" w:lineRule="auto"/>
      <w:ind w:firstLine="0" w:firstLineChars="0"/>
    </w:pPr>
    <w:rPr>
      <w:rFonts w:ascii="Times New Roman"/>
      <w:sz w:val="30"/>
      <w:szCs w:val="30"/>
    </w:rPr>
  </w:style>
  <w:style w:type="paragraph" w:customStyle="1" w:styleId="2385">
    <w:name w:val="样式 样式 样式 首行缩进:  2 字符2 + 首行缩进:  2 字符 + (西文) 楷体_GB2312 (中文) 楷体_GB..."/>
    <w:basedOn w:val="2386"/>
    <w:qFormat/>
    <w:uiPriority w:val="0"/>
    <w:pPr>
      <w:ind w:firstLine="560"/>
    </w:pPr>
    <w:rPr>
      <w:rFonts w:ascii="楷体_GB2312" w:eastAsia="楷体_GB2312"/>
    </w:rPr>
  </w:style>
  <w:style w:type="paragraph" w:customStyle="1" w:styleId="2386">
    <w:name w:val="样式 样式 首行缩进:  2 字符2 + 首行缩进:  2 字符"/>
    <w:basedOn w:val="1090"/>
    <w:qFormat/>
    <w:uiPriority w:val="0"/>
  </w:style>
  <w:style w:type="paragraph" w:customStyle="1" w:styleId="2387">
    <w:name w:val="标 题 1"/>
    <w:basedOn w:val="4"/>
    <w:qFormat/>
    <w:uiPriority w:val="0"/>
    <w:pPr>
      <w:keepNext/>
      <w:keepLines/>
      <w:spacing w:after="120" w:line="720" w:lineRule="exact"/>
    </w:pPr>
    <w:rPr>
      <w:rFonts w:cs="宋体"/>
      <w:color w:val="000000"/>
      <w:szCs w:val="20"/>
    </w:rPr>
  </w:style>
  <w:style w:type="paragraph" w:customStyle="1" w:styleId="2388">
    <w:name w:val="01"/>
    <w:basedOn w:val="1"/>
    <w:qFormat/>
    <w:uiPriority w:val="0"/>
    <w:pPr>
      <w:tabs>
        <w:tab w:val="left" w:pos="900"/>
      </w:tabs>
      <w:spacing w:beforeLines="20" w:afterLines="20" w:line="360" w:lineRule="auto"/>
      <w:ind w:firstLine="100" w:firstLineChars="100"/>
    </w:pPr>
    <w:rPr>
      <w:rFonts w:ascii="Times New Roman" w:eastAsia="黑体"/>
      <w:kern w:val="0"/>
      <w:u w:val="none" w:color="000000"/>
    </w:rPr>
  </w:style>
  <w:style w:type="paragraph" w:customStyle="1" w:styleId="2389">
    <w:name w:val="xl45342"/>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left"/>
    </w:pPr>
    <w:rPr>
      <w:rFonts w:ascii="Times New Roman" w:eastAsia="宋体"/>
      <w:kern w:val="0"/>
      <w:sz w:val="20"/>
      <w:szCs w:val="20"/>
    </w:rPr>
  </w:style>
  <w:style w:type="paragraph" w:customStyle="1" w:styleId="2390">
    <w:name w:val="Char Char Char Char Char Char Char Char Char Char Char Char Char Char Char Char Char Char Char Char Char Char Char Char Char Char Char Char Char Char Char Char Char Char"/>
    <w:basedOn w:val="1"/>
    <w:qFormat/>
    <w:uiPriority w:val="0"/>
    <w:pPr>
      <w:spacing w:line="360" w:lineRule="auto"/>
    </w:pPr>
    <w:rPr>
      <w:rFonts w:ascii="宋体" w:hAnsi="宋体" w:eastAsia="宋体"/>
      <w:sz w:val="24"/>
      <w:szCs w:val="24"/>
    </w:rPr>
  </w:style>
  <w:style w:type="paragraph" w:customStyle="1" w:styleId="2391">
    <w:name w:val="1表内"/>
    <w:basedOn w:val="1"/>
    <w:qFormat/>
    <w:uiPriority w:val="0"/>
    <w:pPr>
      <w:spacing w:line="320" w:lineRule="exact"/>
      <w:ind w:firstLine="0" w:firstLineChars="0"/>
      <w:jc w:val="center"/>
    </w:pPr>
    <w:rPr>
      <w:rFonts w:ascii="Times New Roman"/>
      <w:sz w:val="21"/>
      <w:szCs w:val="21"/>
    </w:rPr>
  </w:style>
  <w:style w:type="paragraph" w:customStyle="1" w:styleId="2392">
    <w:name w:val="表格标题2（编号 单位）"/>
    <w:basedOn w:val="498"/>
    <w:semiHidden/>
    <w:qFormat/>
    <w:uiPriority w:val="0"/>
    <w:pPr>
      <w:keepNext/>
      <w:keepLines/>
      <w:spacing w:line="240" w:lineRule="atLeast"/>
      <w:ind w:firstLine="238" w:firstLineChars="100"/>
      <w:jc w:val="both"/>
    </w:pPr>
    <w:rPr>
      <w:rFonts w:ascii="宋体" w:hAnsi="宋体" w:eastAsia="宋体"/>
      <w:color w:val="000000"/>
      <w:spacing w:val="20"/>
      <w:sz w:val="21"/>
      <w:szCs w:val="20"/>
      <w:lang w:val="en-US" w:eastAsia="zh-CN"/>
    </w:rPr>
  </w:style>
  <w:style w:type="paragraph" w:customStyle="1" w:styleId="2393">
    <w:name w:val="标准正文"/>
    <w:basedOn w:val="1"/>
    <w:qFormat/>
    <w:uiPriority w:val="0"/>
    <w:pPr>
      <w:spacing w:line="400" w:lineRule="exact"/>
      <w:ind w:firstLine="480"/>
      <w:jc w:val="left"/>
    </w:pPr>
    <w:rPr>
      <w:rFonts w:ascii="宋体" w:hAnsi="宋体" w:eastAsia="宋体"/>
      <w:sz w:val="24"/>
      <w:szCs w:val="24"/>
    </w:rPr>
  </w:style>
  <w:style w:type="paragraph" w:customStyle="1" w:styleId="2394">
    <w:name w:val="Char Char Char1 Char Char Char Char Char Char Char1"/>
    <w:basedOn w:val="1"/>
    <w:qFormat/>
    <w:uiPriority w:val="0"/>
    <w:pPr>
      <w:snapToGrid w:val="0"/>
      <w:spacing w:line="440" w:lineRule="exact"/>
    </w:pPr>
    <w:rPr>
      <w:sz w:val="24"/>
      <w:szCs w:val="24"/>
    </w:rPr>
  </w:style>
  <w:style w:type="paragraph" w:customStyle="1" w:styleId="2395">
    <w:name w:val="列出段落2"/>
    <w:basedOn w:val="1"/>
    <w:qFormat/>
    <w:uiPriority w:val="0"/>
    <w:pPr>
      <w:ind w:firstLine="420"/>
    </w:pPr>
    <w:rPr>
      <w:szCs w:val="24"/>
    </w:rPr>
  </w:style>
  <w:style w:type="paragraph" w:customStyle="1" w:styleId="2396">
    <w:name w:val="表格5＃"/>
    <w:basedOn w:val="1"/>
    <w:next w:val="1"/>
    <w:semiHidden/>
    <w:qFormat/>
    <w:uiPriority w:val="0"/>
    <w:pPr>
      <w:adjustRightInd w:val="0"/>
      <w:snapToGrid w:val="0"/>
      <w:spacing w:line="240" w:lineRule="auto"/>
      <w:ind w:firstLine="0" w:firstLineChars="0"/>
      <w:jc w:val="center"/>
    </w:pPr>
    <w:rPr>
      <w:rFonts w:ascii="宋体" w:hAnsi="宋体" w:eastAsia="宋体"/>
      <w:bCs/>
      <w:snapToGrid w:val="0"/>
      <w:kern w:val="0"/>
      <w:sz w:val="21"/>
      <w:szCs w:val="21"/>
    </w:rPr>
  </w:style>
  <w:style w:type="paragraph" w:customStyle="1" w:styleId="2397">
    <w:name w:val="我的小节"/>
    <w:basedOn w:val="2367"/>
    <w:qFormat/>
    <w:uiPriority w:val="0"/>
    <w:pPr>
      <w:pageBreakBefore w:val="0"/>
      <w:outlineLvl w:val="2"/>
    </w:pPr>
    <w:rPr>
      <w:kern w:val="24"/>
      <w:sz w:val="24"/>
    </w:rPr>
  </w:style>
  <w:style w:type="paragraph" w:customStyle="1" w:styleId="2398">
    <w:name w:val="Char Char Char1"/>
    <w:basedOn w:val="1"/>
    <w:qFormat/>
    <w:uiPriority w:val="0"/>
    <w:pPr>
      <w:spacing w:line="240" w:lineRule="auto"/>
      <w:ind w:firstLine="0" w:firstLineChars="0"/>
    </w:pPr>
    <w:rPr>
      <w:rFonts w:ascii="Times New Roman" w:eastAsia="宋体"/>
      <w:sz w:val="21"/>
      <w:szCs w:val="24"/>
    </w:rPr>
  </w:style>
  <w:style w:type="paragraph" w:customStyle="1" w:styleId="2399">
    <w:name w:val="xl2800"/>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textAlignment w:val="center"/>
    </w:pPr>
    <w:rPr>
      <w:rFonts w:ascii="宋体" w:hAnsi="宋体" w:eastAsia="宋体" w:cs="宋体"/>
      <w:kern w:val="0"/>
      <w:sz w:val="24"/>
      <w:szCs w:val="24"/>
    </w:rPr>
  </w:style>
  <w:style w:type="paragraph" w:customStyle="1" w:styleId="2400">
    <w:name w:val="xl2753"/>
    <w:basedOn w:val="1"/>
    <w:qFormat/>
    <w:uiPriority w:val="0"/>
    <w:pPr>
      <w:widowControl/>
      <w:spacing w:before="100" w:beforeAutospacing="1" w:after="100" w:afterAutospacing="1" w:line="240" w:lineRule="auto"/>
      <w:ind w:firstLine="0" w:firstLineChars="0"/>
      <w:jc w:val="center"/>
    </w:pPr>
    <w:rPr>
      <w:rFonts w:ascii="楷体_GB2312" w:hAnsi="宋体" w:eastAsia="楷体_GB2312" w:cs="宋体"/>
      <w:kern w:val="0"/>
      <w:sz w:val="20"/>
      <w:szCs w:val="20"/>
    </w:rPr>
  </w:style>
  <w:style w:type="paragraph" w:customStyle="1" w:styleId="2401">
    <w:name w:val="xl2799"/>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pPr>
    <w:rPr>
      <w:rFonts w:ascii="Times New Roman" w:eastAsia="宋体"/>
      <w:kern w:val="0"/>
      <w:sz w:val="24"/>
      <w:szCs w:val="24"/>
    </w:rPr>
  </w:style>
  <w:style w:type="paragraph" w:customStyle="1" w:styleId="2402">
    <w:name w:val="1.1 Char"/>
    <w:basedOn w:val="1"/>
    <w:qFormat/>
    <w:uiPriority w:val="0"/>
    <w:pPr>
      <w:spacing w:beforeLines="100" w:afterLines="100" w:line="240" w:lineRule="auto"/>
      <w:ind w:firstLine="0" w:firstLineChars="0"/>
      <w:jc w:val="center"/>
    </w:pPr>
    <w:rPr>
      <w:rFonts w:ascii="Times New Roman" w:eastAsia="黑体"/>
      <w:b/>
      <w:sz w:val="32"/>
      <w:szCs w:val="20"/>
    </w:rPr>
  </w:style>
  <w:style w:type="paragraph" w:customStyle="1" w:styleId="2403">
    <w:name w:val="样式 标题 3 + 宋体 小四"/>
    <w:basedOn w:val="7"/>
    <w:qFormat/>
    <w:uiPriority w:val="0"/>
    <w:pPr>
      <w:keepNext/>
      <w:keepLines/>
      <w:widowControl/>
      <w:suppressLineNumbers/>
      <w:suppressAutoHyphens/>
      <w:autoSpaceDE w:val="0"/>
      <w:adjustRightInd w:val="0"/>
      <w:spacing w:line="360" w:lineRule="auto"/>
      <w:jc w:val="left"/>
      <w:textAlignment w:val="bottom"/>
    </w:pPr>
    <w:rPr>
      <w:rFonts w:ascii="Times New Roman" w:hAnsi="Times New Roman" w:eastAsia="宋体"/>
      <w:b/>
      <w:kern w:val="28"/>
      <w:szCs w:val="24"/>
    </w:rPr>
  </w:style>
  <w:style w:type="paragraph" w:customStyle="1" w:styleId="2404">
    <w:name w:val="默认段落字体 Para Char Char Char Char Char Char Char Char Char Char"/>
    <w:basedOn w:val="4"/>
    <w:qFormat/>
    <w:uiPriority w:val="0"/>
    <w:pPr>
      <w:keepNext/>
      <w:keepLines/>
      <w:tabs>
        <w:tab w:val="left" w:pos="360"/>
        <w:tab w:val="left" w:pos="900"/>
      </w:tabs>
      <w:adjustRightInd w:val="0"/>
      <w:snapToGrid w:val="0"/>
      <w:spacing w:beforeLines="50" w:after="120" w:afterLines="50" w:line="720" w:lineRule="exact"/>
      <w:jc w:val="left"/>
    </w:pPr>
    <w:rPr>
      <w:rFonts w:ascii="Times New Roman" w:hAnsi="Times New Roman"/>
      <w:bCs w:val="0"/>
      <w:snapToGrid w:val="0"/>
      <w:sz w:val="28"/>
      <w:szCs w:val="24"/>
    </w:rPr>
  </w:style>
  <w:style w:type="paragraph" w:customStyle="1" w:styleId="2405">
    <w:name w:val="样式 正文首行缩进 2正文首行缩进 2-y Char正文首行缩进 2-y正文首行缩进 2石正文首行缩进 2-rebecc...1"/>
    <w:basedOn w:val="87"/>
    <w:qFormat/>
    <w:uiPriority w:val="0"/>
    <w:pPr>
      <w:adjustRightInd w:val="0"/>
      <w:snapToGrid w:val="0"/>
      <w:spacing w:after="0"/>
      <w:ind w:left="200" w:leftChars="200" w:firstLine="0"/>
    </w:pPr>
    <w:rPr>
      <w:rFonts w:eastAsia="楷体_GB2312"/>
      <w:szCs w:val="24"/>
    </w:rPr>
  </w:style>
  <w:style w:type="paragraph" w:customStyle="1" w:styleId="2406">
    <w:name w:val="Char1 Char Char Char Char Char Char Char Char Char Char Char Char Char Char1 Char Char Char Char Char Char Char Char Char Char"/>
    <w:basedOn w:val="1"/>
    <w:semiHidden/>
    <w:qFormat/>
    <w:uiPriority w:val="0"/>
    <w:pPr>
      <w:spacing w:line="240" w:lineRule="auto"/>
      <w:ind w:firstLine="0" w:firstLineChars="0"/>
    </w:pPr>
    <w:rPr>
      <w:rFonts w:ascii="Times New Roman" w:eastAsia="宋体"/>
      <w:kern w:val="0"/>
      <w:sz w:val="21"/>
      <w:szCs w:val="24"/>
      <w:u w:val="none" w:color="000000"/>
    </w:rPr>
  </w:style>
  <w:style w:type="paragraph" w:customStyle="1" w:styleId="2407">
    <w:name w:val="样式 正文1 + 首行缩进:  2 字符2"/>
    <w:basedOn w:val="971"/>
    <w:qFormat/>
    <w:uiPriority w:val="0"/>
    <w:pPr>
      <w:adjustRightInd w:val="0"/>
      <w:spacing w:afterLines="0"/>
      <w:ind w:firstLine="560" w:firstLineChars="200"/>
      <w:jc w:val="both"/>
      <w:textAlignment w:val="baseline"/>
    </w:pPr>
    <w:rPr>
      <w:rFonts w:eastAsia="仿宋_GB2312" w:cs="宋体"/>
    </w:rPr>
  </w:style>
  <w:style w:type="paragraph" w:customStyle="1" w:styleId="2408">
    <w:name w:val="正文cjh"/>
    <w:basedOn w:val="1"/>
    <w:qFormat/>
    <w:uiPriority w:val="0"/>
    <w:pPr>
      <w:spacing w:line="360" w:lineRule="auto"/>
      <w:ind w:firstLine="482"/>
      <w:jc w:val="center"/>
    </w:pPr>
    <w:rPr>
      <w:rFonts w:ascii="宋体" w:hAnsi="宋体" w:eastAsia="宋体"/>
      <w:b/>
      <w:sz w:val="24"/>
    </w:rPr>
  </w:style>
  <w:style w:type="paragraph" w:customStyle="1" w:styleId="2409">
    <w:name w:val="XCHG论文正文"/>
    <w:basedOn w:val="1"/>
    <w:qFormat/>
    <w:uiPriority w:val="0"/>
    <w:pPr>
      <w:spacing w:line="288" w:lineRule="auto"/>
      <w:ind w:firstLine="480"/>
    </w:pPr>
    <w:rPr>
      <w:rFonts w:ascii="Times New Roman" w:eastAsia="宋体"/>
      <w:color w:val="000000"/>
      <w:sz w:val="24"/>
      <w:szCs w:val="24"/>
    </w:rPr>
  </w:style>
  <w:style w:type="paragraph" w:customStyle="1" w:styleId="2410">
    <w:name w:val=":-("/>
    <w:semiHidden/>
    <w:qFormat/>
    <w:uiPriority w:val="0"/>
    <w:pPr>
      <w:overflowPunct w:val="0"/>
      <w:autoSpaceDE w:val="0"/>
      <w:autoSpaceDN w:val="0"/>
      <w:adjustRightInd w:val="0"/>
      <w:textAlignment w:val="baseline"/>
    </w:pPr>
    <w:rPr>
      <w:rFonts w:ascii="Times New Roman" w:hAnsi="Times New Roman" w:eastAsia="宋体" w:cs="Times New Roman"/>
      <w:lang w:val="en-US" w:eastAsia="zh-CN" w:bidi="ar-SA"/>
    </w:rPr>
  </w:style>
  <w:style w:type="paragraph" w:customStyle="1" w:styleId="2411">
    <w:name w:val="样式 仿宋_GB2312 居中 首行缩进:  0 字符1"/>
    <w:basedOn w:val="1"/>
    <w:qFormat/>
    <w:uiPriority w:val="0"/>
    <w:pPr>
      <w:spacing w:line="240" w:lineRule="auto"/>
      <w:ind w:firstLine="0" w:firstLineChars="0"/>
      <w:jc w:val="center"/>
    </w:pPr>
    <w:rPr>
      <w:rFonts w:cs="宋体"/>
      <w:szCs w:val="20"/>
    </w:rPr>
  </w:style>
  <w:style w:type="paragraph" w:customStyle="1" w:styleId="2412">
    <w:name w:val="文字"/>
    <w:basedOn w:val="1"/>
    <w:qFormat/>
    <w:uiPriority w:val="0"/>
    <w:pPr>
      <w:spacing w:line="360" w:lineRule="auto"/>
      <w:ind w:firstLine="0" w:firstLineChars="0"/>
    </w:pPr>
    <w:rPr>
      <w:rFonts w:ascii="宋体" w:eastAsia="宋体"/>
      <w:sz w:val="24"/>
      <w:szCs w:val="20"/>
    </w:rPr>
  </w:style>
  <w:style w:type="paragraph" w:styleId="2413">
    <w:name w:val="List Paragraph"/>
    <w:basedOn w:val="1"/>
    <w:qFormat/>
    <w:uiPriority w:val="34"/>
    <w:pPr>
      <w:widowControl/>
      <w:spacing w:line="240" w:lineRule="auto"/>
      <w:ind w:firstLine="420"/>
      <w:jc w:val="left"/>
    </w:pPr>
    <w:rPr>
      <w:rFonts w:ascii="宋体" w:hAnsi="宋体" w:eastAsia="宋体" w:cs="宋体"/>
      <w:kern w:val="0"/>
      <w:sz w:val="24"/>
      <w:szCs w:val="24"/>
    </w:rPr>
  </w:style>
  <w:style w:type="paragraph" w:customStyle="1" w:styleId="2414">
    <w:name w:val="xl274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楷体_GB2312" w:hAnsi="宋体" w:eastAsia="楷体_GB2312" w:cs="宋体"/>
      <w:kern w:val="0"/>
      <w:sz w:val="20"/>
      <w:szCs w:val="20"/>
    </w:rPr>
  </w:style>
  <w:style w:type="paragraph" w:customStyle="1" w:styleId="2415">
    <w:name w:val="封面标题 2"/>
    <w:basedOn w:val="1"/>
    <w:next w:val="1"/>
    <w:qFormat/>
    <w:uiPriority w:val="0"/>
    <w:pPr>
      <w:spacing w:beforeLines="100" w:afterLines="100"/>
      <w:ind w:firstLine="0" w:firstLineChars="0"/>
      <w:jc w:val="center"/>
    </w:pPr>
    <w:rPr>
      <w:rFonts w:hAnsi="仿宋_GB2312" w:eastAsia="华文新魏"/>
      <w:sz w:val="72"/>
      <w:szCs w:val="72"/>
    </w:rPr>
  </w:style>
  <w:style w:type="paragraph" w:customStyle="1" w:styleId="2416">
    <w:name w:val="Char11"/>
    <w:basedOn w:val="1"/>
    <w:qFormat/>
    <w:uiPriority w:val="0"/>
    <w:pPr>
      <w:widowControl/>
      <w:spacing w:line="240" w:lineRule="auto"/>
      <w:ind w:firstLine="0" w:firstLineChars="0"/>
      <w:jc w:val="left"/>
    </w:pPr>
    <w:rPr>
      <w:rFonts w:ascii="Times New Roman" w:eastAsia="宋体"/>
      <w:sz w:val="21"/>
      <w:szCs w:val="24"/>
    </w:rPr>
  </w:style>
  <w:style w:type="paragraph" w:customStyle="1" w:styleId="2417">
    <w:name w:val="Char4"/>
    <w:basedOn w:val="1"/>
    <w:qFormat/>
    <w:uiPriority w:val="0"/>
    <w:pPr>
      <w:spacing w:line="240" w:lineRule="auto"/>
      <w:ind w:firstLine="0" w:firstLineChars="0"/>
    </w:pPr>
    <w:rPr>
      <w:rFonts w:ascii="Times New Roman" w:eastAsia="宋体"/>
      <w:sz w:val="21"/>
      <w:szCs w:val="24"/>
    </w:rPr>
  </w:style>
  <w:style w:type="paragraph" w:customStyle="1" w:styleId="2418">
    <w:name w:val="1正文 Char Char"/>
    <w:basedOn w:val="1"/>
    <w:qFormat/>
    <w:uiPriority w:val="0"/>
    <w:pPr>
      <w:spacing w:line="240" w:lineRule="auto"/>
    </w:pPr>
    <w:rPr>
      <w:rFonts w:ascii="Times New Roman"/>
      <w:szCs w:val="24"/>
    </w:rPr>
  </w:style>
  <w:style w:type="paragraph" w:customStyle="1" w:styleId="2419">
    <w:name w:val="xl2769"/>
    <w:basedOn w:val="1"/>
    <w:qFormat/>
    <w:uiPriority w:val="0"/>
    <w:pPr>
      <w:widowControl/>
      <w:pBdr>
        <w:top w:val="single" w:color="auto" w:sz="4" w:space="0"/>
        <w:left w:val="single" w:color="auto" w:sz="4" w:space="0"/>
        <w:bottom w:val="single" w:color="auto" w:sz="4" w:space="0"/>
        <w:right w:val="single" w:color="auto" w:sz="4" w:space="0"/>
      </w:pBdr>
      <w:shd w:val="clear" w:color="000000" w:fill="FF0000"/>
      <w:spacing w:before="100" w:beforeAutospacing="1" w:after="100" w:afterAutospacing="1" w:line="240" w:lineRule="auto"/>
      <w:ind w:firstLine="0" w:firstLineChars="0"/>
      <w:jc w:val="center"/>
    </w:pPr>
    <w:rPr>
      <w:rFonts w:ascii="Times New Roman" w:eastAsia="宋体"/>
      <w:kern w:val="0"/>
      <w:sz w:val="21"/>
      <w:szCs w:val="21"/>
    </w:rPr>
  </w:style>
  <w:style w:type="paragraph" w:customStyle="1" w:styleId="2420">
    <w:name w:val="4标题4"/>
    <w:basedOn w:val="8"/>
    <w:qFormat/>
    <w:uiPriority w:val="0"/>
    <w:pPr>
      <w:keepNext w:val="0"/>
      <w:keepLines w:val="0"/>
      <w:tabs>
        <w:tab w:val="center" w:pos="4592"/>
      </w:tabs>
      <w:autoSpaceDE w:val="0"/>
      <w:autoSpaceDN w:val="0"/>
      <w:adjustRightInd w:val="0"/>
      <w:spacing w:before="0" w:after="0" w:line="560" w:lineRule="exact"/>
      <w:ind w:firstLine="0" w:firstLineChars="0"/>
    </w:pPr>
    <w:rPr>
      <w:rFonts w:ascii="Arial" w:hAnsi="Arial"/>
      <w:b w:val="0"/>
      <w:bCs w:val="0"/>
      <w:szCs w:val="20"/>
      <w:lang w:val="en-US" w:eastAsia="zh-CN"/>
    </w:rPr>
  </w:style>
  <w:style w:type="paragraph" w:customStyle="1" w:styleId="2421">
    <w:name w:val="Char Char Char Char Char Char Char Char1"/>
    <w:basedOn w:val="1"/>
    <w:qFormat/>
    <w:uiPriority w:val="0"/>
    <w:rPr>
      <w:szCs w:val="24"/>
    </w:rPr>
  </w:style>
  <w:style w:type="paragraph" w:customStyle="1" w:styleId="2422">
    <w:name w:val="xl259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Times New Roman" w:eastAsia="宋体"/>
      <w:kern w:val="0"/>
      <w:sz w:val="20"/>
      <w:szCs w:val="20"/>
    </w:rPr>
  </w:style>
  <w:style w:type="paragraph" w:customStyle="1" w:styleId="2423">
    <w:name w:val="正文文字1"/>
    <w:basedOn w:val="1"/>
    <w:qFormat/>
    <w:uiPriority w:val="0"/>
    <w:pPr>
      <w:snapToGrid w:val="0"/>
      <w:spacing w:line="360" w:lineRule="auto"/>
      <w:ind w:firstLine="480"/>
    </w:pPr>
    <w:rPr>
      <w:rFonts w:ascii="Times New Roman" w:eastAsia="华文中宋"/>
      <w:sz w:val="24"/>
      <w:szCs w:val="24"/>
    </w:rPr>
  </w:style>
  <w:style w:type="paragraph" w:customStyle="1" w:styleId="2424">
    <w:name w:val="yy正文"/>
    <w:basedOn w:val="1139"/>
    <w:qFormat/>
    <w:uiPriority w:val="0"/>
    <w:rPr>
      <w:szCs w:val="24"/>
      <w:lang w:val="en-US" w:eastAsia="zh-CN"/>
    </w:rPr>
  </w:style>
  <w:style w:type="paragraph" w:customStyle="1" w:styleId="2425">
    <w:name w:val="样式 宋体 小四 首行缩进:  2 字符"/>
    <w:basedOn w:val="1"/>
    <w:qFormat/>
    <w:uiPriority w:val="0"/>
    <w:rPr>
      <w:rFonts w:hAnsi="宋体" w:cs="宋体"/>
      <w:szCs w:val="20"/>
    </w:rPr>
  </w:style>
  <w:style w:type="paragraph" w:customStyle="1" w:styleId="2426">
    <w:name w:val="样式 (西文) 宋体 (中文) 仿宋_GB2312 四号 行距: 多倍行距 1.48 字行"/>
    <w:basedOn w:val="1"/>
    <w:qFormat/>
    <w:uiPriority w:val="0"/>
    <w:pPr>
      <w:spacing w:line="353" w:lineRule="auto"/>
      <w:ind w:firstLine="560"/>
    </w:pPr>
    <w:rPr>
      <w:rFonts w:ascii="宋体" w:hAnsi="宋体" w:cs="宋体"/>
      <w:szCs w:val="20"/>
    </w:rPr>
  </w:style>
  <w:style w:type="paragraph" w:customStyle="1" w:styleId="2427">
    <w:name w:val="样式 样式6 + (西文) Times New Roman (中文) 华文中宋 加粗 段前: 0.5 行 段后: 0.5..."/>
    <w:basedOn w:val="1602"/>
    <w:qFormat/>
    <w:uiPriority w:val="0"/>
    <w:pPr>
      <w:adjustRightInd/>
      <w:snapToGrid/>
      <w:spacing w:beforeLines="50" w:afterLines="50"/>
      <w:ind w:firstLine="0" w:firstLineChars="0"/>
      <w:jc w:val="both"/>
    </w:pPr>
    <w:rPr>
      <w:rFonts w:ascii="Times New Roman" w:hAnsi="Times New Roman" w:eastAsia="华文中宋"/>
      <w:b/>
      <w:snapToGrid/>
      <w:color w:val="auto"/>
      <w:kern w:val="2"/>
      <w:szCs w:val="20"/>
    </w:rPr>
  </w:style>
  <w:style w:type="paragraph" w:customStyle="1" w:styleId="2428">
    <w:name w:val="明显引用2"/>
    <w:basedOn w:val="1"/>
    <w:next w:val="1"/>
    <w:semiHidden/>
    <w:qFormat/>
    <w:uiPriority w:val="0"/>
    <w:pPr>
      <w:widowControl/>
      <w:ind w:left="720" w:right="720"/>
      <w:jc w:val="left"/>
    </w:pPr>
    <w:rPr>
      <w:rFonts w:ascii="Times New Roman" w:eastAsia="Times New Roman"/>
      <w:b/>
      <w:i/>
      <w:kern w:val="0"/>
      <w:sz w:val="24"/>
      <w:szCs w:val="22"/>
      <w:lang w:eastAsia="en-US"/>
    </w:rPr>
  </w:style>
  <w:style w:type="paragraph" w:customStyle="1" w:styleId="2429">
    <w:name w:val="居中标题"/>
    <w:basedOn w:val="4"/>
    <w:next w:val="1"/>
    <w:qFormat/>
    <w:uiPriority w:val="0"/>
    <w:pPr>
      <w:keepNext/>
      <w:keepLines/>
      <w:widowControl/>
      <w:spacing w:after="120" w:line="520" w:lineRule="exact"/>
      <w:ind w:firstLine="680"/>
      <w:jc w:val="center"/>
    </w:pPr>
    <w:rPr>
      <w:rFonts w:ascii="宋体" w:hAnsi="宋体" w:eastAsia="宋体" w:cs="宋体"/>
      <w:bCs w:val="0"/>
      <w:spacing w:val="20"/>
      <w:kern w:val="0"/>
      <w:sz w:val="28"/>
      <w:szCs w:val="20"/>
    </w:rPr>
  </w:style>
  <w:style w:type="paragraph" w:customStyle="1" w:styleId="2430">
    <w:name w:val="xl510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Times New Roman" w:eastAsia="宋体"/>
      <w:kern w:val="0"/>
      <w:sz w:val="20"/>
      <w:szCs w:val="20"/>
    </w:rPr>
  </w:style>
  <w:style w:type="paragraph" w:customStyle="1" w:styleId="2431">
    <w:name w:val="样式 样式 样式 样式 括号hy首行缩进:  2 字符 ...1 + 首行缩进:  2 字符 + 首行缩进:  2 字符 + 首..."/>
    <w:basedOn w:val="1"/>
    <w:qFormat/>
    <w:uiPriority w:val="0"/>
    <w:pPr>
      <w:spacing w:line="460" w:lineRule="exact"/>
      <w:ind w:firstLine="480"/>
    </w:pPr>
    <w:rPr>
      <w:rFonts w:ascii="楷体_GB2312" w:eastAsia="楷体_GB2312" w:cs="宋体"/>
      <w:sz w:val="24"/>
      <w:szCs w:val="20"/>
    </w:rPr>
  </w:style>
  <w:style w:type="paragraph" w:customStyle="1" w:styleId="2432">
    <w:name w:val="正文样式"/>
    <w:basedOn w:val="1"/>
    <w:qFormat/>
    <w:uiPriority w:val="0"/>
    <w:pPr>
      <w:adjustRightInd w:val="0"/>
      <w:snapToGrid w:val="0"/>
      <w:spacing w:line="360" w:lineRule="auto"/>
      <w:ind w:firstLine="480"/>
    </w:pPr>
    <w:rPr>
      <w:rFonts w:ascii="Times New Roman" w:eastAsia="楷体_GB2312"/>
      <w:sz w:val="24"/>
      <w:szCs w:val="24"/>
    </w:rPr>
  </w:style>
  <w:style w:type="paragraph" w:customStyle="1" w:styleId="2433">
    <w:name w:val="xl12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right"/>
      <w:textAlignment w:val="center"/>
    </w:pPr>
    <w:rPr>
      <w:rFonts w:ascii="Times New Roman" w:eastAsia="宋体"/>
      <w:kern w:val="0"/>
      <w:sz w:val="20"/>
      <w:szCs w:val="20"/>
    </w:rPr>
  </w:style>
  <w:style w:type="paragraph" w:customStyle="1" w:styleId="2434">
    <w:name w:val="font5"/>
    <w:basedOn w:val="1"/>
    <w:qFormat/>
    <w:uiPriority w:val="0"/>
    <w:pPr>
      <w:widowControl/>
      <w:spacing w:before="100" w:beforeAutospacing="1" w:after="100" w:afterAutospacing="1" w:line="240" w:lineRule="auto"/>
      <w:jc w:val="left"/>
    </w:pPr>
    <w:rPr>
      <w:rFonts w:hint="eastAsia" w:ascii="宋体" w:hAnsi="宋体" w:cs="Arial Unicode MS"/>
      <w:kern w:val="0"/>
      <w:sz w:val="18"/>
      <w:szCs w:val="18"/>
    </w:rPr>
  </w:style>
  <w:style w:type="paragraph" w:customStyle="1" w:styleId="2435">
    <w:name w:val="Char Char Char Char Char Char Char Char Char1 Char"/>
    <w:basedOn w:val="1"/>
    <w:semiHidden/>
    <w:qFormat/>
    <w:uiPriority w:val="0"/>
    <w:pPr>
      <w:widowControl/>
      <w:spacing w:after="160" w:line="240" w:lineRule="exact"/>
      <w:jc w:val="left"/>
    </w:pPr>
    <w:rPr>
      <w:rFonts w:ascii="宋体" w:hAnsi="宋体"/>
      <w:spacing w:val="14"/>
      <w:kern w:val="0"/>
      <w:sz w:val="24"/>
    </w:rPr>
  </w:style>
  <w:style w:type="paragraph" w:customStyle="1" w:styleId="2436">
    <w:name w:val="报告节"/>
    <w:basedOn w:val="4"/>
    <w:next w:val="6"/>
    <w:qFormat/>
    <w:uiPriority w:val="0"/>
    <w:pPr>
      <w:keepNext/>
      <w:tabs>
        <w:tab w:val="left" w:pos="251"/>
      </w:tabs>
      <w:spacing w:after="120" w:line="480" w:lineRule="auto"/>
    </w:pPr>
    <w:rPr>
      <w:rFonts w:ascii="宋体" w:hAnsi="宋体" w:eastAsia="宋体"/>
      <w:b/>
      <w:bCs w:val="0"/>
      <w:kern w:val="2"/>
      <w:sz w:val="32"/>
      <w:szCs w:val="32"/>
    </w:rPr>
  </w:style>
  <w:style w:type="paragraph" w:customStyle="1" w:styleId="2437">
    <w:name w:val="xl2283"/>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楷体_GB2312" w:hAnsi="宋体" w:eastAsia="楷体_GB2312" w:cs="宋体"/>
      <w:kern w:val="0"/>
      <w:sz w:val="20"/>
      <w:szCs w:val="20"/>
    </w:rPr>
  </w:style>
  <w:style w:type="paragraph" w:customStyle="1" w:styleId="2438">
    <w:name w:val="xl2796"/>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textAlignment w:val="center"/>
    </w:pPr>
    <w:rPr>
      <w:rFonts w:ascii="Times New Roman" w:eastAsia="宋体"/>
      <w:kern w:val="0"/>
      <w:sz w:val="24"/>
      <w:szCs w:val="24"/>
    </w:rPr>
  </w:style>
  <w:style w:type="paragraph" w:customStyle="1" w:styleId="2439">
    <w:name w:val="8.1.1b Char Char Char Char Char Char Char Char Char Char"/>
    <w:next w:val="1"/>
    <w:qFormat/>
    <w:uiPriority w:val="0"/>
    <w:pPr>
      <w:snapToGrid w:val="0"/>
      <w:spacing w:beforeLines="50" w:afterLines="50"/>
    </w:pPr>
    <w:rPr>
      <w:rFonts w:ascii="Times New Roman" w:hAnsi="Times New Roman" w:eastAsia="华文中宋" w:cs="Times New Roman"/>
      <w:b/>
      <w:kern w:val="2"/>
      <w:sz w:val="28"/>
      <w:szCs w:val="28"/>
      <w:lang w:val="en-US" w:eastAsia="zh-CN" w:bidi="ar-SA"/>
    </w:rPr>
  </w:style>
  <w:style w:type="paragraph" w:customStyle="1" w:styleId="2440">
    <w:name w:val="样式 图名 + 非加粗 黑色 行距: 单倍行距 首行缩进:  0 字符"/>
    <w:basedOn w:val="1"/>
    <w:qFormat/>
    <w:uiPriority w:val="0"/>
    <w:pPr>
      <w:adjustRightInd w:val="0"/>
      <w:snapToGrid w:val="0"/>
      <w:spacing w:line="240" w:lineRule="auto"/>
      <w:ind w:firstLine="0" w:firstLineChars="0"/>
      <w:jc w:val="center"/>
      <w:textAlignment w:val="baseline"/>
    </w:pPr>
    <w:rPr>
      <w:rFonts w:ascii="黑体" w:eastAsia="黑体" w:cs="宋体"/>
      <w:color w:val="000000"/>
      <w:kern w:val="0"/>
      <w:sz w:val="24"/>
      <w:szCs w:val="20"/>
    </w:rPr>
  </w:style>
  <w:style w:type="paragraph" w:customStyle="1" w:styleId="2441">
    <w:name w:val="xl1610"/>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Lines="25" w:beforeAutospacing="1" w:after="100" w:afterAutospacing="1" w:line="240" w:lineRule="auto"/>
      <w:ind w:firstLine="0" w:firstLineChars="0"/>
      <w:jc w:val="center"/>
      <w:textAlignment w:val="center"/>
    </w:pPr>
    <w:rPr>
      <w:rFonts w:ascii="Times New Roman" w:eastAsia="宋体"/>
      <w:color w:val="00B050"/>
      <w:kern w:val="0"/>
      <w:sz w:val="24"/>
      <w:szCs w:val="24"/>
    </w:rPr>
  </w:style>
  <w:style w:type="paragraph" w:customStyle="1" w:styleId="2442">
    <w:name w:val="Char1 Char Char Char Char Char1 Char Char Char Char Char Char Char Char Char Char Char Char1 Char Char Char1 Char"/>
    <w:basedOn w:val="1"/>
    <w:qFormat/>
    <w:uiPriority w:val="0"/>
    <w:pPr>
      <w:spacing w:line="240" w:lineRule="auto"/>
      <w:ind w:firstLine="0" w:firstLineChars="0"/>
    </w:pPr>
    <w:rPr>
      <w:rFonts w:ascii="宋体" w:eastAsia="宋体"/>
      <w:szCs w:val="24"/>
    </w:rPr>
  </w:style>
  <w:style w:type="paragraph" w:customStyle="1" w:styleId="2443">
    <w:name w:val="正文文本缩进 25"/>
    <w:basedOn w:val="1"/>
    <w:next w:val="52"/>
    <w:qFormat/>
    <w:uiPriority w:val="0"/>
    <w:pPr>
      <w:ind w:firstLine="555"/>
    </w:pPr>
    <w:rPr>
      <w:rFonts w:ascii="宋体"/>
      <w:sz w:val="24"/>
      <w:szCs w:val="20"/>
    </w:rPr>
  </w:style>
  <w:style w:type="paragraph" w:customStyle="1" w:styleId="2444">
    <w:name w:val="样式1（正文）"/>
    <w:basedOn w:val="1"/>
    <w:qFormat/>
    <w:uiPriority w:val="0"/>
    <w:pPr>
      <w:adjustRightInd w:val="0"/>
      <w:snapToGrid w:val="0"/>
      <w:spacing w:line="360" w:lineRule="auto"/>
      <w:ind w:firstLine="480"/>
    </w:pPr>
    <w:rPr>
      <w:rFonts w:ascii="宋体" w:hAnsi="宋体"/>
      <w:sz w:val="24"/>
      <w:szCs w:val="20"/>
    </w:rPr>
  </w:style>
  <w:style w:type="paragraph" w:customStyle="1" w:styleId="2445">
    <w:name w:val="Char Char Char Char Char Char Char Char Char Char Char Char Char Char Char Char Char Char1 Char Char Char Char"/>
    <w:basedOn w:val="1"/>
    <w:qFormat/>
    <w:uiPriority w:val="0"/>
    <w:pPr>
      <w:spacing w:line="240" w:lineRule="auto"/>
      <w:ind w:firstLine="0" w:firstLineChars="0"/>
    </w:pPr>
    <w:rPr>
      <w:rFonts w:ascii="Times New Roman" w:eastAsia="宋体"/>
      <w:sz w:val="21"/>
      <w:szCs w:val="24"/>
    </w:rPr>
  </w:style>
  <w:style w:type="paragraph" w:customStyle="1" w:styleId="2446">
    <w:name w:val="正文文本 24"/>
    <w:basedOn w:val="1"/>
    <w:qFormat/>
    <w:uiPriority w:val="0"/>
    <w:pPr>
      <w:adjustRightInd w:val="0"/>
      <w:spacing w:line="240" w:lineRule="auto"/>
      <w:ind w:firstLine="461" w:firstLineChars="0"/>
      <w:textAlignment w:val="baseline"/>
    </w:pPr>
    <w:rPr>
      <w:rFonts w:ascii="方正仿宋简体" w:eastAsia="方正仿宋简体"/>
      <w:kern w:val="0"/>
      <w:sz w:val="24"/>
      <w:szCs w:val="20"/>
    </w:rPr>
  </w:style>
  <w:style w:type="paragraph" w:customStyle="1" w:styleId="2447">
    <w:name w:val="xl2284"/>
    <w:basedOn w:val="1"/>
    <w:qFormat/>
    <w:uiPriority w:val="0"/>
    <w:pPr>
      <w:widowControl/>
      <w:pBdr>
        <w:top w:val="single" w:color="auto" w:sz="4" w:space="0"/>
        <w:bottom w:val="single" w:color="auto" w:sz="4" w:space="0"/>
      </w:pBdr>
      <w:spacing w:before="100" w:beforeAutospacing="1" w:after="100" w:afterAutospacing="1" w:line="240" w:lineRule="auto"/>
      <w:ind w:firstLine="0" w:firstLineChars="0"/>
      <w:jc w:val="center"/>
    </w:pPr>
    <w:rPr>
      <w:rFonts w:ascii="宋体" w:hAnsi="宋体" w:eastAsia="宋体" w:cs="宋体"/>
      <w:kern w:val="0"/>
      <w:sz w:val="24"/>
      <w:szCs w:val="24"/>
    </w:rPr>
  </w:style>
  <w:style w:type="paragraph" w:customStyle="1" w:styleId="2448">
    <w:name w:val="签字"/>
    <w:basedOn w:val="1"/>
    <w:qFormat/>
    <w:uiPriority w:val="0"/>
    <w:pPr>
      <w:adjustRightInd w:val="0"/>
      <w:snapToGrid w:val="0"/>
      <w:spacing w:line="300" w:lineRule="auto"/>
      <w:ind w:left="4800" w:leftChars="2000" w:firstLine="560"/>
      <w:textAlignment w:val="baseline"/>
    </w:pPr>
    <w:rPr>
      <w:kern w:val="0"/>
      <w:sz w:val="24"/>
      <w:szCs w:val="20"/>
      <w:u w:val="none" w:color="000000"/>
    </w:rPr>
  </w:style>
  <w:style w:type="paragraph" w:customStyle="1" w:styleId="2449">
    <w:name w:val="xl2278"/>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楷体_GB2312" w:hAnsi="宋体" w:eastAsia="楷体_GB2312" w:cs="宋体"/>
      <w:kern w:val="0"/>
      <w:sz w:val="20"/>
      <w:szCs w:val="20"/>
    </w:rPr>
  </w:style>
  <w:style w:type="paragraph" w:customStyle="1" w:styleId="2450">
    <w:name w:val="xl228"/>
    <w:basedOn w:val="1"/>
    <w:qFormat/>
    <w:uiPriority w:val="0"/>
    <w:pPr>
      <w:widowControl/>
      <w:pBdr>
        <w:top w:val="single" w:color="auto" w:sz="4" w:space="0"/>
        <w:left w:val="single" w:color="auto" w:sz="4" w:space="0"/>
        <w:bottom w:val="single" w:color="auto" w:sz="4" w:space="0"/>
        <w:right w:val="single" w:color="auto" w:sz="4" w:space="0"/>
      </w:pBdr>
      <w:adjustRightInd w:val="0"/>
      <w:snapToGrid w:val="0"/>
      <w:spacing w:before="100" w:beforeAutospacing="1" w:after="100" w:afterAutospacing="1" w:line="360" w:lineRule="auto"/>
      <w:ind w:firstLine="0" w:firstLineChars="0"/>
      <w:jc w:val="center"/>
    </w:pPr>
    <w:rPr>
      <w:rFonts w:ascii="Times New Roman" w:eastAsia="宋体"/>
      <w:kern w:val="0"/>
      <w:sz w:val="24"/>
      <w:szCs w:val="24"/>
    </w:rPr>
  </w:style>
  <w:style w:type="paragraph" w:customStyle="1" w:styleId="2451">
    <w:name w:val="正文11"/>
    <w:basedOn w:val="1"/>
    <w:qFormat/>
    <w:uiPriority w:val="0"/>
    <w:pPr>
      <w:spacing w:line="240" w:lineRule="auto"/>
    </w:pPr>
    <w:rPr>
      <w:rFonts w:ascii="Times New Roman"/>
    </w:rPr>
  </w:style>
  <w:style w:type="paragraph" w:customStyle="1" w:styleId="2452">
    <w:name w:val="11正文"/>
    <w:basedOn w:val="1"/>
    <w:qFormat/>
    <w:uiPriority w:val="0"/>
    <w:pPr>
      <w:adjustRightInd w:val="0"/>
      <w:ind w:firstLine="576"/>
      <w:textAlignment w:val="baseline"/>
    </w:pPr>
    <w:rPr>
      <w:rFonts w:cs="宋体"/>
      <w:kern w:val="0"/>
      <w:szCs w:val="20"/>
    </w:rPr>
  </w:style>
  <w:style w:type="paragraph" w:customStyle="1" w:styleId="2453">
    <w:name w:val="&lt;=="/>
    <w:semiHidden/>
    <w:qFormat/>
    <w:uiPriority w:val="0"/>
    <w:pPr>
      <w:overflowPunct w:val="0"/>
      <w:autoSpaceDE w:val="0"/>
      <w:autoSpaceDN w:val="0"/>
      <w:adjustRightInd w:val="0"/>
      <w:textAlignment w:val="baseline"/>
    </w:pPr>
    <w:rPr>
      <w:rFonts w:ascii="Times New Roman" w:hAnsi="Times New Roman" w:eastAsia="宋体" w:cs="Times New Roman"/>
      <w:lang w:val="en-US" w:eastAsia="zh-CN" w:bidi="ar-SA"/>
    </w:rPr>
  </w:style>
  <w:style w:type="paragraph" w:customStyle="1" w:styleId="2454">
    <w:name w:val="样式 样式 标题 1 + (中文) 黑体 小二 非加粗 段前: 12 磅 段后: 12 磅 行距: 1.5 倍行距1 + 自动设置"/>
    <w:basedOn w:val="1908"/>
    <w:semiHidden/>
    <w:qFormat/>
    <w:uiPriority w:val="0"/>
    <w:pPr>
      <w:tabs>
        <w:tab w:val="left" w:pos="360"/>
        <w:tab w:val="left" w:pos="1125"/>
        <w:tab w:val="clear" w:pos="720"/>
      </w:tabs>
      <w:spacing w:before="120" w:afterLines="0" w:line="360" w:lineRule="auto"/>
      <w:ind w:left="1125" w:hanging="964"/>
    </w:pPr>
    <w:rPr>
      <w:bCs w:val="0"/>
      <w:szCs w:val="28"/>
    </w:rPr>
  </w:style>
  <w:style w:type="paragraph" w:customStyle="1" w:styleId="2455">
    <w:name w:val="标准正文格式 Char"/>
    <w:basedOn w:val="1"/>
    <w:qFormat/>
    <w:uiPriority w:val="0"/>
    <w:pPr>
      <w:spacing w:line="360" w:lineRule="auto"/>
      <w:ind w:firstLine="480"/>
    </w:pPr>
    <w:rPr>
      <w:rFonts w:ascii="Times New Roman" w:eastAsia="宋体"/>
      <w:kern w:val="0"/>
      <w:sz w:val="24"/>
      <w:szCs w:val="24"/>
    </w:rPr>
  </w:style>
  <w:style w:type="paragraph" w:customStyle="1" w:styleId="2456">
    <w:name w:val="文文文"/>
    <w:basedOn w:val="1"/>
    <w:qFormat/>
    <w:uiPriority w:val="0"/>
    <w:pPr>
      <w:widowControl/>
      <w:adjustRightInd w:val="0"/>
      <w:snapToGrid w:val="0"/>
      <w:spacing w:line="312" w:lineRule="atLeast"/>
      <w:textAlignment w:val="baseline"/>
    </w:pPr>
    <w:rPr>
      <w:rFonts w:hAnsi="宋体"/>
      <w:color w:val="000000"/>
      <w:kern w:val="0"/>
      <w:u w:val="none" w:color="000000"/>
    </w:rPr>
  </w:style>
  <w:style w:type="paragraph" w:customStyle="1" w:styleId="2457">
    <w:name w:val="范文"/>
    <w:basedOn w:val="1"/>
    <w:qFormat/>
    <w:uiPriority w:val="0"/>
    <w:rPr>
      <w:rFonts w:ascii="方正楷体简体" w:hAnsi="宋体" w:eastAsia="方正楷体简体"/>
      <w:kern w:val="0"/>
      <w:sz w:val="22"/>
      <w:u w:val="none" w:color="000000"/>
    </w:rPr>
  </w:style>
  <w:style w:type="paragraph" w:customStyle="1" w:styleId="2458">
    <w:name w:val="正文4"/>
    <w:basedOn w:val="1"/>
    <w:qFormat/>
    <w:uiPriority w:val="0"/>
    <w:pPr>
      <w:adjustRightInd w:val="0"/>
      <w:snapToGrid w:val="0"/>
      <w:spacing w:line="400" w:lineRule="atLeast"/>
      <w:ind w:firstLine="482"/>
      <w:textAlignment w:val="baseline"/>
    </w:pPr>
    <w:rPr>
      <w:rFonts w:eastAsia="华文中宋"/>
      <w:kern w:val="0"/>
      <w:sz w:val="24"/>
      <w:szCs w:val="20"/>
    </w:rPr>
  </w:style>
  <w:style w:type="paragraph" w:customStyle="1" w:styleId="2459">
    <w:name w:val="xl2572"/>
    <w:basedOn w:val="1"/>
    <w:qFormat/>
    <w:uiPriority w:val="0"/>
    <w:pPr>
      <w:widowControl/>
      <w:pBdr>
        <w:top w:val="single" w:color="auto" w:sz="4" w:space="0"/>
        <w:bottom w:val="single" w:color="auto" w:sz="4" w:space="0"/>
      </w:pBdr>
      <w:spacing w:before="100" w:beforeAutospacing="1" w:after="100" w:afterAutospacing="1" w:line="240" w:lineRule="auto"/>
      <w:ind w:firstLine="0" w:firstLineChars="0"/>
      <w:jc w:val="left"/>
    </w:pPr>
    <w:rPr>
      <w:rFonts w:ascii="黑体" w:hAnsi="宋体" w:eastAsia="黑体" w:cs="宋体"/>
      <w:kern w:val="0"/>
      <w:sz w:val="20"/>
      <w:szCs w:val="20"/>
    </w:rPr>
  </w:style>
  <w:style w:type="paragraph" w:customStyle="1" w:styleId="2460">
    <w:name w:val="括号01"/>
    <w:basedOn w:val="1"/>
    <w:qFormat/>
    <w:uiPriority w:val="0"/>
    <w:pPr>
      <w:adjustRightInd w:val="0"/>
      <w:textAlignment w:val="baseline"/>
    </w:pPr>
    <w:rPr>
      <w:rFonts w:ascii="楷体_GB2312" w:hAnsi="宋体" w:eastAsia="楷体_GB2312" w:cs="宋体"/>
      <w:kern w:val="0"/>
      <w:szCs w:val="20"/>
    </w:rPr>
  </w:style>
  <w:style w:type="paragraph" w:customStyle="1" w:styleId="2461">
    <w:name w:val="小括号NN"/>
    <w:basedOn w:val="1"/>
    <w:qFormat/>
    <w:uiPriority w:val="0"/>
    <w:pPr>
      <w:adjustRightInd w:val="0"/>
      <w:textAlignment w:val="baseline"/>
      <w:outlineLvl w:val="5"/>
    </w:pPr>
    <w:rPr>
      <w:rFonts w:ascii="Times New Roman" w:eastAsia="楷体_GB2312"/>
      <w:kern w:val="0"/>
    </w:rPr>
  </w:style>
  <w:style w:type="paragraph" w:customStyle="1" w:styleId="2462">
    <w:name w:val="xl2805"/>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pPr>
    <w:rPr>
      <w:rFonts w:ascii="Times New Roman" w:eastAsia="宋体"/>
      <w:b/>
      <w:bCs/>
      <w:color w:val="7030A0"/>
      <w:kern w:val="0"/>
      <w:sz w:val="24"/>
      <w:szCs w:val="24"/>
    </w:rPr>
  </w:style>
  <w:style w:type="paragraph" w:customStyle="1" w:styleId="2463">
    <w:name w:val="xl2272"/>
    <w:basedOn w:val="1"/>
    <w:qFormat/>
    <w:uiPriority w:val="0"/>
    <w:pPr>
      <w:widowControl/>
      <w:pBdr>
        <w:top w:val="single" w:color="auto" w:sz="4" w:space="0"/>
      </w:pBdr>
      <w:spacing w:before="100" w:beforeAutospacing="1" w:after="100" w:afterAutospacing="1" w:line="240" w:lineRule="auto"/>
      <w:ind w:firstLine="0" w:firstLineChars="0"/>
      <w:jc w:val="center"/>
    </w:pPr>
    <w:rPr>
      <w:rFonts w:ascii="楷体_GB2312" w:hAnsi="宋体" w:eastAsia="楷体_GB2312" w:cs="宋体"/>
      <w:kern w:val="0"/>
      <w:sz w:val="20"/>
      <w:szCs w:val="20"/>
    </w:rPr>
  </w:style>
  <w:style w:type="paragraph" w:customStyle="1" w:styleId="2464">
    <w:name w:val=":-)"/>
    <w:semiHidden/>
    <w:qFormat/>
    <w:uiPriority w:val="0"/>
    <w:pPr>
      <w:overflowPunct w:val="0"/>
      <w:autoSpaceDE w:val="0"/>
      <w:autoSpaceDN w:val="0"/>
      <w:adjustRightInd w:val="0"/>
      <w:textAlignment w:val="baseline"/>
    </w:pPr>
    <w:rPr>
      <w:rFonts w:ascii="Times New Roman" w:hAnsi="Times New Roman" w:eastAsia="宋体" w:cs="Times New Roman"/>
      <w:lang w:val="en-US" w:eastAsia="zh-CN" w:bidi="ar-SA"/>
    </w:rPr>
  </w:style>
  <w:style w:type="paragraph" w:customStyle="1" w:styleId="2465">
    <w:name w:val="xl511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 w:val="18"/>
      <w:szCs w:val="18"/>
    </w:rPr>
  </w:style>
  <w:style w:type="paragraph" w:customStyle="1" w:styleId="2466">
    <w:name w:val="表名1"/>
    <w:basedOn w:val="68"/>
    <w:qFormat/>
    <w:uiPriority w:val="0"/>
    <w:pPr>
      <w:spacing w:line="360" w:lineRule="auto"/>
      <w:ind w:left="0"/>
      <w:jc w:val="center"/>
      <w:outlineLvl w:val="5"/>
    </w:pPr>
    <w:rPr>
      <w:rFonts w:ascii="Times New Roman" w:hAnsi="Times New Roman" w:eastAsia="黑体"/>
      <w:b/>
      <w:sz w:val="28"/>
      <w:szCs w:val="20"/>
    </w:rPr>
  </w:style>
  <w:style w:type="paragraph" w:customStyle="1" w:styleId="2467">
    <w:name w:val="xl199"/>
    <w:basedOn w:val="1"/>
    <w:qFormat/>
    <w:uiPriority w:val="0"/>
    <w:pPr>
      <w:widowControl/>
      <w:pBdr>
        <w:top w:val="single" w:color="auto" w:sz="4" w:space="0"/>
        <w:left w:val="single" w:color="auto" w:sz="8" w:space="0"/>
        <w:bottom w:val="single" w:color="auto" w:sz="8"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 w:val="20"/>
      <w:szCs w:val="20"/>
    </w:rPr>
  </w:style>
  <w:style w:type="paragraph" w:customStyle="1" w:styleId="2468">
    <w:name w:val="Char Char1 Char Char Char Char"/>
    <w:basedOn w:val="1"/>
    <w:next w:val="1"/>
    <w:semiHidden/>
    <w:qFormat/>
    <w:uiPriority w:val="0"/>
    <w:pPr>
      <w:wordWrap w:val="0"/>
      <w:spacing w:line="480" w:lineRule="exact"/>
      <w:ind w:firstLine="560"/>
      <w:textAlignment w:val="center"/>
    </w:pPr>
    <w:rPr>
      <w:rFonts w:ascii="Times New Roman"/>
      <w:kern w:val="0"/>
      <w:u w:val="none" w:color="000000"/>
    </w:rPr>
  </w:style>
  <w:style w:type="paragraph" w:customStyle="1" w:styleId="2469">
    <w:name w:val="样式 标题 3 + 段前: 0.5 行 首行缩进:  0 字符"/>
    <w:basedOn w:val="7"/>
    <w:qFormat/>
    <w:uiPriority w:val="0"/>
    <w:pPr>
      <w:adjustRightInd w:val="0"/>
      <w:snapToGrid w:val="0"/>
      <w:jc w:val="left"/>
    </w:pPr>
    <w:rPr>
      <w:rFonts w:cs="宋体"/>
      <w:sz w:val="30"/>
      <w:szCs w:val="20"/>
    </w:rPr>
  </w:style>
  <w:style w:type="paragraph" w:customStyle="1" w:styleId="2470">
    <w:name w:val="正文1 Char Char1 Char"/>
    <w:basedOn w:val="1"/>
    <w:qFormat/>
    <w:uiPriority w:val="0"/>
    <w:pPr>
      <w:adjustRightInd w:val="0"/>
      <w:snapToGrid w:val="0"/>
      <w:spacing w:line="516" w:lineRule="exact"/>
    </w:pPr>
    <w:rPr>
      <w:sz w:val="26"/>
      <w:szCs w:val="26"/>
    </w:rPr>
  </w:style>
  <w:style w:type="paragraph" w:customStyle="1" w:styleId="2471">
    <w:name w:val="插图图名"/>
    <w:next w:val="1"/>
    <w:qFormat/>
    <w:uiPriority w:val="0"/>
    <w:pPr>
      <w:jc w:val="center"/>
    </w:pPr>
    <w:rPr>
      <w:rFonts w:ascii="黑体" w:hAnsi="Times New Roman" w:eastAsia="黑体" w:cs="Times New Roman"/>
      <w:snapToGrid w:val="0"/>
      <w:sz w:val="24"/>
      <w:lang w:val="en-US" w:eastAsia="zh-CN" w:bidi="ar-SA"/>
    </w:rPr>
  </w:style>
  <w:style w:type="paragraph" w:customStyle="1" w:styleId="2472">
    <w:name w:val="表格文字1"/>
    <w:semiHidden/>
    <w:qFormat/>
    <w:uiPriority w:val="0"/>
    <w:pPr>
      <w:widowControl w:val="0"/>
      <w:spacing w:line="320" w:lineRule="exact"/>
      <w:jc w:val="center"/>
    </w:pPr>
    <w:rPr>
      <w:rFonts w:ascii="宋体" w:hAnsi="Plotter" w:eastAsia="宋体" w:cs="Times New Roman"/>
      <w:sz w:val="21"/>
      <w:lang w:val="en-US" w:eastAsia="zh-CN" w:bidi="ar-SA"/>
    </w:rPr>
  </w:style>
  <w:style w:type="paragraph" w:customStyle="1" w:styleId="2473">
    <w:name w:val="表格（小）"/>
    <w:basedOn w:val="1"/>
    <w:qFormat/>
    <w:uiPriority w:val="0"/>
    <w:pPr>
      <w:adjustRightInd w:val="0"/>
      <w:snapToGrid w:val="0"/>
      <w:spacing w:line="240" w:lineRule="auto"/>
    </w:pPr>
    <w:rPr>
      <w:rFonts w:ascii="Times New Roman"/>
      <w:snapToGrid w:val="0"/>
      <w:kern w:val="0"/>
      <w:szCs w:val="20"/>
    </w:rPr>
  </w:style>
  <w:style w:type="paragraph" w:customStyle="1" w:styleId="2474">
    <w:name w:val="正文1 Char Char2 Char"/>
    <w:basedOn w:val="1"/>
    <w:qFormat/>
    <w:uiPriority w:val="0"/>
    <w:pPr>
      <w:adjustRightInd w:val="0"/>
      <w:snapToGrid w:val="0"/>
      <w:spacing w:line="516" w:lineRule="exact"/>
    </w:pPr>
    <w:rPr>
      <w:rFonts w:ascii="Times New Roman"/>
      <w:snapToGrid w:val="0"/>
      <w:sz w:val="26"/>
      <w:szCs w:val="26"/>
    </w:rPr>
  </w:style>
  <w:style w:type="paragraph" w:customStyle="1" w:styleId="2475">
    <w:name w:val="biao内"/>
    <w:basedOn w:val="1995"/>
    <w:qFormat/>
    <w:uiPriority w:val="0"/>
    <w:pPr>
      <w:spacing w:line="240" w:lineRule="atLeast"/>
      <w:ind w:left="57"/>
    </w:pPr>
  </w:style>
  <w:style w:type="paragraph" w:customStyle="1" w:styleId="2476">
    <w:name w:val="xl45356"/>
    <w:basedOn w:val="1"/>
    <w:qFormat/>
    <w:uiPriority w:val="0"/>
    <w:pPr>
      <w:widowControl/>
      <w:pBdr>
        <w:top w:val="single" w:color="auto" w:sz="4" w:space="0"/>
        <w:bottom w:val="single" w:color="auto" w:sz="4" w:space="0"/>
      </w:pBdr>
      <w:spacing w:before="100" w:beforeAutospacing="1" w:after="100" w:afterAutospacing="1" w:line="240" w:lineRule="auto"/>
      <w:ind w:firstLine="0" w:firstLineChars="0"/>
      <w:jc w:val="center"/>
    </w:pPr>
    <w:rPr>
      <w:rFonts w:ascii="Times New Roman" w:eastAsia="宋体"/>
      <w:kern w:val="0"/>
      <w:sz w:val="20"/>
      <w:szCs w:val="20"/>
    </w:rPr>
  </w:style>
  <w:style w:type="paragraph" w:customStyle="1" w:styleId="2477">
    <w:name w:val="样式 标题 3标题3Sottoparagrafoh33rd levelH3标题13一般标题标题 小3条标题1....1"/>
    <w:basedOn w:val="7"/>
    <w:qFormat/>
    <w:uiPriority w:val="0"/>
    <w:pPr>
      <w:keepNext/>
      <w:keepLines/>
    </w:pPr>
    <w:rPr>
      <w:rFonts w:cs="宋体"/>
      <w:color w:val="000000"/>
      <w:szCs w:val="20"/>
    </w:rPr>
  </w:style>
  <w:style w:type="paragraph" w:customStyle="1" w:styleId="2478">
    <w:name w:val="表格体"/>
    <w:basedOn w:val="1"/>
    <w:qFormat/>
    <w:uiPriority w:val="0"/>
    <w:pPr>
      <w:adjustRightInd w:val="0"/>
      <w:snapToGrid w:val="0"/>
      <w:spacing w:line="240" w:lineRule="auto"/>
      <w:ind w:firstLine="0" w:firstLineChars="0"/>
      <w:jc w:val="center"/>
    </w:pPr>
    <w:rPr>
      <w:rFonts w:ascii="Times New Roman" w:eastAsia="宋体"/>
      <w:bCs/>
      <w:sz w:val="21"/>
      <w:szCs w:val="24"/>
    </w:rPr>
  </w:style>
  <w:style w:type="paragraph" w:customStyle="1" w:styleId="2479">
    <w:name w:val="正文缩进2"/>
    <w:basedOn w:val="1"/>
    <w:semiHidden/>
    <w:qFormat/>
    <w:uiPriority w:val="0"/>
    <w:pPr>
      <w:spacing w:before="48" w:after="48"/>
      <w:ind w:right="-57"/>
    </w:pPr>
    <w:rPr>
      <w:rFonts w:hint="eastAsia" w:ascii="楷体_GB2312" w:hAnsi="Calibri" w:eastAsia="楷体_GB2312"/>
      <w:sz w:val="24"/>
      <w:szCs w:val="22"/>
    </w:rPr>
  </w:style>
  <w:style w:type="paragraph" w:customStyle="1" w:styleId="2480">
    <w:name w:val="xl3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Arial Unicode MS" w:hAnsi="Arial Unicode MS" w:eastAsia="Arial Unicode MS" w:cs="Arial Unicode MS"/>
      <w:kern w:val="0"/>
      <w:sz w:val="20"/>
      <w:szCs w:val="20"/>
    </w:rPr>
  </w:style>
  <w:style w:type="paragraph" w:customStyle="1" w:styleId="2481">
    <w:name w:val="样式42"/>
    <w:basedOn w:val="2482"/>
    <w:qFormat/>
    <w:uiPriority w:val="0"/>
    <w:pPr>
      <w:spacing w:beforeLines="50" w:afterLines="50"/>
    </w:pPr>
  </w:style>
  <w:style w:type="paragraph" w:customStyle="1" w:styleId="2482">
    <w:name w:val="样式36"/>
    <w:basedOn w:val="1"/>
    <w:qFormat/>
    <w:uiPriority w:val="0"/>
    <w:pPr>
      <w:spacing w:line="240" w:lineRule="auto"/>
      <w:ind w:firstLine="480"/>
    </w:pPr>
    <w:rPr>
      <w:rFonts w:ascii="Times New Roman" w:eastAsia="华文中宋"/>
      <w:sz w:val="24"/>
      <w:szCs w:val="24"/>
    </w:rPr>
  </w:style>
  <w:style w:type="paragraph" w:customStyle="1" w:styleId="2483">
    <w:name w:val="xl1603"/>
    <w:basedOn w:val="1"/>
    <w:qFormat/>
    <w:uiPriority w:val="0"/>
    <w:pPr>
      <w:widowControl/>
      <w:pBdr>
        <w:top w:val="single" w:color="auto" w:sz="4" w:space="0"/>
        <w:left w:val="single" w:color="auto" w:sz="4" w:space="0"/>
        <w:bottom w:val="single" w:color="auto" w:sz="4" w:space="0"/>
        <w:right w:val="single" w:color="auto" w:sz="4" w:space="0"/>
      </w:pBdr>
      <w:shd w:val="clear" w:color="000000" w:fill="DA9694"/>
      <w:spacing w:beforeLines="25" w:beforeAutospacing="1" w:after="100" w:afterAutospacing="1" w:line="240" w:lineRule="auto"/>
      <w:ind w:firstLine="0" w:firstLineChars="0"/>
      <w:jc w:val="center"/>
      <w:textAlignment w:val="center"/>
    </w:pPr>
    <w:rPr>
      <w:rFonts w:ascii="Times New Roman" w:eastAsia="宋体"/>
      <w:kern w:val="0"/>
      <w:sz w:val="24"/>
      <w:szCs w:val="24"/>
    </w:rPr>
  </w:style>
  <w:style w:type="paragraph" w:customStyle="1" w:styleId="2484">
    <w:name w:val="font23"/>
    <w:basedOn w:val="1"/>
    <w:qFormat/>
    <w:uiPriority w:val="0"/>
    <w:pPr>
      <w:widowControl/>
      <w:spacing w:before="100" w:beforeAutospacing="1" w:after="100" w:afterAutospacing="1" w:line="240" w:lineRule="auto"/>
      <w:ind w:firstLine="0" w:firstLineChars="0"/>
      <w:jc w:val="left"/>
    </w:pPr>
    <w:rPr>
      <w:rFonts w:ascii="楷体_GB2312" w:hAnsi="宋体" w:eastAsia="楷体_GB2312" w:cs="宋体"/>
      <w:color w:val="FF0000"/>
      <w:kern w:val="0"/>
      <w:sz w:val="21"/>
      <w:szCs w:val="21"/>
    </w:rPr>
  </w:style>
  <w:style w:type="paragraph" w:customStyle="1" w:styleId="2485">
    <w:name w:val="xl218"/>
    <w:basedOn w:val="1"/>
    <w:qFormat/>
    <w:uiPriority w:val="0"/>
    <w:pPr>
      <w:widowControl/>
      <w:pBdr>
        <w:top w:val="single" w:color="auto" w:sz="4" w:space="0"/>
        <w:left w:val="single" w:color="auto" w:sz="4" w:space="0"/>
        <w:bottom w:val="single" w:color="auto" w:sz="4" w:space="0"/>
        <w:right w:val="single" w:color="auto" w:sz="4" w:space="0"/>
      </w:pBdr>
      <w:adjustRightInd w:val="0"/>
      <w:snapToGrid w:val="0"/>
      <w:spacing w:before="100" w:beforeAutospacing="1" w:after="100" w:afterAutospacing="1" w:line="360" w:lineRule="auto"/>
      <w:ind w:firstLine="0" w:firstLineChars="0"/>
      <w:jc w:val="center"/>
    </w:pPr>
    <w:rPr>
      <w:rFonts w:ascii="Times New Roman" w:eastAsia="宋体"/>
      <w:kern w:val="0"/>
      <w:sz w:val="24"/>
      <w:szCs w:val="24"/>
    </w:rPr>
  </w:style>
  <w:style w:type="paragraph" w:customStyle="1" w:styleId="2486">
    <w:name w:val="条款格式"/>
    <w:basedOn w:val="1"/>
    <w:qFormat/>
    <w:uiPriority w:val="0"/>
    <w:pPr>
      <w:spacing w:line="360" w:lineRule="auto"/>
      <w:ind w:firstLine="480"/>
    </w:pPr>
    <w:rPr>
      <w:rFonts w:ascii="宋体" w:hAnsi="宋体" w:eastAsia="宋体" w:cs="宋体"/>
      <w:sz w:val="24"/>
      <w:szCs w:val="24"/>
    </w:rPr>
  </w:style>
  <w:style w:type="paragraph" w:customStyle="1" w:styleId="2487">
    <w:name w:val="默认段落字体 Para Char Char Char1 Char"/>
    <w:basedOn w:val="1"/>
    <w:qFormat/>
    <w:uiPriority w:val="0"/>
    <w:pPr>
      <w:spacing w:line="240" w:lineRule="auto"/>
      <w:ind w:firstLine="0" w:firstLineChars="0"/>
    </w:pPr>
    <w:rPr>
      <w:rFonts w:ascii="Times New Roman" w:eastAsia="宋体"/>
      <w:sz w:val="21"/>
      <w:szCs w:val="24"/>
    </w:rPr>
  </w:style>
  <w:style w:type="paragraph" w:customStyle="1" w:styleId="2488">
    <w:name w:val="简要报告正文"/>
    <w:basedOn w:val="1"/>
    <w:qFormat/>
    <w:uiPriority w:val="0"/>
    <w:pPr>
      <w:spacing w:line="460" w:lineRule="exact"/>
      <w:ind w:firstLine="480"/>
    </w:pPr>
    <w:rPr>
      <w:kern w:val="0"/>
      <w:sz w:val="24"/>
      <w:u w:val="none" w:color="000000"/>
    </w:rPr>
  </w:style>
  <w:style w:type="paragraph" w:customStyle="1" w:styleId="2489">
    <w:name w:val="样式 报告书正文 + 小四 首行缩进:  2 字符"/>
    <w:basedOn w:val="1"/>
    <w:qFormat/>
    <w:uiPriority w:val="0"/>
    <w:pPr>
      <w:spacing w:line="440" w:lineRule="exact"/>
    </w:pPr>
    <w:rPr>
      <w:rFonts w:ascii="Times New Roman" w:eastAsia="宋体"/>
      <w:sz w:val="24"/>
      <w:szCs w:val="24"/>
    </w:rPr>
  </w:style>
  <w:style w:type="paragraph" w:customStyle="1" w:styleId="2490">
    <w:name w:val="yyg"/>
    <w:basedOn w:val="1"/>
    <w:qFormat/>
    <w:uiPriority w:val="0"/>
    <w:pPr>
      <w:spacing w:line="240" w:lineRule="auto"/>
      <w:ind w:firstLine="0" w:firstLineChars="0"/>
    </w:pPr>
  </w:style>
  <w:style w:type="paragraph" w:customStyle="1" w:styleId="2491">
    <w:name w:val="样式 表格 + 首行缩进:  2 字符"/>
    <w:basedOn w:val="1"/>
    <w:qFormat/>
    <w:uiPriority w:val="0"/>
    <w:pPr>
      <w:adjustRightInd w:val="0"/>
      <w:snapToGrid w:val="0"/>
      <w:spacing w:line="0" w:lineRule="atLeast"/>
      <w:ind w:firstLine="0" w:firstLineChars="0"/>
      <w:jc w:val="center"/>
    </w:pPr>
    <w:rPr>
      <w:rFonts w:ascii="Times New Roman" w:eastAsia="楷体_GB2312" w:cs="宋体"/>
      <w:sz w:val="21"/>
      <w:szCs w:val="20"/>
    </w:rPr>
  </w:style>
  <w:style w:type="paragraph" w:customStyle="1" w:styleId="2492">
    <w:name w:val="标题 31"/>
    <w:basedOn w:val="1"/>
    <w:next w:val="1"/>
    <w:qFormat/>
    <w:uiPriority w:val="0"/>
    <w:pPr>
      <w:keepNext/>
      <w:keepLines/>
      <w:spacing w:line="360" w:lineRule="auto"/>
      <w:ind w:firstLine="560"/>
      <w:outlineLvl w:val="2"/>
    </w:pPr>
    <w:rPr>
      <w:rFonts w:hint="eastAsia" w:ascii="Arial" w:hAnsi="Arial" w:eastAsia="方正小标宋_GBK"/>
      <w:kern w:val="0"/>
      <w:szCs w:val="20"/>
      <w:u w:val="none" w:color="000000"/>
    </w:rPr>
  </w:style>
  <w:style w:type="paragraph" w:customStyle="1" w:styleId="2493">
    <w:name w:val="xl1594"/>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textAlignment w:val="center"/>
    </w:pPr>
    <w:rPr>
      <w:rFonts w:ascii="Times New Roman" w:eastAsia="宋体"/>
      <w:kern w:val="0"/>
      <w:sz w:val="24"/>
      <w:szCs w:val="24"/>
    </w:rPr>
  </w:style>
  <w:style w:type="paragraph" w:customStyle="1" w:styleId="2494">
    <w:name w:val="dddd"/>
    <w:basedOn w:val="624"/>
    <w:semiHidden/>
    <w:qFormat/>
    <w:uiPriority w:val="0"/>
    <w:pPr>
      <w:adjustRightInd w:val="0"/>
      <w:spacing w:after="0" w:line="240" w:lineRule="auto"/>
      <w:ind w:firstLine="0" w:firstLineChars="0"/>
      <w:jc w:val="center"/>
      <w:textAlignment w:val="baseline"/>
      <w:outlineLvl w:val="9"/>
    </w:pPr>
    <w:rPr>
      <w:kern w:val="0"/>
      <w:szCs w:val="24"/>
      <w:lang w:val="zh-CN" w:eastAsia="zh-CN"/>
    </w:rPr>
  </w:style>
  <w:style w:type="paragraph" w:customStyle="1" w:styleId="2495">
    <w:name w:val="WW-正文（首行缩进两字）"/>
    <w:basedOn w:val="1"/>
    <w:qFormat/>
    <w:uiPriority w:val="0"/>
    <w:pPr>
      <w:suppressAutoHyphens/>
      <w:spacing w:line="240" w:lineRule="auto"/>
      <w:ind w:firstLine="0" w:firstLineChars="0"/>
    </w:pPr>
    <w:rPr>
      <w:rFonts w:ascii="Times New Roman" w:eastAsia="宋体"/>
      <w:kern w:val="1"/>
      <w:szCs w:val="20"/>
    </w:rPr>
  </w:style>
  <w:style w:type="paragraph" w:customStyle="1" w:styleId="2496">
    <w:name w:val="样式17"/>
    <w:basedOn w:val="1"/>
    <w:qFormat/>
    <w:uiPriority w:val="0"/>
    <w:pPr>
      <w:spacing w:line="300" w:lineRule="exact"/>
      <w:ind w:firstLine="0" w:firstLineChars="0"/>
      <w:jc w:val="center"/>
    </w:pPr>
    <w:rPr>
      <w:rFonts w:ascii="Times New Roman" w:eastAsia="华文中宋"/>
      <w:sz w:val="21"/>
      <w:szCs w:val="21"/>
    </w:rPr>
  </w:style>
  <w:style w:type="paragraph" w:customStyle="1" w:styleId="2497">
    <w:name w:val="样式 样式7 + 黑色"/>
    <w:basedOn w:val="2095"/>
    <w:qFormat/>
    <w:uiPriority w:val="0"/>
    <w:pPr>
      <w:keepNext/>
      <w:keepLines/>
      <w:tabs>
        <w:tab w:val="left" w:pos="840"/>
      </w:tabs>
      <w:spacing w:beforeLines="50" w:afterLines="50"/>
      <w:ind w:left="840" w:firstLine="0" w:firstLineChars="0"/>
      <w:textAlignment w:val="baseline"/>
      <w:outlineLvl w:val="1"/>
    </w:pPr>
    <w:rPr>
      <w:rFonts w:ascii="Times New Roman" w:hAnsi="Times New Roman" w:eastAsia="黑体"/>
      <w:snapToGrid/>
      <w:kern w:val="30"/>
      <w:szCs w:val="28"/>
    </w:rPr>
  </w:style>
  <w:style w:type="paragraph" w:customStyle="1" w:styleId="2498">
    <w:name w:val="xl2282"/>
    <w:basedOn w:val="1"/>
    <w:qFormat/>
    <w:uiPriority w:val="0"/>
    <w:pPr>
      <w:widowControl/>
      <w:pBdr>
        <w:bottom w:val="single" w:color="auto" w:sz="4" w:space="0"/>
        <w:right w:val="single" w:color="auto" w:sz="4" w:space="0"/>
      </w:pBdr>
      <w:spacing w:before="100" w:beforeAutospacing="1" w:after="100" w:afterAutospacing="1" w:line="240" w:lineRule="auto"/>
      <w:ind w:firstLine="0" w:firstLineChars="0"/>
      <w:jc w:val="center"/>
    </w:pPr>
    <w:rPr>
      <w:rFonts w:ascii="楷体_GB2312" w:hAnsi="宋体" w:eastAsia="楷体_GB2312" w:cs="宋体"/>
      <w:kern w:val="0"/>
      <w:sz w:val="20"/>
      <w:szCs w:val="20"/>
    </w:rPr>
  </w:style>
  <w:style w:type="paragraph" w:customStyle="1" w:styleId="2499">
    <w:name w:val="插表"/>
    <w:basedOn w:val="46"/>
    <w:qFormat/>
    <w:uiPriority w:val="0"/>
    <w:pPr>
      <w:widowControl w:val="0"/>
      <w:spacing w:line="240" w:lineRule="auto"/>
      <w:ind w:firstLine="0" w:firstLineChars="0"/>
      <w:textAlignment w:val="auto"/>
    </w:pPr>
    <w:rPr>
      <w:rFonts w:hAnsi="宋体"/>
      <w:color w:val="auto"/>
      <w:kern w:val="28"/>
      <w:sz w:val="24"/>
      <w:szCs w:val="24"/>
      <w:lang w:val="en-US" w:eastAsia="zh-CN"/>
    </w:rPr>
  </w:style>
  <w:style w:type="paragraph" w:customStyle="1" w:styleId="2500">
    <w:name w:val="xl171"/>
    <w:basedOn w:val="1"/>
    <w:qFormat/>
    <w:uiPriority w:val="0"/>
    <w:pPr>
      <w:widowControl/>
      <w:pBdr>
        <w:left w:val="single" w:color="auto" w:sz="4" w:space="0"/>
        <w:right w:val="single" w:color="auto" w:sz="4" w:space="0"/>
      </w:pBdr>
      <w:spacing w:before="100" w:beforeAutospacing="1" w:after="100" w:afterAutospacing="1" w:line="240" w:lineRule="auto"/>
      <w:ind w:firstLine="0" w:firstLineChars="0"/>
      <w:jc w:val="left"/>
    </w:pPr>
    <w:rPr>
      <w:rFonts w:ascii="宋体" w:hAnsi="宋体" w:eastAsia="宋体" w:cs="宋体"/>
      <w:kern w:val="0"/>
      <w:sz w:val="20"/>
      <w:szCs w:val="20"/>
    </w:rPr>
  </w:style>
  <w:style w:type="paragraph" w:customStyle="1" w:styleId="2501">
    <w:name w:val="xl6252"/>
    <w:basedOn w:val="1"/>
    <w:qFormat/>
    <w:uiPriority w:val="0"/>
    <w:pPr>
      <w:widowControl/>
      <w:pBdr>
        <w:left w:val="single" w:color="auto" w:sz="8" w:space="0"/>
        <w:bottom w:val="single" w:color="auto" w:sz="8" w:space="0"/>
        <w:right w:val="single" w:color="auto" w:sz="8" w:space="0"/>
      </w:pBdr>
      <w:spacing w:before="100" w:beforeAutospacing="1" w:after="100" w:afterAutospacing="1" w:line="240" w:lineRule="auto"/>
      <w:ind w:firstLine="0" w:firstLineChars="0"/>
      <w:jc w:val="center"/>
      <w:textAlignment w:val="center"/>
    </w:pPr>
    <w:rPr>
      <w:rFonts w:ascii="宋体" w:hAnsi="宋体" w:eastAsia="宋体" w:cs="宋体"/>
      <w:kern w:val="0"/>
      <w:sz w:val="18"/>
      <w:szCs w:val="18"/>
    </w:rPr>
  </w:style>
  <w:style w:type="paragraph" w:customStyle="1" w:styleId="2502">
    <w:name w:val="xl2776"/>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left"/>
      <w:textAlignment w:val="bottom"/>
    </w:pPr>
    <w:rPr>
      <w:rFonts w:ascii="Times New Roman" w:eastAsia="宋体"/>
      <w:kern w:val="0"/>
      <w:sz w:val="18"/>
      <w:szCs w:val="18"/>
    </w:rPr>
  </w:style>
  <w:style w:type="paragraph" w:customStyle="1" w:styleId="2503">
    <w:name w:val="TOC 标题1"/>
    <w:basedOn w:val="4"/>
    <w:next w:val="1"/>
    <w:qFormat/>
    <w:uiPriority w:val="0"/>
    <w:pPr>
      <w:keepNext/>
      <w:keepLines/>
      <w:widowControl/>
      <w:spacing w:beforeLines="50" w:after="120" w:afterLines="50" w:line="276" w:lineRule="auto"/>
      <w:jc w:val="left"/>
      <w:outlineLvl w:val="9"/>
    </w:pPr>
    <w:rPr>
      <w:rFonts w:ascii="Cambria" w:hAnsi="Cambria" w:eastAsia="宋体"/>
      <w:b/>
      <w:color w:val="365F91"/>
      <w:kern w:val="0"/>
      <w:sz w:val="28"/>
      <w:szCs w:val="28"/>
    </w:rPr>
  </w:style>
  <w:style w:type="paragraph" w:customStyle="1" w:styleId="2504">
    <w:name w:val="样式 小四 首行缩进:  2.5 字符"/>
    <w:basedOn w:val="1"/>
    <w:qFormat/>
    <w:uiPriority w:val="0"/>
    <w:pPr>
      <w:spacing w:line="240" w:lineRule="auto"/>
      <w:ind w:firstLine="0" w:firstLineChars="0"/>
    </w:pPr>
    <w:rPr>
      <w:rFonts w:ascii="Times New Roman" w:eastAsia="宋体"/>
      <w:kern w:val="0"/>
      <w:sz w:val="24"/>
      <w:szCs w:val="20"/>
    </w:rPr>
  </w:style>
  <w:style w:type="paragraph" w:customStyle="1" w:styleId="2505">
    <w:name w:val="Char Char Char Char Char Char Char"/>
    <w:basedOn w:val="1"/>
    <w:qFormat/>
    <w:uiPriority w:val="0"/>
    <w:pPr>
      <w:spacing w:line="240" w:lineRule="auto"/>
      <w:ind w:firstLine="0" w:firstLineChars="0"/>
    </w:pPr>
    <w:rPr>
      <w:rFonts w:ascii="Times New Roman" w:eastAsia="宋体"/>
      <w:sz w:val="21"/>
      <w:szCs w:val="21"/>
    </w:rPr>
  </w:style>
  <w:style w:type="paragraph" w:customStyle="1" w:styleId="2506">
    <w:name w:val="bbg"/>
    <w:basedOn w:val="1"/>
    <w:qFormat/>
    <w:uiPriority w:val="0"/>
    <w:pPr>
      <w:spacing w:line="240" w:lineRule="auto"/>
      <w:ind w:firstLine="0" w:firstLineChars="0"/>
      <w:jc w:val="center"/>
    </w:pPr>
    <w:rPr>
      <w:rFonts w:ascii="楷体_GB2312" w:eastAsia="楷体_GB2312" w:cs="宋体"/>
      <w:kern w:val="0"/>
      <w:sz w:val="21"/>
      <w:szCs w:val="21"/>
    </w:rPr>
  </w:style>
  <w:style w:type="paragraph" w:customStyle="1" w:styleId="2507">
    <w:name w:val="&lt;--"/>
    <w:semiHidden/>
    <w:qFormat/>
    <w:uiPriority w:val="0"/>
    <w:pPr>
      <w:overflowPunct w:val="0"/>
      <w:autoSpaceDE w:val="0"/>
      <w:autoSpaceDN w:val="0"/>
      <w:adjustRightInd w:val="0"/>
      <w:textAlignment w:val="baseline"/>
    </w:pPr>
    <w:rPr>
      <w:rFonts w:ascii="Times New Roman" w:hAnsi="Times New Roman" w:eastAsia="宋体" w:cs="Times New Roman"/>
      <w:lang w:val="en-US" w:eastAsia="zh-CN" w:bidi="ar-SA"/>
    </w:rPr>
  </w:style>
  <w:style w:type="paragraph" w:customStyle="1" w:styleId="2508">
    <w:name w:val="样式 黑体 小四 居中 首行缩进:  2 字符"/>
    <w:basedOn w:val="1"/>
    <w:qFormat/>
    <w:uiPriority w:val="0"/>
    <w:pPr>
      <w:spacing w:line="240" w:lineRule="auto"/>
      <w:ind w:firstLine="0" w:firstLineChars="0"/>
      <w:jc w:val="center"/>
      <w:outlineLvl w:val="7"/>
    </w:pPr>
    <w:rPr>
      <w:rFonts w:ascii="黑体" w:hAnsi="黑体" w:eastAsia="黑体" w:cs="宋体"/>
      <w:sz w:val="24"/>
      <w:szCs w:val="20"/>
    </w:rPr>
  </w:style>
  <w:style w:type="paragraph" w:customStyle="1" w:styleId="2509">
    <w:name w:val="Char1 Char Char Char Char Char1 Char Char Char Char Char Char Char Char Char Char Char Char1 Char"/>
    <w:basedOn w:val="1"/>
    <w:qFormat/>
    <w:uiPriority w:val="0"/>
    <w:pPr>
      <w:spacing w:line="240" w:lineRule="auto"/>
      <w:ind w:firstLine="0" w:firstLineChars="0"/>
    </w:pPr>
    <w:rPr>
      <w:rFonts w:ascii="宋体" w:eastAsia="宋体"/>
      <w:kern w:val="0"/>
      <w:szCs w:val="24"/>
      <w:u w:val="none" w:color="000000"/>
    </w:rPr>
  </w:style>
  <w:style w:type="paragraph" w:customStyle="1" w:styleId="2510">
    <w:name w:val="封面3"/>
    <w:basedOn w:val="1"/>
    <w:next w:val="1"/>
    <w:qFormat/>
    <w:uiPriority w:val="0"/>
    <w:pPr>
      <w:tabs>
        <w:tab w:val="left" w:pos="4144"/>
      </w:tabs>
      <w:adjustRightInd w:val="0"/>
      <w:snapToGrid w:val="0"/>
      <w:spacing w:beforeLines="50" w:afterLines="50" w:line="360" w:lineRule="auto"/>
      <w:ind w:firstLine="480"/>
      <w:jc w:val="center"/>
      <w:textAlignment w:val="baseline"/>
    </w:pPr>
    <w:rPr>
      <w:rFonts w:eastAsia="黑体"/>
      <w:kern w:val="0"/>
      <w:sz w:val="36"/>
      <w:szCs w:val="20"/>
    </w:rPr>
  </w:style>
  <w:style w:type="paragraph" w:customStyle="1" w:styleId="2511">
    <w:name w:val="1.1.1.1A-n"/>
    <w:basedOn w:val="1547"/>
    <w:qFormat/>
    <w:uiPriority w:val="0"/>
    <w:pPr>
      <w:tabs>
        <w:tab w:val="left" w:pos="1134"/>
        <w:tab w:val="clear" w:pos="480"/>
        <w:tab w:val="clear" w:pos="1920"/>
      </w:tabs>
      <w:autoSpaceDE w:val="0"/>
      <w:autoSpaceDN w:val="0"/>
      <w:adjustRightInd w:val="0"/>
      <w:spacing w:beforeLines="0" w:afterLines="0" w:line="360" w:lineRule="auto"/>
      <w:ind w:left="1560" w:firstLine="0" w:firstLineChars="200"/>
      <w:jc w:val="left"/>
      <w:textAlignment w:val="baseline"/>
      <w:outlineLvl w:val="2"/>
    </w:pPr>
    <w:rPr>
      <w:rFonts w:ascii="Arial" w:hAnsi="Arial" w:eastAsia="仿宋_GB2312"/>
      <w:caps/>
      <w:kern w:val="0"/>
      <w:sz w:val="24"/>
      <w:szCs w:val="24"/>
      <w:u w:val="none" w:color="000000"/>
    </w:rPr>
  </w:style>
  <w:style w:type="paragraph" w:customStyle="1" w:styleId="2512">
    <w:name w:val="Char Char Char Char Char Char Char Char Char Char Char Char"/>
    <w:basedOn w:val="1"/>
    <w:qFormat/>
    <w:uiPriority w:val="0"/>
    <w:pPr>
      <w:spacing w:line="240" w:lineRule="auto"/>
      <w:ind w:firstLine="0" w:firstLineChars="0"/>
    </w:pPr>
    <w:rPr>
      <w:rFonts w:ascii="Times New Roman" w:eastAsia="宋体"/>
      <w:sz w:val="21"/>
      <w:szCs w:val="24"/>
    </w:rPr>
  </w:style>
  <w:style w:type="paragraph" w:customStyle="1" w:styleId="2513">
    <w:name w:val="NormalBkgr"/>
    <w:qFormat/>
    <w:uiPriority w:val="0"/>
    <w:pPr>
      <w:overflowPunct w:val="0"/>
      <w:autoSpaceDE w:val="0"/>
      <w:autoSpaceDN w:val="0"/>
      <w:adjustRightInd w:val="0"/>
      <w:textAlignment w:val="baseline"/>
    </w:pPr>
    <w:rPr>
      <w:rFonts w:ascii="CG Times (W1)" w:hAnsi="CG Times (W1)" w:eastAsia="宋体" w:cs="Times New Roman"/>
      <w:sz w:val="22"/>
      <w:lang w:val="en-GB" w:eastAsia="zh-CN" w:bidi="ar-SA"/>
    </w:rPr>
  </w:style>
  <w:style w:type="paragraph" w:customStyle="1" w:styleId="2514">
    <w:name w:val="xl1616"/>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pPr>
    <w:rPr>
      <w:rFonts w:ascii="Times New Roman" w:eastAsia="宋体"/>
      <w:kern w:val="0"/>
      <w:sz w:val="24"/>
      <w:szCs w:val="24"/>
    </w:rPr>
  </w:style>
  <w:style w:type="paragraph" w:customStyle="1" w:styleId="2515">
    <w:name w:val="样式 样式 表中文字 + (中文) 楷体_GB2312 五号 + Calibri"/>
    <w:basedOn w:val="1375"/>
    <w:qFormat/>
    <w:uiPriority w:val="0"/>
    <w:pPr>
      <w:ind w:firstLine="0" w:firstLineChars="0"/>
    </w:pPr>
    <w:rPr>
      <w:rFonts w:ascii="Calibri" w:hAnsi="Calibri"/>
    </w:rPr>
  </w:style>
  <w:style w:type="paragraph" w:customStyle="1" w:styleId="2516">
    <w:name w:val="修订1"/>
    <w:qFormat/>
    <w:uiPriority w:val="0"/>
    <w:rPr>
      <w:rFonts w:ascii="Times New Roman" w:hAnsi="Times New Roman" w:eastAsia="宋体" w:cs="Times New Roman"/>
      <w:sz w:val="21"/>
      <w:lang w:val="en-US" w:eastAsia="zh-CN" w:bidi="ar-SA"/>
    </w:rPr>
  </w:style>
  <w:style w:type="paragraph" w:customStyle="1" w:styleId="2517">
    <w:name w:val="前言目录标题"/>
    <w:basedOn w:val="1"/>
    <w:qFormat/>
    <w:uiPriority w:val="0"/>
    <w:pPr>
      <w:spacing w:beforeLines="50" w:afterLines="50"/>
      <w:ind w:firstLine="0" w:firstLineChars="0"/>
      <w:jc w:val="center"/>
    </w:pPr>
    <w:rPr>
      <w:rFonts w:hAnsi="仿宋_GB2312" w:eastAsia="黑体"/>
      <w:sz w:val="36"/>
      <w:szCs w:val="24"/>
    </w:rPr>
  </w:style>
  <w:style w:type="paragraph" w:customStyle="1" w:styleId="2518">
    <w:name w:val="xl161"/>
    <w:basedOn w:val="1"/>
    <w:qFormat/>
    <w:uiPriority w:val="0"/>
    <w:pPr>
      <w:widowControl/>
      <w:pBdr>
        <w:top w:val="single" w:color="auto" w:sz="4" w:space="0"/>
        <w:left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20"/>
      <w:szCs w:val="20"/>
    </w:rPr>
  </w:style>
  <w:style w:type="paragraph" w:customStyle="1" w:styleId="2519">
    <w:name w:val="xl2574"/>
    <w:basedOn w:val="1"/>
    <w:qFormat/>
    <w:uiPriority w:val="0"/>
    <w:pPr>
      <w:widowControl/>
      <w:pBdr>
        <w:top w:val="single" w:color="auto" w:sz="4" w:space="0"/>
        <w:left w:val="single" w:color="auto" w:sz="4" w:space="0"/>
        <w:right w:val="single" w:color="auto" w:sz="4" w:space="0"/>
      </w:pBdr>
      <w:spacing w:before="100" w:beforeAutospacing="1" w:after="100" w:afterAutospacing="1" w:line="240" w:lineRule="auto"/>
      <w:ind w:firstLine="0" w:firstLineChars="0"/>
      <w:jc w:val="center"/>
    </w:pPr>
    <w:rPr>
      <w:rFonts w:ascii="楷体_GB2312" w:hAnsi="宋体" w:eastAsia="楷体_GB2312" w:cs="宋体"/>
      <w:kern w:val="0"/>
      <w:sz w:val="20"/>
      <w:szCs w:val="20"/>
    </w:rPr>
  </w:style>
  <w:style w:type="paragraph" w:customStyle="1" w:styleId="2520">
    <w:name w:val="xl88"/>
    <w:basedOn w:val="1"/>
    <w:qFormat/>
    <w:uiPriority w:val="0"/>
    <w:pPr>
      <w:widowControl/>
      <w:pBdr>
        <w:top w:val="single" w:color="auto" w:sz="8" w:space="0"/>
        <w:left w:val="single" w:color="auto" w:sz="8" w:space="0"/>
        <w:bottom w:val="single" w:color="auto" w:sz="8" w:space="0"/>
        <w:right w:val="single" w:color="auto" w:sz="8" w:space="0"/>
      </w:pBdr>
      <w:spacing w:before="100" w:beforeAutospacing="1" w:after="100" w:afterAutospacing="1" w:line="240" w:lineRule="auto"/>
      <w:ind w:firstLine="0" w:firstLineChars="0"/>
      <w:jc w:val="center"/>
      <w:textAlignment w:val="center"/>
    </w:pPr>
    <w:rPr>
      <w:rFonts w:ascii="Times New Roman" w:eastAsia="宋体"/>
      <w:kern w:val="0"/>
      <w:sz w:val="18"/>
      <w:szCs w:val="18"/>
    </w:rPr>
  </w:style>
  <w:style w:type="paragraph" w:customStyle="1" w:styleId="2521">
    <w:name w:val="大君 表头"/>
    <w:basedOn w:val="1"/>
    <w:qFormat/>
    <w:uiPriority w:val="0"/>
    <w:pPr>
      <w:spacing w:after="60"/>
      <w:ind w:firstLine="100" w:firstLineChars="100"/>
      <w:outlineLvl w:val="6"/>
    </w:pPr>
    <w:rPr>
      <w:rFonts w:ascii="黑体" w:hAnsi="Arial" w:eastAsia="黑体" w:cs="宋体"/>
      <w:color w:val="000000"/>
      <w:sz w:val="24"/>
      <w:szCs w:val="20"/>
    </w:rPr>
  </w:style>
  <w:style w:type="paragraph" w:customStyle="1" w:styleId="2522">
    <w:name w:val="xl172"/>
    <w:basedOn w:val="1"/>
    <w:qFormat/>
    <w:uiPriority w:val="0"/>
    <w:pPr>
      <w:widowControl/>
      <w:pBdr>
        <w:left w:val="single" w:color="auto" w:sz="4" w:space="0"/>
        <w:bottom w:val="single" w:color="auto" w:sz="4" w:space="0"/>
      </w:pBdr>
      <w:spacing w:before="100" w:beforeAutospacing="1" w:after="100" w:afterAutospacing="1" w:line="240" w:lineRule="auto"/>
      <w:ind w:firstLine="0" w:firstLineChars="0"/>
      <w:jc w:val="center"/>
    </w:pPr>
    <w:rPr>
      <w:rFonts w:ascii="宋体" w:hAnsi="宋体" w:eastAsia="宋体" w:cs="宋体"/>
      <w:kern w:val="0"/>
      <w:sz w:val="20"/>
      <w:szCs w:val="20"/>
    </w:rPr>
  </w:style>
  <w:style w:type="paragraph" w:customStyle="1" w:styleId="2523">
    <w:name w:val="表格标题2"/>
    <w:basedOn w:val="1"/>
    <w:qFormat/>
    <w:uiPriority w:val="0"/>
    <w:pPr>
      <w:spacing w:before="120" w:after="60" w:line="240" w:lineRule="auto"/>
      <w:ind w:firstLine="1080" w:firstLineChars="450"/>
    </w:pPr>
    <w:rPr>
      <w:rFonts w:ascii="Times New Roman" w:eastAsia="黑体"/>
      <w:snapToGrid w:val="0"/>
      <w:kern w:val="0"/>
      <w:sz w:val="24"/>
      <w:szCs w:val="24"/>
    </w:rPr>
  </w:style>
  <w:style w:type="paragraph" w:customStyle="1" w:styleId="2524">
    <w:name w:val="xl69"/>
    <w:basedOn w:val="1"/>
    <w:qFormat/>
    <w:uiPriority w:val="0"/>
    <w:pPr>
      <w:widowControl/>
      <w:pBdr>
        <w:top w:val="single" w:color="auto" w:sz="4" w:space="0"/>
        <w:right w:val="single" w:color="auto" w:sz="4" w:space="0"/>
      </w:pBdr>
      <w:spacing w:before="100" w:beforeAutospacing="1" w:after="100" w:afterAutospacing="1" w:line="240" w:lineRule="auto"/>
      <w:ind w:firstLine="0" w:firstLineChars="0"/>
      <w:jc w:val="center"/>
      <w:textAlignment w:val="center"/>
    </w:pPr>
    <w:rPr>
      <w:rFonts w:ascii="Times New Roman" w:eastAsia="宋体"/>
      <w:kern w:val="0"/>
      <w:sz w:val="18"/>
      <w:szCs w:val="18"/>
    </w:rPr>
  </w:style>
  <w:style w:type="paragraph" w:customStyle="1" w:styleId="2525">
    <w:name w:val="xl2562"/>
    <w:basedOn w:val="1"/>
    <w:qFormat/>
    <w:uiPriority w:val="0"/>
    <w:pPr>
      <w:widowControl/>
      <w:pBdr>
        <w:top w:val="single" w:color="auto" w:sz="4" w:space="0"/>
        <w:bottom w:val="single" w:color="auto" w:sz="4" w:space="0"/>
      </w:pBdr>
      <w:spacing w:before="100" w:beforeAutospacing="1" w:after="100" w:afterAutospacing="1" w:line="240" w:lineRule="auto"/>
      <w:ind w:firstLine="0" w:firstLineChars="0"/>
      <w:jc w:val="left"/>
    </w:pPr>
    <w:rPr>
      <w:rFonts w:ascii="楷体_GB2312" w:hAnsi="宋体" w:eastAsia="楷体_GB2312" w:cs="宋体"/>
      <w:kern w:val="0"/>
      <w:sz w:val="20"/>
      <w:szCs w:val="20"/>
    </w:rPr>
  </w:style>
  <w:style w:type="paragraph" w:customStyle="1" w:styleId="2526">
    <w:name w:val="样式 标题 2标题 2 Char章宋三一、标题 4 Char2 headlinehheadlineS&amp;R2E...1"/>
    <w:basedOn w:val="5"/>
    <w:qFormat/>
    <w:uiPriority w:val="0"/>
    <w:pPr>
      <w:keepNext/>
      <w:keepLines/>
      <w:tabs>
        <w:tab w:val="left" w:pos="567"/>
      </w:tabs>
      <w:spacing w:before="0" w:after="0"/>
      <w:ind w:left="567" w:hanging="567"/>
      <w:jc w:val="left"/>
    </w:pPr>
    <w:rPr>
      <w:rFonts w:hAnsi="Times New Roman" w:cs="宋体"/>
      <w:bCs w:val="0"/>
      <w:szCs w:val="20"/>
    </w:rPr>
  </w:style>
  <w:style w:type="paragraph" w:customStyle="1" w:styleId="2527">
    <w:name w:val="样式 标题 1h1 Char Char Char CharChar Char2 CharChar Char Char ..."/>
    <w:basedOn w:val="4"/>
    <w:next w:val="2070"/>
    <w:qFormat/>
    <w:uiPriority w:val="0"/>
    <w:pPr>
      <w:keepNext/>
      <w:keepLines/>
      <w:adjustRightInd w:val="0"/>
      <w:spacing w:after="120" w:line="720" w:lineRule="exact"/>
      <w:jc w:val="left"/>
      <w:textAlignment w:val="baseline"/>
    </w:pPr>
    <w:rPr>
      <w:bCs w:val="0"/>
      <w:szCs w:val="20"/>
    </w:rPr>
  </w:style>
  <w:style w:type="paragraph" w:customStyle="1" w:styleId="2528">
    <w:name w:val="样式 样式7 + 黑色 行距: 固定值 15 磅"/>
    <w:basedOn w:val="2095"/>
    <w:qFormat/>
    <w:uiPriority w:val="0"/>
    <w:pPr>
      <w:adjustRightInd/>
      <w:snapToGrid/>
      <w:spacing w:line="300" w:lineRule="exact"/>
      <w:ind w:firstLine="0" w:firstLineChars="0"/>
      <w:jc w:val="center"/>
    </w:pPr>
    <w:rPr>
      <w:rFonts w:ascii="Times New Roman" w:hAnsi="Times New Roman" w:eastAsia="华文中宋"/>
      <w:snapToGrid/>
      <w:kern w:val="2"/>
      <w:sz w:val="21"/>
      <w:szCs w:val="20"/>
    </w:rPr>
  </w:style>
  <w:style w:type="paragraph" w:customStyle="1" w:styleId="2529">
    <w:name w:val="xl2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Times New Roman" w:eastAsia="Arial Unicode MS"/>
      <w:kern w:val="0"/>
      <w:sz w:val="20"/>
      <w:szCs w:val="20"/>
    </w:rPr>
  </w:style>
  <w:style w:type="paragraph" w:customStyle="1" w:styleId="2530">
    <w:name w:val="样式 样式1 +1"/>
    <w:basedOn w:val="1276"/>
    <w:semiHidden/>
    <w:qFormat/>
    <w:uiPriority w:val="0"/>
    <w:pPr>
      <w:spacing w:before="240" w:after="120" w:line="240" w:lineRule="auto"/>
      <w:jc w:val="center"/>
      <w:outlineLvl w:val="9"/>
    </w:pPr>
    <w:rPr>
      <w:rFonts w:ascii="Times New Roman" w:hAnsi="Times New Roman" w:eastAsia="黑体"/>
      <w:b/>
      <w:iCs/>
      <w:sz w:val="32"/>
      <w:szCs w:val="32"/>
    </w:rPr>
  </w:style>
  <w:style w:type="paragraph" w:customStyle="1" w:styleId="2531">
    <w:name w:val="xl2759"/>
    <w:basedOn w:val="1"/>
    <w:qFormat/>
    <w:uiPriority w:val="0"/>
    <w:pPr>
      <w:widowControl/>
      <w:spacing w:before="100" w:beforeAutospacing="1" w:after="100" w:afterAutospacing="1" w:line="240" w:lineRule="auto"/>
      <w:ind w:firstLine="0" w:firstLineChars="0"/>
      <w:jc w:val="center"/>
    </w:pPr>
    <w:rPr>
      <w:rFonts w:ascii="宋体" w:hAnsi="宋体" w:eastAsia="宋体" w:cs="宋体"/>
      <w:kern w:val="0"/>
      <w:sz w:val="21"/>
      <w:szCs w:val="21"/>
    </w:rPr>
  </w:style>
  <w:style w:type="paragraph" w:customStyle="1" w:styleId="2532">
    <w:name w:val="样式 (中文) 楷体_GB2312 居中 首行缩进:  0.71 厘米"/>
    <w:basedOn w:val="1"/>
    <w:qFormat/>
    <w:uiPriority w:val="0"/>
    <w:pPr>
      <w:adjustRightInd w:val="0"/>
      <w:snapToGrid w:val="0"/>
      <w:spacing w:line="240" w:lineRule="auto"/>
      <w:ind w:firstLine="0" w:firstLineChars="0"/>
      <w:jc w:val="center"/>
    </w:pPr>
    <w:rPr>
      <w:rFonts w:ascii="Times New Roman" w:eastAsia="楷体_GB2312" w:cs="宋体"/>
      <w:sz w:val="21"/>
      <w:szCs w:val="20"/>
    </w:rPr>
  </w:style>
  <w:style w:type="paragraph" w:customStyle="1" w:styleId="2533">
    <w:name w:val="xl2575"/>
    <w:basedOn w:val="1"/>
    <w:qFormat/>
    <w:uiPriority w:val="0"/>
    <w:pPr>
      <w:widowControl/>
      <w:pBdr>
        <w:left w:val="single" w:color="auto" w:sz="4" w:space="0"/>
        <w:right w:val="single" w:color="auto" w:sz="4" w:space="0"/>
      </w:pBdr>
      <w:spacing w:before="100" w:beforeAutospacing="1" w:after="100" w:afterAutospacing="1" w:line="240" w:lineRule="auto"/>
      <w:ind w:firstLine="0" w:firstLineChars="0"/>
      <w:jc w:val="center"/>
    </w:pPr>
    <w:rPr>
      <w:rFonts w:ascii="楷体_GB2312" w:hAnsi="宋体" w:eastAsia="楷体_GB2312" w:cs="宋体"/>
      <w:kern w:val="0"/>
      <w:sz w:val="20"/>
      <w:szCs w:val="20"/>
    </w:rPr>
  </w:style>
  <w:style w:type="paragraph" w:customStyle="1" w:styleId="2534">
    <w:name w:val="xl45360"/>
    <w:basedOn w:val="1"/>
    <w:qFormat/>
    <w:uiPriority w:val="0"/>
    <w:pPr>
      <w:widowControl/>
      <w:pBdr>
        <w:top w:val="single" w:color="auto" w:sz="4" w:space="0"/>
        <w:bottom w:val="single" w:color="auto" w:sz="4" w:space="0"/>
      </w:pBdr>
      <w:spacing w:before="100" w:beforeAutospacing="1" w:after="100" w:afterAutospacing="1" w:line="240" w:lineRule="auto"/>
      <w:ind w:firstLine="0" w:firstLineChars="0"/>
      <w:jc w:val="center"/>
    </w:pPr>
    <w:rPr>
      <w:rFonts w:hAnsi="宋体" w:cs="宋体"/>
      <w:kern w:val="0"/>
      <w:sz w:val="20"/>
      <w:szCs w:val="20"/>
    </w:rPr>
  </w:style>
  <w:style w:type="paragraph" w:customStyle="1" w:styleId="2535">
    <w:name w:val="标标4"/>
    <w:basedOn w:val="8"/>
    <w:next w:val="2023"/>
    <w:qFormat/>
    <w:uiPriority w:val="0"/>
    <w:pPr>
      <w:adjustRightInd w:val="0"/>
      <w:spacing w:before="0" w:after="0" w:line="560" w:lineRule="exact"/>
      <w:ind w:firstLine="0" w:firstLineChars="0"/>
      <w:jc w:val="left"/>
      <w:textAlignment w:val="baseline"/>
    </w:pPr>
    <w:rPr>
      <w:rFonts w:ascii="Arial" w:hAnsi="Arial"/>
      <w:b w:val="0"/>
      <w:color w:val="000000"/>
      <w:kern w:val="28"/>
      <w:szCs w:val="32"/>
      <w:lang w:val="en-US" w:eastAsia="zh-CN"/>
    </w:rPr>
  </w:style>
  <w:style w:type="paragraph" w:customStyle="1" w:styleId="2536">
    <w:name w:val="表格字"/>
    <w:basedOn w:val="1"/>
    <w:qFormat/>
    <w:uiPriority w:val="0"/>
    <w:pPr>
      <w:spacing w:line="320" w:lineRule="exact"/>
      <w:ind w:firstLine="0" w:firstLineChars="0"/>
      <w:jc w:val="center"/>
    </w:pPr>
    <w:rPr>
      <w:rFonts w:ascii="Times New Roman" w:eastAsia="宋体" w:cs="宋体"/>
      <w:kern w:val="0"/>
      <w:sz w:val="21"/>
      <w:szCs w:val="21"/>
    </w:rPr>
  </w:style>
  <w:style w:type="paragraph" w:customStyle="1" w:styleId="2537">
    <w:name w:val="样式 正文文字缩进 2 + 首行缩进:  2 字符 行距: 固定值 23 磅"/>
    <w:basedOn w:val="52"/>
    <w:qFormat/>
    <w:uiPriority w:val="0"/>
    <w:pPr>
      <w:spacing w:after="0" w:line="240" w:lineRule="auto"/>
      <w:ind w:left="0" w:leftChars="0"/>
    </w:pPr>
    <w:rPr>
      <w:rFonts w:ascii="Times New Roman" w:eastAsia="华文中宋"/>
      <w:sz w:val="24"/>
      <w:szCs w:val="24"/>
    </w:rPr>
  </w:style>
  <w:style w:type="paragraph" w:customStyle="1" w:styleId="2538">
    <w:name w:val="正文缩进21"/>
    <w:basedOn w:val="1"/>
    <w:semiHidden/>
    <w:qFormat/>
    <w:uiPriority w:val="0"/>
    <w:pPr>
      <w:spacing w:before="48" w:after="48"/>
      <w:ind w:right="-57"/>
    </w:pPr>
    <w:rPr>
      <w:rFonts w:hint="eastAsia" w:ascii="楷体_GB2312" w:hAnsi="Calibri" w:eastAsia="楷体_GB2312"/>
      <w:sz w:val="24"/>
      <w:szCs w:val="21"/>
    </w:rPr>
  </w:style>
  <w:style w:type="paragraph" w:customStyle="1" w:styleId="2539">
    <w:name w:val="样式 样式 宋体 首行缩进:  0.89 厘米 + 首行缩进:  0 厘米1"/>
    <w:basedOn w:val="1"/>
    <w:qFormat/>
    <w:uiPriority w:val="0"/>
    <w:pPr>
      <w:spacing w:line="240" w:lineRule="auto"/>
    </w:pPr>
    <w:rPr>
      <w:rFonts w:ascii="Times New Roman" w:eastAsia="宋体" w:cs="宋体"/>
      <w:sz w:val="26"/>
      <w:szCs w:val="26"/>
    </w:rPr>
  </w:style>
  <w:style w:type="paragraph" w:customStyle="1" w:styleId="2540">
    <w:name w:val="标题 2-YN"/>
    <w:basedOn w:val="5"/>
    <w:qFormat/>
    <w:uiPriority w:val="0"/>
    <w:pPr>
      <w:keepNext/>
      <w:keepLines/>
      <w:tabs>
        <w:tab w:val="left" w:pos="567"/>
      </w:tabs>
      <w:spacing w:before="0" w:beforeLines="600" w:after="0" w:afterLines="600" w:line="120" w:lineRule="auto"/>
      <w:ind w:left="567" w:hanging="567"/>
    </w:pPr>
    <w:rPr>
      <w:rFonts w:ascii="仿宋_GB2312" w:hAnsi="黑体" w:eastAsia="仿宋_GB2312" w:cs="宋体"/>
      <w:b/>
      <w:color w:val="000000"/>
      <w:spacing w:val="10"/>
      <w:kern w:val="0"/>
      <w:position w:val="-6"/>
      <w:sz w:val="28"/>
      <w:szCs w:val="20"/>
    </w:rPr>
  </w:style>
  <w:style w:type="paragraph" w:customStyle="1" w:styleId="2541">
    <w:name w:val="目录二"/>
    <w:basedOn w:val="74"/>
    <w:qFormat/>
    <w:uiPriority w:val="0"/>
    <w:pPr>
      <w:tabs>
        <w:tab w:val="right" w:leader="dot" w:pos="9061"/>
      </w:tabs>
      <w:ind w:left="100" w:leftChars="100" w:firstLine="280"/>
      <w:textAlignment w:val="baseline"/>
    </w:pPr>
    <w:rPr>
      <w:bCs/>
      <w:kern w:val="0"/>
      <w:u w:val="none" w:color="000000"/>
    </w:rPr>
  </w:style>
  <w:style w:type="paragraph" w:customStyle="1" w:styleId="2542">
    <w:name w:val="样式5正文00"/>
    <w:basedOn w:val="1"/>
    <w:qFormat/>
    <w:uiPriority w:val="0"/>
    <w:rPr>
      <w:rFonts w:hAnsi="仿宋"/>
      <w:lang w:val="zh-CN"/>
    </w:rPr>
  </w:style>
  <w:style w:type="paragraph" w:customStyle="1" w:styleId="2543">
    <w:name w:val="样式 样式 首行缩进:  2 字符4 + (西文) 宋体"/>
    <w:basedOn w:val="1"/>
    <w:qFormat/>
    <w:uiPriority w:val="0"/>
    <w:rPr>
      <w:rFonts w:hAnsi="宋体" w:cs="宋体"/>
      <w:szCs w:val="20"/>
    </w:rPr>
  </w:style>
  <w:style w:type="paragraph" w:customStyle="1" w:styleId="2544">
    <w:name w:val="xl54"/>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ascii="Times New Roman" w:eastAsia="宋体"/>
      <w:kern w:val="0"/>
      <w:sz w:val="16"/>
      <w:szCs w:val="16"/>
    </w:rPr>
  </w:style>
  <w:style w:type="paragraph" w:customStyle="1" w:styleId="2545">
    <w:name w:val="我的小小节"/>
    <w:basedOn w:val="2397"/>
    <w:qFormat/>
    <w:uiPriority w:val="0"/>
    <w:pPr>
      <w:outlineLvl w:val="3"/>
    </w:pPr>
    <w:rPr>
      <w:rFonts w:eastAsia="宋体"/>
    </w:rPr>
  </w:style>
  <w:style w:type="paragraph" w:customStyle="1" w:styleId="2546">
    <w:name w:val="样式 标题 3 + 首行缩进:  2 字符"/>
    <w:basedOn w:val="7"/>
    <w:qFormat/>
    <w:uiPriority w:val="0"/>
    <w:pPr>
      <w:keepNext/>
      <w:keepLines/>
    </w:pPr>
    <w:rPr>
      <w:rFonts w:cs="宋体"/>
      <w:szCs w:val="20"/>
    </w:rPr>
  </w:style>
  <w:style w:type="paragraph" w:customStyle="1" w:styleId="2547">
    <w:name w:val="Char Char Char Char Char Char1 Char Char Char Char Char Char Char"/>
    <w:basedOn w:val="1"/>
    <w:semiHidden/>
    <w:qFormat/>
    <w:uiPriority w:val="0"/>
    <w:pPr>
      <w:spacing w:line="360" w:lineRule="auto"/>
    </w:pPr>
    <w:rPr>
      <w:rFonts w:ascii="宋体" w:hAnsi="宋体" w:eastAsia="宋体" w:cs="宋体"/>
      <w:sz w:val="24"/>
      <w:szCs w:val="24"/>
    </w:rPr>
  </w:style>
  <w:style w:type="paragraph" w:customStyle="1" w:styleId="2548">
    <w:name w:val="表格5红"/>
    <w:basedOn w:val="1"/>
    <w:semiHidden/>
    <w:qFormat/>
    <w:uiPriority w:val="0"/>
    <w:pPr>
      <w:autoSpaceDN w:val="0"/>
      <w:spacing w:line="240" w:lineRule="auto"/>
      <w:ind w:firstLine="0" w:firstLineChars="0"/>
    </w:pPr>
    <w:rPr>
      <w:rFonts w:ascii="Times New Roman" w:eastAsia="宋体"/>
      <w:color w:val="800000"/>
      <w:kern w:val="0"/>
      <w:sz w:val="21"/>
      <w:szCs w:val="20"/>
    </w:rPr>
  </w:style>
  <w:style w:type="paragraph" w:customStyle="1" w:styleId="2549">
    <w:name w:val="xl231"/>
    <w:basedOn w:val="1"/>
    <w:qFormat/>
    <w:uiPriority w:val="0"/>
    <w:pPr>
      <w:widowControl/>
      <w:pBdr>
        <w:top w:val="single" w:color="auto" w:sz="4" w:space="0"/>
        <w:left w:val="single" w:color="auto" w:sz="4" w:space="0"/>
        <w:bottom w:val="single" w:color="auto" w:sz="4" w:space="0"/>
        <w:right w:val="single" w:color="auto" w:sz="4" w:space="0"/>
      </w:pBdr>
      <w:adjustRightInd w:val="0"/>
      <w:snapToGrid w:val="0"/>
      <w:spacing w:before="100" w:beforeAutospacing="1" w:after="100" w:afterAutospacing="1" w:line="360" w:lineRule="auto"/>
      <w:ind w:firstLine="0" w:firstLineChars="0"/>
      <w:jc w:val="left"/>
      <w:textAlignment w:val="bottom"/>
    </w:pPr>
    <w:rPr>
      <w:rFonts w:ascii="Times New Roman" w:eastAsia="宋体"/>
      <w:kern w:val="0"/>
      <w:sz w:val="24"/>
      <w:szCs w:val="24"/>
    </w:rPr>
  </w:style>
  <w:style w:type="paragraph" w:customStyle="1" w:styleId="2550">
    <w:name w:val="样式14"/>
    <w:basedOn w:val="1823"/>
    <w:qFormat/>
    <w:uiPriority w:val="0"/>
    <w:rPr>
      <w:rFonts w:eastAsia="黑体"/>
      <w:b w:val="0"/>
    </w:rPr>
  </w:style>
  <w:style w:type="paragraph" w:customStyle="1" w:styleId="2551">
    <w:name w:val="样式 样式45 + 首行缩进:  2 字符"/>
    <w:basedOn w:val="1"/>
    <w:qFormat/>
    <w:uiPriority w:val="0"/>
    <w:pPr>
      <w:adjustRightInd w:val="0"/>
      <w:textAlignment w:val="baseline"/>
      <w:outlineLvl w:val="5"/>
    </w:pPr>
    <w:rPr>
      <w:rFonts w:ascii="楷体_GB2312" w:eastAsia="楷体_GB2312" w:cs="宋体"/>
      <w:kern w:val="0"/>
      <w:szCs w:val="20"/>
    </w:rPr>
  </w:style>
  <w:style w:type="paragraph" w:customStyle="1" w:styleId="2552">
    <w:name w:val="样式 XW正文 + 左侧:  0 厘米 首行缩进:  0.8 厘米"/>
    <w:basedOn w:val="1"/>
    <w:qFormat/>
    <w:uiPriority w:val="0"/>
    <w:pPr>
      <w:adjustRightInd w:val="0"/>
      <w:spacing w:line="360" w:lineRule="auto"/>
      <w:jc w:val="left"/>
      <w:textAlignment w:val="baseline"/>
    </w:pPr>
    <w:rPr>
      <w:rFonts w:ascii="Times New Roman" w:eastAsia="宋体" w:cs="宋体"/>
      <w:kern w:val="0"/>
      <w:sz w:val="24"/>
      <w:szCs w:val="20"/>
    </w:rPr>
  </w:style>
  <w:style w:type="paragraph" w:customStyle="1" w:styleId="2553">
    <w:name w:val="xl107"/>
    <w:basedOn w:val="1"/>
    <w:qFormat/>
    <w:uiPriority w:val="0"/>
    <w:pPr>
      <w:widowControl/>
      <w:pBdr>
        <w:top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18"/>
      <w:szCs w:val="18"/>
    </w:rPr>
  </w:style>
  <w:style w:type="paragraph" w:customStyle="1" w:styleId="2554">
    <w:name w:val="正文L标准 Char Char Char Char Char Char Char Char Char Char Char Char"/>
    <w:basedOn w:val="86"/>
    <w:semiHidden/>
    <w:qFormat/>
    <w:uiPriority w:val="0"/>
    <w:pPr>
      <w:spacing w:after="0" w:line="300" w:lineRule="auto"/>
      <w:ind w:firstLine="200" w:firstLineChars="200"/>
    </w:pPr>
    <w:rPr>
      <w:rFonts w:cs="宋体"/>
      <w:sz w:val="24"/>
      <w:lang w:val="en-US" w:eastAsia="zh-CN"/>
    </w:rPr>
  </w:style>
  <w:style w:type="paragraph" w:customStyle="1" w:styleId="2555">
    <w:name w:val="样式 样式 正文1 + 首行缩进:  1 字符 段后: 0.5 行 Char Char + 首行缩进:  2 字符"/>
    <w:basedOn w:val="1264"/>
    <w:qFormat/>
    <w:uiPriority w:val="0"/>
  </w:style>
  <w:style w:type="paragraph" w:customStyle="1" w:styleId="2556">
    <w:name w:val="font11"/>
    <w:basedOn w:val="1"/>
    <w:qFormat/>
    <w:uiPriority w:val="0"/>
    <w:pPr>
      <w:widowControl/>
      <w:spacing w:before="100" w:beforeAutospacing="1" w:after="100" w:afterAutospacing="1" w:line="240" w:lineRule="auto"/>
      <w:ind w:firstLine="0" w:firstLineChars="0"/>
      <w:jc w:val="left"/>
    </w:pPr>
    <w:rPr>
      <w:rFonts w:hint="eastAsia" w:ascii="黑体" w:hAnsi="Arial Unicode MS" w:eastAsia="黑体" w:cs="Arial Unicode MS"/>
      <w:kern w:val="0"/>
      <w:sz w:val="32"/>
      <w:szCs w:val="32"/>
    </w:rPr>
  </w:style>
  <w:style w:type="paragraph" w:customStyle="1" w:styleId="2557">
    <w:name w:val="样式 普通文字 + 小四 首行缩进:  2.25 字符"/>
    <w:basedOn w:val="46"/>
    <w:qFormat/>
    <w:uiPriority w:val="0"/>
    <w:pPr>
      <w:widowControl w:val="0"/>
      <w:spacing w:line="240" w:lineRule="auto"/>
      <w:ind w:firstLine="540" w:firstLineChars="225"/>
      <w:textAlignment w:val="auto"/>
    </w:pPr>
    <w:rPr>
      <w:rFonts w:hAnsi="Courier New" w:eastAsia="宋体" w:cs="宋体"/>
      <w:color w:val="auto"/>
      <w:kern w:val="2"/>
      <w:u w:val="none" w:color="auto"/>
      <w:lang w:bidi="he-IL"/>
    </w:rPr>
  </w:style>
  <w:style w:type="paragraph" w:customStyle="1" w:styleId="2558">
    <w:name w:val="xl100"/>
    <w:basedOn w:val="1"/>
    <w:qFormat/>
    <w:uiPriority w:val="0"/>
    <w:pPr>
      <w:widowControl/>
      <w:pBdr>
        <w:left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18"/>
      <w:szCs w:val="18"/>
    </w:rPr>
  </w:style>
  <w:style w:type="paragraph" w:customStyle="1" w:styleId="2559">
    <w:name w:val="xl220"/>
    <w:basedOn w:val="1"/>
    <w:qFormat/>
    <w:uiPriority w:val="0"/>
    <w:pPr>
      <w:widowControl/>
      <w:pBdr>
        <w:top w:val="single" w:color="auto" w:sz="4" w:space="0"/>
        <w:left w:val="single" w:color="auto" w:sz="4" w:space="0"/>
        <w:bottom w:val="single" w:color="auto" w:sz="4" w:space="0"/>
        <w:right w:val="single" w:color="auto" w:sz="4" w:space="0"/>
      </w:pBdr>
      <w:adjustRightInd w:val="0"/>
      <w:snapToGrid w:val="0"/>
      <w:spacing w:before="100" w:beforeAutospacing="1" w:after="100" w:afterAutospacing="1" w:line="360" w:lineRule="auto"/>
      <w:ind w:firstLine="0" w:firstLineChars="0"/>
      <w:jc w:val="center"/>
    </w:pPr>
    <w:rPr>
      <w:rFonts w:ascii="Times New Roman" w:eastAsia="宋体"/>
      <w:kern w:val="0"/>
      <w:sz w:val="24"/>
      <w:szCs w:val="24"/>
    </w:rPr>
  </w:style>
  <w:style w:type="paragraph" w:customStyle="1" w:styleId="2560">
    <w:name w:val="目录一"/>
    <w:basedOn w:val="59"/>
    <w:qFormat/>
    <w:uiPriority w:val="0"/>
    <w:pPr>
      <w:tabs>
        <w:tab w:val="right" w:leader="dot" w:pos="9221"/>
      </w:tabs>
      <w:textAlignment w:val="baseline"/>
      <w:outlineLvl w:val="0"/>
    </w:pPr>
    <w:rPr>
      <w:iCs/>
      <w:kern w:val="0"/>
      <w:u w:val="none" w:color="000000"/>
    </w:rPr>
  </w:style>
  <w:style w:type="paragraph" w:customStyle="1" w:styleId="2561">
    <w:name w:val="正文格式"/>
    <w:basedOn w:val="1"/>
    <w:qFormat/>
    <w:uiPriority w:val="0"/>
    <w:pPr>
      <w:tabs>
        <w:tab w:val="left" w:pos="1545"/>
      </w:tabs>
      <w:spacing w:before="60" w:line="240" w:lineRule="auto"/>
      <w:ind w:right="-107" w:rightChars="-51" w:firstLine="540"/>
    </w:pPr>
    <w:rPr>
      <w:rFonts w:ascii="Times New Roman"/>
      <w:color w:val="000000"/>
      <w:sz w:val="18"/>
      <w:szCs w:val="18"/>
    </w:rPr>
  </w:style>
  <w:style w:type="paragraph" w:customStyle="1" w:styleId="2562">
    <w:name w:val="纯文本41"/>
    <w:basedOn w:val="1"/>
    <w:semiHidden/>
    <w:qFormat/>
    <w:uiPriority w:val="0"/>
    <w:pPr>
      <w:adjustRightInd w:val="0"/>
      <w:spacing w:line="360" w:lineRule="atLeast"/>
      <w:jc w:val="left"/>
      <w:textAlignment w:val="baseline"/>
    </w:pPr>
    <w:rPr>
      <w:rFonts w:ascii="宋体" w:hAnsi="Courier New"/>
      <w:kern w:val="0"/>
      <w:sz w:val="24"/>
      <w:szCs w:val="20"/>
    </w:rPr>
  </w:style>
  <w:style w:type="paragraph" w:customStyle="1" w:styleId="2563">
    <w:name w:val="鉴字"/>
    <w:basedOn w:val="1"/>
    <w:semiHidden/>
    <w:qFormat/>
    <w:uiPriority w:val="0"/>
    <w:pPr>
      <w:spacing w:line="500" w:lineRule="exact"/>
      <w:ind w:left="400" w:leftChars="400" w:firstLine="0" w:firstLineChars="0"/>
    </w:pPr>
    <w:rPr>
      <w:rFonts w:ascii="宋体" w:eastAsia="宋体"/>
      <w:szCs w:val="24"/>
    </w:rPr>
  </w:style>
  <w:style w:type="paragraph" w:customStyle="1" w:styleId="2564">
    <w:name w:val="xl43"/>
    <w:basedOn w:val="1"/>
    <w:qFormat/>
    <w:uiPriority w:val="0"/>
    <w:pPr>
      <w:widowControl/>
      <w:pBdr>
        <w:left w:val="single" w:color="auto" w:sz="8" w:space="0"/>
        <w:bottom w:val="single" w:color="auto" w:sz="8" w:space="0"/>
        <w:right w:val="single" w:color="auto" w:sz="4" w:space="0"/>
      </w:pBdr>
      <w:spacing w:before="100" w:beforeAutospacing="1" w:after="100" w:afterAutospacing="1" w:line="240" w:lineRule="auto"/>
      <w:ind w:firstLine="0" w:firstLineChars="0"/>
      <w:jc w:val="center"/>
    </w:pPr>
    <w:rPr>
      <w:rFonts w:ascii="Times New Roman" w:eastAsia="宋体"/>
      <w:kern w:val="0"/>
      <w:sz w:val="24"/>
      <w:szCs w:val="24"/>
    </w:rPr>
  </w:style>
  <w:style w:type="paragraph" w:customStyle="1" w:styleId="2565">
    <w:name w:val=" Char"/>
    <w:basedOn w:val="1"/>
    <w:qFormat/>
    <w:uiPriority w:val="0"/>
    <w:pPr>
      <w:spacing w:line="580" w:lineRule="exact"/>
      <w:ind w:firstLine="200" w:firstLineChars="200"/>
    </w:pPr>
    <w:rPr>
      <w:spacing w:val="6"/>
      <w:sz w:val="28"/>
    </w:rPr>
  </w:style>
  <w:style w:type="paragraph" w:customStyle="1" w:styleId="2566">
    <w:name w:val="表0"/>
    <w:basedOn w:val="1"/>
    <w:qFormat/>
    <w:uiPriority w:val="0"/>
    <w:pPr>
      <w:autoSpaceDE w:val="0"/>
      <w:autoSpaceDN w:val="0"/>
      <w:adjustRightInd w:val="0"/>
      <w:spacing w:line="0" w:lineRule="atLeast"/>
      <w:ind w:firstLine="0" w:firstLineChars="0"/>
      <w:jc w:val="center"/>
    </w:pPr>
    <w:rPr>
      <w:rFonts w:ascii="楷体_GB2312" w:eastAsia="楷体_GB2312"/>
      <w:kern w:val="0"/>
      <w:sz w:val="21"/>
    </w:rPr>
  </w:style>
  <w:style w:type="paragraph" w:customStyle="1" w:styleId="2567">
    <w:name w:val="四级标题"/>
    <w:basedOn w:val="1"/>
    <w:qFormat/>
    <w:uiPriority w:val="0"/>
    <w:pPr>
      <w:topLinePunct/>
      <w:adjustRightInd w:val="0"/>
      <w:spacing w:line="360" w:lineRule="auto"/>
      <w:textAlignment w:val="baseline"/>
    </w:pPr>
    <w:rPr>
      <w:b/>
      <w:szCs w:val="24"/>
    </w:rPr>
  </w:style>
  <w:style w:type="paragraph" w:customStyle="1" w:styleId="2568">
    <w:name w:val="Char Char Char1 Char Char Char1 Char Char Char Char Char Char1 Char Char Char1 Char"/>
    <w:basedOn w:val="1"/>
    <w:qFormat/>
    <w:uiPriority w:val="0"/>
  </w:style>
  <w:style w:type="paragraph" w:customStyle="1" w:styleId="2569">
    <w:name w:val="样式 样式1 +2"/>
    <w:basedOn w:val="1276"/>
    <w:semiHidden/>
    <w:qFormat/>
    <w:uiPriority w:val="0"/>
    <w:pPr>
      <w:spacing w:before="240" w:after="120" w:line="240" w:lineRule="auto"/>
      <w:jc w:val="center"/>
      <w:outlineLvl w:val="9"/>
    </w:pPr>
    <w:rPr>
      <w:rFonts w:ascii="Times New Roman" w:hAnsi="Times New Roman" w:eastAsia="黑体"/>
      <w:b/>
      <w:iCs/>
      <w:sz w:val="32"/>
      <w:szCs w:val="32"/>
    </w:rPr>
  </w:style>
  <w:style w:type="paragraph" w:customStyle="1" w:styleId="2570">
    <w:name w:val="xl2785"/>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pPr>
    <w:rPr>
      <w:rFonts w:ascii="Times New Roman" w:eastAsia="宋体"/>
      <w:kern w:val="0"/>
      <w:sz w:val="18"/>
      <w:szCs w:val="18"/>
    </w:rPr>
  </w:style>
  <w:style w:type="paragraph" w:customStyle="1" w:styleId="2571">
    <w:name w:val="样式 五号 居中 首行缩进:  2 字符"/>
    <w:basedOn w:val="1"/>
    <w:qFormat/>
    <w:uiPriority w:val="0"/>
    <w:pPr>
      <w:spacing w:line="0" w:lineRule="atLeast"/>
      <w:jc w:val="center"/>
    </w:pPr>
    <w:rPr>
      <w:rFonts w:ascii="宋体" w:hAnsi="Garamond" w:cs="宋体"/>
      <w:sz w:val="21"/>
      <w:szCs w:val="20"/>
    </w:rPr>
  </w:style>
  <w:style w:type="paragraph" w:customStyle="1" w:styleId="2572">
    <w:name w:val="xl129"/>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0" w:firstLineChars="0"/>
      <w:jc w:val="left"/>
    </w:pPr>
    <w:rPr>
      <w:rFonts w:ascii="黑体" w:hAnsi="宋体" w:eastAsia="黑体" w:cs="宋体"/>
      <w:b/>
      <w:bCs/>
      <w:kern w:val="0"/>
      <w:sz w:val="20"/>
      <w:szCs w:val="20"/>
    </w:rPr>
  </w:style>
  <w:style w:type="paragraph" w:customStyle="1" w:styleId="2573">
    <w:name w:val="xl91"/>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 w:val="18"/>
      <w:szCs w:val="18"/>
    </w:rPr>
  </w:style>
  <w:style w:type="paragraph" w:customStyle="1" w:styleId="2574">
    <w:name w:val="样式 样式 公正文 + Times New Roman 首行缩进:  2 字符 + 首行缩进:  2 字符1"/>
    <w:basedOn w:val="1"/>
    <w:qFormat/>
    <w:uiPriority w:val="0"/>
    <w:pPr>
      <w:adjustRightInd w:val="0"/>
      <w:snapToGrid w:val="0"/>
      <w:ind w:firstLine="560"/>
    </w:pPr>
    <w:rPr>
      <w:rFonts w:ascii="Times New Roman" w:cs="宋体"/>
      <w:szCs w:val="20"/>
    </w:rPr>
  </w:style>
  <w:style w:type="paragraph" w:customStyle="1" w:styleId="2575">
    <w:name w:val="2 Char"/>
    <w:basedOn w:val="1"/>
    <w:semiHidden/>
    <w:qFormat/>
    <w:uiPriority w:val="0"/>
    <w:rPr>
      <w:szCs w:val="24"/>
    </w:rPr>
  </w:style>
  <w:style w:type="paragraph" w:customStyle="1" w:styleId="2576">
    <w:name w:val="样式 四号 首行缩进:  2 字符"/>
    <w:basedOn w:val="1"/>
    <w:semiHidden/>
    <w:qFormat/>
    <w:uiPriority w:val="0"/>
    <w:pPr>
      <w:spacing w:beforeLines="20" w:afterLines="20"/>
    </w:pPr>
    <w:rPr>
      <w:rFonts w:cs="宋体"/>
      <w:kern w:val="0"/>
    </w:rPr>
  </w:style>
  <w:style w:type="paragraph" w:customStyle="1" w:styleId="2577">
    <w:name w:val="公表文长"/>
    <w:basedOn w:val="70"/>
    <w:qFormat/>
    <w:uiPriority w:val="0"/>
    <w:pPr>
      <w:adjustRightInd w:val="0"/>
      <w:snapToGrid w:val="0"/>
      <w:spacing w:beforeLines="10" w:afterLines="10" w:line="240" w:lineRule="auto"/>
      <w:ind w:left="0" w:leftChars="0" w:firstLine="100" w:firstLineChars="100"/>
      <w:jc w:val="both"/>
    </w:pPr>
    <w:rPr>
      <w:rFonts w:ascii="宋体" w:hAnsi="宋体" w:eastAsia="楷体_GB2312"/>
      <w:sz w:val="21"/>
      <w:lang w:val="en-US" w:eastAsia="zh-CN"/>
    </w:rPr>
  </w:style>
  <w:style w:type="paragraph" w:customStyle="1" w:styleId="2578">
    <w:name w:val="xw正文"/>
    <w:basedOn w:val="52"/>
    <w:semiHidden/>
    <w:qFormat/>
    <w:uiPriority w:val="0"/>
    <w:pPr>
      <w:spacing w:after="0" w:line="360" w:lineRule="auto"/>
      <w:ind w:left="0" w:leftChars="0" w:firstLine="480"/>
      <w:jc w:val="left"/>
    </w:pPr>
    <w:rPr>
      <w:rFonts w:ascii="Times New Roman" w:eastAsia="宋体"/>
      <w:sz w:val="24"/>
      <w:szCs w:val="24"/>
      <w:lang w:val="en-US" w:eastAsia="zh-CN"/>
    </w:rPr>
  </w:style>
  <w:style w:type="paragraph" w:customStyle="1" w:styleId="2579">
    <w:name w:val="biaot"/>
    <w:basedOn w:val="1"/>
    <w:qFormat/>
    <w:uiPriority w:val="0"/>
    <w:pPr>
      <w:widowControl/>
      <w:spacing w:after="60"/>
      <w:jc w:val="center"/>
      <w:textAlignment w:val="baseline"/>
    </w:pPr>
    <w:rPr>
      <w:rFonts w:ascii="黑体" w:hAnsi="Tahoma" w:eastAsia="黑体" w:cs="Tahoma"/>
      <w:bCs/>
      <w:color w:val="000000"/>
      <w:kern w:val="0"/>
    </w:rPr>
  </w:style>
  <w:style w:type="paragraph" w:customStyle="1" w:styleId="2580">
    <w:name w:val="样式 样式 表中文字 + (中文) 楷体_GB2312 五号 + 首行缩进:  2 字符"/>
    <w:basedOn w:val="1375"/>
    <w:qFormat/>
    <w:uiPriority w:val="0"/>
  </w:style>
  <w:style w:type="paragraph" w:customStyle="1" w:styleId="2581">
    <w:name w:val="标题004"/>
    <w:basedOn w:val="1"/>
    <w:qFormat/>
    <w:uiPriority w:val="0"/>
    <w:pPr>
      <w:tabs>
        <w:tab w:val="left" w:pos="1134"/>
      </w:tabs>
      <w:adjustRightInd w:val="0"/>
      <w:spacing w:line="360" w:lineRule="auto"/>
      <w:ind w:left="1134" w:hanging="1134"/>
      <w:textAlignment w:val="baseline"/>
    </w:pPr>
    <w:rPr>
      <w:rFonts w:ascii="Arial" w:hAnsi="Arial" w:cs="Arial"/>
      <w:bCs/>
      <w:kern w:val="0"/>
      <w:sz w:val="24"/>
    </w:rPr>
  </w:style>
  <w:style w:type="paragraph" w:customStyle="1" w:styleId="2582">
    <w:name w:val="样式 标题1 + 行距: 1.5 倍行距1"/>
    <w:basedOn w:val="2083"/>
    <w:qFormat/>
    <w:uiPriority w:val="0"/>
    <w:rPr>
      <w:rFonts w:cs="宋体"/>
      <w:szCs w:val="20"/>
    </w:rPr>
  </w:style>
  <w:style w:type="paragraph" w:customStyle="1" w:styleId="2583">
    <w:name w:val="样式 样式1 + (中文) 华文中宋 小二 居中 行距: 单倍行距"/>
    <w:basedOn w:val="1276"/>
    <w:qFormat/>
    <w:uiPriority w:val="0"/>
    <w:pPr>
      <w:tabs>
        <w:tab w:val="left" w:pos="1125"/>
      </w:tabs>
      <w:spacing w:before="240" w:after="120" w:line="240" w:lineRule="auto"/>
      <w:jc w:val="center"/>
      <w:outlineLvl w:val="9"/>
    </w:pPr>
    <w:rPr>
      <w:rFonts w:ascii="Times New Roman" w:hAnsi="Times New Roman" w:eastAsia="华文中宋"/>
      <w:b/>
      <w:bCs/>
      <w:sz w:val="44"/>
      <w:szCs w:val="36"/>
    </w:rPr>
  </w:style>
  <w:style w:type="paragraph" w:customStyle="1" w:styleId="2584">
    <w:name w:val="表格文字1 Char Char Char Char Char Char"/>
    <w:basedOn w:val="1"/>
    <w:semiHidden/>
    <w:qFormat/>
    <w:uiPriority w:val="0"/>
    <w:pPr>
      <w:adjustRightInd w:val="0"/>
      <w:snapToGrid w:val="0"/>
      <w:spacing w:line="240" w:lineRule="auto"/>
      <w:ind w:firstLine="0" w:firstLineChars="0"/>
      <w:jc w:val="center"/>
    </w:pPr>
    <w:rPr>
      <w:rFonts w:ascii="宋体" w:hAnsi="宋体" w:eastAsia="宋体-方正超大字符集"/>
      <w:kern w:val="0"/>
      <w:sz w:val="21"/>
      <w:szCs w:val="21"/>
      <w:u w:val="none" w:color="000000"/>
    </w:rPr>
  </w:style>
  <w:style w:type="paragraph" w:customStyle="1" w:styleId="2585">
    <w:name w:val="样式 样式 样式12 + 段前: 0.5 行 段后: 0.5 行 + 居中 段前: 0.5 行 段后: 0.5 行"/>
    <w:basedOn w:val="1"/>
    <w:qFormat/>
    <w:uiPriority w:val="0"/>
    <w:pPr>
      <w:spacing w:beforeLines="50" w:afterLines="50" w:line="240" w:lineRule="auto"/>
      <w:ind w:firstLine="0" w:firstLineChars="0"/>
      <w:jc w:val="center"/>
    </w:pPr>
    <w:rPr>
      <w:rFonts w:ascii="Times New Roman" w:eastAsia="华文中宋"/>
      <w:b/>
      <w:bCs/>
      <w:color w:val="000000"/>
      <w:sz w:val="36"/>
      <w:szCs w:val="36"/>
    </w:rPr>
  </w:style>
  <w:style w:type="paragraph" w:customStyle="1" w:styleId="2586">
    <w:name w:val="xl139"/>
    <w:basedOn w:val="1"/>
    <w:qFormat/>
    <w:uiPriority w:val="0"/>
    <w:pPr>
      <w:widowControl/>
      <w:pBdr>
        <w:left w:val="single" w:color="auto" w:sz="4" w:space="0"/>
        <w:bottom w:val="single" w:color="auto" w:sz="4" w:space="0"/>
      </w:pBdr>
      <w:spacing w:before="100" w:beforeAutospacing="1" w:after="100" w:afterAutospacing="1" w:line="240" w:lineRule="auto"/>
      <w:ind w:firstLine="0" w:firstLineChars="0"/>
      <w:jc w:val="center"/>
    </w:pPr>
    <w:rPr>
      <w:rFonts w:ascii="宋体" w:hAnsi="宋体" w:eastAsia="宋体" w:cs="宋体"/>
      <w:kern w:val="0"/>
      <w:sz w:val="20"/>
      <w:szCs w:val="20"/>
    </w:rPr>
  </w:style>
  <w:style w:type="paragraph" w:customStyle="1" w:styleId="2587">
    <w:name w:val="xl2761"/>
    <w:basedOn w:val="1"/>
    <w:qFormat/>
    <w:uiPriority w:val="0"/>
    <w:pPr>
      <w:widowControl/>
      <w:shd w:val="clear" w:color="000000" w:fill="FFFFFF"/>
      <w:spacing w:before="100" w:beforeAutospacing="1" w:after="100" w:afterAutospacing="1" w:line="240" w:lineRule="auto"/>
      <w:ind w:firstLine="0" w:firstLineChars="0"/>
      <w:jc w:val="center"/>
    </w:pPr>
    <w:rPr>
      <w:rFonts w:ascii="宋体" w:hAnsi="宋体" w:eastAsia="宋体" w:cs="宋体"/>
      <w:kern w:val="0"/>
      <w:sz w:val="20"/>
      <w:szCs w:val="20"/>
    </w:rPr>
  </w:style>
  <w:style w:type="paragraph" w:customStyle="1" w:styleId="2588">
    <w:name w:val="标题二"/>
    <w:basedOn w:val="1"/>
    <w:qFormat/>
    <w:uiPriority w:val="0"/>
    <w:pPr>
      <w:spacing w:line="500" w:lineRule="exact"/>
      <w:ind w:firstLine="480"/>
    </w:pPr>
    <w:rPr>
      <w:rFonts w:ascii="Times New Roman" w:eastAsia="宋体"/>
      <w:sz w:val="24"/>
      <w:szCs w:val="20"/>
    </w:rPr>
  </w:style>
  <w:style w:type="paragraph" w:customStyle="1" w:styleId="2589">
    <w:name w:val="xl2252"/>
    <w:basedOn w:val="1"/>
    <w:qFormat/>
    <w:uiPriority w:val="0"/>
    <w:pPr>
      <w:widowControl/>
      <w:pBdr>
        <w:top w:val="single" w:color="auto" w:sz="4" w:space="0"/>
        <w:bottom w:val="single" w:color="auto" w:sz="4" w:space="0"/>
      </w:pBdr>
      <w:spacing w:before="100" w:beforeAutospacing="1" w:after="100" w:afterAutospacing="1" w:line="240" w:lineRule="auto"/>
      <w:ind w:firstLine="0" w:firstLineChars="0"/>
      <w:jc w:val="center"/>
    </w:pPr>
    <w:rPr>
      <w:rFonts w:ascii="黑体" w:hAnsi="宋体" w:eastAsia="黑体" w:cs="宋体"/>
      <w:kern w:val="0"/>
      <w:sz w:val="20"/>
      <w:szCs w:val="20"/>
    </w:rPr>
  </w:style>
  <w:style w:type="paragraph" w:customStyle="1" w:styleId="2590">
    <w:name w:val="样式 样式 样式 首行缩进:  2 字符2 + 首行缩进:  2 字符2 + 行距: 固定值 30 磅 首行缩进:  1 字符"/>
    <w:basedOn w:val="1"/>
    <w:qFormat/>
    <w:uiPriority w:val="0"/>
    <w:pPr>
      <w:spacing w:line="600" w:lineRule="exact"/>
    </w:pPr>
    <w:rPr>
      <w:rFonts w:cs="宋体"/>
      <w:kern w:val="0"/>
      <w:szCs w:val="20"/>
    </w:rPr>
  </w:style>
  <w:style w:type="paragraph" w:customStyle="1" w:styleId="2591">
    <w:name w:val="样式31"/>
    <w:basedOn w:val="1"/>
    <w:qFormat/>
    <w:uiPriority w:val="0"/>
    <w:pPr>
      <w:widowControl/>
      <w:spacing w:line="0" w:lineRule="atLeast"/>
      <w:ind w:firstLine="0" w:firstLineChars="0"/>
      <w:jc w:val="center"/>
    </w:pPr>
    <w:rPr>
      <w:rFonts w:ascii="楷体_GB2312" w:hAnsi="宋体" w:eastAsia="楷体_GB2312" w:cs="宋体"/>
      <w:kern w:val="0"/>
      <w:sz w:val="21"/>
      <w:szCs w:val="21"/>
    </w:rPr>
  </w:style>
  <w:style w:type="paragraph" w:customStyle="1" w:styleId="2592">
    <w:name w:val="Char Char Char Char Char Char2"/>
    <w:basedOn w:val="1"/>
    <w:qFormat/>
    <w:uiPriority w:val="0"/>
    <w:rPr>
      <w:szCs w:val="24"/>
    </w:rPr>
  </w:style>
  <w:style w:type="paragraph" w:customStyle="1" w:styleId="2593">
    <w:name w:val="图   名"/>
    <w:basedOn w:val="2352"/>
    <w:qFormat/>
    <w:uiPriority w:val="0"/>
    <w:pPr>
      <w:spacing w:after="0" w:line="240" w:lineRule="auto"/>
      <w:ind w:firstLine="0" w:firstLineChars="0"/>
      <w:jc w:val="center"/>
    </w:pPr>
  </w:style>
  <w:style w:type="paragraph" w:customStyle="1" w:styleId="2594">
    <w:name w:val="批注框文本1"/>
    <w:basedOn w:val="1"/>
    <w:qFormat/>
    <w:uiPriority w:val="0"/>
    <w:pPr>
      <w:ind w:firstLine="0" w:firstLineChars="0"/>
    </w:pPr>
    <w:rPr>
      <w:rFonts w:eastAsia="宋体"/>
      <w:kern w:val="0"/>
      <w:sz w:val="18"/>
      <w:szCs w:val="18"/>
      <w:u w:val="none" w:color="000000"/>
    </w:rPr>
  </w:style>
  <w:style w:type="paragraph" w:customStyle="1" w:styleId="2595">
    <w:name w:val="俺的新正文"/>
    <w:basedOn w:val="1"/>
    <w:semiHidden/>
    <w:qFormat/>
    <w:uiPriority w:val="0"/>
    <w:pPr>
      <w:spacing w:line="360" w:lineRule="auto"/>
    </w:pPr>
    <w:rPr>
      <w:rFonts w:cs="宋体"/>
      <w:sz w:val="24"/>
    </w:rPr>
  </w:style>
  <w:style w:type="paragraph" w:customStyle="1" w:styleId="2596">
    <w:name w:val="xl123"/>
    <w:basedOn w:val="1"/>
    <w:qFormat/>
    <w:uiPriority w:val="0"/>
    <w:pPr>
      <w:widowControl/>
      <w:pBdr>
        <w:top w:val="single" w:color="auto" w:sz="4" w:space="0"/>
        <w:left w:val="single" w:color="auto" w:sz="4" w:space="0"/>
        <w:bottom w:val="single" w:color="auto" w:sz="4" w:space="0"/>
        <w:right w:val="single" w:color="auto" w:sz="4" w:space="0"/>
      </w:pBdr>
      <w:shd w:val="clear" w:color="FFFFFF" w:fill="FFFFFF"/>
      <w:spacing w:before="100" w:beforeAutospacing="1" w:after="100" w:afterAutospacing="1" w:line="240" w:lineRule="auto"/>
      <w:ind w:firstLine="0" w:firstLineChars="0"/>
      <w:jc w:val="left"/>
      <w:textAlignment w:val="center"/>
    </w:pPr>
    <w:rPr>
      <w:rFonts w:ascii="Times New Roman" w:eastAsia="宋体"/>
      <w:color w:val="000000"/>
      <w:kern w:val="0"/>
      <w:sz w:val="20"/>
      <w:szCs w:val="20"/>
    </w:rPr>
  </w:style>
  <w:style w:type="paragraph" w:customStyle="1" w:styleId="2597">
    <w:name w:val="抬头"/>
    <w:basedOn w:val="1"/>
    <w:qFormat/>
    <w:uiPriority w:val="0"/>
    <w:pPr>
      <w:adjustRightInd w:val="0"/>
      <w:spacing w:beforeLines="50" w:line="300" w:lineRule="auto"/>
      <w:ind w:left="1208" w:firstLine="560"/>
      <w:textAlignment w:val="baseline"/>
    </w:pPr>
    <w:rPr>
      <w:kern w:val="0"/>
      <w:sz w:val="24"/>
      <w:szCs w:val="20"/>
      <w:u w:val="none" w:color="000000"/>
    </w:rPr>
  </w:style>
  <w:style w:type="paragraph" w:customStyle="1" w:styleId="2598">
    <w:name w:val="小正"/>
    <w:basedOn w:val="1"/>
    <w:qFormat/>
    <w:uiPriority w:val="0"/>
    <w:pPr>
      <w:snapToGrid w:val="0"/>
      <w:spacing w:line="460" w:lineRule="exact"/>
    </w:pPr>
    <w:rPr>
      <w:rFonts w:ascii="宋体" w:cs="宋体"/>
      <w:sz w:val="24"/>
      <w:szCs w:val="20"/>
    </w:rPr>
  </w:style>
  <w:style w:type="paragraph" w:customStyle="1" w:styleId="2599">
    <w:name w:val="xl45363"/>
    <w:basedOn w:val="1"/>
    <w:qFormat/>
    <w:uiPriority w:val="0"/>
    <w:pPr>
      <w:widowControl/>
      <w:pBdr>
        <w:top w:val="single" w:color="auto" w:sz="4" w:space="0"/>
        <w:right w:val="single" w:color="auto" w:sz="4" w:space="0"/>
      </w:pBdr>
      <w:spacing w:before="100" w:beforeAutospacing="1" w:after="100" w:afterAutospacing="1" w:line="240" w:lineRule="auto"/>
      <w:ind w:firstLine="0" w:firstLineChars="0"/>
      <w:jc w:val="center"/>
    </w:pPr>
    <w:rPr>
      <w:rFonts w:ascii="Times New Roman" w:eastAsia="宋体"/>
      <w:kern w:val="0"/>
      <w:sz w:val="20"/>
      <w:szCs w:val="20"/>
    </w:rPr>
  </w:style>
  <w:style w:type="paragraph" w:customStyle="1" w:styleId="2600">
    <w:name w:val="标题8 Char Char"/>
    <w:basedOn w:val="1"/>
    <w:next w:val="1"/>
    <w:qFormat/>
    <w:uiPriority w:val="0"/>
    <w:pPr>
      <w:suppressLineNumbers/>
      <w:suppressAutoHyphens/>
      <w:topLinePunct/>
      <w:adjustRightInd w:val="0"/>
      <w:snapToGrid w:val="0"/>
      <w:ind w:firstLine="510" w:firstLineChars="0"/>
    </w:pPr>
    <w:rPr>
      <w:rFonts w:ascii="Times New Roman" w:eastAsia="宋体" w:cs="宋体"/>
      <w:kern w:val="0"/>
      <w:sz w:val="24"/>
      <w:szCs w:val="24"/>
      <w:u w:val="none" w:color="000000"/>
    </w:rPr>
  </w:style>
  <w:style w:type="paragraph" w:customStyle="1" w:styleId="2601">
    <w:name w:val="a1"/>
    <w:basedOn w:val="1"/>
    <w:qFormat/>
    <w:uiPriority w:val="0"/>
    <w:pPr>
      <w:widowControl/>
      <w:wordWrap w:val="0"/>
      <w:spacing w:before="60" w:after="60" w:line="240" w:lineRule="auto"/>
      <w:ind w:firstLine="0" w:firstLineChars="0"/>
      <w:jc w:val="right"/>
    </w:pPr>
    <w:rPr>
      <w:rFonts w:ascii="Times New Roman" w:eastAsia="宋体"/>
      <w:kern w:val="0"/>
      <w:sz w:val="21"/>
      <w:szCs w:val="21"/>
    </w:rPr>
  </w:style>
  <w:style w:type="paragraph" w:customStyle="1" w:styleId="2602">
    <w:name w:val="样式 样式6 +"/>
    <w:basedOn w:val="1"/>
    <w:qFormat/>
    <w:uiPriority w:val="0"/>
    <w:pPr>
      <w:spacing w:line="240" w:lineRule="auto"/>
      <w:ind w:firstLine="0" w:firstLineChars="0"/>
      <w:jc w:val="center"/>
    </w:pPr>
    <w:rPr>
      <w:rFonts w:ascii="Times New Roman" w:eastAsia="黑体"/>
      <w:kern w:val="0"/>
      <w:sz w:val="24"/>
      <w:szCs w:val="24"/>
    </w:rPr>
  </w:style>
  <w:style w:type="paragraph" w:customStyle="1" w:styleId="2603">
    <w:name w:val="Char2 Char Char Char Char Char Char1 Char Char Char Char Char Char"/>
    <w:basedOn w:val="1"/>
    <w:qFormat/>
    <w:uiPriority w:val="0"/>
    <w:pPr>
      <w:spacing w:line="360" w:lineRule="auto"/>
    </w:pPr>
    <w:rPr>
      <w:rFonts w:ascii="Times New Roman" w:eastAsia="楷体_GB2312"/>
      <w:sz w:val="24"/>
      <w:szCs w:val="20"/>
    </w:rPr>
  </w:style>
  <w:style w:type="paragraph" w:customStyle="1" w:styleId="2604">
    <w:name w:val="Char Char Char Char Char Char Char Char Char1 Char Char Char Char"/>
    <w:basedOn w:val="1"/>
    <w:qFormat/>
    <w:uiPriority w:val="0"/>
    <w:pPr>
      <w:widowControl/>
      <w:spacing w:after="160" w:line="240" w:lineRule="exact"/>
      <w:ind w:firstLine="0" w:firstLineChars="0"/>
      <w:jc w:val="left"/>
    </w:pPr>
    <w:rPr>
      <w:rFonts w:ascii="Verdana" w:hAnsi="Verdana"/>
      <w:kern w:val="0"/>
      <w:sz w:val="30"/>
      <w:szCs w:val="30"/>
      <w:lang w:eastAsia="en-US"/>
    </w:rPr>
  </w:style>
  <w:style w:type="paragraph" w:customStyle="1" w:styleId="2605">
    <w:name w:val="表 格"/>
    <w:basedOn w:val="1"/>
    <w:qFormat/>
    <w:uiPriority w:val="0"/>
    <w:pPr>
      <w:spacing w:line="240" w:lineRule="auto"/>
      <w:ind w:firstLine="0" w:firstLineChars="0"/>
      <w:jc w:val="center"/>
      <w:textAlignment w:val="baseline"/>
    </w:pPr>
    <w:rPr>
      <w:rFonts w:ascii="楷体_GB2312" w:eastAsia="楷体_GB2312"/>
      <w:kern w:val="0"/>
      <w:sz w:val="21"/>
      <w:szCs w:val="21"/>
    </w:rPr>
  </w:style>
  <w:style w:type="paragraph" w:customStyle="1" w:styleId="2606">
    <w:name w:val="样式 公表文 + 段前: 0.2 行 段后: 0.2 行"/>
    <w:basedOn w:val="1"/>
    <w:qFormat/>
    <w:uiPriority w:val="0"/>
    <w:pPr>
      <w:adjustRightInd w:val="0"/>
      <w:snapToGrid w:val="0"/>
      <w:spacing w:beforeLines="20" w:afterLines="20" w:line="240" w:lineRule="auto"/>
      <w:ind w:left="-20" w:leftChars="-20" w:right="-20" w:rightChars="-20" w:firstLine="0" w:firstLineChars="0"/>
      <w:jc w:val="center"/>
    </w:pPr>
    <w:rPr>
      <w:rFonts w:ascii="宋体" w:eastAsia="楷体_GB2312" w:cs="宋体"/>
      <w:sz w:val="21"/>
      <w:szCs w:val="20"/>
    </w:rPr>
  </w:style>
  <w:style w:type="paragraph" w:customStyle="1" w:styleId="2607">
    <w:name w:val="正文表标题"/>
    <w:next w:val="1156"/>
    <w:qFormat/>
    <w:uiPriority w:val="0"/>
    <w:pPr>
      <w:tabs>
        <w:tab w:val="left" w:pos="1280"/>
      </w:tabs>
      <w:ind w:left="1280" w:hanging="720"/>
      <w:jc w:val="center"/>
    </w:pPr>
    <w:rPr>
      <w:rFonts w:ascii="黑体" w:hAnsi="Times New Roman" w:eastAsia="黑体" w:cs="Times New Roman"/>
      <w:sz w:val="21"/>
      <w:lang w:val="en-US" w:eastAsia="zh-CN" w:bidi="ar-SA"/>
    </w:rPr>
  </w:style>
  <w:style w:type="paragraph" w:customStyle="1" w:styleId="2608">
    <w:name w:val="_Style 2607"/>
    <w:qFormat/>
    <w:uiPriority w:val="0"/>
    <w:rPr>
      <w:rFonts w:ascii="仿宋_GB2312" w:hAnsi="Times New Roman" w:eastAsia="仿宋_GB2312" w:cs="Times New Roman"/>
      <w:kern w:val="2"/>
      <w:sz w:val="28"/>
      <w:szCs w:val="28"/>
      <w:lang w:val="en-US" w:eastAsia="zh-CN" w:bidi="ar-SA"/>
    </w:rPr>
  </w:style>
  <w:style w:type="paragraph" w:customStyle="1" w:styleId="2609">
    <w:name w:val="样式5表内00"/>
    <w:basedOn w:val="1"/>
    <w:qFormat/>
    <w:uiPriority w:val="0"/>
    <w:pPr>
      <w:adjustRightInd w:val="0"/>
      <w:spacing w:line="0" w:lineRule="atLeast"/>
      <w:ind w:firstLine="0" w:firstLineChars="0"/>
      <w:jc w:val="center"/>
    </w:pPr>
    <w:rPr>
      <w:rFonts w:ascii="楷体_GB2312" w:hAnsi="仿宋" w:eastAsia="楷体_GB2312" w:cs="宋体"/>
      <w:sz w:val="21"/>
      <w:szCs w:val="24"/>
    </w:rPr>
  </w:style>
  <w:style w:type="paragraph" w:customStyle="1" w:styleId="2610">
    <w:name w:val="表格6号"/>
    <w:basedOn w:val="1"/>
    <w:qFormat/>
    <w:uiPriority w:val="0"/>
    <w:pPr>
      <w:spacing w:line="240" w:lineRule="auto"/>
      <w:ind w:left="-105" w:leftChars="-50" w:right="-105" w:rightChars="-50" w:firstLine="0" w:firstLineChars="0"/>
      <w:jc w:val="center"/>
    </w:pPr>
    <w:rPr>
      <w:sz w:val="15"/>
      <w:szCs w:val="20"/>
    </w:rPr>
  </w:style>
  <w:style w:type="paragraph" w:customStyle="1" w:styleId="2611">
    <w:name w:val="样式 样式 楷体_GB2312 首行缩进:  2 字符 + 首行缩进:  2 字符"/>
    <w:basedOn w:val="1"/>
    <w:qFormat/>
    <w:uiPriority w:val="0"/>
    <w:rPr>
      <w:rFonts w:ascii="楷体_GB2312" w:eastAsia="楷体_GB2312" w:cs="宋体"/>
      <w:szCs w:val="20"/>
    </w:rPr>
  </w:style>
  <w:style w:type="paragraph" w:customStyle="1" w:styleId="2612">
    <w:name w:val="文本条款"/>
    <w:basedOn w:val="1"/>
    <w:next w:val="6"/>
    <w:qFormat/>
    <w:uiPriority w:val="0"/>
    <w:pPr>
      <w:adjustRightInd w:val="0"/>
      <w:spacing w:line="312" w:lineRule="atLeast"/>
      <w:ind w:firstLine="420" w:firstLineChars="0"/>
      <w:textAlignment w:val="baseline"/>
    </w:pPr>
    <w:rPr>
      <w:rFonts w:ascii="Times New Roman" w:eastAsia="宋体"/>
      <w:kern w:val="0"/>
      <w:szCs w:val="20"/>
    </w:rPr>
  </w:style>
  <w:style w:type="paragraph" w:customStyle="1" w:styleId="2613">
    <w:name w:val="Char1 Char Char Char Char Char Char1"/>
    <w:basedOn w:val="8"/>
    <w:next w:val="1"/>
    <w:qFormat/>
    <w:uiPriority w:val="0"/>
    <w:pPr>
      <w:widowControl/>
      <w:tabs>
        <w:tab w:val="left" w:pos="360"/>
        <w:tab w:val="left" w:pos="864"/>
      </w:tabs>
      <w:spacing w:before="240" w:after="160" w:line="240" w:lineRule="exact"/>
      <w:ind w:left="864" w:hanging="864" w:firstLineChars="0"/>
      <w:jc w:val="left"/>
    </w:pPr>
    <w:rPr>
      <w:rFonts w:ascii="Verdana" w:hAnsi="Verdana" w:eastAsia="仿宋_GB2312"/>
      <w:bCs w:val="0"/>
      <w:color w:val="000000"/>
      <w:kern w:val="0"/>
      <w:sz w:val="24"/>
      <w:szCs w:val="20"/>
      <w:lang w:eastAsia="en-US"/>
    </w:rPr>
  </w:style>
  <w:style w:type="paragraph" w:customStyle="1" w:styleId="2614">
    <w:name w:val="Char Char Char1 Char Char Char Char1"/>
    <w:basedOn w:val="1"/>
    <w:qFormat/>
    <w:uiPriority w:val="0"/>
    <w:pPr>
      <w:snapToGrid w:val="0"/>
      <w:spacing w:line="440" w:lineRule="exact"/>
    </w:pPr>
    <w:rPr>
      <w:sz w:val="24"/>
      <w:szCs w:val="24"/>
    </w:rPr>
  </w:style>
  <w:style w:type="paragraph" w:customStyle="1" w:styleId="2615">
    <w:name w:val="页眉页脚"/>
    <w:basedOn w:val="1"/>
    <w:qFormat/>
    <w:uiPriority w:val="0"/>
    <w:pPr>
      <w:pBdr>
        <w:bottom w:val="single" w:color="auto" w:sz="4" w:space="1"/>
      </w:pBdr>
      <w:tabs>
        <w:tab w:val="left" w:pos="142"/>
        <w:tab w:val="right" w:pos="8306"/>
      </w:tabs>
      <w:spacing w:line="240" w:lineRule="auto"/>
      <w:ind w:firstLine="0" w:firstLineChars="0"/>
    </w:pPr>
    <w:rPr>
      <w:rFonts w:ascii="Times New Roman" w:eastAsia="宋体"/>
      <w:sz w:val="21"/>
      <w:szCs w:val="24"/>
    </w:rPr>
  </w:style>
  <w:style w:type="paragraph" w:customStyle="1" w:styleId="2616">
    <w:name w:val="报告正文 Char Char Char Char"/>
    <w:basedOn w:val="35"/>
    <w:qFormat/>
    <w:uiPriority w:val="0"/>
    <w:pPr>
      <w:spacing w:after="0" w:line="560" w:lineRule="exact"/>
      <w:ind w:firstLine="561"/>
    </w:pPr>
    <w:rPr>
      <w:rFonts w:eastAsia="仿宋_GB2312"/>
      <w:sz w:val="28"/>
      <w:szCs w:val="28"/>
      <w:lang w:val="en-US" w:eastAsia="zh-CN"/>
    </w:rPr>
  </w:style>
  <w:style w:type="paragraph" w:customStyle="1" w:styleId="2617">
    <w:name w:val="z-窗体底端11"/>
    <w:basedOn w:val="1"/>
    <w:next w:val="1"/>
    <w:qFormat/>
    <w:uiPriority w:val="0"/>
    <w:pPr>
      <w:widowControl/>
      <w:pBdr>
        <w:top w:val="single" w:color="auto" w:sz="6" w:space="1"/>
      </w:pBdr>
      <w:spacing w:line="240" w:lineRule="auto"/>
      <w:ind w:firstLine="0" w:firstLineChars="0"/>
      <w:jc w:val="center"/>
    </w:pPr>
    <w:rPr>
      <w:rFonts w:ascii="Arial" w:hAnsi="Arial" w:eastAsia="宋体" w:cs="Arial"/>
      <w:vanish/>
      <w:kern w:val="0"/>
      <w:sz w:val="16"/>
      <w:szCs w:val="16"/>
    </w:rPr>
  </w:style>
  <w:style w:type="paragraph" w:customStyle="1" w:styleId="2618">
    <w:name w:val="xl14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pPr>
    <w:rPr>
      <w:rFonts w:ascii="Times New Roman" w:eastAsia="宋体"/>
      <w:b/>
      <w:bCs/>
      <w:kern w:val="0"/>
      <w:sz w:val="20"/>
      <w:szCs w:val="20"/>
    </w:rPr>
  </w:style>
  <w:style w:type="paragraph" w:customStyle="1" w:styleId="2619">
    <w:name w:val="xl502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pPr>
    <w:rPr>
      <w:rFonts w:ascii="宋体" w:hAnsi="宋体" w:eastAsia="宋体" w:cs="宋体"/>
      <w:kern w:val="0"/>
      <w:sz w:val="24"/>
      <w:szCs w:val="24"/>
    </w:rPr>
  </w:style>
  <w:style w:type="paragraph" w:customStyle="1" w:styleId="2620">
    <w:name w:val="XW正文"/>
    <w:basedOn w:val="36"/>
    <w:semiHidden/>
    <w:qFormat/>
    <w:uiPriority w:val="0"/>
    <w:pPr>
      <w:adjustRightInd w:val="0"/>
      <w:spacing w:line="360" w:lineRule="auto"/>
      <w:ind w:firstLine="454" w:firstLineChars="0"/>
      <w:textAlignment w:val="baseline"/>
    </w:pPr>
    <w:rPr>
      <w:kern w:val="0"/>
      <w:sz w:val="24"/>
      <w:lang w:val="en-US" w:eastAsia="zh-CN"/>
    </w:rPr>
  </w:style>
  <w:style w:type="paragraph" w:customStyle="1" w:styleId="2621">
    <w:name w:val="样式 样式 仿宋_GB2312 居中 首行缩进:  0 字符1 + Times New Roman 五号"/>
    <w:basedOn w:val="2411"/>
    <w:qFormat/>
    <w:uiPriority w:val="0"/>
    <w:rPr>
      <w:rFonts w:ascii="Times New Roman"/>
      <w:sz w:val="21"/>
    </w:rPr>
  </w:style>
  <w:style w:type="paragraph" w:customStyle="1" w:styleId="2622">
    <w:name w:val="页眉、页脚"/>
    <w:basedOn w:val="1"/>
    <w:qFormat/>
    <w:uiPriority w:val="0"/>
    <w:pPr>
      <w:pBdr>
        <w:bottom w:val="single" w:color="auto" w:sz="12" w:space="1"/>
      </w:pBdr>
      <w:adjustRightInd w:val="0"/>
      <w:snapToGrid w:val="0"/>
      <w:spacing w:line="240" w:lineRule="auto"/>
      <w:jc w:val="center"/>
    </w:pPr>
    <w:rPr>
      <w:rFonts w:ascii="宋体" w:hAnsi="宋体"/>
      <w:snapToGrid w:val="0"/>
      <w:kern w:val="0"/>
      <w:sz w:val="18"/>
      <w:szCs w:val="18"/>
    </w:rPr>
  </w:style>
  <w:style w:type="paragraph" w:customStyle="1" w:styleId="2623">
    <w:name w:val="xl183"/>
    <w:basedOn w:val="1"/>
    <w:qFormat/>
    <w:uiPriority w:val="0"/>
    <w:pPr>
      <w:widowControl/>
      <w:pBdr>
        <w:top w:val="single" w:color="auto" w:sz="8" w:space="0"/>
        <w:left w:val="single" w:color="auto" w:sz="4" w:space="0"/>
        <w:bottom w:val="single" w:color="auto" w:sz="4" w:space="0"/>
        <w:right w:val="single" w:color="auto" w:sz="8" w:space="0"/>
      </w:pBdr>
      <w:spacing w:before="100" w:beforeAutospacing="1" w:after="100" w:afterAutospacing="1" w:line="240" w:lineRule="auto"/>
      <w:ind w:firstLine="0" w:firstLineChars="0"/>
      <w:jc w:val="center"/>
      <w:textAlignment w:val="center"/>
    </w:pPr>
    <w:rPr>
      <w:rFonts w:ascii="宋体" w:hAnsi="宋体" w:eastAsia="宋体" w:cs="宋体"/>
      <w:kern w:val="0"/>
      <w:sz w:val="20"/>
      <w:szCs w:val="20"/>
    </w:rPr>
  </w:style>
  <w:style w:type="paragraph" w:customStyle="1" w:styleId="2624">
    <w:name w:val="标题 4 + 首行缩进:  0字符"/>
    <w:basedOn w:val="8"/>
    <w:qFormat/>
    <w:uiPriority w:val="0"/>
    <w:pPr>
      <w:adjustRightInd w:val="0"/>
      <w:snapToGrid w:val="0"/>
      <w:spacing w:before="0" w:after="0"/>
      <w:ind w:firstLine="562"/>
    </w:pPr>
    <w:rPr>
      <w:rFonts w:ascii="Times New Roman" w:hAnsi="Times New Roman"/>
      <w:b w:val="0"/>
      <w:u w:val="none" w:color="000000"/>
      <w:lang w:val="en-US" w:eastAsia="zh-CN"/>
    </w:rPr>
  </w:style>
  <w:style w:type="paragraph" w:customStyle="1" w:styleId="2625">
    <w:name w:val="Char41"/>
    <w:basedOn w:val="1"/>
    <w:qFormat/>
    <w:uiPriority w:val="0"/>
    <w:pPr>
      <w:widowControl/>
      <w:spacing w:after="160" w:line="240" w:lineRule="exact"/>
      <w:jc w:val="left"/>
    </w:pPr>
    <w:rPr>
      <w:rFonts w:ascii="Verdana" w:hAnsi="Verdana"/>
      <w:kern w:val="0"/>
      <w:sz w:val="24"/>
      <w:szCs w:val="20"/>
      <w:lang w:eastAsia="en-US"/>
    </w:rPr>
  </w:style>
  <w:style w:type="paragraph" w:customStyle="1" w:styleId="2626">
    <w:name w:val="封面正文"/>
    <w:basedOn w:val="1"/>
    <w:next w:val="1"/>
    <w:qFormat/>
    <w:uiPriority w:val="0"/>
    <w:pPr>
      <w:ind w:firstLine="0" w:firstLineChars="0"/>
      <w:jc w:val="distribute"/>
    </w:pPr>
    <w:rPr>
      <w:rFonts w:hAnsi="仿宋_GB2312" w:eastAsia="华文细黑"/>
      <w:sz w:val="24"/>
      <w:szCs w:val="24"/>
    </w:rPr>
  </w:style>
  <w:style w:type="paragraph" w:customStyle="1" w:styleId="2627">
    <w:name w:val="xl1593"/>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textAlignment w:val="center"/>
    </w:pPr>
    <w:rPr>
      <w:rFonts w:ascii="Times New Roman" w:eastAsia="宋体"/>
      <w:kern w:val="0"/>
      <w:sz w:val="24"/>
      <w:szCs w:val="24"/>
    </w:rPr>
  </w:style>
  <w:style w:type="paragraph" w:customStyle="1" w:styleId="2628">
    <w:name w:val="A正文"/>
    <w:basedOn w:val="1"/>
    <w:qFormat/>
    <w:uiPriority w:val="0"/>
    <w:pPr>
      <w:spacing w:line="240" w:lineRule="auto"/>
    </w:pPr>
    <w:rPr>
      <w:rFonts w:ascii="Times New Roman" w:eastAsia="宋体"/>
    </w:rPr>
  </w:style>
  <w:style w:type="paragraph" w:customStyle="1" w:styleId="2629">
    <w:name w:val="kuohao"/>
    <w:basedOn w:val="1"/>
    <w:qFormat/>
    <w:uiPriority w:val="0"/>
    <w:pPr>
      <w:keepNext/>
      <w:keepLines/>
      <w:adjustRightInd w:val="0"/>
      <w:ind w:firstLine="0" w:firstLineChars="0"/>
      <w:textAlignment w:val="baseline"/>
      <w:outlineLvl w:val="3"/>
    </w:pPr>
    <w:rPr>
      <w:rFonts w:ascii="楷体_GB2312" w:eastAsia="楷体_GB2312"/>
      <w:bCs/>
      <w:kern w:val="0"/>
    </w:rPr>
  </w:style>
  <w:style w:type="paragraph" w:customStyle="1" w:styleId="2630">
    <w:name w:val="xl155"/>
    <w:basedOn w:val="1"/>
    <w:qFormat/>
    <w:uiPriority w:val="0"/>
    <w:pPr>
      <w:widowControl/>
      <w:pBdr>
        <w:left w:val="single" w:color="auto" w:sz="4" w:space="0"/>
        <w:right w:val="single" w:color="auto" w:sz="4" w:space="0"/>
      </w:pBdr>
      <w:spacing w:before="100" w:beforeAutospacing="1" w:after="100" w:afterAutospacing="1" w:line="240" w:lineRule="auto"/>
      <w:ind w:firstLine="0" w:firstLineChars="0"/>
      <w:jc w:val="center"/>
    </w:pPr>
    <w:rPr>
      <w:rFonts w:ascii="Times New Roman" w:eastAsia="宋体"/>
      <w:kern w:val="0"/>
      <w:sz w:val="20"/>
      <w:szCs w:val="20"/>
    </w:rPr>
  </w:style>
  <w:style w:type="paragraph" w:customStyle="1" w:styleId="2631">
    <w:name w:val="表格bg"/>
    <w:basedOn w:val="1"/>
    <w:qFormat/>
    <w:uiPriority w:val="0"/>
    <w:pPr>
      <w:spacing w:line="0" w:lineRule="atLeast"/>
      <w:ind w:firstLine="0" w:firstLineChars="0"/>
      <w:jc w:val="center"/>
    </w:pPr>
    <w:rPr>
      <w:rFonts w:ascii="楷体_GB2312" w:eastAsia="楷体_GB2312"/>
      <w:color w:val="000000"/>
      <w:kern w:val="0"/>
      <w:sz w:val="21"/>
      <w:szCs w:val="21"/>
    </w:rPr>
  </w:style>
  <w:style w:type="paragraph" w:customStyle="1" w:styleId="2632">
    <w:name w:val="默认段落字体 Para Char Char Char Char Char Char Char"/>
    <w:basedOn w:val="1"/>
    <w:qFormat/>
    <w:uiPriority w:val="0"/>
    <w:pPr>
      <w:spacing w:line="360" w:lineRule="auto"/>
      <w:ind w:firstLine="0" w:firstLineChars="0"/>
    </w:pPr>
    <w:rPr>
      <w:rFonts w:ascii="Times New Roman" w:eastAsia="宋体"/>
      <w:sz w:val="24"/>
      <w:szCs w:val="24"/>
    </w:rPr>
  </w:style>
  <w:style w:type="paragraph" w:customStyle="1" w:styleId="2633">
    <w:name w:val="xl1615"/>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textAlignment w:val="center"/>
    </w:pPr>
    <w:rPr>
      <w:rFonts w:ascii="Times New Roman" w:eastAsia="宋体"/>
      <w:color w:val="000000"/>
      <w:kern w:val="0"/>
      <w:sz w:val="24"/>
      <w:szCs w:val="24"/>
    </w:rPr>
  </w:style>
  <w:style w:type="paragraph" w:customStyle="1" w:styleId="2634">
    <w:name w:val="同"/>
    <w:basedOn w:val="1"/>
    <w:qFormat/>
    <w:uiPriority w:val="0"/>
    <w:pPr>
      <w:snapToGrid w:val="0"/>
      <w:ind w:right="-36"/>
    </w:pPr>
    <w:rPr>
      <w:snapToGrid w:val="0"/>
      <w:kern w:val="0"/>
      <w:sz w:val="24"/>
      <w:u w:val="none" w:color="000000"/>
    </w:rPr>
  </w:style>
  <w:style w:type="paragraph" w:customStyle="1" w:styleId="2635">
    <w:name w:val="Char1 Char Char Char Char Char Char"/>
    <w:basedOn w:val="1"/>
    <w:qFormat/>
    <w:uiPriority w:val="0"/>
    <w:pPr>
      <w:pageBreakBefore/>
      <w:spacing w:line="360" w:lineRule="auto"/>
      <w:ind w:firstLine="560"/>
    </w:pPr>
    <w:rPr>
      <w:kern w:val="0"/>
      <w:szCs w:val="20"/>
      <w:u w:val="none" w:color="000000"/>
    </w:rPr>
  </w:style>
  <w:style w:type="paragraph" w:customStyle="1" w:styleId="2636">
    <w:name w:val="aa"/>
    <w:basedOn w:val="1"/>
    <w:qFormat/>
    <w:uiPriority w:val="0"/>
    <w:pPr>
      <w:widowControl/>
      <w:spacing w:after="60"/>
      <w:ind w:firstLine="0" w:firstLineChars="0"/>
      <w:jc w:val="right"/>
    </w:pPr>
    <w:rPr>
      <w:rFonts w:ascii="Times New Roman"/>
      <w:kern w:val="0"/>
      <w:sz w:val="21"/>
      <w:szCs w:val="21"/>
    </w:rPr>
  </w:style>
  <w:style w:type="paragraph" w:customStyle="1" w:styleId="2637">
    <w:name w:val="表头1"/>
    <w:basedOn w:val="1"/>
    <w:qFormat/>
    <w:uiPriority w:val="0"/>
    <w:pPr>
      <w:spacing w:after="60"/>
      <w:ind w:firstLine="100" w:firstLineChars="100"/>
    </w:pPr>
    <w:rPr>
      <w:rFonts w:ascii="黑体" w:eastAsia="黑体"/>
      <w:kern w:val="44"/>
      <w:sz w:val="24"/>
      <w:szCs w:val="21"/>
    </w:rPr>
  </w:style>
  <w:style w:type="paragraph" w:customStyle="1" w:styleId="2638">
    <w:name w:val="bt"/>
    <w:basedOn w:val="1"/>
    <w:qFormat/>
    <w:uiPriority w:val="0"/>
    <w:pPr>
      <w:autoSpaceDE w:val="0"/>
      <w:autoSpaceDN w:val="0"/>
      <w:adjustRightInd w:val="0"/>
      <w:spacing w:after="60"/>
      <w:ind w:firstLine="100" w:firstLineChars="100"/>
      <w:textAlignment w:val="bottom"/>
    </w:pPr>
    <w:rPr>
      <w:rFonts w:ascii="黑体" w:hAnsi="宋体" w:eastAsia="黑体"/>
      <w:kern w:val="0"/>
      <w:sz w:val="24"/>
      <w:szCs w:val="24"/>
    </w:rPr>
  </w:style>
  <w:style w:type="paragraph" w:customStyle="1" w:styleId="2639">
    <w:name w:val="xl137"/>
    <w:basedOn w:val="1"/>
    <w:qFormat/>
    <w:uiPriority w:val="0"/>
    <w:pPr>
      <w:widowControl/>
      <w:pBdr>
        <w:top w:val="single" w:color="auto" w:sz="4" w:space="0"/>
        <w:left w:val="single" w:color="auto" w:sz="4" w:space="0"/>
      </w:pBdr>
      <w:spacing w:before="100" w:beforeAutospacing="1" w:after="100" w:afterAutospacing="1" w:line="240" w:lineRule="auto"/>
      <w:ind w:firstLine="0" w:firstLineChars="0"/>
      <w:jc w:val="center"/>
    </w:pPr>
    <w:rPr>
      <w:rFonts w:ascii="宋体" w:hAnsi="宋体" w:eastAsia="宋体" w:cs="宋体"/>
      <w:kern w:val="0"/>
      <w:sz w:val="20"/>
      <w:szCs w:val="20"/>
    </w:rPr>
  </w:style>
  <w:style w:type="paragraph" w:customStyle="1" w:styleId="2640">
    <w:name w:val="样式 标4 + (西文) Arial (中文) 方正小标宋_GBK 首行缩进:  0.99 厘米 行距: 固定值 28 磅"/>
    <w:basedOn w:val="1688"/>
    <w:qFormat/>
    <w:uiPriority w:val="0"/>
    <w:pPr>
      <w:adjustRightInd w:val="0"/>
      <w:snapToGrid w:val="0"/>
      <w:spacing w:line="360" w:lineRule="auto"/>
    </w:pPr>
    <w:rPr>
      <w:rFonts w:ascii="仿宋_GB2312" w:cs="Arial"/>
      <w:b/>
      <w:bCs w:val="0"/>
      <w:snapToGrid w:val="0"/>
      <w:kern w:val="0"/>
      <w:sz w:val="30"/>
      <w:szCs w:val="30"/>
    </w:rPr>
  </w:style>
  <w:style w:type="paragraph" w:customStyle="1" w:styleId="2641">
    <w:name w:val="标5NN"/>
    <w:basedOn w:val="2642"/>
    <w:qFormat/>
    <w:uiPriority w:val="0"/>
    <w:pPr>
      <w:ind w:firstLine="0" w:firstLineChars="0"/>
      <w:jc w:val="left"/>
      <w:outlineLvl w:val="4"/>
    </w:pPr>
    <w:rPr>
      <w:rFonts w:ascii="Arial" w:hAnsi="Arial"/>
      <w:szCs w:val="28"/>
    </w:rPr>
  </w:style>
  <w:style w:type="paragraph" w:customStyle="1" w:styleId="2642">
    <w:name w:val="样式 公正文 + Times New Roman 首行缩进:  2 字符"/>
    <w:basedOn w:val="1"/>
    <w:qFormat/>
    <w:uiPriority w:val="0"/>
    <w:pPr>
      <w:adjustRightInd w:val="0"/>
      <w:snapToGrid w:val="0"/>
    </w:pPr>
    <w:rPr>
      <w:rFonts w:ascii="Times New Roman" w:cs="宋体"/>
      <w:szCs w:val="20"/>
    </w:rPr>
  </w:style>
  <w:style w:type="paragraph" w:customStyle="1" w:styleId="2643">
    <w:name w:val="1.1"/>
    <w:basedOn w:val="1"/>
    <w:qFormat/>
    <w:uiPriority w:val="0"/>
    <w:pPr>
      <w:spacing w:line="240" w:lineRule="auto"/>
      <w:ind w:firstLine="0" w:firstLineChars="0"/>
      <w:jc w:val="center"/>
    </w:pPr>
    <w:rPr>
      <w:rFonts w:ascii="华文中宋" w:hAnsi="华文中宋" w:eastAsia="华文中宋"/>
      <w:b/>
      <w:bCs/>
      <w:spacing w:val="77"/>
      <w:kern w:val="0"/>
      <w:sz w:val="56"/>
      <w:szCs w:val="52"/>
    </w:rPr>
  </w:style>
  <w:style w:type="paragraph" w:customStyle="1" w:styleId="2644">
    <w:name w:val="样式 正文（首行缩进两字）首行缩进 + 首行缩进:  2 字符1"/>
    <w:basedOn w:val="6"/>
    <w:semiHidden/>
    <w:qFormat/>
    <w:uiPriority w:val="0"/>
    <w:pPr>
      <w:spacing w:line="240" w:lineRule="auto"/>
      <w:ind w:firstLine="0" w:firstLineChars="0"/>
    </w:pPr>
    <w:rPr>
      <w:rFonts w:ascii="Times New Roman" w:eastAsia="宋体" w:cs="宋体"/>
      <w:sz w:val="24"/>
      <w:szCs w:val="24"/>
    </w:rPr>
  </w:style>
  <w:style w:type="paragraph" w:customStyle="1" w:styleId="2645">
    <w:name w:val="修订11"/>
    <w:qFormat/>
    <w:uiPriority w:val="99"/>
    <w:rPr>
      <w:rFonts w:ascii="Times New Roman" w:hAnsi="Times New Roman" w:eastAsia="宋体" w:cs="Times New Roman"/>
      <w:sz w:val="21"/>
      <w:lang w:val="en-US" w:eastAsia="zh-CN" w:bidi="ar-SA"/>
    </w:rPr>
  </w:style>
  <w:style w:type="paragraph" w:customStyle="1" w:styleId="2646">
    <w:name w:val="样式 标题 2 + 段前: 1 行"/>
    <w:basedOn w:val="5"/>
    <w:qFormat/>
    <w:uiPriority w:val="0"/>
    <w:pPr>
      <w:spacing w:before="0" w:beforeLines="100" w:after="0" w:afterLines="100" w:line="240" w:lineRule="auto"/>
      <w:ind w:firstLine="560" w:firstLineChars="200"/>
      <w:jc w:val="left"/>
      <w:outlineLvl w:val="9"/>
    </w:pPr>
    <w:rPr>
      <w:rFonts w:ascii="Times New Roman" w:eastAsia="仿宋_GB2312"/>
      <w:bCs w:val="0"/>
      <w:sz w:val="28"/>
      <w:szCs w:val="24"/>
    </w:rPr>
  </w:style>
  <w:style w:type="paragraph" w:customStyle="1" w:styleId="2647">
    <w:name w:val="xl3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pPr>
    <w:rPr>
      <w:rFonts w:ascii="Times New Roman" w:eastAsia="宋体"/>
      <w:kern w:val="0"/>
      <w:sz w:val="20"/>
      <w:szCs w:val="20"/>
    </w:rPr>
  </w:style>
  <w:style w:type="paragraph" w:customStyle="1" w:styleId="2648">
    <w:name w:val="LL1"/>
    <w:basedOn w:val="1"/>
    <w:qFormat/>
    <w:uiPriority w:val="0"/>
    <w:pPr>
      <w:autoSpaceDE w:val="0"/>
      <w:autoSpaceDN w:val="0"/>
      <w:adjustRightInd w:val="0"/>
      <w:spacing w:before="60" w:after="60" w:line="360" w:lineRule="atLeast"/>
      <w:ind w:left="1843" w:firstLine="560"/>
    </w:pPr>
    <w:rPr>
      <w:rFonts w:ascii="宋体"/>
      <w:spacing w:val="5"/>
      <w:kern w:val="0"/>
      <w:sz w:val="24"/>
      <w:szCs w:val="20"/>
      <w:u w:val="none" w:color="000000"/>
    </w:rPr>
  </w:style>
  <w:style w:type="paragraph" w:customStyle="1" w:styleId="2649">
    <w:name w:val="xl118"/>
    <w:basedOn w:val="1"/>
    <w:qFormat/>
    <w:uiPriority w:val="0"/>
    <w:pPr>
      <w:widowControl/>
      <w:pBdr>
        <w:top w:val="single" w:color="auto" w:sz="4" w:space="0"/>
        <w:left w:val="single" w:color="auto" w:sz="4" w:space="0"/>
        <w:bottom w:val="single" w:color="auto" w:sz="4" w:space="0"/>
        <w:right w:val="single" w:color="auto" w:sz="4" w:space="0"/>
      </w:pBdr>
      <w:shd w:val="clear" w:color="FFFFFF" w:fill="FFFFFF"/>
      <w:spacing w:before="100" w:beforeAutospacing="1" w:after="100" w:afterAutospacing="1" w:line="240" w:lineRule="auto"/>
      <w:ind w:firstLine="0" w:firstLineChars="0"/>
      <w:jc w:val="right"/>
      <w:textAlignment w:val="center"/>
    </w:pPr>
    <w:rPr>
      <w:rFonts w:ascii="宋体" w:hAnsi="宋体" w:eastAsia="宋体" w:cs="宋体"/>
      <w:color w:val="000000"/>
      <w:kern w:val="0"/>
      <w:sz w:val="24"/>
      <w:szCs w:val="24"/>
    </w:rPr>
  </w:style>
  <w:style w:type="paragraph" w:customStyle="1" w:styleId="2650">
    <w:name w:val="说明或注释-y"/>
    <w:next w:val="87"/>
    <w:qFormat/>
    <w:uiPriority w:val="0"/>
    <w:pPr>
      <w:adjustRightInd w:val="0"/>
      <w:snapToGrid w:val="0"/>
      <w:ind w:firstLine="200" w:firstLineChars="200"/>
    </w:pPr>
    <w:rPr>
      <w:rFonts w:ascii="Times New Roman" w:hAnsi="Times New Roman" w:eastAsia="楷体_GB2312" w:cs="Times New Roman"/>
      <w:kern w:val="2"/>
      <w:sz w:val="18"/>
      <w:szCs w:val="24"/>
      <w:lang w:val="en-US" w:eastAsia="zh-CN" w:bidi="ar-SA"/>
    </w:rPr>
  </w:style>
  <w:style w:type="paragraph" w:customStyle="1" w:styleId="2651">
    <w:name w:val="标题8"/>
    <w:basedOn w:val="1"/>
    <w:next w:val="1"/>
    <w:qFormat/>
    <w:uiPriority w:val="0"/>
    <w:pPr>
      <w:suppressLineNumbers/>
      <w:suppressAutoHyphens/>
      <w:topLinePunct/>
      <w:adjustRightInd w:val="0"/>
      <w:snapToGrid w:val="0"/>
      <w:ind w:firstLine="510" w:firstLineChars="0"/>
    </w:pPr>
    <w:rPr>
      <w:rFonts w:ascii="Times New Roman" w:eastAsia="宋体" w:cs="宋体"/>
      <w:kern w:val="0"/>
      <w:sz w:val="24"/>
      <w:szCs w:val="24"/>
      <w:u w:val="none" w:color="000000"/>
    </w:rPr>
  </w:style>
  <w:style w:type="paragraph" w:customStyle="1" w:styleId="2652">
    <w:name w:val="样式3 (1)"/>
    <w:basedOn w:val="1"/>
    <w:qFormat/>
    <w:uiPriority w:val="0"/>
    <w:pPr>
      <w:widowControl/>
      <w:tabs>
        <w:tab w:val="left" w:pos="360"/>
        <w:tab w:val="left" w:pos="510"/>
      </w:tabs>
      <w:adjustRightInd w:val="0"/>
      <w:spacing w:line="360" w:lineRule="auto"/>
      <w:ind w:left="918" w:hanging="420" w:firstLineChars="0"/>
    </w:pPr>
    <w:rPr>
      <w:rFonts w:ascii="Times New Roman" w:eastAsia="宋体"/>
      <w:kern w:val="0"/>
      <w:sz w:val="24"/>
      <w:szCs w:val="20"/>
    </w:rPr>
  </w:style>
  <w:style w:type="paragraph" w:customStyle="1" w:styleId="2653">
    <w:name w:val="纯文本3"/>
    <w:basedOn w:val="1"/>
    <w:qFormat/>
    <w:uiPriority w:val="0"/>
    <w:pPr>
      <w:adjustRightInd w:val="0"/>
      <w:spacing w:line="360" w:lineRule="atLeast"/>
      <w:ind w:firstLine="0" w:firstLineChars="0"/>
      <w:jc w:val="left"/>
      <w:textAlignment w:val="baseline"/>
    </w:pPr>
    <w:rPr>
      <w:rFonts w:ascii="宋体" w:hAnsi="Courier New" w:eastAsia="宋体"/>
      <w:kern w:val="0"/>
      <w:sz w:val="24"/>
      <w:szCs w:val="20"/>
    </w:rPr>
  </w:style>
  <w:style w:type="paragraph" w:customStyle="1" w:styleId="2654">
    <w:name w:val="样式 样式23 + 首行缩进:  2 字符"/>
    <w:basedOn w:val="1"/>
    <w:qFormat/>
    <w:uiPriority w:val="0"/>
    <w:pPr>
      <w:spacing w:line="480" w:lineRule="exact"/>
      <w:ind w:firstLine="420"/>
    </w:pPr>
    <w:rPr>
      <w:rFonts w:ascii="Times New Roman" w:eastAsia="华文中宋"/>
      <w:sz w:val="21"/>
      <w:szCs w:val="20"/>
    </w:rPr>
  </w:style>
  <w:style w:type="paragraph" w:customStyle="1" w:styleId="2655">
    <w:name w:val="文章附标题"/>
    <w:basedOn w:val="1"/>
    <w:qFormat/>
    <w:uiPriority w:val="0"/>
    <w:pPr>
      <w:spacing w:before="104" w:after="104" w:line="0" w:lineRule="atLeast"/>
      <w:jc w:val="center"/>
    </w:pPr>
    <w:rPr>
      <w:kern w:val="0"/>
      <w:sz w:val="36"/>
      <w:szCs w:val="20"/>
      <w:u w:val="none" w:color="000000"/>
    </w:rPr>
  </w:style>
  <w:style w:type="paragraph" w:customStyle="1" w:styleId="2656">
    <w:name w:val="5 Char Char"/>
    <w:basedOn w:val="1"/>
    <w:qFormat/>
    <w:uiPriority w:val="0"/>
    <w:pPr>
      <w:tabs>
        <w:tab w:val="left" w:pos="1134"/>
      </w:tabs>
      <w:adjustRightInd w:val="0"/>
      <w:spacing w:before="20" w:after="40" w:line="300" w:lineRule="auto"/>
      <w:ind w:left="1135" w:hanging="851"/>
      <w:textAlignment w:val="baseline"/>
    </w:pPr>
    <w:rPr>
      <w:rFonts w:ascii="Arial" w:hAnsi="Arial"/>
      <w:b/>
      <w:kern w:val="0"/>
      <w:szCs w:val="20"/>
      <w:u w:val="none" w:color="000000"/>
    </w:rPr>
  </w:style>
  <w:style w:type="paragraph" w:customStyle="1" w:styleId="2657">
    <w:name w:val="样式 标3 + 首行缩进:  1 厘米 段前: 6 磅 段后: 6 磅"/>
    <w:basedOn w:val="2658"/>
    <w:qFormat/>
    <w:uiPriority w:val="0"/>
    <w:pPr>
      <w:numPr>
        <w:ilvl w:val="0"/>
        <w:numId w:val="0"/>
      </w:numPr>
      <w:tabs>
        <w:tab w:val="left" w:pos="567"/>
      </w:tabs>
      <w:spacing w:before="120" w:after="120"/>
      <w:ind w:left="567" w:firstLine="567"/>
      <w:jc w:val="left"/>
      <w:outlineLvl w:val="2"/>
    </w:pPr>
    <w:rPr>
      <w:rFonts w:ascii="Arial" w:cs="宋体"/>
      <w:bCs w:val="0"/>
      <w:szCs w:val="20"/>
    </w:rPr>
  </w:style>
  <w:style w:type="paragraph" w:customStyle="1" w:styleId="2658">
    <w:name w:val="标3"/>
    <w:basedOn w:val="5"/>
    <w:qFormat/>
    <w:uiPriority w:val="0"/>
    <w:pPr>
      <w:keepNext/>
      <w:keepLines/>
      <w:numPr>
        <w:ilvl w:val="1"/>
        <w:numId w:val="0"/>
      </w:numPr>
      <w:tabs>
        <w:tab w:val="left" w:pos="567"/>
      </w:tabs>
      <w:spacing w:before="0" w:beforeLines="600" w:after="0" w:afterLines="600" w:line="240" w:lineRule="auto"/>
      <w:ind w:left="567" w:hanging="567"/>
    </w:pPr>
    <w:rPr>
      <w:rFonts w:ascii="黑体"/>
      <w:sz w:val="28"/>
      <w:szCs w:val="32"/>
    </w:rPr>
  </w:style>
  <w:style w:type="paragraph" w:customStyle="1" w:styleId="2659">
    <w:name w:val="样式46"/>
    <w:basedOn w:val="1"/>
    <w:qFormat/>
    <w:uiPriority w:val="0"/>
    <w:pPr>
      <w:spacing w:line="240" w:lineRule="auto"/>
      <w:ind w:firstLine="0" w:firstLineChars="0"/>
      <w:jc w:val="center"/>
      <w:outlineLvl w:val="0"/>
    </w:pPr>
    <w:rPr>
      <w:rFonts w:ascii="Times New Roman" w:eastAsia="黑体"/>
      <w:color w:val="000000"/>
      <w:sz w:val="24"/>
      <w:szCs w:val="24"/>
    </w:rPr>
  </w:style>
  <w:style w:type="paragraph" w:customStyle="1" w:styleId="2660">
    <w:name w:val="样式 样式 表文 + 左  -0.5 字符 + 加粗 左侧:  -0.5 字符 右侧:  -0.5 字符 段前: 11.6..."/>
    <w:basedOn w:val="1691"/>
    <w:qFormat/>
    <w:uiPriority w:val="0"/>
    <w:rPr>
      <w:bCs w:val="0"/>
    </w:rPr>
  </w:style>
  <w:style w:type="paragraph" w:customStyle="1" w:styleId="2661">
    <w:name w:val="xl20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Times New Roman" w:eastAsia="宋体"/>
      <w:b/>
      <w:bCs/>
      <w:kern w:val="0"/>
      <w:sz w:val="18"/>
      <w:szCs w:val="18"/>
    </w:rPr>
  </w:style>
  <w:style w:type="paragraph" w:customStyle="1" w:styleId="2662">
    <w:name w:val="样式 (符号) 宋体 小四 首行缩进:  0.85 厘米 行距: 1.5 倍行距"/>
    <w:basedOn w:val="1"/>
    <w:qFormat/>
    <w:uiPriority w:val="0"/>
    <w:pPr>
      <w:spacing w:line="360" w:lineRule="auto"/>
      <w:ind w:firstLine="482"/>
    </w:pPr>
    <w:rPr>
      <w:rFonts w:hAnsi="宋体" w:cs="宋体"/>
      <w:sz w:val="28"/>
      <w:szCs w:val="28"/>
    </w:rPr>
  </w:style>
  <w:style w:type="paragraph" w:customStyle="1" w:styleId="2663">
    <w:name w:val="样式 (中文) 楷体_GB2312 居中 首行缩进:  0.74 厘米 行距: 最小值 12 磅"/>
    <w:basedOn w:val="1"/>
    <w:qFormat/>
    <w:uiPriority w:val="0"/>
    <w:pPr>
      <w:spacing w:line="240" w:lineRule="atLeast"/>
      <w:ind w:firstLine="0" w:firstLineChars="0"/>
      <w:jc w:val="center"/>
    </w:pPr>
    <w:rPr>
      <w:rFonts w:ascii="Times New Roman" w:eastAsia="楷体_GB2312" w:cs="宋体"/>
      <w:sz w:val="21"/>
      <w:szCs w:val="20"/>
    </w:rPr>
  </w:style>
  <w:style w:type="paragraph" w:customStyle="1" w:styleId="2664">
    <w:name w:val="表标题 4"/>
    <w:basedOn w:val="1"/>
    <w:next w:val="1"/>
    <w:qFormat/>
    <w:uiPriority w:val="0"/>
    <w:pPr>
      <w:adjustRightInd w:val="0"/>
      <w:snapToGrid w:val="0"/>
      <w:spacing w:line="360" w:lineRule="auto"/>
      <w:ind w:firstLine="0" w:firstLineChars="0"/>
      <w:jc w:val="center"/>
    </w:pPr>
    <w:rPr>
      <w:rFonts w:ascii="黑体" w:eastAsia="黑体" w:cs="黑体"/>
      <w:color w:val="000000"/>
      <w:kern w:val="0"/>
      <w:sz w:val="21"/>
      <w:szCs w:val="21"/>
      <w:u w:val="none" w:color="000000"/>
    </w:rPr>
  </w:style>
  <w:style w:type="paragraph" w:customStyle="1" w:styleId="2665">
    <w:name w:val="标题 1 + 左侧:  0 厘米"/>
    <w:basedOn w:val="4"/>
    <w:qFormat/>
    <w:uiPriority w:val="0"/>
    <w:pPr>
      <w:keepNext/>
      <w:keepLines/>
      <w:tabs>
        <w:tab w:val="left" w:pos="8080"/>
      </w:tabs>
      <w:adjustRightInd w:val="0"/>
      <w:spacing w:before="240" w:after="240"/>
      <w:jc w:val="left"/>
      <w:textAlignment w:val="baseline"/>
    </w:pPr>
    <w:rPr>
      <w:rFonts w:ascii="Arial" w:hAnsi="Arial"/>
      <w:color w:val="000000"/>
      <w:u w:val="none" w:color="000000"/>
      <w:lang w:val="en-US" w:eastAsia="zh-CN"/>
    </w:rPr>
  </w:style>
  <w:style w:type="paragraph" w:customStyle="1" w:styleId="2666">
    <w:name w:val="xl223"/>
    <w:basedOn w:val="1"/>
    <w:qFormat/>
    <w:uiPriority w:val="0"/>
    <w:pPr>
      <w:widowControl/>
      <w:pBdr>
        <w:top w:val="single" w:color="auto" w:sz="4" w:space="0"/>
        <w:left w:val="single" w:color="auto" w:sz="4" w:space="0"/>
        <w:bottom w:val="single" w:color="auto" w:sz="4" w:space="0"/>
        <w:right w:val="single" w:color="auto" w:sz="4" w:space="0"/>
      </w:pBdr>
      <w:adjustRightInd w:val="0"/>
      <w:snapToGrid w:val="0"/>
      <w:spacing w:before="100" w:beforeAutospacing="1" w:after="100" w:afterAutospacing="1" w:line="360" w:lineRule="auto"/>
      <w:ind w:firstLine="0" w:firstLineChars="0"/>
      <w:jc w:val="center"/>
    </w:pPr>
    <w:rPr>
      <w:rFonts w:ascii="Times New Roman" w:eastAsia="宋体"/>
      <w:color w:val="FF0000"/>
      <w:kern w:val="0"/>
      <w:sz w:val="24"/>
      <w:szCs w:val="24"/>
    </w:rPr>
  </w:style>
  <w:style w:type="paragraph" w:customStyle="1" w:styleId="2667">
    <w:name w:val="正文－Char1"/>
    <w:basedOn w:val="1"/>
    <w:next w:val="6"/>
    <w:qFormat/>
    <w:uiPriority w:val="0"/>
    <w:pPr>
      <w:widowControl/>
      <w:spacing w:after="160" w:line="240" w:lineRule="exact"/>
      <w:ind w:firstLine="0" w:firstLineChars="0"/>
      <w:jc w:val="left"/>
    </w:pPr>
    <w:rPr>
      <w:rFonts w:ascii="Verdana" w:hAnsi="Verdana" w:eastAsia="宋体"/>
      <w:spacing w:val="4"/>
      <w:kern w:val="0"/>
      <w:sz w:val="21"/>
      <w:szCs w:val="21"/>
      <w:lang w:eastAsia="en-US"/>
    </w:rPr>
  </w:style>
  <w:style w:type="paragraph" w:customStyle="1" w:styleId="2668">
    <w:name w:val="说明或注释石"/>
    <w:next w:val="87"/>
    <w:qFormat/>
    <w:uiPriority w:val="0"/>
    <w:pPr>
      <w:adjustRightInd w:val="0"/>
      <w:snapToGrid w:val="0"/>
      <w:ind w:firstLine="200" w:firstLineChars="200"/>
    </w:pPr>
    <w:rPr>
      <w:rFonts w:ascii="Times New Roman" w:hAnsi="Times New Roman" w:eastAsia="楷体_GB2312" w:cs="Times New Roman"/>
      <w:kern w:val="2"/>
      <w:sz w:val="18"/>
      <w:szCs w:val="24"/>
      <w:lang w:val="en-US" w:eastAsia="zh-CN" w:bidi="ar-SA"/>
    </w:rPr>
  </w:style>
  <w:style w:type="paragraph" w:customStyle="1" w:styleId="2669">
    <w:name w:val="xl2802"/>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textAlignment w:val="center"/>
    </w:pPr>
    <w:rPr>
      <w:rFonts w:ascii="宋体" w:hAnsi="宋体" w:eastAsia="宋体" w:cs="宋体"/>
      <w:kern w:val="0"/>
      <w:sz w:val="24"/>
      <w:szCs w:val="24"/>
    </w:rPr>
  </w:style>
  <w:style w:type="paragraph" w:customStyle="1" w:styleId="2670">
    <w:name w:val="样式 表名四宋粗四宋三宋 + 首行缩进:  1 字符"/>
    <w:basedOn w:val="1"/>
    <w:qFormat/>
    <w:uiPriority w:val="0"/>
    <w:pPr>
      <w:adjustRightInd w:val="0"/>
      <w:spacing w:after="60"/>
      <w:ind w:firstLine="100" w:firstLineChars="100"/>
      <w:jc w:val="left"/>
    </w:pPr>
    <w:rPr>
      <w:rFonts w:ascii="Times New Roman" w:eastAsia="黑体" w:cs="宋体"/>
      <w:snapToGrid w:val="0"/>
      <w:sz w:val="24"/>
      <w:szCs w:val="20"/>
    </w:rPr>
  </w:style>
  <w:style w:type="paragraph" w:customStyle="1" w:styleId="2671">
    <w:name w:val="xl1586"/>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Lines="25" w:beforeAutospacing="1" w:after="100" w:afterAutospacing="1" w:line="240" w:lineRule="auto"/>
      <w:ind w:firstLine="0" w:firstLineChars="0"/>
      <w:jc w:val="center"/>
      <w:textAlignment w:val="center"/>
    </w:pPr>
    <w:rPr>
      <w:rFonts w:ascii="Times New Roman" w:eastAsia="宋体"/>
      <w:kern w:val="0"/>
      <w:sz w:val="24"/>
      <w:szCs w:val="24"/>
    </w:rPr>
  </w:style>
  <w:style w:type="paragraph" w:customStyle="1" w:styleId="2672">
    <w:name w:val="222222222222"/>
    <w:basedOn w:val="1"/>
    <w:qFormat/>
    <w:uiPriority w:val="0"/>
    <w:pPr>
      <w:adjustRightInd w:val="0"/>
      <w:snapToGrid w:val="0"/>
      <w:spacing w:before="120" w:after="120"/>
      <w:ind w:firstLine="0" w:firstLineChars="0"/>
      <w:jc w:val="left"/>
      <w:outlineLvl w:val="1"/>
    </w:pPr>
    <w:rPr>
      <w:rFonts w:ascii="黑体" w:hAnsi="黑体" w:eastAsia="黑体" w:cs="宋体"/>
      <w:snapToGrid w:val="0"/>
      <w:color w:val="000000"/>
      <w:kern w:val="0"/>
      <w:sz w:val="32"/>
      <w:szCs w:val="20"/>
    </w:rPr>
  </w:style>
  <w:style w:type="paragraph" w:customStyle="1" w:styleId="2673">
    <w:name w:val="列表题头"/>
    <w:basedOn w:val="7"/>
    <w:qFormat/>
    <w:uiPriority w:val="0"/>
    <w:pPr>
      <w:keepNext/>
      <w:keepLines/>
      <w:spacing w:beforeLines="100" w:line="300" w:lineRule="auto"/>
      <w:jc w:val="left"/>
    </w:pPr>
    <w:rPr>
      <w:rFonts w:ascii="Arial" w:cs="宋体"/>
      <w:snapToGrid w:val="0"/>
      <w:kern w:val="0"/>
      <w:u w:val="none" w:color="000000"/>
      <w:lang w:val="en-US" w:eastAsia="zh-CN"/>
    </w:rPr>
  </w:style>
  <w:style w:type="paragraph" w:customStyle="1" w:styleId="2674">
    <w:name w:val="样式 正文首行缩进 + Times New Roman Char Char Char Char"/>
    <w:basedOn w:val="86"/>
    <w:semiHidden/>
    <w:qFormat/>
    <w:uiPriority w:val="0"/>
    <w:pPr>
      <w:adjustRightInd w:val="0"/>
      <w:snapToGrid w:val="0"/>
      <w:spacing w:after="0" w:line="360" w:lineRule="auto"/>
      <w:ind w:firstLine="560" w:firstLineChars="200"/>
    </w:pPr>
    <w:rPr>
      <w:szCs w:val="20"/>
    </w:rPr>
  </w:style>
  <w:style w:type="paragraph" w:customStyle="1" w:styleId="2675">
    <w:name w:val="xl256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Times New Roman" w:eastAsia="宋体"/>
      <w:kern w:val="0"/>
      <w:sz w:val="20"/>
      <w:szCs w:val="20"/>
    </w:rPr>
  </w:style>
  <w:style w:type="paragraph" w:customStyle="1" w:styleId="2676">
    <w:name w:val="默认段落字体 Para Char Char Char Char"/>
    <w:basedOn w:val="1"/>
    <w:qFormat/>
    <w:uiPriority w:val="0"/>
    <w:pPr>
      <w:spacing w:line="240" w:lineRule="auto"/>
      <w:ind w:firstLine="0" w:firstLineChars="0"/>
      <w:jc w:val="center"/>
    </w:pPr>
    <w:rPr>
      <w:rFonts w:ascii="Times New Roman" w:eastAsia="宋体"/>
      <w:szCs w:val="20"/>
    </w:rPr>
  </w:style>
  <w:style w:type="paragraph" w:customStyle="1" w:styleId="2677">
    <w:name w:val="样式27"/>
    <w:basedOn w:val="1"/>
    <w:qFormat/>
    <w:uiPriority w:val="0"/>
    <w:pPr>
      <w:spacing w:beforeLines="50" w:afterLines="50" w:line="240" w:lineRule="auto"/>
      <w:ind w:firstLine="0" w:firstLineChars="0"/>
    </w:pPr>
    <w:rPr>
      <w:rFonts w:ascii="Times New Roman" w:eastAsia="黑体"/>
      <w:b/>
      <w:sz w:val="32"/>
      <w:szCs w:val="24"/>
    </w:rPr>
  </w:style>
  <w:style w:type="paragraph" w:customStyle="1" w:styleId="2678">
    <w:name w:val="样式 表内文字 +"/>
    <w:basedOn w:val="66"/>
    <w:qFormat/>
    <w:uiPriority w:val="0"/>
    <w:pPr>
      <w:adjustRightInd w:val="0"/>
      <w:snapToGrid w:val="0"/>
      <w:spacing w:line="0" w:lineRule="atLeast"/>
      <w:ind w:left="0" w:firstLine="0" w:firstLineChars="0"/>
      <w:jc w:val="center"/>
      <w:textAlignment w:val="baseline"/>
    </w:pPr>
    <w:rPr>
      <w:rFonts w:ascii="楷体_GB2312" w:hAnsi="宋体" w:eastAsia="楷体_GB2312"/>
      <w:kern w:val="0"/>
      <w:sz w:val="21"/>
      <w:szCs w:val="21"/>
    </w:rPr>
  </w:style>
  <w:style w:type="paragraph" w:customStyle="1" w:styleId="2679">
    <w:name w:val="11"/>
    <w:basedOn w:val="1"/>
    <w:next w:val="35"/>
    <w:semiHidden/>
    <w:qFormat/>
    <w:uiPriority w:val="0"/>
    <w:pPr>
      <w:spacing w:after="120" w:line="240" w:lineRule="auto"/>
      <w:ind w:firstLine="0" w:firstLineChars="0"/>
    </w:pPr>
    <w:rPr>
      <w:rFonts w:ascii="Times New Roman" w:eastAsia="楷体_GB2312"/>
      <w:sz w:val="30"/>
      <w:szCs w:val="20"/>
    </w:rPr>
  </w:style>
  <w:style w:type="paragraph" w:customStyle="1" w:styleId="2680">
    <w:name w:val="我的正文"/>
    <w:basedOn w:val="1"/>
    <w:qFormat/>
    <w:uiPriority w:val="0"/>
    <w:pPr>
      <w:adjustRightInd w:val="0"/>
      <w:snapToGrid w:val="0"/>
      <w:spacing w:line="360" w:lineRule="auto"/>
    </w:pPr>
    <w:rPr>
      <w:rFonts w:ascii="Times New Roman" w:eastAsia="宋体"/>
      <w:color w:val="000000"/>
      <w:sz w:val="24"/>
      <w:szCs w:val="21"/>
    </w:rPr>
  </w:style>
  <w:style w:type="paragraph" w:customStyle="1" w:styleId="2681">
    <w:name w:val="xl181"/>
    <w:basedOn w:val="1"/>
    <w:qFormat/>
    <w:uiPriority w:val="0"/>
    <w:pPr>
      <w:widowControl/>
      <w:pBdr>
        <w:bottom w:val="single" w:color="auto" w:sz="4" w:space="0"/>
        <w:right w:val="single" w:color="auto" w:sz="4" w:space="0"/>
      </w:pBdr>
      <w:spacing w:before="100" w:beforeAutospacing="1" w:after="100" w:afterAutospacing="1" w:line="240" w:lineRule="auto"/>
      <w:ind w:firstLine="0" w:firstLineChars="0"/>
      <w:jc w:val="left"/>
    </w:pPr>
    <w:rPr>
      <w:rFonts w:ascii="宋体" w:hAnsi="宋体" w:eastAsia="宋体" w:cs="宋体"/>
      <w:kern w:val="0"/>
      <w:sz w:val="24"/>
      <w:szCs w:val="24"/>
    </w:rPr>
  </w:style>
  <w:style w:type="paragraph" w:customStyle="1" w:styleId="2682">
    <w:name w:val="333"/>
    <w:basedOn w:val="1"/>
    <w:qFormat/>
    <w:uiPriority w:val="0"/>
    <w:pPr>
      <w:tabs>
        <w:tab w:val="left" w:pos="1134"/>
      </w:tabs>
      <w:autoSpaceDE w:val="0"/>
      <w:autoSpaceDN w:val="0"/>
      <w:adjustRightInd w:val="0"/>
      <w:spacing w:line="460" w:lineRule="exact"/>
      <w:ind w:left="1134" w:hanging="1134" w:firstLineChars="0"/>
      <w:textAlignment w:val="baseline"/>
      <w:outlineLvl w:val="2"/>
    </w:pPr>
    <w:rPr>
      <w:rFonts w:ascii="Arial" w:hAnsi="Arial" w:eastAsia="宋体"/>
      <w:kern w:val="0"/>
      <w:sz w:val="24"/>
      <w:szCs w:val="21"/>
      <w:u w:val="none" w:color="000000"/>
    </w:rPr>
  </w:style>
  <w:style w:type="paragraph" w:customStyle="1" w:styleId="2683">
    <w:name w:val="xl1617"/>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textAlignment w:val="center"/>
    </w:pPr>
    <w:rPr>
      <w:rFonts w:ascii="Times New Roman" w:eastAsia="宋体"/>
      <w:kern w:val="0"/>
      <w:sz w:val="24"/>
      <w:szCs w:val="24"/>
    </w:rPr>
  </w:style>
  <w:style w:type="paragraph" w:customStyle="1" w:styleId="2684">
    <w:name w:val="xl2742"/>
    <w:basedOn w:val="1"/>
    <w:qFormat/>
    <w:uiPriority w:val="0"/>
    <w:pPr>
      <w:widowControl/>
      <w:pBdr>
        <w:bottom w:val="single" w:color="auto" w:sz="4" w:space="0"/>
      </w:pBdr>
      <w:spacing w:before="100" w:beforeAutospacing="1" w:after="100" w:afterAutospacing="1" w:line="240" w:lineRule="auto"/>
      <w:ind w:firstLine="0" w:firstLineChars="0"/>
      <w:jc w:val="right"/>
    </w:pPr>
    <w:rPr>
      <w:rFonts w:ascii="黑体" w:hAnsi="黑体" w:eastAsia="黑体" w:cs="宋体"/>
      <w:kern w:val="0"/>
      <w:sz w:val="24"/>
      <w:szCs w:val="24"/>
    </w:rPr>
  </w:style>
  <w:style w:type="paragraph" w:customStyle="1" w:styleId="2685">
    <w:name w:val="第四级(1)"/>
    <w:basedOn w:val="8"/>
    <w:next w:val="1"/>
    <w:qFormat/>
    <w:uiPriority w:val="0"/>
    <w:pPr>
      <w:spacing w:before="0" w:after="0" w:line="360" w:lineRule="auto"/>
      <w:ind w:firstLine="0" w:firstLineChars="0"/>
      <w:jc w:val="center"/>
    </w:pPr>
    <w:rPr>
      <w:rFonts w:ascii="Arial" w:hAnsi="Arial"/>
      <w:kern w:val="0"/>
      <w:sz w:val="24"/>
    </w:rPr>
  </w:style>
  <w:style w:type="paragraph" w:customStyle="1" w:styleId="2686">
    <w:name w:val="xl142"/>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20"/>
      <w:szCs w:val="20"/>
    </w:rPr>
  </w:style>
  <w:style w:type="paragraph" w:customStyle="1" w:styleId="2687">
    <w:name w:val="xl2779"/>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left"/>
      <w:textAlignment w:val="bottom"/>
    </w:pPr>
    <w:rPr>
      <w:rFonts w:ascii="Times New Roman" w:eastAsia="宋体"/>
      <w:kern w:val="0"/>
      <w:sz w:val="18"/>
      <w:szCs w:val="18"/>
    </w:rPr>
  </w:style>
  <w:style w:type="paragraph" w:customStyle="1" w:styleId="2688">
    <w:name w:val="xl2817"/>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pPr>
    <w:rPr>
      <w:rFonts w:ascii="Times New Roman" w:eastAsia="宋体"/>
      <w:color w:val="FF0000"/>
      <w:kern w:val="0"/>
      <w:sz w:val="24"/>
      <w:szCs w:val="24"/>
    </w:rPr>
  </w:style>
  <w:style w:type="paragraph" w:customStyle="1" w:styleId="2689">
    <w:name w:val="正文首行缩进+1"/>
    <w:basedOn w:val="1526"/>
    <w:semiHidden/>
    <w:qFormat/>
    <w:uiPriority w:val="0"/>
    <w:pPr>
      <w:spacing w:line="240" w:lineRule="auto"/>
      <w:ind w:firstLine="438"/>
    </w:pPr>
  </w:style>
  <w:style w:type="paragraph" w:customStyle="1" w:styleId="2690">
    <w:name w:val="明显引用21"/>
    <w:basedOn w:val="1"/>
    <w:next w:val="1"/>
    <w:semiHidden/>
    <w:qFormat/>
    <w:uiPriority w:val="0"/>
    <w:pPr>
      <w:widowControl/>
      <w:ind w:left="720" w:right="720"/>
      <w:jc w:val="left"/>
    </w:pPr>
    <w:rPr>
      <w:rFonts w:eastAsia="Times New Roman"/>
      <w:b/>
      <w:i/>
      <w:kern w:val="0"/>
      <w:sz w:val="24"/>
      <w:szCs w:val="21"/>
      <w:lang w:eastAsia="en-US"/>
    </w:rPr>
  </w:style>
  <w:style w:type="paragraph" w:customStyle="1" w:styleId="2691">
    <w:name w:val="正常1"/>
    <w:basedOn w:val="1"/>
    <w:semiHidden/>
    <w:qFormat/>
    <w:uiPriority w:val="0"/>
    <w:pPr>
      <w:adjustRightInd w:val="0"/>
      <w:snapToGrid w:val="0"/>
      <w:spacing w:line="400" w:lineRule="atLeast"/>
      <w:ind w:firstLine="482"/>
      <w:textAlignment w:val="baseline"/>
    </w:pPr>
    <w:rPr>
      <w:rFonts w:eastAsia="华文中宋"/>
      <w:kern w:val="0"/>
      <w:sz w:val="24"/>
      <w:szCs w:val="20"/>
    </w:rPr>
  </w:style>
  <w:style w:type="paragraph" w:customStyle="1" w:styleId="2692">
    <w:name w:val="样式 标1 + 段前: 1 行"/>
    <w:basedOn w:val="1082"/>
    <w:semiHidden/>
    <w:qFormat/>
    <w:uiPriority w:val="0"/>
    <w:pPr>
      <w:adjustRightInd w:val="0"/>
      <w:snapToGrid w:val="0"/>
      <w:spacing w:line="360" w:lineRule="auto"/>
    </w:pPr>
    <w:rPr>
      <w:rFonts w:hAnsi="Arial" w:cs="宋体"/>
      <w:bCs w:val="0"/>
      <w:szCs w:val="20"/>
    </w:rPr>
  </w:style>
  <w:style w:type="paragraph" w:customStyle="1" w:styleId="2693">
    <w:name w:val="Char Char Char6"/>
    <w:basedOn w:val="1"/>
    <w:qFormat/>
    <w:uiPriority w:val="0"/>
    <w:pPr>
      <w:snapToGrid w:val="0"/>
      <w:spacing w:line="360" w:lineRule="auto"/>
    </w:pPr>
    <w:rPr>
      <w:sz w:val="24"/>
      <w:u w:val="none" w:color="000000"/>
    </w:rPr>
  </w:style>
  <w:style w:type="paragraph" w:customStyle="1" w:styleId="2694">
    <w:name w:val="p0"/>
    <w:basedOn w:val="1"/>
    <w:qFormat/>
    <w:uiPriority w:val="0"/>
    <w:pPr>
      <w:widowControl/>
      <w:snapToGrid w:val="0"/>
      <w:spacing w:line="560" w:lineRule="atLeast"/>
      <w:textAlignment w:val="baseline"/>
    </w:pPr>
    <w:rPr>
      <w:rFonts w:hAnsi="宋体"/>
      <w:szCs w:val="20"/>
    </w:rPr>
  </w:style>
  <w:style w:type="paragraph" w:customStyle="1" w:styleId="2695">
    <w:name w:val="样式 左侧:  0.74 厘米"/>
    <w:basedOn w:val="1"/>
    <w:qFormat/>
    <w:uiPriority w:val="0"/>
    <w:pPr>
      <w:spacing w:line="360" w:lineRule="auto"/>
      <w:ind w:left="422"/>
    </w:pPr>
    <w:rPr>
      <w:rFonts w:ascii="宋体" w:eastAsia="宋体" w:cs="宋体"/>
      <w:sz w:val="24"/>
      <w:szCs w:val="20"/>
    </w:rPr>
  </w:style>
  <w:style w:type="paragraph" w:customStyle="1" w:styleId="2696">
    <w:name w:val="公括号"/>
    <w:basedOn w:val="1"/>
    <w:qFormat/>
    <w:uiPriority w:val="0"/>
    <w:rPr>
      <w:rFonts w:ascii="楷体_GB2312" w:eastAsia="楷体_GB2312"/>
    </w:rPr>
  </w:style>
  <w:style w:type="paragraph" w:customStyle="1" w:styleId="2697">
    <w:name w:val="标准标注格式"/>
    <w:basedOn w:val="1"/>
    <w:qFormat/>
    <w:uiPriority w:val="0"/>
    <w:pPr>
      <w:spacing w:line="400" w:lineRule="exact"/>
      <w:jc w:val="left"/>
    </w:pPr>
    <w:rPr>
      <w:rFonts w:ascii="Times New Roman" w:eastAsia="黑体"/>
      <w:sz w:val="18"/>
      <w:szCs w:val="18"/>
    </w:rPr>
  </w:style>
  <w:style w:type="paragraph" w:customStyle="1" w:styleId="2698">
    <w:name w:val="样式 样式24 +"/>
    <w:basedOn w:val="1"/>
    <w:qFormat/>
    <w:uiPriority w:val="0"/>
    <w:pPr>
      <w:spacing w:line="300" w:lineRule="exact"/>
      <w:ind w:left="-120" w:leftChars="-50" w:right="-120" w:rightChars="-50" w:firstLine="0" w:firstLineChars="0"/>
      <w:jc w:val="center"/>
    </w:pPr>
    <w:rPr>
      <w:rFonts w:ascii="Times New Roman" w:eastAsia="华文中宋"/>
      <w:kern w:val="0"/>
      <w:sz w:val="21"/>
      <w:szCs w:val="21"/>
    </w:rPr>
  </w:style>
  <w:style w:type="paragraph" w:customStyle="1" w:styleId="2699">
    <w:name w:val="标题5"/>
    <w:basedOn w:val="1"/>
    <w:qFormat/>
    <w:uiPriority w:val="0"/>
    <w:pPr>
      <w:outlineLvl w:val="4"/>
    </w:pPr>
    <w:rPr>
      <w:rFonts w:ascii="Arial" w:hAnsi="Arial"/>
      <w:color w:val="000000"/>
    </w:rPr>
  </w:style>
  <w:style w:type="paragraph" w:customStyle="1" w:styleId="2700">
    <w:name w:val="标标题4"/>
    <w:basedOn w:val="8"/>
    <w:next w:val="2023"/>
    <w:qFormat/>
    <w:uiPriority w:val="0"/>
    <w:pPr>
      <w:adjustRightInd w:val="0"/>
      <w:spacing w:before="0" w:after="0" w:line="305" w:lineRule="auto"/>
      <w:ind w:firstLine="601" w:firstLineChars="0"/>
      <w:textAlignment w:val="baseline"/>
      <w:outlineLvl w:val="9"/>
    </w:pPr>
    <w:rPr>
      <w:rFonts w:ascii="楷体_GB2312" w:hAnsi="Arial" w:eastAsia="楷体_GB2312"/>
      <w:bCs w:val="0"/>
      <w:kern w:val="0"/>
      <w:szCs w:val="20"/>
      <w:lang w:val="en-US" w:eastAsia="zh-CN"/>
    </w:rPr>
  </w:style>
  <w:style w:type="paragraph" w:customStyle="1" w:styleId="2701">
    <w:name w:val="BT 1"/>
    <w:basedOn w:val="1"/>
    <w:qFormat/>
    <w:uiPriority w:val="0"/>
    <w:pPr>
      <w:spacing w:before="240" w:after="240"/>
      <w:ind w:firstLine="0" w:firstLineChars="0"/>
      <w:jc w:val="left"/>
      <w:textAlignment w:val="baseline"/>
      <w:outlineLvl w:val="0"/>
    </w:pPr>
    <w:rPr>
      <w:rFonts w:ascii="Arial" w:hAnsi="Arial" w:eastAsia="黑体"/>
      <w:kern w:val="0"/>
      <w:sz w:val="36"/>
      <w:u w:val="none" w:color="000000"/>
    </w:rPr>
  </w:style>
  <w:style w:type="paragraph" w:customStyle="1" w:styleId="2702">
    <w:name w:val="xl133"/>
    <w:basedOn w:val="1"/>
    <w:qFormat/>
    <w:uiPriority w:val="0"/>
    <w:pPr>
      <w:widowControl/>
      <w:pBdr>
        <w:bottom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20"/>
      <w:szCs w:val="20"/>
    </w:rPr>
  </w:style>
  <w:style w:type="paragraph" w:customStyle="1" w:styleId="2703">
    <w:name w:val="xl108"/>
    <w:basedOn w:val="1"/>
    <w:qFormat/>
    <w:uiPriority w:val="0"/>
    <w:pPr>
      <w:widowControl/>
      <w:pBdr>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18"/>
      <w:szCs w:val="18"/>
    </w:rPr>
  </w:style>
  <w:style w:type="paragraph" w:customStyle="1" w:styleId="2704">
    <w:name w:val="p21"/>
    <w:basedOn w:val="1"/>
    <w:qFormat/>
    <w:uiPriority w:val="0"/>
    <w:pPr>
      <w:widowControl/>
      <w:spacing w:line="560" w:lineRule="atLeast"/>
      <w:ind w:firstLine="420" w:firstLineChars="0"/>
    </w:pPr>
    <w:rPr>
      <w:rFonts w:ascii="楷体_GB2312" w:hAnsi="宋体" w:eastAsia="楷体_GB2312" w:cs="宋体"/>
      <w:kern w:val="0"/>
    </w:rPr>
  </w:style>
  <w:style w:type="paragraph" w:customStyle="1" w:styleId="2705">
    <w:name w:val="1 Char Char Char Char Char Char Char"/>
    <w:basedOn w:val="1"/>
    <w:semiHidden/>
    <w:qFormat/>
    <w:uiPriority w:val="0"/>
    <w:pPr>
      <w:adjustRightInd w:val="0"/>
      <w:spacing w:line="360" w:lineRule="atLeast"/>
      <w:ind w:firstLine="0" w:firstLineChars="0"/>
    </w:pPr>
    <w:rPr>
      <w:rFonts w:ascii="宋体" w:eastAsia="宋体"/>
      <w:szCs w:val="24"/>
    </w:rPr>
  </w:style>
  <w:style w:type="paragraph" w:customStyle="1" w:styleId="2706">
    <w:name w:val="xl156"/>
    <w:basedOn w:val="1"/>
    <w:qFormat/>
    <w:uiPriority w:val="0"/>
    <w:pPr>
      <w:widowControl/>
      <w:pBdr>
        <w:left w:val="single" w:color="auto" w:sz="4" w:space="0"/>
        <w:right w:val="single" w:color="auto" w:sz="4" w:space="0"/>
      </w:pBdr>
      <w:spacing w:before="100" w:beforeAutospacing="1" w:after="100" w:afterAutospacing="1" w:line="240" w:lineRule="auto"/>
      <w:ind w:firstLine="0" w:firstLineChars="0"/>
      <w:jc w:val="center"/>
    </w:pPr>
    <w:rPr>
      <w:rFonts w:ascii="黑体" w:hAnsi="宋体" w:eastAsia="黑体" w:cs="宋体"/>
      <w:kern w:val="0"/>
      <w:sz w:val="20"/>
      <w:szCs w:val="20"/>
    </w:rPr>
  </w:style>
  <w:style w:type="paragraph" w:customStyle="1" w:styleId="2707">
    <w:name w:val="xl195"/>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24"/>
      <w:szCs w:val="24"/>
    </w:rPr>
  </w:style>
  <w:style w:type="paragraph" w:customStyle="1" w:styleId="2708">
    <w:name w:val="font18"/>
    <w:basedOn w:val="1"/>
    <w:qFormat/>
    <w:uiPriority w:val="0"/>
    <w:pPr>
      <w:widowControl/>
      <w:spacing w:before="100" w:beforeAutospacing="1" w:after="100" w:afterAutospacing="1" w:line="240" w:lineRule="auto"/>
      <w:ind w:firstLine="0" w:firstLineChars="0"/>
      <w:jc w:val="left"/>
    </w:pPr>
    <w:rPr>
      <w:rFonts w:ascii="Times New Roman" w:eastAsia="宋体"/>
      <w:color w:val="000000"/>
      <w:kern w:val="0"/>
      <w:sz w:val="18"/>
      <w:szCs w:val="18"/>
    </w:rPr>
  </w:style>
  <w:style w:type="paragraph" w:customStyle="1" w:styleId="2709">
    <w:name w:val="表字小五"/>
    <w:basedOn w:val="1"/>
    <w:qFormat/>
    <w:uiPriority w:val="0"/>
    <w:pPr>
      <w:autoSpaceDE w:val="0"/>
      <w:autoSpaceDN w:val="0"/>
      <w:adjustRightInd w:val="0"/>
      <w:snapToGrid w:val="0"/>
      <w:spacing w:beforeLines="10" w:afterLines="10" w:line="240" w:lineRule="auto"/>
      <w:ind w:firstLine="0" w:firstLineChars="0"/>
      <w:jc w:val="center"/>
      <w:textAlignment w:val="bottom"/>
    </w:pPr>
    <w:rPr>
      <w:rFonts w:ascii="Times New Roman" w:eastAsia="宋体"/>
      <w:kern w:val="0"/>
      <w:sz w:val="18"/>
      <w:szCs w:val="18"/>
      <w:u w:val="none" w:color="000000"/>
    </w:rPr>
  </w:style>
  <w:style w:type="paragraph" w:customStyle="1" w:styleId="2710">
    <w:name w:val="章"/>
    <w:basedOn w:val="1"/>
    <w:qFormat/>
    <w:uiPriority w:val="0"/>
    <w:pPr>
      <w:spacing w:beforeLines="100" w:afterLines="50" w:line="600" w:lineRule="exact"/>
      <w:ind w:firstLine="0" w:firstLineChars="0"/>
      <w:jc w:val="center"/>
    </w:pPr>
    <w:rPr>
      <w:rFonts w:ascii="黑体" w:eastAsia="黑体"/>
      <w:b/>
      <w:sz w:val="36"/>
      <w:szCs w:val="20"/>
    </w:rPr>
  </w:style>
  <w:style w:type="paragraph" w:customStyle="1" w:styleId="2711">
    <w:name w:val="xl275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Times New Roman" w:eastAsia="宋体"/>
      <w:kern w:val="0"/>
      <w:sz w:val="20"/>
      <w:szCs w:val="20"/>
    </w:rPr>
  </w:style>
  <w:style w:type="paragraph" w:customStyle="1" w:styleId="2712">
    <w:name w:val="xl625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Times New Roman" w:eastAsia="宋体"/>
      <w:kern w:val="0"/>
      <w:sz w:val="20"/>
      <w:szCs w:val="20"/>
    </w:rPr>
  </w:style>
  <w:style w:type="paragraph" w:customStyle="1" w:styleId="2713">
    <w:name w:val="表格001"/>
    <w:basedOn w:val="1"/>
    <w:qFormat/>
    <w:uiPriority w:val="0"/>
    <w:pPr>
      <w:spacing w:line="240" w:lineRule="auto"/>
      <w:ind w:firstLine="0" w:firstLineChars="0"/>
      <w:jc w:val="center"/>
    </w:pPr>
    <w:rPr>
      <w:rFonts w:ascii="Times New Roman" w:eastAsia="宋体"/>
      <w:sz w:val="24"/>
      <w:szCs w:val="21"/>
    </w:rPr>
  </w:style>
  <w:style w:type="paragraph" w:customStyle="1" w:styleId="2714">
    <w:name w:val="3级标题"/>
    <w:basedOn w:val="7"/>
    <w:qFormat/>
    <w:uiPriority w:val="0"/>
    <w:pPr>
      <w:jc w:val="left"/>
    </w:pPr>
    <w:rPr>
      <w:rFonts w:ascii="Arial"/>
      <w:bCs w:val="0"/>
      <w:lang w:val="en-US" w:eastAsia="zh-CN"/>
    </w:rPr>
  </w:style>
  <w:style w:type="paragraph" w:customStyle="1" w:styleId="2715">
    <w:name w:val="封面主标题"/>
    <w:basedOn w:val="1"/>
    <w:qFormat/>
    <w:uiPriority w:val="0"/>
    <w:pPr>
      <w:spacing w:line="305" w:lineRule="auto"/>
      <w:jc w:val="center"/>
      <w:textAlignment w:val="baseline"/>
    </w:pPr>
    <w:rPr>
      <w:rFonts w:ascii="Times New Roman" w:eastAsia="长城新魏碑体"/>
      <w:kern w:val="0"/>
      <w:sz w:val="48"/>
      <w:szCs w:val="20"/>
    </w:rPr>
  </w:style>
  <w:style w:type="paragraph" w:customStyle="1" w:styleId="2716">
    <w:name w:val="样式 样式 样式 (西文) 仿宋_GB2312 (中文) 仿宋_GB2312 (符号) Times New Roman 四号 行..."/>
    <w:basedOn w:val="1"/>
    <w:qFormat/>
    <w:uiPriority w:val="0"/>
    <w:rPr>
      <w:rFonts w:cs="宋体"/>
      <w:kern w:val="0"/>
      <w:szCs w:val="20"/>
    </w:rPr>
  </w:style>
  <w:style w:type="paragraph" w:customStyle="1" w:styleId="2717">
    <w:name w:val="8.1.1b Char"/>
    <w:next w:val="2643"/>
    <w:qFormat/>
    <w:uiPriority w:val="0"/>
    <w:pPr>
      <w:snapToGrid w:val="0"/>
      <w:spacing w:beforeLines="50" w:afterLines="50"/>
    </w:pPr>
    <w:rPr>
      <w:rFonts w:ascii="Times New Roman" w:hAnsi="Times New Roman" w:eastAsia="华文中宋" w:cs="Times New Roman"/>
      <w:b/>
      <w:kern w:val="2"/>
      <w:sz w:val="28"/>
      <w:szCs w:val="28"/>
      <w:lang w:val="en-US" w:eastAsia="zh-CN" w:bidi="ar-SA"/>
    </w:rPr>
  </w:style>
  <w:style w:type="paragraph" w:customStyle="1" w:styleId="2718">
    <w:name w:val="样式 样式 标3 + Arial 首行缩进:  0.99 厘米 行距: 固定值 28 磅 + Times New Roman"/>
    <w:basedOn w:val="2719"/>
    <w:qFormat/>
    <w:uiPriority w:val="0"/>
    <w:pPr>
      <w:tabs>
        <w:tab w:val="left" w:pos="567"/>
      </w:tabs>
      <w:ind w:left="0" w:firstLine="200" w:firstLineChars="200"/>
      <w:jc w:val="left"/>
    </w:pPr>
  </w:style>
  <w:style w:type="paragraph" w:customStyle="1" w:styleId="2719">
    <w:name w:val="样式 标3 + Arial 首行缩进:  0.99 厘米 行距: 固定值 28 磅"/>
    <w:basedOn w:val="2658"/>
    <w:qFormat/>
    <w:uiPriority w:val="0"/>
    <w:pPr>
      <w:adjustRightInd w:val="0"/>
      <w:snapToGrid w:val="0"/>
      <w:spacing w:beforeLines="0" w:afterLines="0" w:line="560" w:lineRule="exact"/>
      <w:outlineLvl w:val="2"/>
    </w:pPr>
    <w:rPr>
      <w:rFonts w:ascii="Arial" w:eastAsia="方正小标宋_GBK" w:cs="宋体"/>
      <w:bCs w:val="0"/>
      <w:szCs w:val="20"/>
    </w:rPr>
  </w:style>
  <w:style w:type="paragraph" w:customStyle="1" w:styleId="2720">
    <w:name w:val="小表文"/>
    <w:basedOn w:val="1"/>
    <w:qFormat/>
    <w:uiPriority w:val="0"/>
    <w:pPr>
      <w:autoSpaceDE w:val="0"/>
      <w:autoSpaceDN w:val="0"/>
      <w:adjustRightInd w:val="0"/>
      <w:spacing w:before="20" w:line="240" w:lineRule="auto"/>
      <w:ind w:firstLine="0" w:firstLineChars="0"/>
      <w:textAlignment w:val="baseline"/>
    </w:pPr>
    <w:rPr>
      <w:rFonts w:ascii="Times New Roman" w:eastAsia="宋体"/>
      <w:kern w:val="0"/>
      <w:sz w:val="18"/>
      <w:szCs w:val="20"/>
    </w:rPr>
  </w:style>
  <w:style w:type="paragraph" w:customStyle="1" w:styleId="2721">
    <w:name w:val=" Char1"/>
    <w:basedOn w:val="1"/>
    <w:qFormat/>
    <w:uiPriority w:val="0"/>
    <w:pPr>
      <w:spacing w:line="240" w:lineRule="auto"/>
      <w:ind w:firstLine="0" w:firstLineChars="0"/>
    </w:pPr>
    <w:rPr>
      <w:rFonts w:ascii="Arial" w:hAnsi="Arial" w:cs="Arial"/>
      <w:sz w:val="20"/>
      <w:szCs w:val="20"/>
    </w:rPr>
  </w:style>
  <w:style w:type="paragraph" w:customStyle="1" w:styleId="2722">
    <w:name w:val="Char3 Char Char Char"/>
    <w:basedOn w:val="1"/>
    <w:qFormat/>
    <w:uiPriority w:val="0"/>
    <w:pPr>
      <w:spacing w:after="160" w:line="240" w:lineRule="exact"/>
    </w:pPr>
    <w:rPr>
      <w:rFonts w:ascii="Verdana" w:hAnsi="Verdana" w:eastAsia="宋体" w:cs="Verdana"/>
      <w:sz w:val="20"/>
      <w:szCs w:val="20"/>
      <w:lang w:eastAsia="en-US"/>
    </w:rPr>
  </w:style>
  <w:style w:type="paragraph" w:customStyle="1" w:styleId="2723">
    <w:name w:val="BM"/>
    <w:basedOn w:val="1"/>
    <w:qFormat/>
    <w:uiPriority w:val="0"/>
    <w:pPr>
      <w:spacing w:after="60" w:line="480" w:lineRule="exact"/>
      <w:ind w:firstLine="100" w:firstLineChars="100"/>
      <w:jc w:val="left"/>
    </w:pPr>
    <w:rPr>
      <w:rFonts w:ascii="黑体" w:hAnsi="宋体" w:eastAsia="黑体"/>
      <w:spacing w:val="1"/>
      <w:kern w:val="0"/>
      <w:sz w:val="24"/>
      <w:szCs w:val="20"/>
      <w:u w:val="none" w:color="000000"/>
    </w:rPr>
  </w:style>
  <w:style w:type="paragraph" w:customStyle="1" w:styleId="2724">
    <w:name w:val="1.1.1.1.1"/>
    <w:basedOn w:val="1"/>
    <w:qFormat/>
    <w:uiPriority w:val="0"/>
    <w:pPr>
      <w:spacing w:line="240" w:lineRule="auto"/>
      <w:ind w:firstLine="482"/>
      <w:outlineLvl w:val="4"/>
    </w:pPr>
    <w:rPr>
      <w:rFonts w:ascii="Times New Roman" w:eastAsia="宋体"/>
      <w:b/>
      <w:sz w:val="24"/>
      <w:szCs w:val="24"/>
    </w:rPr>
  </w:style>
  <w:style w:type="paragraph" w:customStyle="1" w:styleId="2725">
    <w:name w:val="xl2813"/>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textAlignment w:val="center"/>
    </w:pPr>
    <w:rPr>
      <w:rFonts w:ascii="宋体" w:hAnsi="宋体" w:eastAsia="宋体" w:cs="宋体"/>
      <w:kern w:val="0"/>
      <w:sz w:val="24"/>
      <w:szCs w:val="24"/>
    </w:rPr>
  </w:style>
  <w:style w:type="paragraph" w:customStyle="1" w:styleId="2726">
    <w:name w:val="样式 样式 正文1 + 首行缩进:  1 字符 段后: 0.5 行 + 首行缩进:  2 字符"/>
    <w:basedOn w:val="1264"/>
    <w:qFormat/>
    <w:uiPriority w:val="0"/>
  </w:style>
  <w:style w:type="paragraph" w:customStyle="1" w:styleId="2727">
    <w:name w:val="Char Char Char Char Char Char1 Char Char Char Char"/>
    <w:basedOn w:val="1"/>
    <w:qFormat/>
    <w:uiPriority w:val="0"/>
    <w:pPr>
      <w:widowControl/>
      <w:jc w:val="left"/>
    </w:pPr>
    <w:rPr>
      <w:rFonts w:cs="仿宋_GB2312"/>
      <w:kern w:val="0"/>
      <w:u w:val="none" w:color="000000"/>
      <w:lang w:val="zh-CN"/>
    </w:rPr>
  </w:style>
  <w:style w:type="paragraph" w:customStyle="1" w:styleId="2728">
    <w:name w:val="样式 小四 黑色 行距: 单倍行距"/>
    <w:basedOn w:val="1"/>
    <w:qFormat/>
    <w:uiPriority w:val="0"/>
    <w:pPr>
      <w:adjustRightInd w:val="0"/>
      <w:snapToGrid w:val="0"/>
      <w:spacing w:line="240" w:lineRule="auto"/>
      <w:ind w:firstLine="0" w:firstLineChars="0"/>
    </w:pPr>
    <w:rPr>
      <w:rFonts w:ascii="Times New Roman" w:eastAsia="宋体"/>
      <w:snapToGrid w:val="0"/>
      <w:color w:val="000000"/>
      <w:kern w:val="0"/>
      <w:sz w:val="24"/>
      <w:szCs w:val="24"/>
    </w:rPr>
  </w:style>
  <w:style w:type="paragraph" w:customStyle="1" w:styleId="2729">
    <w:name w:val="Char Char Char Char Char Char Char Char Char Char Char Char Char Char Char Char Char Char Char"/>
    <w:basedOn w:val="1"/>
    <w:qFormat/>
    <w:uiPriority w:val="0"/>
    <w:pPr>
      <w:spacing w:line="240" w:lineRule="auto"/>
      <w:ind w:firstLine="0" w:firstLineChars="0"/>
    </w:pPr>
    <w:rPr>
      <w:rFonts w:ascii="Times New Roman" w:eastAsia="宋体"/>
      <w:sz w:val="21"/>
      <w:szCs w:val="24"/>
    </w:rPr>
  </w:style>
  <w:style w:type="paragraph" w:customStyle="1" w:styleId="2730">
    <w:name w:val="样式 表文 + 两端对齐"/>
    <w:basedOn w:val="989"/>
    <w:qFormat/>
    <w:uiPriority w:val="0"/>
    <w:pPr>
      <w:ind w:firstLine="200" w:firstLineChars="200"/>
      <w:jc w:val="both"/>
    </w:pPr>
    <w:rPr>
      <w:rFonts w:eastAsia="华文中宋"/>
      <w:snapToGrid/>
      <w:kern w:val="2"/>
    </w:rPr>
  </w:style>
  <w:style w:type="paragraph" w:customStyle="1" w:styleId="2731">
    <w:name w:val="style19"/>
    <w:basedOn w:val="1"/>
    <w:qFormat/>
    <w:uiPriority w:val="0"/>
    <w:pPr>
      <w:widowControl/>
      <w:spacing w:before="100" w:beforeAutospacing="1" w:after="100" w:afterAutospacing="1" w:line="240" w:lineRule="auto"/>
      <w:ind w:firstLine="0" w:firstLineChars="0"/>
      <w:jc w:val="left"/>
    </w:pPr>
    <w:rPr>
      <w:rFonts w:ascii="宋体" w:hAnsi="宋体" w:eastAsia="宋体"/>
      <w:color w:val="333333"/>
      <w:kern w:val="0"/>
      <w:sz w:val="22"/>
      <w:szCs w:val="22"/>
    </w:rPr>
  </w:style>
  <w:style w:type="paragraph" w:customStyle="1" w:styleId="2732">
    <w:name w:val="样式 标题1 + Times New Roman"/>
    <w:basedOn w:val="1"/>
    <w:qFormat/>
    <w:uiPriority w:val="0"/>
    <w:pPr>
      <w:snapToGrid w:val="0"/>
      <w:spacing w:before="240" w:after="240"/>
      <w:ind w:firstLine="0" w:firstLineChars="0"/>
      <w:jc w:val="left"/>
      <w:outlineLvl w:val="0"/>
    </w:pPr>
    <w:rPr>
      <w:rFonts w:ascii="Arial" w:hAnsi="Arial" w:eastAsia="黑体"/>
      <w:sz w:val="36"/>
      <w:szCs w:val="36"/>
    </w:rPr>
  </w:style>
  <w:style w:type="paragraph" w:customStyle="1" w:styleId="2733">
    <w:name w:val="xl93"/>
    <w:basedOn w:val="1"/>
    <w:qFormat/>
    <w:uiPriority w:val="0"/>
    <w:pPr>
      <w:widowControl/>
      <w:pBdr>
        <w:left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18"/>
      <w:szCs w:val="18"/>
    </w:rPr>
  </w:style>
  <w:style w:type="paragraph" w:customStyle="1" w:styleId="2734">
    <w:name w:val="xl228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Times New Roman" w:eastAsia="宋体"/>
      <w:kern w:val="0"/>
      <w:sz w:val="20"/>
      <w:szCs w:val="20"/>
    </w:rPr>
  </w:style>
  <w:style w:type="paragraph" w:customStyle="1" w:styleId="2735">
    <w:name w:val="样式 样式11 + 居中 行距: 固定值 15 磅"/>
    <w:basedOn w:val="1"/>
    <w:qFormat/>
    <w:uiPriority w:val="0"/>
    <w:pPr>
      <w:adjustRightInd w:val="0"/>
      <w:spacing w:line="300" w:lineRule="exact"/>
      <w:ind w:firstLine="0" w:firstLineChars="0"/>
      <w:jc w:val="center"/>
      <w:textAlignment w:val="baseline"/>
    </w:pPr>
    <w:rPr>
      <w:rFonts w:ascii="Times New Roman" w:eastAsia="宋体"/>
      <w:color w:val="000000"/>
      <w:sz w:val="21"/>
      <w:szCs w:val="20"/>
    </w:rPr>
  </w:style>
  <w:style w:type="paragraph" w:customStyle="1" w:styleId="2736">
    <w:name w:val="xl45352"/>
    <w:basedOn w:val="1"/>
    <w:qFormat/>
    <w:uiPriority w:val="0"/>
    <w:pPr>
      <w:widowControl/>
      <w:shd w:val="clear" w:color="000000" w:fill="FFFFFF"/>
      <w:spacing w:before="100" w:beforeAutospacing="1" w:after="100" w:afterAutospacing="1" w:line="240" w:lineRule="auto"/>
      <w:ind w:firstLine="0" w:firstLineChars="0"/>
      <w:jc w:val="left"/>
    </w:pPr>
    <w:rPr>
      <w:rFonts w:ascii="宋体" w:hAnsi="宋体" w:eastAsia="宋体" w:cs="宋体"/>
      <w:color w:val="FF0000"/>
      <w:kern w:val="0"/>
      <w:sz w:val="24"/>
      <w:szCs w:val="24"/>
    </w:rPr>
  </w:style>
  <w:style w:type="paragraph" w:customStyle="1" w:styleId="2737">
    <w:name w:val="xl136"/>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20"/>
      <w:szCs w:val="20"/>
    </w:rPr>
  </w:style>
  <w:style w:type="paragraph" w:customStyle="1" w:styleId="2738">
    <w:name w:val="样式 目录 1 + 首行缩进:  2 字符"/>
    <w:basedOn w:val="59"/>
    <w:qFormat/>
    <w:uiPriority w:val="0"/>
    <w:pPr>
      <w:tabs>
        <w:tab w:val="right" w:leader="dot" w:pos="9061"/>
      </w:tabs>
      <w:spacing w:before="100" w:beforeAutospacing="1" w:after="100" w:afterAutospacing="1" w:line="500" w:lineRule="exact"/>
      <w:jc w:val="left"/>
    </w:pPr>
    <w:rPr>
      <w:rFonts w:ascii="Calibri" w:hAnsi="Calibri" w:eastAsia="宋体" w:cs="宋体"/>
      <w:b/>
      <w:bCs/>
      <w:caps/>
      <w:sz w:val="20"/>
      <w:szCs w:val="20"/>
    </w:rPr>
  </w:style>
  <w:style w:type="paragraph" w:customStyle="1" w:styleId="2739">
    <w:name w:val="Char12"/>
    <w:basedOn w:val="1"/>
    <w:qFormat/>
    <w:uiPriority w:val="0"/>
    <w:pPr>
      <w:widowControl/>
      <w:jc w:val="left"/>
    </w:pPr>
    <w:rPr>
      <w:kern w:val="0"/>
      <w:u w:val="none" w:color="000000"/>
    </w:rPr>
  </w:style>
  <w:style w:type="paragraph" w:customStyle="1" w:styleId="2740">
    <w:name w:val="xl1605"/>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textAlignment w:val="center"/>
    </w:pPr>
    <w:rPr>
      <w:rFonts w:ascii="Times New Roman" w:eastAsia="宋体"/>
      <w:color w:val="000000"/>
      <w:kern w:val="0"/>
      <w:sz w:val="24"/>
      <w:szCs w:val="24"/>
    </w:rPr>
  </w:style>
  <w:style w:type="paragraph" w:customStyle="1" w:styleId="2741">
    <w:name w:val="标 题 二"/>
    <w:basedOn w:val="5"/>
    <w:qFormat/>
    <w:uiPriority w:val="0"/>
    <w:pPr>
      <w:keepNext/>
      <w:keepLines/>
      <w:spacing w:before="0" w:after="0"/>
      <w:jc w:val="left"/>
    </w:pPr>
    <w:rPr>
      <w:bCs w:val="0"/>
      <w:snapToGrid w:val="0"/>
      <w:szCs w:val="20"/>
    </w:rPr>
  </w:style>
  <w:style w:type="paragraph" w:customStyle="1" w:styleId="2742">
    <w:name w:val="xl63"/>
    <w:basedOn w:val="1"/>
    <w:qFormat/>
    <w:uiPriority w:val="0"/>
    <w:pPr>
      <w:widowControl/>
      <w:spacing w:before="100" w:beforeAutospacing="1" w:after="100" w:afterAutospacing="1" w:line="240" w:lineRule="auto"/>
      <w:ind w:firstLine="0" w:firstLineChars="0"/>
      <w:jc w:val="center"/>
    </w:pPr>
    <w:rPr>
      <w:rFonts w:ascii="宋体" w:hAnsi="宋体" w:eastAsia="宋体" w:cs="宋体"/>
      <w:kern w:val="0"/>
      <w:sz w:val="24"/>
      <w:szCs w:val="24"/>
    </w:rPr>
  </w:style>
  <w:style w:type="paragraph" w:customStyle="1" w:styleId="2743">
    <w:name w:val="Char2 Char Char Char Char Char Char"/>
    <w:basedOn w:val="1"/>
    <w:qFormat/>
    <w:uiPriority w:val="0"/>
    <w:pPr>
      <w:autoSpaceDE w:val="0"/>
      <w:autoSpaceDN w:val="0"/>
      <w:adjustRightInd w:val="0"/>
      <w:snapToGrid w:val="0"/>
      <w:spacing w:line="500" w:lineRule="exact"/>
      <w:ind w:firstLine="560"/>
    </w:pPr>
    <w:rPr>
      <w:rFonts w:ascii="Times New Roman"/>
      <w:color w:val="000000"/>
      <w:kern w:val="0"/>
      <w:szCs w:val="24"/>
      <w:u w:val="none" w:color="000000"/>
    </w:rPr>
  </w:style>
  <w:style w:type="paragraph" w:customStyle="1" w:styleId="2744">
    <w:name w:val="xl1599"/>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pPr>
    <w:rPr>
      <w:rFonts w:ascii="Times New Roman" w:eastAsia="宋体"/>
      <w:color w:val="FF0000"/>
      <w:kern w:val="0"/>
      <w:sz w:val="24"/>
      <w:szCs w:val="24"/>
    </w:rPr>
  </w:style>
  <w:style w:type="paragraph" w:customStyle="1" w:styleId="2745">
    <w:name w:val="标准正文c"/>
    <w:basedOn w:val="1"/>
    <w:qFormat/>
    <w:uiPriority w:val="0"/>
    <w:pPr>
      <w:spacing w:line="300" w:lineRule="exact"/>
      <w:ind w:firstLine="0" w:firstLineChars="0"/>
      <w:jc w:val="center"/>
    </w:pPr>
    <w:rPr>
      <w:rFonts w:ascii="Times New Roman"/>
      <w:color w:val="000000"/>
      <w:sz w:val="18"/>
    </w:rPr>
  </w:style>
  <w:style w:type="paragraph" w:customStyle="1" w:styleId="2746">
    <w:name w:val="样式 样式 表中文字 + (中文) 楷体_GB2312 五号 + Calibri2"/>
    <w:basedOn w:val="1375"/>
    <w:qFormat/>
    <w:uiPriority w:val="0"/>
    <w:pPr>
      <w:ind w:firstLine="0" w:firstLineChars="0"/>
    </w:pPr>
    <w:rPr>
      <w:rFonts w:ascii="Calibri" w:hAnsi="Calibri"/>
    </w:rPr>
  </w:style>
  <w:style w:type="paragraph" w:customStyle="1" w:styleId="2747">
    <w:name w:val="样式 (中文) 黑体 小一 居中 行距: 多倍行距 1.28 字行"/>
    <w:basedOn w:val="1"/>
    <w:qFormat/>
    <w:uiPriority w:val="0"/>
    <w:pPr>
      <w:spacing w:line="307" w:lineRule="auto"/>
      <w:ind w:firstLine="0" w:firstLineChars="0"/>
      <w:jc w:val="center"/>
    </w:pPr>
    <w:rPr>
      <w:rFonts w:ascii="Times New Roman" w:eastAsia="华文宋体" w:cs="宋体"/>
      <w:spacing w:val="10"/>
      <w:kern w:val="0"/>
      <w:sz w:val="48"/>
      <w:szCs w:val="20"/>
    </w:rPr>
  </w:style>
  <w:style w:type="paragraph" w:customStyle="1" w:styleId="2748">
    <w:name w:val="样式 样式38 + 首行缩进:  2 字符1"/>
    <w:basedOn w:val="1"/>
    <w:qFormat/>
    <w:uiPriority w:val="0"/>
    <w:pPr>
      <w:adjustRightInd w:val="0"/>
      <w:ind w:firstLine="576"/>
      <w:textAlignment w:val="baseline"/>
    </w:pPr>
    <w:rPr>
      <w:rFonts w:cs="宋体"/>
      <w:kern w:val="0"/>
      <w:szCs w:val="20"/>
    </w:rPr>
  </w:style>
  <w:style w:type="paragraph" w:customStyle="1" w:styleId="2749">
    <w:name w:val="样式 样式 标题 4 + 段前: 0.5 行 段后: 0.5 行 + 段前: 7.8 磅 段后: 7.8 磅1"/>
    <w:basedOn w:val="1703"/>
    <w:qFormat/>
    <w:uiPriority w:val="0"/>
    <w:rPr>
      <w:szCs w:val="20"/>
    </w:rPr>
  </w:style>
  <w:style w:type="paragraph" w:customStyle="1" w:styleId="2750">
    <w:name w:val="xl39"/>
    <w:basedOn w:val="1"/>
    <w:qFormat/>
    <w:uiPriority w:val="0"/>
    <w:pPr>
      <w:widowControl/>
      <w:pBdr>
        <w:top w:val="single" w:color="auto" w:sz="4" w:space="0"/>
        <w:right w:val="single" w:color="auto" w:sz="4" w:space="0"/>
      </w:pBdr>
      <w:spacing w:before="100" w:beforeAutospacing="1" w:after="100" w:afterAutospacing="1" w:line="240" w:lineRule="auto"/>
      <w:jc w:val="center"/>
      <w:textAlignment w:val="center"/>
    </w:pPr>
    <w:rPr>
      <w:rFonts w:ascii="Arial Unicode MS" w:hAnsi="Arial Unicode MS" w:eastAsia="Arial Unicode MS" w:cs="Arial Unicode MS"/>
      <w:kern w:val="0"/>
      <w:sz w:val="24"/>
      <w:szCs w:val="24"/>
    </w:rPr>
  </w:style>
  <w:style w:type="paragraph" w:customStyle="1" w:styleId="2751">
    <w:name w:val="目录3"/>
    <w:basedOn w:val="1"/>
    <w:qFormat/>
    <w:uiPriority w:val="0"/>
    <w:pPr>
      <w:tabs>
        <w:tab w:val="left" w:pos="720"/>
      </w:tabs>
      <w:adjustRightInd w:val="0"/>
      <w:snapToGrid w:val="0"/>
      <w:spacing w:beforeLines="50" w:line="360" w:lineRule="auto"/>
      <w:ind w:left="720" w:hanging="720" w:firstLineChars="0"/>
    </w:pPr>
    <w:rPr>
      <w:rFonts w:ascii="宋体" w:eastAsia="宋体"/>
      <w:sz w:val="24"/>
      <w:szCs w:val="24"/>
    </w:rPr>
  </w:style>
  <w:style w:type="paragraph" w:customStyle="1" w:styleId="2752">
    <w:name w:val="标标2"/>
    <w:basedOn w:val="4"/>
    <w:next w:val="2023"/>
    <w:qFormat/>
    <w:uiPriority w:val="0"/>
    <w:pPr>
      <w:keepNext/>
      <w:keepLines/>
      <w:tabs>
        <w:tab w:val="left" w:pos="8080"/>
      </w:tabs>
      <w:spacing w:before="240" w:beforeLines="100" w:after="240" w:afterLines="100" w:line="240" w:lineRule="auto"/>
      <w:jc w:val="left"/>
      <w:outlineLvl w:val="1"/>
    </w:pPr>
    <w:rPr>
      <w:rFonts w:ascii="仿宋_GB2312" w:hAnsi="宋体"/>
      <w:bCs w:val="0"/>
      <w:color w:val="000000"/>
      <w:sz w:val="32"/>
      <w:szCs w:val="44"/>
      <w:lang w:val="en-US" w:eastAsia="zh-CN"/>
    </w:rPr>
  </w:style>
  <w:style w:type="paragraph" w:customStyle="1" w:styleId="2753">
    <w:name w:val="xl224"/>
    <w:basedOn w:val="1"/>
    <w:qFormat/>
    <w:uiPriority w:val="0"/>
    <w:pPr>
      <w:widowControl/>
      <w:pBdr>
        <w:top w:val="single" w:color="auto" w:sz="4" w:space="0"/>
        <w:left w:val="single" w:color="auto" w:sz="4" w:space="0"/>
        <w:bottom w:val="single" w:color="auto" w:sz="4" w:space="0"/>
        <w:right w:val="single" w:color="auto" w:sz="4" w:space="0"/>
      </w:pBdr>
      <w:adjustRightInd w:val="0"/>
      <w:snapToGrid w:val="0"/>
      <w:spacing w:before="100" w:beforeAutospacing="1" w:after="100" w:afterAutospacing="1" w:line="360" w:lineRule="auto"/>
      <w:ind w:firstLine="0" w:firstLineChars="0"/>
      <w:jc w:val="center"/>
    </w:pPr>
    <w:rPr>
      <w:rFonts w:ascii="Times New Roman" w:eastAsia="宋体"/>
      <w:kern w:val="0"/>
      <w:sz w:val="24"/>
      <w:szCs w:val="24"/>
    </w:rPr>
  </w:style>
  <w:style w:type="paragraph" w:customStyle="1" w:styleId="2754">
    <w:name w:val="xl510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Times New Roman" w:eastAsia="宋体"/>
      <w:kern w:val="0"/>
      <w:sz w:val="20"/>
      <w:szCs w:val="20"/>
    </w:rPr>
  </w:style>
  <w:style w:type="paragraph" w:customStyle="1" w:styleId="2755">
    <w:name w:val="xl163"/>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20"/>
      <w:szCs w:val="20"/>
    </w:rPr>
  </w:style>
  <w:style w:type="paragraph" w:customStyle="1" w:styleId="2756">
    <w:name w:val="xl1588"/>
    <w:basedOn w:val="1"/>
    <w:qFormat/>
    <w:uiPriority w:val="0"/>
    <w:pPr>
      <w:widowControl/>
      <w:spacing w:beforeLines="25" w:beforeAutospacing="1" w:after="100" w:afterAutospacing="1" w:line="240" w:lineRule="auto"/>
      <w:ind w:firstLine="0" w:firstLineChars="0"/>
      <w:jc w:val="left"/>
    </w:pPr>
    <w:rPr>
      <w:rFonts w:ascii="Times New Roman" w:eastAsia="宋体"/>
      <w:kern w:val="0"/>
      <w:sz w:val="24"/>
      <w:szCs w:val="24"/>
    </w:rPr>
  </w:style>
  <w:style w:type="paragraph" w:customStyle="1" w:styleId="2757">
    <w:name w:val="1 Char"/>
    <w:basedOn w:val="1"/>
    <w:qFormat/>
    <w:uiPriority w:val="0"/>
    <w:pPr>
      <w:spacing w:line="240" w:lineRule="auto"/>
      <w:ind w:firstLine="0" w:firstLineChars="0"/>
      <w:jc w:val="center"/>
    </w:pPr>
    <w:rPr>
      <w:rFonts w:ascii="Times New Roman" w:eastAsia="宋体"/>
      <w:szCs w:val="24"/>
    </w:rPr>
  </w:style>
  <w:style w:type="paragraph" w:customStyle="1" w:styleId="2758">
    <w:name w:val="xl5114"/>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Times New Roman" w:eastAsia="宋体"/>
      <w:kern w:val="0"/>
      <w:sz w:val="18"/>
      <w:szCs w:val="18"/>
    </w:rPr>
  </w:style>
  <w:style w:type="paragraph" w:customStyle="1" w:styleId="2759">
    <w:name w:val="样式 标题 3 + 段前: 0.5 行 段后: 0.5 行1"/>
    <w:basedOn w:val="7"/>
    <w:qFormat/>
    <w:uiPriority w:val="0"/>
    <w:pPr>
      <w:keepNext/>
      <w:keepLines/>
      <w:spacing w:before="260" w:beforeLines="50" w:after="260" w:afterLines="50" w:line="440" w:lineRule="exact"/>
    </w:pPr>
    <w:rPr>
      <w:rFonts w:ascii="Times New Roman" w:hAnsi="Times New Roman" w:eastAsia="华文中宋"/>
      <w:b/>
      <w:bCs w:val="0"/>
      <w:szCs w:val="20"/>
    </w:rPr>
  </w:style>
  <w:style w:type="paragraph" w:customStyle="1" w:styleId="2760">
    <w:name w:val="xl1596"/>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textAlignment w:val="center"/>
    </w:pPr>
    <w:rPr>
      <w:rFonts w:ascii="Times New Roman" w:eastAsia="宋体"/>
      <w:kern w:val="0"/>
      <w:sz w:val="24"/>
      <w:szCs w:val="24"/>
    </w:rPr>
  </w:style>
  <w:style w:type="paragraph" w:customStyle="1" w:styleId="2761">
    <w:name w:val="xl19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24"/>
      <w:szCs w:val="24"/>
    </w:rPr>
  </w:style>
  <w:style w:type="paragraph" w:customStyle="1" w:styleId="2762">
    <w:name w:val="xl275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Times New Roman" w:eastAsia="宋体"/>
      <w:kern w:val="0"/>
      <w:sz w:val="20"/>
      <w:szCs w:val="20"/>
    </w:rPr>
  </w:style>
  <w:style w:type="paragraph" w:customStyle="1" w:styleId="2763">
    <w:name w:val="朗达河正文"/>
    <w:basedOn w:val="1"/>
    <w:qFormat/>
    <w:uiPriority w:val="0"/>
    <w:pPr>
      <w:adjustRightInd w:val="0"/>
      <w:snapToGrid w:val="0"/>
      <w:spacing w:line="360" w:lineRule="auto"/>
    </w:pPr>
    <w:rPr>
      <w:rFonts w:ascii="Times New Roman" w:eastAsia="宋体" w:cs="宋体"/>
      <w:sz w:val="24"/>
      <w:szCs w:val="20"/>
    </w:rPr>
  </w:style>
  <w:style w:type="paragraph" w:customStyle="1" w:styleId="2764">
    <w:name w:val="xl45"/>
    <w:basedOn w:val="1"/>
    <w:qFormat/>
    <w:uiPriority w:val="0"/>
    <w:pPr>
      <w:widowControl/>
      <w:pBdr>
        <w:top w:val="single" w:color="auto" w:sz="4" w:space="0"/>
        <w:left w:val="single" w:color="auto" w:sz="4" w:space="0"/>
        <w:bottom w:val="single" w:color="auto" w:sz="8" w:space="0"/>
      </w:pBdr>
      <w:tabs>
        <w:tab w:val="left" w:pos="360"/>
      </w:tabs>
      <w:spacing w:before="100" w:beforeAutospacing="1" w:after="100" w:afterAutospacing="1" w:line="240" w:lineRule="auto"/>
      <w:ind w:firstLine="0" w:firstLineChars="0"/>
      <w:jc w:val="center"/>
      <w:textAlignment w:val="center"/>
    </w:pPr>
    <w:rPr>
      <w:rFonts w:ascii="Times New Roman" w:eastAsia="宋体"/>
      <w:kern w:val="0"/>
      <w:sz w:val="16"/>
      <w:szCs w:val="16"/>
    </w:rPr>
  </w:style>
  <w:style w:type="paragraph" w:customStyle="1" w:styleId="2765">
    <w:name w:val="ldl标题3"/>
    <w:basedOn w:val="84"/>
    <w:qFormat/>
    <w:uiPriority w:val="0"/>
    <w:pPr>
      <w:spacing w:before="240" w:after="60"/>
      <w:ind w:firstLine="0" w:firstLineChars="0"/>
      <w:outlineLvl w:val="2"/>
    </w:pPr>
    <w:rPr>
      <w:rFonts w:eastAsia="黑体" w:cs="Arial"/>
      <w:sz w:val="28"/>
      <w:szCs w:val="28"/>
    </w:rPr>
  </w:style>
  <w:style w:type="paragraph" w:customStyle="1" w:styleId="2766">
    <w:name w:val="表格bx"/>
    <w:basedOn w:val="1"/>
    <w:next w:val="1"/>
    <w:qFormat/>
    <w:uiPriority w:val="0"/>
    <w:pPr>
      <w:widowControl/>
      <w:spacing w:line="240" w:lineRule="auto"/>
      <w:ind w:firstLine="561" w:firstLineChars="0"/>
      <w:jc w:val="center"/>
    </w:pPr>
    <w:rPr>
      <w:rFonts w:ascii="Times New Roman" w:eastAsia="宋体"/>
      <w:kern w:val="0"/>
      <w:sz w:val="21"/>
      <w:szCs w:val="20"/>
    </w:rPr>
  </w:style>
  <w:style w:type="paragraph" w:customStyle="1" w:styleId="2767">
    <w:name w:val="样式 标题3 + (中文) 黑体 段前: 0.5 行 段后: 0.5 行 行距: 1.5 倍行距"/>
    <w:basedOn w:val="1"/>
    <w:qFormat/>
    <w:uiPriority w:val="0"/>
    <w:pPr>
      <w:numPr>
        <w:ilvl w:val="0"/>
        <w:numId w:val="5"/>
      </w:numPr>
      <w:tabs>
        <w:tab w:val="clear" w:pos="432"/>
      </w:tabs>
      <w:overflowPunct w:val="0"/>
      <w:topLinePunct/>
      <w:spacing w:line="360" w:lineRule="auto"/>
      <w:ind w:left="0" w:firstLine="0" w:firstLineChars="0"/>
      <w:outlineLvl w:val="2"/>
    </w:pPr>
    <w:rPr>
      <w:rFonts w:ascii="Times New Roman" w:eastAsia="黑体"/>
      <w:b/>
      <w:bCs/>
      <w:kern w:val="10"/>
    </w:rPr>
  </w:style>
  <w:style w:type="paragraph" w:customStyle="1" w:styleId="2768">
    <w:name w:val="样式9表格"/>
    <w:basedOn w:val="1"/>
    <w:next w:val="1"/>
    <w:qFormat/>
    <w:uiPriority w:val="0"/>
    <w:pPr>
      <w:spacing w:before="120" w:line="300" w:lineRule="auto"/>
      <w:ind w:firstLine="0" w:firstLineChars="0"/>
      <w:jc w:val="center"/>
    </w:pPr>
    <w:rPr>
      <w:rFonts w:ascii="Times New Roman" w:eastAsia="宋体"/>
      <w:sz w:val="21"/>
      <w:szCs w:val="20"/>
    </w:rPr>
  </w:style>
  <w:style w:type="paragraph" w:customStyle="1" w:styleId="2769">
    <w:name w:val="样式30"/>
    <w:basedOn w:val="1"/>
    <w:qFormat/>
    <w:uiPriority w:val="0"/>
    <w:pPr>
      <w:spacing w:line="240" w:lineRule="auto"/>
      <w:ind w:firstLine="480"/>
    </w:pPr>
    <w:rPr>
      <w:rFonts w:ascii="Times New Roman" w:eastAsia="宋体"/>
      <w:color w:val="000000"/>
      <w:sz w:val="24"/>
      <w:szCs w:val="24"/>
    </w:rPr>
  </w:style>
  <w:style w:type="paragraph" w:customStyle="1" w:styleId="2770">
    <w:name w:val="xl16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20"/>
      <w:szCs w:val="20"/>
    </w:rPr>
  </w:style>
  <w:style w:type="paragraph" w:customStyle="1" w:styleId="2771">
    <w:name w:val="Char Char Char1 Char Char Char1 Char Char Char Char Char Char1 Char Char Char1 Char1"/>
    <w:basedOn w:val="1"/>
    <w:semiHidden/>
    <w:qFormat/>
    <w:uiPriority w:val="0"/>
    <w:rPr>
      <w:kern w:val="0"/>
      <w:sz w:val="24"/>
      <w:u w:val="none" w:color="000000"/>
    </w:rPr>
  </w:style>
  <w:style w:type="paragraph" w:customStyle="1" w:styleId="2772">
    <w:name w:val="xl235"/>
    <w:basedOn w:val="1"/>
    <w:qFormat/>
    <w:uiPriority w:val="0"/>
    <w:pPr>
      <w:widowControl/>
      <w:pBdr>
        <w:top w:val="single" w:color="auto" w:sz="4" w:space="0"/>
        <w:left w:val="single" w:color="auto" w:sz="4" w:space="0"/>
        <w:bottom w:val="single" w:color="auto" w:sz="4" w:space="0"/>
        <w:right w:val="single" w:color="auto" w:sz="4" w:space="0"/>
      </w:pBdr>
      <w:adjustRightInd w:val="0"/>
      <w:snapToGrid w:val="0"/>
      <w:spacing w:before="100" w:beforeAutospacing="1" w:after="100" w:afterAutospacing="1" w:line="360" w:lineRule="auto"/>
      <w:ind w:firstLine="0" w:firstLineChars="0"/>
      <w:jc w:val="center"/>
    </w:pPr>
    <w:rPr>
      <w:rFonts w:ascii="宋体" w:hAnsi="宋体" w:eastAsia="宋体" w:cs="宋体"/>
      <w:kern w:val="0"/>
      <w:sz w:val="24"/>
      <w:szCs w:val="24"/>
    </w:rPr>
  </w:style>
  <w:style w:type="paragraph" w:customStyle="1" w:styleId="2773">
    <w:name w:val="样式 标题 2 + 黑体 四号 非加粗 左侧:  0.95 厘米 首行缩进:  0 厘米"/>
    <w:basedOn w:val="5"/>
    <w:semiHidden/>
    <w:qFormat/>
    <w:uiPriority w:val="0"/>
    <w:pPr>
      <w:keepNext/>
      <w:keepLines/>
      <w:numPr>
        <w:ilvl w:val="1"/>
        <w:numId w:val="0"/>
      </w:numPr>
      <w:tabs>
        <w:tab w:val="left" w:pos="266"/>
        <w:tab w:val="left" w:pos="567"/>
      </w:tabs>
      <w:spacing w:before="0" w:beforeLines="600" w:after="0" w:afterLines="600" w:line="360" w:lineRule="auto"/>
      <w:ind w:left="266" w:hanging="420"/>
    </w:pPr>
    <w:rPr>
      <w:rFonts w:ascii="黑体" w:cs="宋体"/>
      <w:b/>
      <w:bCs w:val="0"/>
      <w:szCs w:val="20"/>
    </w:rPr>
  </w:style>
  <w:style w:type="paragraph" w:customStyle="1" w:styleId="2774">
    <w:name w:val="样式 样式 样式 Times New Roman 首行缩进:  2 字符1 + 首行缩进:  2 字符 + 首行缩进:  2 字符"/>
    <w:basedOn w:val="1216"/>
    <w:qFormat/>
    <w:uiPriority w:val="0"/>
  </w:style>
  <w:style w:type="paragraph" w:customStyle="1" w:styleId="2775">
    <w:name w:val="Char Char Char Char Char Char Char Char Char Char Char Char Char Char Char Char Char Char Char Char Char Char Char Char Char Char1"/>
    <w:basedOn w:val="1"/>
    <w:semiHidden/>
    <w:qFormat/>
    <w:uiPriority w:val="0"/>
    <w:pPr>
      <w:widowControl/>
      <w:spacing w:after="160" w:line="240" w:lineRule="exact"/>
      <w:ind w:firstLine="0" w:firstLineChars="0"/>
      <w:jc w:val="left"/>
    </w:pPr>
    <w:rPr>
      <w:rFonts w:ascii="宋体" w:hAnsi="宋体" w:eastAsia="宋体"/>
      <w:spacing w:val="14"/>
      <w:kern w:val="0"/>
      <w:sz w:val="24"/>
      <w:szCs w:val="24"/>
      <w:u w:val="none" w:color="000000"/>
    </w:rPr>
  </w:style>
  <w:style w:type="paragraph" w:customStyle="1" w:styleId="2776">
    <w:name w:val="洞庭湖正文"/>
    <w:basedOn w:val="1"/>
    <w:qFormat/>
    <w:uiPriority w:val="0"/>
    <w:pPr>
      <w:spacing w:line="240" w:lineRule="auto"/>
      <w:ind w:firstLine="630" w:firstLineChars="225"/>
    </w:pPr>
    <w:rPr>
      <w:rFonts w:ascii="宋体" w:hAnsi="宋体" w:eastAsia="宋体"/>
      <w:kern w:val="0"/>
      <w:szCs w:val="24"/>
      <w:u w:val="none" w:color="000000"/>
    </w:rPr>
  </w:style>
  <w:style w:type="paragraph" w:customStyle="1" w:styleId="2777">
    <w:name w:val="xl20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b/>
      <w:bCs/>
      <w:kern w:val="0"/>
      <w:sz w:val="18"/>
      <w:szCs w:val="18"/>
    </w:rPr>
  </w:style>
  <w:style w:type="paragraph" w:customStyle="1" w:styleId="2778">
    <w:name w:val="样式 样式3 + 黑色"/>
    <w:basedOn w:val="1"/>
    <w:qFormat/>
    <w:uiPriority w:val="0"/>
    <w:pPr>
      <w:spacing w:beforeLines="50" w:afterLines="50" w:line="240" w:lineRule="auto"/>
      <w:ind w:firstLine="0" w:firstLineChars="0"/>
    </w:pPr>
    <w:rPr>
      <w:rFonts w:ascii="Times New Roman" w:eastAsia="华文中宋"/>
      <w:b/>
      <w:bCs/>
      <w:color w:val="000000"/>
    </w:rPr>
  </w:style>
  <w:style w:type="paragraph" w:customStyle="1" w:styleId="2779">
    <w:name w:val="样式 样式7 +"/>
    <w:basedOn w:val="1"/>
    <w:qFormat/>
    <w:uiPriority w:val="0"/>
    <w:pPr>
      <w:spacing w:line="240" w:lineRule="auto"/>
      <w:ind w:firstLine="420"/>
    </w:pPr>
    <w:rPr>
      <w:rFonts w:ascii="Times New Roman" w:eastAsia="华文中宋"/>
      <w:kern w:val="0"/>
      <w:sz w:val="21"/>
      <w:szCs w:val="21"/>
    </w:rPr>
  </w:style>
  <w:style w:type="paragraph" w:customStyle="1" w:styleId="2780">
    <w:name w:val="xl80"/>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Times New Roman" w:eastAsia="宋体"/>
      <w:kern w:val="0"/>
      <w:sz w:val="18"/>
      <w:szCs w:val="18"/>
    </w:rPr>
  </w:style>
  <w:style w:type="paragraph" w:customStyle="1" w:styleId="2781">
    <w:name w:val="图名01"/>
    <w:basedOn w:val="10"/>
    <w:qFormat/>
    <w:uiPriority w:val="0"/>
    <w:pPr>
      <w:keepNext w:val="0"/>
      <w:keepLines w:val="0"/>
      <w:widowControl w:val="0"/>
      <w:tabs>
        <w:tab w:val="left" w:pos="1152"/>
      </w:tabs>
      <w:adjustRightInd w:val="0"/>
      <w:snapToGrid w:val="0"/>
      <w:spacing w:before="0" w:after="0" w:line="560" w:lineRule="exact"/>
      <w:jc w:val="center"/>
      <w:outlineLvl w:val="9"/>
    </w:pPr>
    <w:rPr>
      <w:rFonts w:ascii="黑体" w:hAnsi="宋体"/>
      <w:b w:val="0"/>
      <w:kern w:val="2"/>
      <w:szCs w:val="24"/>
      <w:lang w:val="en-US" w:eastAsia="zh-CN"/>
    </w:rPr>
  </w:style>
  <w:style w:type="paragraph" w:customStyle="1" w:styleId="2782">
    <w:name w:val="1"/>
    <w:basedOn w:val="1"/>
    <w:next w:val="36"/>
    <w:qFormat/>
    <w:uiPriority w:val="0"/>
    <w:pPr>
      <w:spacing w:line="324" w:lineRule="auto"/>
      <w:ind w:firstLine="459" w:firstLineChars="0"/>
    </w:pPr>
    <w:rPr>
      <w:rFonts w:ascii="Times New Roman" w:eastAsia="宋体"/>
      <w:spacing w:val="15"/>
      <w:kern w:val="0"/>
      <w:sz w:val="24"/>
      <w:szCs w:val="20"/>
    </w:rPr>
  </w:style>
  <w:style w:type="paragraph" w:customStyle="1" w:styleId="2783">
    <w:name w:val="样式 样式 正文1 + 首行缩进:  2 字符2 + 首行缩进:  2 字符"/>
    <w:basedOn w:val="2407"/>
    <w:qFormat/>
    <w:uiPriority w:val="0"/>
    <w:pPr>
      <w:ind w:firstLine="200"/>
    </w:pPr>
    <w:rPr>
      <w:rFonts w:ascii="楷体_GB2312" w:eastAsia="楷体_GB2312"/>
      <w:sz w:val="28"/>
    </w:rPr>
  </w:style>
  <w:style w:type="paragraph" w:customStyle="1" w:styleId="2784">
    <w:name w:val="Char Char Char Char Char Char Char2"/>
    <w:basedOn w:val="1"/>
    <w:qFormat/>
    <w:uiPriority w:val="0"/>
    <w:pPr>
      <w:widowControl/>
      <w:spacing w:after="100" w:afterAutospacing="1" w:line="240" w:lineRule="exact"/>
      <w:ind w:firstLine="0" w:firstLineChars="0"/>
      <w:jc w:val="left"/>
    </w:pPr>
    <w:rPr>
      <w:rFonts w:ascii="Verdana" w:hAnsi="Verdana"/>
      <w:spacing w:val="14"/>
      <w:kern w:val="0"/>
      <w:sz w:val="24"/>
      <w:szCs w:val="20"/>
      <w:lang w:eastAsia="en-US"/>
    </w:rPr>
  </w:style>
  <w:style w:type="paragraph" w:customStyle="1" w:styleId="2785">
    <w:name w:val="1 Char Char Char Char Char Char"/>
    <w:basedOn w:val="1"/>
    <w:semiHidden/>
    <w:qFormat/>
    <w:uiPriority w:val="0"/>
    <w:pPr>
      <w:widowControl/>
      <w:spacing w:after="160" w:line="240" w:lineRule="exact"/>
      <w:ind w:firstLine="0" w:firstLineChars="0"/>
      <w:jc w:val="left"/>
    </w:pPr>
    <w:rPr>
      <w:rFonts w:ascii="Verdana" w:hAnsi="Verdana"/>
      <w:kern w:val="0"/>
      <w:sz w:val="24"/>
      <w:szCs w:val="20"/>
      <w:lang w:eastAsia="en-US"/>
    </w:rPr>
  </w:style>
  <w:style w:type="paragraph" w:customStyle="1" w:styleId="2786">
    <w:name w:val="MMQ"/>
    <w:basedOn w:val="1"/>
    <w:qFormat/>
    <w:uiPriority w:val="0"/>
    <w:pPr>
      <w:adjustRightInd w:val="0"/>
      <w:spacing w:before="60" w:after="60" w:line="360" w:lineRule="atLeast"/>
      <w:ind w:left="1560" w:firstLine="560"/>
      <w:textAlignment w:val="baseline"/>
    </w:pPr>
    <w:rPr>
      <w:rFonts w:ascii="宋体"/>
      <w:spacing w:val="5"/>
      <w:kern w:val="0"/>
      <w:sz w:val="24"/>
      <w:szCs w:val="20"/>
      <w:u w:val="none" w:color="000000"/>
    </w:rPr>
  </w:style>
  <w:style w:type="paragraph" w:customStyle="1" w:styleId="2787">
    <w:name w:val="xl45343"/>
    <w:basedOn w:val="1"/>
    <w:qFormat/>
    <w:uiPriority w:val="0"/>
    <w:pPr>
      <w:widowControl/>
      <w:pBdr>
        <w:top w:val="single" w:color="auto" w:sz="4" w:space="0"/>
        <w:bottom w:val="single" w:color="auto" w:sz="4" w:space="0"/>
      </w:pBdr>
      <w:spacing w:before="100" w:beforeAutospacing="1" w:after="100" w:afterAutospacing="1" w:line="240" w:lineRule="auto"/>
      <w:ind w:firstLine="0" w:firstLineChars="0"/>
      <w:jc w:val="left"/>
    </w:pPr>
    <w:rPr>
      <w:rFonts w:ascii="Times New Roman" w:eastAsia="宋体"/>
      <w:kern w:val="0"/>
      <w:sz w:val="20"/>
      <w:szCs w:val="20"/>
    </w:rPr>
  </w:style>
  <w:style w:type="paragraph" w:customStyle="1" w:styleId="2788">
    <w:name w:val="样式 样式14 + 段前: 0.5 行 段后: 0.5 行"/>
    <w:basedOn w:val="1"/>
    <w:qFormat/>
    <w:uiPriority w:val="0"/>
    <w:pPr>
      <w:spacing w:beforeLines="50" w:afterLines="50" w:line="240" w:lineRule="auto"/>
      <w:ind w:firstLine="0" w:firstLineChars="0"/>
    </w:pPr>
    <w:rPr>
      <w:rFonts w:ascii="Times New Roman" w:eastAsia="黑体"/>
      <w:b/>
      <w:bCs/>
      <w:color w:val="000000"/>
      <w:sz w:val="30"/>
      <w:szCs w:val="30"/>
    </w:rPr>
  </w:style>
  <w:style w:type="paragraph" w:customStyle="1" w:styleId="2789">
    <w:name w:val="xl2752"/>
    <w:basedOn w:val="1"/>
    <w:qFormat/>
    <w:uiPriority w:val="0"/>
    <w:pPr>
      <w:widowControl/>
      <w:pBdr>
        <w:bottom w:val="single" w:color="auto" w:sz="4" w:space="0"/>
      </w:pBdr>
      <w:spacing w:before="100" w:beforeAutospacing="1" w:after="100" w:afterAutospacing="1" w:line="240" w:lineRule="auto"/>
      <w:ind w:firstLine="0" w:firstLineChars="0"/>
      <w:jc w:val="center"/>
    </w:pPr>
    <w:rPr>
      <w:rFonts w:ascii="黑体" w:hAnsi="黑体" w:eastAsia="黑体" w:cs="宋体"/>
      <w:kern w:val="0"/>
      <w:sz w:val="24"/>
      <w:szCs w:val="24"/>
    </w:rPr>
  </w:style>
  <w:style w:type="paragraph" w:customStyle="1" w:styleId="2790">
    <w:name w:val="样式 样式 表文 + 左 段后: 6 磅 + 段后: 6 磅"/>
    <w:basedOn w:val="1"/>
    <w:qFormat/>
    <w:uiPriority w:val="0"/>
    <w:pPr>
      <w:overflowPunct w:val="0"/>
      <w:topLinePunct/>
      <w:spacing w:line="320" w:lineRule="exact"/>
      <w:ind w:firstLine="0" w:firstLineChars="0"/>
      <w:jc w:val="left"/>
      <w:outlineLvl w:val="6"/>
    </w:pPr>
    <w:rPr>
      <w:rFonts w:ascii="Times New Roman" w:eastAsia="宋体"/>
      <w:sz w:val="18"/>
      <w:szCs w:val="20"/>
    </w:rPr>
  </w:style>
  <w:style w:type="paragraph" w:customStyle="1" w:styleId="2791">
    <w:name w:val="标 题 3"/>
    <w:basedOn w:val="1"/>
    <w:qFormat/>
    <w:uiPriority w:val="0"/>
    <w:pPr>
      <w:adjustRightInd w:val="0"/>
      <w:snapToGrid w:val="0"/>
      <w:ind w:firstLine="0" w:firstLineChars="0"/>
      <w:jc w:val="left"/>
      <w:outlineLvl w:val="2"/>
    </w:pPr>
    <w:rPr>
      <w:rFonts w:ascii="仿宋" w:hAnsi="仿宋" w:eastAsia="黑体" w:cs="宋体"/>
      <w:b/>
      <w:kern w:val="0"/>
      <w:sz w:val="30"/>
      <w:szCs w:val="24"/>
    </w:rPr>
  </w:style>
  <w:style w:type="paragraph" w:customStyle="1" w:styleId="2792">
    <w:name w:val="xl208"/>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b/>
      <w:bCs/>
      <w:kern w:val="0"/>
      <w:sz w:val="18"/>
      <w:szCs w:val="18"/>
    </w:rPr>
  </w:style>
  <w:style w:type="paragraph" w:customStyle="1" w:styleId="2793">
    <w:name w:val="图框文字"/>
    <w:basedOn w:val="1"/>
    <w:qFormat/>
    <w:uiPriority w:val="0"/>
    <w:pPr>
      <w:spacing w:line="220" w:lineRule="exact"/>
      <w:ind w:firstLine="0" w:firstLineChars="0"/>
      <w:jc w:val="center"/>
    </w:pPr>
    <w:rPr>
      <w:rFonts w:ascii="Times New Roman" w:eastAsia="宋体"/>
      <w:sz w:val="18"/>
      <w:szCs w:val="24"/>
      <w:u w:val="none" w:color="000000"/>
      <w:lang w:val="zh-CN"/>
    </w:rPr>
  </w:style>
  <w:style w:type="paragraph" w:customStyle="1" w:styleId="2794">
    <w:name w:val="单位9"/>
    <w:basedOn w:val="1"/>
    <w:qFormat/>
    <w:uiPriority w:val="0"/>
    <w:pPr>
      <w:spacing w:line="0" w:lineRule="atLeast"/>
      <w:ind w:firstLine="490"/>
      <w:jc w:val="right"/>
    </w:pPr>
    <w:rPr>
      <w:rFonts w:ascii="Times New Roman"/>
      <w:snapToGrid w:val="0"/>
      <w:kern w:val="0"/>
      <w:sz w:val="21"/>
      <w:szCs w:val="21"/>
    </w:rPr>
  </w:style>
  <w:style w:type="paragraph" w:customStyle="1" w:styleId="2795">
    <w:name w:val="xl274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Times New Roman" w:eastAsia="宋体"/>
      <w:kern w:val="0"/>
      <w:sz w:val="20"/>
      <w:szCs w:val="20"/>
    </w:rPr>
  </w:style>
  <w:style w:type="paragraph" w:customStyle="1" w:styleId="2796">
    <w:name w:val="封面标题 6"/>
    <w:basedOn w:val="1"/>
    <w:next w:val="1"/>
    <w:qFormat/>
    <w:uiPriority w:val="0"/>
    <w:pPr>
      <w:spacing w:line="360" w:lineRule="auto"/>
      <w:ind w:firstLine="0" w:firstLineChars="0"/>
      <w:jc w:val="center"/>
    </w:pPr>
    <w:rPr>
      <w:rFonts w:hAnsi="仿宋_GB2312" w:eastAsia="华文细黑"/>
      <w:sz w:val="36"/>
      <w:szCs w:val="24"/>
    </w:rPr>
  </w:style>
  <w:style w:type="paragraph" w:customStyle="1" w:styleId="2797">
    <w:name w:val="样式 标题 2 + 段后: 0.5 行"/>
    <w:basedOn w:val="5"/>
    <w:qFormat/>
    <w:uiPriority w:val="0"/>
    <w:pPr>
      <w:keepNext/>
      <w:keepLines/>
      <w:numPr>
        <w:ilvl w:val="1"/>
        <w:numId w:val="0"/>
      </w:numPr>
      <w:tabs>
        <w:tab w:val="left" w:pos="567"/>
      </w:tabs>
      <w:spacing w:before="0" w:beforeLines="600" w:after="0" w:afterLines="600" w:line="240" w:lineRule="exact"/>
      <w:ind w:left="567" w:hanging="567"/>
    </w:pPr>
    <w:rPr>
      <w:rFonts w:ascii="黑体"/>
      <w:kern w:val="0"/>
      <w:sz w:val="30"/>
      <w:szCs w:val="20"/>
    </w:rPr>
  </w:style>
  <w:style w:type="paragraph" w:customStyle="1" w:styleId="2798">
    <w:name w:val="样式13 Char"/>
    <w:basedOn w:val="1"/>
    <w:qFormat/>
    <w:uiPriority w:val="0"/>
    <w:pPr>
      <w:adjustRightInd w:val="0"/>
      <w:snapToGrid w:val="0"/>
      <w:spacing w:beforeLines="50" w:afterLines="50" w:line="240" w:lineRule="auto"/>
    </w:pPr>
    <w:rPr>
      <w:rFonts w:ascii="黑体" w:eastAsia="黑体"/>
      <w:b/>
      <w:color w:val="000000"/>
    </w:rPr>
  </w:style>
  <w:style w:type="paragraph" w:customStyle="1" w:styleId="2799">
    <w:name w:val="特殊格式"/>
    <w:basedOn w:val="6"/>
    <w:semiHidden/>
    <w:qFormat/>
    <w:uiPriority w:val="0"/>
    <w:pPr>
      <w:adjustRightInd w:val="0"/>
      <w:snapToGrid w:val="0"/>
      <w:spacing w:line="500" w:lineRule="atLeast"/>
      <w:ind w:firstLine="0" w:firstLineChars="0"/>
    </w:pPr>
    <w:rPr>
      <w:rFonts w:ascii="Times New Roman" w:eastAsia="宋体"/>
      <w:sz w:val="24"/>
      <w:szCs w:val="20"/>
      <w:lang w:val="en-US" w:eastAsia="zh-CN"/>
    </w:rPr>
  </w:style>
  <w:style w:type="paragraph" w:customStyle="1" w:styleId="2800">
    <w:name w:val="标题1h"/>
    <w:basedOn w:val="1"/>
    <w:qFormat/>
    <w:uiPriority w:val="0"/>
    <w:pPr>
      <w:adjustRightInd w:val="0"/>
      <w:spacing w:before="240" w:after="240"/>
      <w:ind w:firstLine="0" w:firstLineChars="0"/>
      <w:jc w:val="center"/>
      <w:textAlignment w:val="baseline"/>
    </w:pPr>
    <w:rPr>
      <w:rFonts w:ascii="黑体" w:eastAsia="黑体"/>
      <w:kern w:val="0"/>
      <w:u w:val="none" w:color="000000"/>
    </w:rPr>
  </w:style>
  <w:style w:type="paragraph" w:customStyle="1" w:styleId="2801">
    <w:name w:val="11表-标题"/>
    <w:basedOn w:val="1"/>
    <w:qFormat/>
    <w:uiPriority w:val="0"/>
    <w:pPr>
      <w:spacing w:after="60"/>
      <w:ind w:firstLine="100" w:firstLineChars="100"/>
      <w:outlineLvl w:val="5"/>
    </w:pPr>
    <w:rPr>
      <w:rFonts w:ascii="黑体" w:eastAsia="黑体" w:cs="宋体"/>
      <w:sz w:val="24"/>
      <w:szCs w:val="20"/>
    </w:rPr>
  </w:style>
  <w:style w:type="paragraph" w:customStyle="1" w:styleId="2802">
    <w:name w:val="lei-正文"/>
    <w:basedOn w:val="1"/>
    <w:qFormat/>
    <w:uiPriority w:val="0"/>
    <w:pPr>
      <w:ind w:firstLine="0" w:firstLineChars="0"/>
    </w:pPr>
    <w:rPr>
      <w:rFonts w:ascii="Times New Roman"/>
    </w:rPr>
  </w:style>
  <w:style w:type="paragraph" w:customStyle="1" w:styleId="2803">
    <w:name w:val="表样式"/>
    <w:basedOn w:val="1"/>
    <w:qFormat/>
    <w:uiPriority w:val="0"/>
    <w:pPr>
      <w:overflowPunct w:val="0"/>
      <w:spacing w:line="240" w:lineRule="auto"/>
      <w:ind w:firstLine="0" w:firstLineChars="0"/>
    </w:pPr>
    <w:rPr>
      <w:rFonts w:ascii="Times New Roman" w:eastAsia="宋体"/>
      <w:kern w:val="0"/>
      <w:sz w:val="21"/>
      <w:szCs w:val="20"/>
    </w:rPr>
  </w:style>
  <w:style w:type="paragraph" w:customStyle="1" w:styleId="2804">
    <w:name w:val="xl2787"/>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pPr>
    <w:rPr>
      <w:rFonts w:ascii="Times New Roman" w:eastAsia="宋体"/>
      <w:kern w:val="0"/>
      <w:sz w:val="18"/>
      <w:szCs w:val="18"/>
    </w:rPr>
  </w:style>
  <w:style w:type="paragraph" w:customStyle="1" w:styleId="2805">
    <w:name w:val="xl1609"/>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Lines="25" w:beforeAutospacing="1" w:after="100" w:afterAutospacing="1" w:line="240" w:lineRule="auto"/>
      <w:ind w:firstLine="0" w:firstLineChars="0"/>
      <w:jc w:val="center"/>
      <w:textAlignment w:val="center"/>
    </w:pPr>
    <w:rPr>
      <w:rFonts w:ascii="Times New Roman" w:eastAsia="宋体"/>
      <w:kern w:val="0"/>
      <w:sz w:val="24"/>
      <w:szCs w:val="24"/>
    </w:rPr>
  </w:style>
  <w:style w:type="paragraph" w:customStyle="1" w:styleId="2806">
    <w:name w:val="Char Char Char Char2"/>
    <w:basedOn w:val="1"/>
    <w:qFormat/>
    <w:uiPriority w:val="0"/>
    <w:pPr>
      <w:spacing w:line="240" w:lineRule="auto"/>
      <w:ind w:firstLine="0" w:firstLineChars="0"/>
    </w:pPr>
    <w:rPr>
      <w:rFonts w:ascii="Times New Roman" w:eastAsia="宋体"/>
      <w:sz w:val="21"/>
      <w:szCs w:val="24"/>
    </w:rPr>
  </w:style>
  <w:style w:type="paragraph" w:customStyle="1" w:styleId="2807">
    <w:name w:val="xl274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Times New Roman" w:eastAsia="宋体"/>
      <w:kern w:val="0"/>
      <w:sz w:val="20"/>
      <w:szCs w:val="20"/>
    </w:rPr>
  </w:style>
  <w:style w:type="paragraph" w:customStyle="1" w:styleId="2808">
    <w:name w:val="xl226"/>
    <w:basedOn w:val="1"/>
    <w:qFormat/>
    <w:uiPriority w:val="0"/>
    <w:pPr>
      <w:widowControl/>
      <w:pBdr>
        <w:top w:val="single" w:color="auto" w:sz="4" w:space="0"/>
        <w:left w:val="single" w:color="auto" w:sz="4" w:space="0"/>
        <w:bottom w:val="single" w:color="auto" w:sz="4" w:space="0"/>
        <w:right w:val="single" w:color="auto" w:sz="4" w:space="0"/>
      </w:pBdr>
      <w:adjustRightInd w:val="0"/>
      <w:snapToGrid w:val="0"/>
      <w:spacing w:before="100" w:beforeAutospacing="1" w:after="100" w:afterAutospacing="1" w:line="360" w:lineRule="auto"/>
      <w:ind w:firstLine="0" w:firstLineChars="0"/>
      <w:jc w:val="center"/>
    </w:pPr>
    <w:rPr>
      <w:rFonts w:ascii="Times New Roman" w:eastAsia="宋体"/>
      <w:kern w:val="0"/>
      <w:sz w:val="24"/>
      <w:szCs w:val="24"/>
    </w:rPr>
  </w:style>
  <w:style w:type="paragraph" w:customStyle="1" w:styleId="2809">
    <w:name w:val="xl2766"/>
    <w:basedOn w:val="1"/>
    <w:qFormat/>
    <w:uiPriority w:val="0"/>
    <w:pPr>
      <w:widowControl/>
      <w:pBdr>
        <w:top w:val="single" w:color="auto" w:sz="4" w:space="0"/>
        <w:left w:val="single" w:color="auto" w:sz="4" w:space="0"/>
        <w:bottom w:val="single" w:color="auto" w:sz="4" w:space="0"/>
        <w:right w:val="single" w:color="auto" w:sz="4" w:space="0"/>
      </w:pBdr>
      <w:shd w:val="clear" w:color="000000" w:fill="FF0000"/>
      <w:spacing w:before="100" w:beforeAutospacing="1" w:after="100" w:afterAutospacing="1" w:line="240" w:lineRule="auto"/>
      <w:ind w:firstLine="0" w:firstLineChars="0"/>
      <w:jc w:val="center"/>
    </w:pPr>
    <w:rPr>
      <w:rFonts w:ascii="Times New Roman" w:eastAsia="宋体"/>
      <w:kern w:val="0"/>
      <w:sz w:val="21"/>
      <w:szCs w:val="21"/>
    </w:rPr>
  </w:style>
  <w:style w:type="paragraph" w:customStyle="1" w:styleId="2810">
    <w:name w:val="样式 样式6 + (西文) Times New Roman (中文) 华文中宋 加粗 Char"/>
    <w:basedOn w:val="1"/>
    <w:qFormat/>
    <w:uiPriority w:val="0"/>
    <w:pPr>
      <w:spacing w:beforeLines="50" w:afterLines="50" w:line="240" w:lineRule="auto"/>
      <w:ind w:firstLine="0" w:firstLineChars="0"/>
    </w:pPr>
    <w:rPr>
      <w:rFonts w:ascii="Times New Roman" w:eastAsia="华文中宋"/>
      <w:b/>
      <w:bCs/>
    </w:rPr>
  </w:style>
  <w:style w:type="paragraph" w:customStyle="1" w:styleId="2811">
    <w:name w:val="标题1 + 红色"/>
    <w:basedOn w:val="2083"/>
    <w:qFormat/>
    <w:uiPriority w:val="0"/>
    <w:rPr>
      <w:bCs w:val="0"/>
    </w:rPr>
  </w:style>
  <w:style w:type="paragraph" w:customStyle="1" w:styleId="2812">
    <w:name w:val="xl151"/>
    <w:basedOn w:val="1"/>
    <w:qFormat/>
    <w:uiPriority w:val="0"/>
    <w:pPr>
      <w:widowControl/>
      <w:pBdr>
        <w:bottom w:val="single" w:color="auto" w:sz="4" w:space="0"/>
        <w:right w:val="single" w:color="auto" w:sz="4" w:space="0"/>
      </w:pBdr>
      <w:spacing w:before="100" w:beforeAutospacing="1" w:after="100" w:afterAutospacing="1" w:line="240" w:lineRule="auto"/>
      <w:ind w:firstLine="0" w:firstLineChars="0"/>
      <w:jc w:val="left"/>
    </w:pPr>
    <w:rPr>
      <w:rFonts w:ascii="Times New Roman" w:eastAsia="宋体"/>
      <w:kern w:val="0"/>
      <w:sz w:val="20"/>
      <w:szCs w:val="20"/>
    </w:rPr>
  </w:style>
  <w:style w:type="paragraph" w:customStyle="1" w:styleId="2813">
    <w:name w:val="样式 标题 3 + (西文) Times New Roman (中文) 宋体"/>
    <w:basedOn w:val="7"/>
    <w:qFormat/>
    <w:uiPriority w:val="0"/>
    <w:pPr>
      <w:widowControl/>
      <w:tabs>
        <w:tab w:val="left" w:pos="720"/>
      </w:tabs>
      <w:spacing w:before="60" w:after="60" w:line="520" w:lineRule="exact"/>
      <w:jc w:val="left"/>
    </w:pPr>
    <w:rPr>
      <w:rFonts w:ascii="宋体" w:hAnsi="宋体" w:eastAsia="宋体"/>
      <w:b/>
      <w:color w:val="000000"/>
      <w:sz w:val="24"/>
      <w:szCs w:val="24"/>
    </w:rPr>
  </w:style>
  <w:style w:type="paragraph" w:customStyle="1" w:styleId="2814">
    <w:name w:val="xl5115"/>
    <w:basedOn w:val="1"/>
    <w:qFormat/>
    <w:uiPriority w:val="0"/>
    <w:pPr>
      <w:widowControl/>
      <w:pBdr>
        <w:top w:val="single" w:color="auto" w:sz="4" w:space="0"/>
        <w:left w:val="single" w:color="auto" w:sz="4" w:space="0"/>
        <w:right w:val="single" w:color="auto" w:sz="4" w:space="0"/>
      </w:pBdr>
      <w:spacing w:before="100" w:beforeAutospacing="1" w:after="100" w:afterAutospacing="1" w:line="240" w:lineRule="auto"/>
      <w:ind w:firstLine="0" w:firstLineChars="0"/>
      <w:jc w:val="center"/>
      <w:textAlignment w:val="center"/>
    </w:pPr>
    <w:rPr>
      <w:rFonts w:ascii="Times New Roman" w:eastAsia="宋体"/>
      <w:kern w:val="0"/>
      <w:sz w:val="18"/>
      <w:szCs w:val="18"/>
    </w:rPr>
  </w:style>
  <w:style w:type="paragraph" w:customStyle="1" w:styleId="2815">
    <w:name w:val="样式 标题 1 + 黑体 三号"/>
    <w:basedOn w:val="4"/>
    <w:qFormat/>
    <w:uiPriority w:val="0"/>
    <w:pPr>
      <w:keepNext/>
      <w:keepLines/>
      <w:spacing w:beforeLines="50" w:after="120" w:afterLines="50" w:line="480" w:lineRule="exact"/>
      <w:jc w:val="center"/>
    </w:pPr>
    <w:rPr>
      <w:rFonts w:ascii="黑体" w:hAnsi="黑体"/>
      <w:b/>
      <w:szCs w:val="44"/>
    </w:rPr>
  </w:style>
  <w:style w:type="paragraph" w:customStyle="1" w:styleId="2816">
    <w:name w:val="font8"/>
    <w:basedOn w:val="1"/>
    <w:qFormat/>
    <w:uiPriority w:val="0"/>
    <w:pPr>
      <w:widowControl/>
      <w:spacing w:before="100" w:beforeAutospacing="1" w:after="100" w:afterAutospacing="1" w:line="240" w:lineRule="auto"/>
      <w:jc w:val="left"/>
    </w:pPr>
    <w:rPr>
      <w:rFonts w:ascii="Times New Roman" w:eastAsia="Arial Unicode MS"/>
      <w:kern w:val="0"/>
    </w:rPr>
  </w:style>
  <w:style w:type="paragraph" w:customStyle="1" w:styleId="2817">
    <w:name w:val="z-窗体底端1"/>
    <w:basedOn w:val="1"/>
    <w:next w:val="1"/>
    <w:qFormat/>
    <w:uiPriority w:val="0"/>
    <w:pPr>
      <w:widowControl/>
      <w:pBdr>
        <w:top w:val="single" w:color="auto" w:sz="6" w:space="1"/>
      </w:pBdr>
      <w:spacing w:line="240" w:lineRule="auto"/>
      <w:ind w:firstLine="0" w:firstLineChars="0"/>
      <w:jc w:val="center"/>
    </w:pPr>
    <w:rPr>
      <w:rFonts w:ascii="Arial" w:hAnsi="Arial" w:eastAsia="宋体" w:cs="Arial"/>
      <w:vanish/>
      <w:kern w:val="0"/>
      <w:sz w:val="16"/>
      <w:szCs w:val="16"/>
    </w:rPr>
  </w:style>
  <w:style w:type="paragraph" w:customStyle="1" w:styleId="2818">
    <w:name w:val="样式34图名0000"/>
    <w:basedOn w:val="795"/>
    <w:qFormat/>
    <w:uiPriority w:val="0"/>
    <w:pPr>
      <w:outlineLvl w:val="6"/>
    </w:pPr>
    <w:rPr>
      <w:rFonts w:cs="Times New Roman"/>
      <w:color w:val="000000"/>
    </w:rPr>
  </w:style>
  <w:style w:type="paragraph" w:customStyle="1" w:styleId="2819">
    <w:name w:val="样式 样式 标题 2 + 黑色 + 段前: 0.5 行 段后: 0.5 行"/>
    <w:basedOn w:val="2149"/>
    <w:qFormat/>
    <w:uiPriority w:val="0"/>
    <w:pPr>
      <w:spacing w:before="230" w:after="230"/>
    </w:pPr>
    <w:rPr>
      <w:rFonts w:ascii="Times New Roman" w:hAnsi="Times New Roman"/>
    </w:rPr>
  </w:style>
  <w:style w:type="paragraph" w:customStyle="1" w:styleId="2820">
    <w:name w:val="xl45357"/>
    <w:basedOn w:val="1"/>
    <w:qFormat/>
    <w:uiPriority w:val="0"/>
    <w:pPr>
      <w:widowControl/>
      <w:pBdr>
        <w:top w:val="single" w:color="auto" w:sz="4" w:space="0"/>
        <w:bottom w:val="single" w:color="auto" w:sz="4" w:space="0"/>
      </w:pBdr>
      <w:spacing w:before="100" w:beforeAutospacing="1" w:after="100" w:afterAutospacing="1" w:line="240" w:lineRule="auto"/>
      <w:ind w:firstLine="0" w:firstLineChars="0"/>
      <w:jc w:val="left"/>
    </w:pPr>
    <w:rPr>
      <w:rFonts w:ascii="宋体" w:hAnsi="宋体" w:eastAsia="宋体" w:cs="宋体"/>
      <w:kern w:val="0"/>
      <w:sz w:val="20"/>
      <w:szCs w:val="20"/>
    </w:rPr>
  </w:style>
  <w:style w:type="paragraph" w:customStyle="1" w:styleId="2821">
    <w:name w:val="xl154"/>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20"/>
      <w:szCs w:val="20"/>
    </w:rPr>
  </w:style>
  <w:style w:type="paragraph" w:customStyle="1" w:styleId="2822">
    <w:name w:val="正文文本缩进 26"/>
    <w:basedOn w:val="1"/>
    <w:next w:val="52"/>
    <w:qFormat/>
    <w:uiPriority w:val="0"/>
    <w:pPr>
      <w:ind w:firstLine="555"/>
    </w:pPr>
    <w:rPr>
      <w:rFonts w:ascii="宋体"/>
      <w:sz w:val="24"/>
      <w:szCs w:val="20"/>
    </w:rPr>
  </w:style>
  <w:style w:type="paragraph" w:customStyle="1" w:styleId="2823">
    <w:name w:val="gyy表内文字"/>
    <w:basedOn w:val="1"/>
    <w:qFormat/>
    <w:uiPriority w:val="0"/>
    <w:pPr>
      <w:spacing w:before="40" w:after="40" w:line="240" w:lineRule="auto"/>
      <w:ind w:firstLine="0" w:firstLineChars="0"/>
      <w:jc w:val="center"/>
    </w:pPr>
    <w:rPr>
      <w:rFonts w:ascii="Times New Roman" w:eastAsia="宋体"/>
      <w:sz w:val="21"/>
      <w:szCs w:val="21"/>
    </w:rPr>
  </w:style>
  <w:style w:type="paragraph" w:customStyle="1" w:styleId="2824">
    <w:name w:val="引用21"/>
    <w:basedOn w:val="1"/>
    <w:next w:val="1"/>
    <w:semiHidden/>
    <w:qFormat/>
    <w:uiPriority w:val="0"/>
    <w:pPr>
      <w:widowControl/>
      <w:jc w:val="left"/>
    </w:pPr>
    <w:rPr>
      <w:rFonts w:eastAsia="Times New Roman"/>
      <w:i/>
      <w:kern w:val="0"/>
      <w:sz w:val="24"/>
      <w:szCs w:val="24"/>
      <w:lang w:eastAsia="en-US"/>
    </w:rPr>
  </w:style>
  <w:style w:type="paragraph" w:customStyle="1" w:styleId="2825">
    <w:name w:val="注"/>
    <w:basedOn w:val="1"/>
    <w:qFormat/>
    <w:uiPriority w:val="0"/>
    <w:pPr>
      <w:adjustRightInd w:val="0"/>
      <w:spacing w:line="300" w:lineRule="auto"/>
      <w:ind w:left="700" w:leftChars="500" w:hanging="200" w:hangingChars="200"/>
      <w:textAlignment w:val="baseline"/>
    </w:pPr>
    <w:rPr>
      <w:bCs/>
      <w:kern w:val="0"/>
      <w:sz w:val="24"/>
      <w:u w:val="none" w:color="000000"/>
    </w:rPr>
  </w:style>
  <w:style w:type="paragraph" w:customStyle="1" w:styleId="2826">
    <w:name w:val="标题 41"/>
    <w:basedOn w:val="1"/>
    <w:qFormat/>
    <w:uiPriority w:val="0"/>
    <w:pPr>
      <w:spacing w:line="240" w:lineRule="auto"/>
      <w:ind w:firstLine="0" w:firstLineChars="0"/>
    </w:pPr>
    <w:rPr>
      <w:rFonts w:ascii="Times New Roman" w:eastAsia="宋体"/>
      <w:sz w:val="21"/>
      <w:szCs w:val="24"/>
    </w:rPr>
  </w:style>
  <w:style w:type="paragraph" w:customStyle="1" w:styleId="2827">
    <w:name w:val="样式 样式 样式4 + 黑色 + 自动设置"/>
    <w:basedOn w:val="2828"/>
    <w:qFormat/>
    <w:uiPriority w:val="0"/>
    <w:rPr>
      <w:color w:val="auto"/>
    </w:rPr>
  </w:style>
  <w:style w:type="paragraph" w:customStyle="1" w:styleId="2828">
    <w:name w:val="样式 样式4 + 黑色"/>
    <w:basedOn w:val="1"/>
    <w:qFormat/>
    <w:uiPriority w:val="0"/>
    <w:pPr>
      <w:spacing w:line="240" w:lineRule="auto"/>
      <w:ind w:firstLine="480"/>
    </w:pPr>
    <w:rPr>
      <w:rFonts w:ascii="Times New Roman" w:eastAsia="华文中宋"/>
      <w:color w:val="000000"/>
      <w:sz w:val="24"/>
      <w:szCs w:val="24"/>
    </w:rPr>
  </w:style>
  <w:style w:type="paragraph" w:customStyle="1" w:styleId="2829">
    <w:name w:val="1)"/>
    <w:basedOn w:val="1"/>
    <w:qFormat/>
    <w:uiPriority w:val="0"/>
    <w:pPr>
      <w:adjustRightInd w:val="0"/>
      <w:snapToGrid w:val="0"/>
      <w:spacing w:line="300" w:lineRule="auto"/>
      <w:ind w:left="442"/>
    </w:pPr>
    <w:rPr>
      <w:rFonts w:ascii="Arial" w:hAnsi="Arial" w:eastAsia="黑体"/>
      <w:spacing w:val="5"/>
      <w:kern w:val="0"/>
      <w:sz w:val="24"/>
      <w:u w:val="none" w:color="000000"/>
    </w:rPr>
  </w:style>
  <w:style w:type="paragraph" w:customStyle="1" w:styleId="2830">
    <w:name w:val="编制时间"/>
    <w:basedOn w:val="1"/>
    <w:qFormat/>
    <w:uiPriority w:val="0"/>
    <w:pPr>
      <w:autoSpaceDE w:val="0"/>
      <w:autoSpaceDN w:val="0"/>
      <w:adjustRightInd w:val="0"/>
      <w:snapToGrid w:val="0"/>
      <w:spacing w:line="305" w:lineRule="auto"/>
      <w:ind w:firstLine="560"/>
      <w:jc w:val="center"/>
      <w:textAlignment w:val="baseline"/>
    </w:pPr>
    <w:rPr>
      <w:rFonts w:eastAsia="华文行楷"/>
      <w:snapToGrid w:val="0"/>
      <w:spacing w:val="40"/>
      <w:kern w:val="30"/>
      <w:sz w:val="30"/>
      <w:szCs w:val="20"/>
      <w:u w:val="none" w:color="000000"/>
    </w:rPr>
  </w:style>
  <w:style w:type="paragraph" w:customStyle="1" w:styleId="2831">
    <w:name w:val="7"/>
    <w:basedOn w:val="1"/>
    <w:next w:val="36"/>
    <w:qFormat/>
    <w:uiPriority w:val="0"/>
    <w:pPr>
      <w:spacing w:line="324" w:lineRule="auto"/>
      <w:ind w:firstLine="459" w:firstLineChars="0"/>
    </w:pPr>
    <w:rPr>
      <w:rFonts w:ascii="Times New Roman" w:eastAsia="宋体"/>
      <w:spacing w:val="15"/>
      <w:kern w:val="0"/>
      <w:sz w:val="24"/>
      <w:szCs w:val="20"/>
    </w:rPr>
  </w:style>
  <w:style w:type="paragraph" w:customStyle="1" w:styleId="2832">
    <w:name w:val="样式 表文 + 左  2 字符"/>
    <w:basedOn w:val="989"/>
    <w:qFormat/>
    <w:uiPriority w:val="0"/>
    <w:pPr>
      <w:overflowPunct w:val="0"/>
      <w:topLinePunct/>
      <w:ind w:left="50" w:leftChars="50"/>
      <w:outlineLvl w:val="6"/>
    </w:pPr>
    <w:rPr>
      <w:snapToGrid/>
      <w:kern w:val="2"/>
    </w:rPr>
  </w:style>
  <w:style w:type="paragraph" w:customStyle="1" w:styleId="2833">
    <w:name w:val="xl2265"/>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楷体_GB2312" w:hAnsi="宋体" w:eastAsia="楷体_GB2312" w:cs="宋体"/>
      <w:kern w:val="0"/>
      <w:sz w:val="20"/>
      <w:szCs w:val="20"/>
    </w:rPr>
  </w:style>
  <w:style w:type="paragraph" w:customStyle="1" w:styleId="2834">
    <w:name w:val="xl2255"/>
    <w:basedOn w:val="1"/>
    <w:qFormat/>
    <w:uiPriority w:val="0"/>
    <w:pPr>
      <w:widowControl/>
      <w:pBdr>
        <w:top w:val="single" w:color="auto" w:sz="4" w:space="0"/>
        <w:bottom w:val="single" w:color="auto" w:sz="4" w:space="0"/>
      </w:pBdr>
      <w:spacing w:before="100" w:beforeAutospacing="1" w:after="100" w:afterAutospacing="1" w:line="240" w:lineRule="auto"/>
      <w:ind w:firstLine="0" w:firstLineChars="0"/>
      <w:jc w:val="center"/>
    </w:pPr>
    <w:rPr>
      <w:rFonts w:ascii="黑体" w:hAnsi="宋体" w:eastAsia="黑体" w:cs="宋体"/>
      <w:kern w:val="0"/>
      <w:sz w:val="20"/>
      <w:szCs w:val="20"/>
    </w:rPr>
  </w:style>
  <w:style w:type="paragraph" w:customStyle="1" w:styleId="2835">
    <w:name w:val="Char Char Char Char Char Char Char Char Char Char Char Char Char Char Char Char Char Char1 Char Char Char Char1"/>
    <w:basedOn w:val="1"/>
    <w:qFormat/>
    <w:uiPriority w:val="0"/>
    <w:rPr>
      <w:szCs w:val="24"/>
    </w:rPr>
  </w:style>
  <w:style w:type="paragraph" w:customStyle="1" w:styleId="2836">
    <w:name w:val="(一）"/>
    <w:basedOn w:val="46"/>
    <w:qFormat/>
    <w:uiPriority w:val="0"/>
    <w:pPr>
      <w:widowControl w:val="0"/>
      <w:spacing w:line="240" w:lineRule="auto"/>
      <w:ind w:firstLine="501" w:firstLineChars="179"/>
      <w:textAlignment w:val="auto"/>
    </w:pPr>
    <w:rPr>
      <w:rFonts w:ascii="仿宋_GB2312" w:hAnsi="Courier New"/>
      <w:b/>
      <w:color w:val="auto"/>
      <w:kern w:val="2"/>
      <w:sz w:val="21"/>
      <w:u w:val="none" w:color="auto"/>
    </w:rPr>
  </w:style>
  <w:style w:type="paragraph" w:customStyle="1" w:styleId="2837">
    <w:name w:val="标题3h"/>
    <w:basedOn w:val="5"/>
    <w:qFormat/>
    <w:uiPriority w:val="0"/>
    <w:pPr>
      <w:adjustRightInd w:val="0"/>
      <w:spacing w:before="0" w:after="0"/>
      <w:jc w:val="left"/>
      <w:textAlignment w:val="baseline"/>
    </w:pPr>
    <w:rPr>
      <w:rFonts w:ascii="Arial" w:hAnsi="Arial" w:eastAsia="方正小标宋_GBK"/>
      <w:bCs w:val="0"/>
      <w:kern w:val="44"/>
      <w:sz w:val="28"/>
      <w:szCs w:val="32"/>
      <w:lang w:val="en-US" w:eastAsia="zh-CN"/>
    </w:rPr>
  </w:style>
  <w:style w:type="paragraph" w:customStyle="1" w:styleId="2838">
    <w:name w:val="样式 标题 3Sottoparagrafo + Times New Roman 段前: 5 磅 段后: 5 磅 行距: ..."/>
    <w:basedOn w:val="7"/>
    <w:qFormat/>
    <w:uiPriority w:val="0"/>
    <w:pPr>
      <w:adjustRightInd w:val="0"/>
      <w:snapToGrid w:val="0"/>
      <w:ind w:left="17" w:firstLine="200" w:firstLineChars="200"/>
      <w:jc w:val="left"/>
    </w:pPr>
    <w:rPr>
      <w:b/>
      <w:bCs w:val="0"/>
    </w:rPr>
  </w:style>
  <w:style w:type="paragraph" w:customStyle="1" w:styleId="2839">
    <w:name w:val="样式 (西文) 楷体_GB2312 (中文) 楷体_GB2312 首行缩进:  2 字符2"/>
    <w:basedOn w:val="1"/>
    <w:qFormat/>
    <w:uiPriority w:val="0"/>
    <w:rPr>
      <w:rFonts w:ascii="楷体_GB2312" w:eastAsia="楷体_GB2312" w:cs="宋体"/>
      <w:kern w:val="0"/>
      <w:szCs w:val="20"/>
    </w:rPr>
  </w:style>
  <w:style w:type="paragraph" w:customStyle="1" w:styleId="2840">
    <w:name w:val="xl48"/>
    <w:basedOn w:val="1"/>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line="240" w:lineRule="auto"/>
      <w:ind w:firstLine="0" w:firstLineChars="0"/>
      <w:jc w:val="left"/>
      <w:textAlignment w:val="center"/>
    </w:pPr>
    <w:rPr>
      <w:rFonts w:ascii="宋体" w:hAnsi="宋体" w:eastAsia="宋体" w:cs="宋体"/>
      <w:kern w:val="0"/>
      <w:sz w:val="16"/>
      <w:szCs w:val="16"/>
    </w:rPr>
  </w:style>
  <w:style w:type="paragraph" w:customStyle="1" w:styleId="2841">
    <w:name w:val="xl510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20"/>
      <w:szCs w:val="20"/>
    </w:rPr>
  </w:style>
  <w:style w:type="paragraph" w:customStyle="1" w:styleId="2842">
    <w:name w:val="xl77"/>
    <w:basedOn w:val="1"/>
    <w:qFormat/>
    <w:uiPriority w:val="0"/>
    <w:pPr>
      <w:widowControl/>
      <w:adjustRightInd w:val="0"/>
      <w:spacing w:before="100" w:beforeAutospacing="1" w:after="100" w:afterAutospacing="1" w:line="240" w:lineRule="auto"/>
      <w:ind w:firstLine="0" w:firstLineChars="0"/>
      <w:jc w:val="center"/>
    </w:pPr>
    <w:rPr>
      <w:rFonts w:hint="eastAsia" w:ascii="黑体" w:hAnsi="宋体" w:eastAsia="黑体"/>
      <w:kern w:val="0"/>
      <w:sz w:val="24"/>
    </w:rPr>
  </w:style>
  <w:style w:type="paragraph" w:customStyle="1" w:styleId="2843">
    <w:name w:val="表格样式1"/>
    <w:basedOn w:val="1"/>
    <w:qFormat/>
    <w:uiPriority w:val="0"/>
    <w:pPr>
      <w:adjustRightInd w:val="0"/>
      <w:snapToGrid w:val="0"/>
      <w:spacing w:before="20" w:after="20" w:line="240" w:lineRule="auto"/>
      <w:ind w:firstLine="0" w:firstLineChars="0"/>
      <w:jc w:val="distribute"/>
      <w:outlineLvl w:val="0"/>
    </w:pPr>
    <w:rPr>
      <w:rFonts w:ascii="Times New Roman" w:eastAsia="宋体" w:cs="Arial"/>
      <w:snapToGrid w:val="0"/>
      <w:kern w:val="0"/>
      <w:sz w:val="21"/>
      <w:szCs w:val="24"/>
    </w:rPr>
  </w:style>
  <w:style w:type="paragraph" w:customStyle="1" w:styleId="2844">
    <w:name w:val="Char Char Char Char Char Char Char Char Char Char Char Char Char Char Char Char Char Char Char Char Char Char Char Char Char"/>
    <w:basedOn w:val="1"/>
    <w:qFormat/>
    <w:uiPriority w:val="0"/>
    <w:pPr>
      <w:spacing w:line="360" w:lineRule="auto"/>
    </w:pPr>
    <w:rPr>
      <w:rFonts w:ascii="宋体" w:hAnsi="宋体" w:eastAsia="宋体"/>
      <w:sz w:val="24"/>
      <w:szCs w:val="24"/>
    </w:rPr>
  </w:style>
  <w:style w:type="paragraph" w:customStyle="1" w:styleId="2845">
    <w:name w:val="样式 公表文长 + 首行缩进:  1 字符 段前: 0.1 行 段后: 0.1 行1"/>
    <w:basedOn w:val="1"/>
    <w:qFormat/>
    <w:uiPriority w:val="0"/>
    <w:pPr>
      <w:spacing w:beforeLines="10" w:afterLines="10" w:line="240" w:lineRule="auto"/>
      <w:ind w:firstLine="0" w:firstLineChars="0"/>
    </w:pPr>
    <w:rPr>
      <w:rFonts w:ascii="Times New Roman" w:eastAsia="楷体_GB2312" w:cs="宋体"/>
      <w:sz w:val="21"/>
      <w:szCs w:val="20"/>
    </w:rPr>
  </w:style>
  <w:style w:type="paragraph" w:customStyle="1" w:styleId="2846">
    <w:name w:val="bbb"/>
    <w:basedOn w:val="1"/>
    <w:qFormat/>
    <w:uiPriority w:val="0"/>
    <w:pPr>
      <w:widowControl/>
      <w:spacing w:line="0" w:lineRule="atLeast"/>
      <w:jc w:val="center"/>
    </w:pPr>
    <w:rPr>
      <w:rFonts w:ascii="楷体_GB2312" w:hAnsi="宋体" w:eastAsia="楷体_GB2312"/>
      <w:color w:val="000000"/>
      <w:kern w:val="0"/>
      <w:sz w:val="24"/>
      <w:szCs w:val="21"/>
      <w:u w:val="none" w:color="000000"/>
    </w:rPr>
  </w:style>
  <w:style w:type="paragraph" w:customStyle="1" w:styleId="2847">
    <w:name w:val="样式 标题 1 + 段前: 1 行 段后: 1 行"/>
    <w:basedOn w:val="4"/>
    <w:qFormat/>
    <w:uiPriority w:val="0"/>
    <w:pPr>
      <w:keepNext/>
      <w:keepLines/>
      <w:spacing w:beforeLines="50" w:after="120" w:afterLines="50" w:line="240" w:lineRule="auto"/>
      <w:jc w:val="center"/>
    </w:pPr>
    <w:rPr>
      <w:rFonts w:ascii="Times New Roman" w:hAnsi="Times New Roman" w:eastAsia="华文中宋"/>
      <w:b/>
    </w:rPr>
  </w:style>
  <w:style w:type="paragraph" w:customStyle="1" w:styleId="2848">
    <w:name w:val=":-|"/>
    <w:semiHidden/>
    <w:qFormat/>
    <w:uiPriority w:val="0"/>
    <w:pPr>
      <w:overflowPunct w:val="0"/>
      <w:autoSpaceDE w:val="0"/>
      <w:autoSpaceDN w:val="0"/>
      <w:adjustRightInd w:val="0"/>
      <w:textAlignment w:val="baseline"/>
    </w:pPr>
    <w:rPr>
      <w:rFonts w:ascii="Times New Roman" w:hAnsi="Times New Roman" w:eastAsia="宋体" w:cs="Times New Roman"/>
      <w:lang w:val="en-US" w:eastAsia="zh-CN" w:bidi="ar-SA"/>
    </w:rPr>
  </w:style>
  <w:style w:type="paragraph" w:customStyle="1" w:styleId="2849">
    <w:name w:val="样式12"/>
    <w:basedOn w:val="1"/>
    <w:qFormat/>
    <w:uiPriority w:val="0"/>
    <w:pPr>
      <w:spacing w:line="320" w:lineRule="exact"/>
      <w:ind w:firstLine="0" w:firstLineChars="0"/>
      <w:jc w:val="center"/>
    </w:pPr>
    <w:rPr>
      <w:rFonts w:ascii="Times New Roman" w:eastAsia="华文中宋"/>
      <w:sz w:val="21"/>
      <w:szCs w:val="24"/>
    </w:rPr>
  </w:style>
  <w:style w:type="paragraph" w:customStyle="1" w:styleId="2850">
    <w:name w:val="样式7表名"/>
    <w:next w:val="1"/>
    <w:qFormat/>
    <w:uiPriority w:val="0"/>
    <w:pPr>
      <w:spacing w:before="120" w:line="360" w:lineRule="auto"/>
      <w:jc w:val="center"/>
    </w:pPr>
    <w:rPr>
      <w:rFonts w:ascii="黑体" w:hAnsi="Times New Roman" w:eastAsia="黑体" w:cs="Times New Roman"/>
      <w:spacing w:val="60"/>
      <w:sz w:val="24"/>
      <w:szCs w:val="24"/>
      <w:lang w:val="en-US" w:eastAsia="zh-CN" w:bidi="ar-SA"/>
    </w:rPr>
  </w:style>
  <w:style w:type="paragraph" w:customStyle="1" w:styleId="2851">
    <w:name w:val="报告正文 Char3"/>
    <w:basedOn w:val="1"/>
    <w:qFormat/>
    <w:uiPriority w:val="0"/>
    <w:pPr>
      <w:spacing w:line="360" w:lineRule="auto"/>
    </w:pPr>
    <w:rPr>
      <w:rFonts w:ascii="Times New Roman" w:eastAsia="宋体"/>
      <w:sz w:val="24"/>
      <w:szCs w:val="20"/>
    </w:rPr>
  </w:style>
  <w:style w:type="paragraph" w:customStyle="1" w:styleId="2852">
    <w:name w:val="font9"/>
    <w:basedOn w:val="1"/>
    <w:qFormat/>
    <w:uiPriority w:val="0"/>
    <w:pPr>
      <w:widowControl/>
      <w:spacing w:before="100" w:beforeAutospacing="1" w:after="100" w:afterAutospacing="1" w:line="240" w:lineRule="auto"/>
      <w:jc w:val="left"/>
    </w:pPr>
    <w:rPr>
      <w:rFonts w:ascii="Times New Roman" w:eastAsia="Arial Unicode MS"/>
      <w:kern w:val="0"/>
    </w:rPr>
  </w:style>
  <w:style w:type="paragraph" w:customStyle="1" w:styleId="2853">
    <w:name w:val="xl160"/>
    <w:basedOn w:val="1"/>
    <w:qFormat/>
    <w:uiPriority w:val="0"/>
    <w:pPr>
      <w:widowControl/>
      <w:pBdr>
        <w:bottom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20"/>
      <w:szCs w:val="20"/>
    </w:rPr>
  </w:style>
  <w:style w:type="paragraph" w:customStyle="1" w:styleId="2854">
    <w:name w:val="样式 标题 3 + Times New Roman 行距: 固定值 28 磅"/>
    <w:basedOn w:val="7"/>
    <w:qFormat/>
    <w:uiPriority w:val="0"/>
    <w:pPr>
      <w:jc w:val="left"/>
    </w:pPr>
    <w:rPr>
      <w:rFonts w:cs="宋体"/>
      <w:bCs w:val="0"/>
      <w:szCs w:val="20"/>
    </w:rPr>
  </w:style>
  <w:style w:type="paragraph" w:customStyle="1" w:styleId="2855">
    <w:name w:val="xl81"/>
    <w:basedOn w:val="1"/>
    <w:qFormat/>
    <w:uiPriority w:val="0"/>
    <w:pPr>
      <w:widowControl/>
      <w:pBdr>
        <w:top w:val="single" w:color="auto" w:sz="4" w:space="0"/>
        <w:left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 w:val="18"/>
      <w:szCs w:val="18"/>
    </w:rPr>
  </w:style>
  <w:style w:type="paragraph" w:customStyle="1" w:styleId="2856">
    <w:name w:val="摘要"/>
    <w:basedOn w:val="2006"/>
    <w:qFormat/>
    <w:uiPriority w:val="0"/>
    <w:pPr>
      <w:spacing w:line="324" w:lineRule="auto"/>
    </w:pPr>
    <w:rPr>
      <w:rFonts w:hAnsi="Times New Roman" w:eastAsia="宋体"/>
      <w:snapToGrid/>
      <w:kern w:val="2"/>
      <w:sz w:val="15"/>
      <w:szCs w:val="20"/>
      <w:u w:val="none" w:color="000000"/>
    </w:rPr>
  </w:style>
  <w:style w:type="paragraph" w:customStyle="1" w:styleId="2857">
    <w:name w:val="目录"/>
    <w:basedOn w:val="1"/>
    <w:qFormat/>
    <w:uiPriority w:val="0"/>
    <w:pPr>
      <w:spacing w:line="360" w:lineRule="auto"/>
      <w:ind w:firstLine="0" w:firstLineChars="0"/>
      <w:jc w:val="center"/>
    </w:pPr>
    <w:rPr>
      <w:rFonts w:ascii="Times New Roman" w:eastAsia="黑体"/>
      <w:sz w:val="32"/>
      <w:szCs w:val="24"/>
    </w:rPr>
  </w:style>
  <w:style w:type="paragraph" w:customStyle="1" w:styleId="2858">
    <w:name w:val="xl152"/>
    <w:basedOn w:val="1"/>
    <w:qFormat/>
    <w:uiPriority w:val="0"/>
    <w:pPr>
      <w:widowControl/>
      <w:pBdr>
        <w:left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20"/>
      <w:szCs w:val="20"/>
    </w:rPr>
  </w:style>
  <w:style w:type="paragraph" w:customStyle="1" w:styleId="2859">
    <w:name w:val="样式4 Char"/>
    <w:basedOn w:val="8"/>
    <w:qFormat/>
    <w:uiPriority w:val="0"/>
    <w:pPr>
      <w:tabs>
        <w:tab w:val="left" w:pos="1680"/>
      </w:tabs>
      <w:spacing w:before="0" w:beforeLines="50" w:after="0" w:afterLines="50" w:line="460" w:lineRule="exact"/>
      <w:ind w:left="360" w:hanging="420"/>
      <w:jc w:val="left"/>
    </w:pPr>
    <w:rPr>
      <w:rFonts w:ascii="Times New Roman" w:hAnsi="Times New Roman"/>
      <w:b w:val="0"/>
      <w:bCs w:val="0"/>
      <w:szCs w:val="20"/>
    </w:rPr>
  </w:style>
  <w:style w:type="paragraph" w:customStyle="1" w:styleId="2860">
    <w:name w:val="Char"/>
    <w:basedOn w:val="1"/>
    <w:qFormat/>
    <w:uiPriority w:val="0"/>
    <w:pPr>
      <w:spacing w:line="580" w:lineRule="exact"/>
    </w:pPr>
    <w:rPr>
      <w:spacing w:val="6"/>
    </w:rPr>
  </w:style>
  <w:style w:type="paragraph" w:customStyle="1" w:styleId="2861">
    <w:name w:val="样式 样式7 + (中文) 黑体 四号 自动设置 段前: 11.6 磅 段后: 11.6 磅"/>
    <w:basedOn w:val="2095"/>
    <w:qFormat/>
    <w:uiPriority w:val="0"/>
    <w:pPr>
      <w:adjustRightInd/>
      <w:snapToGrid/>
      <w:spacing w:before="232" w:after="232"/>
      <w:ind w:firstLine="0" w:firstLineChars="0"/>
    </w:pPr>
    <w:rPr>
      <w:rFonts w:ascii="Times New Roman" w:hAnsi="Times New Roman" w:eastAsia="黑体"/>
      <w:snapToGrid/>
      <w:color w:val="auto"/>
      <w:szCs w:val="20"/>
    </w:rPr>
  </w:style>
  <w:style w:type="paragraph" w:customStyle="1" w:styleId="2862">
    <w:name w:val="正文41"/>
    <w:basedOn w:val="1"/>
    <w:semiHidden/>
    <w:qFormat/>
    <w:uiPriority w:val="0"/>
    <w:pPr>
      <w:adjustRightInd w:val="0"/>
      <w:snapToGrid w:val="0"/>
      <w:spacing w:line="400" w:lineRule="atLeast"/>
      <w:ind w:firstLine="482"/>
      <w:textAlignment w:val="baseline"/>
    </w:pPr>
    <w:rPr>
      <w:rFonts w:eastAsia="华文中宋"/>
      <w:kern w:val="0"/>
      <w:sz w:val="24"/>
      <w:szCs w:val="20"/>
    </w:rPr>
  </w:style>
  <w:style w:type="paragraph" w:customStyle="1" w:styleId="2863">
    <w:name w:val="xl232"/>
    <w:basedOn w:val="1"/>
    <w:qFormat/>
    <w:uiPriority w:val="0"/>
    <w:pPr>
      <w:widowControl/>
      <w:pBdr>
        <w:top w:val="single" w:color="auto" w:sz="4" w:space="0"/>
        <w:left w:val="single" w:color="auto" w:sz="4" w:space="0"/>
        <w:bottom w:val="single" w:color="auto" w:sz="4" w:space="0"/>
        <w:right w:val="single" w:color="auto" w:sz="4" w:space="0"/>
      </w:pBdr>
      <w:adjustRightInd w:val="0"/>
      <w:snapToGrid w:val="0"/>
      <w:spacing w:before="100" w:beforeAutospacing="1" w:after="100" w:afterAutospacing="1" w:line="360" w:lineRule="auto"/>
      <w:ind w:firstLine="0" w:firstLineChars="0"/>
      <w:jc w:val="left"/>
    </w:pPr>
    <w:rPr>
      <w:rFonts w:ascii="Times New Roman" w:eastAsia="宋体"/>
      <w:color w:val="000000"/>
      <w:kern w:val="0"/>
      <w:sz w:val="24"/>
      <w:szCs w:val="24"/>
    </w:rPr>
  </w:style>
  <w:style w:type="paragraph" w:customStyle="1" w:styleId="2864">
    <w:name w:val=":|"/>
    <w:semiHidden/>
    <w:qFormat/>
    <w:uiPriority w:val="0"/>
    <w:pPr>
      <w:overflowPunct w:val="0"/>
      <w:autoSpaceDE w:val="0"/>
      <w:autoSpaceDN w:val="0"/>
      <w:adjustRightInd w:val="0"/>
      <w:textAlignment w:val="baseline"/>
    </w:pPr>
    <w:rPr>
      <w:rFonts w:ascii="Times New Roman" w:hAnsi="Times New Roman" w:eastAsia="宋体" w:cs="Times New Roman"/>
      <w:lang w:val="en-US" w:eastAsia="zh-CN" w:bidi="ar-SA"/>
    </w:rPr>
  </w:style>
  <w:style w:type="paragraph" w:customStyle="1" w:styleId="2865">
    <w:name w:val="Char1 Char Char Char Char Char Char Char Char Char Char Char Char Char Char Char Char Char Char Char Char Char Char Char"/>
    <w:basedOn w:val="8"/>
    <w:next w:val="1"/>
    <w:semiHidden/>
    <w:qFormat/>
    <w:uiPriority w:val="0"/>
    <w:pPr>
      <w:widowControl/>
      <w:tabs>
        <w:tab w:val="left" w:pos="0"/>
        <w:tab w:val="left" w:pos="315"/>
        <w:tab w:val="left" w:pos="360"/>
      </w:tabs>
      <w:adjustRightInd w:val="0"/>
      <w:spacing w:before="240" w:after="160" w:line="240" w:lineRule="exact"/>
      <w:ind w:firstLine="0" w:firstLineChars="0"/>
      <w:jc w:val="left"/>
    </w:pPr>
    <w:rPr>
      <w:rFonts w:ascii="Verdana" w:hAnsi="Verdana" w:eastAsia="仿宋_GB2312"/>
      <w:kern w:val="0"/>
      <w:sz w:val="24"/>
      <w:szCs w:val="20"/>
      <w:lang w:val="en-US" w:eastAsia="en-US"/>
    </w:rPr>
  </w:style>
  <w:style w:type="paragraph" w:customStyle="1" w:styleId="2866">
    <w:name w:val="xl175"/>
    <w:basedOn w:val="1"/>
    <w:qFormat/>
    <w:uiPriority w:val="0"/>
    <w:pPr>
      <w:widowControl/>
      <w:pBdr>
        <w:top w:val="single" w:color="auto" w:sz="4" w:space="0"/>
        <w:lef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 w:val="20"/>
      <w:szCs w:val="20"/>
    </w:rPr>
  </w:style>
  <w:style w:type="paragraph" w:customStyle="1" w:styleId="2867">
    <w:name w:val="SB正文.一行"/>
    <w:basedOn w:val="322"/>
    <w:qFormat/>
    <w:uiPriority w:val="0"/>
    <w:pPr>
      <w:spacing w:beforeLines="30" w:afterLines="30"/>
      <w:ind w:firstLine="200"/>
    </w:pPr>
  </w:style>
  <w:style w:type="paragraph" w:customStyle="1" w:styleId="2868">
    <w:name w:val="xl8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 w:val="18"/>
      <w:szCs w:val="18"/>
    </w:rPr>
  </w:style>
  <w:style w:type="paragraph" w:customStyle="1" w:styleId="2869">
    <w:name w:val="xl184"/>
    <w:basedOn w:val="1"/>
    <w:qFormat/>
    <w:uiPriority w:val="0"/>
    <w:pPr>
      <w:widowControl/>
      <w:pBdr>
        <w:top w:val="single" w:color="auto" w:sz="8" w:space="0"/>
        <w:left w:val="single" w:color="auto" w:sz="8"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 w:val="20"/>
      <w:szCs w:val="20"/>
    </w:rPr>
  </w:style>
  <w:style w:type="paragraph" w:customStyle="1" w:styleId="2870">
    <w:name w:val="02-表格"/>
    <w:basedOn w:val="1"/>
    <w:qFormat/>
    <w:uiPriority w:val="0"/>
    <w:pPr>
      <w:spacing w:line="240" w:lineRule="auto"/>
      <w:ind w:firstLine="0" w:firstLineChars="0"/>
      <w:jc w:val="center"/>
    </w:pPr>
    <w:rPr>
      <w:rFonts w:ascii="Times New Roman" w:eastAsia="宋体"/>
      <w:sz w:val="21"/>
      <w:szCs w:val="21"/>
    </w:rPr>
  </w:style>
  <w:style w:type="paragraph" w:customStyle="1" w:styleId="2871">
    <w:name w:val="表格左对齐"/>
    <w:basedOn w:val="1"/>
    <w:semiHidden/>
    <w:qFormat/>
    <w:uiPriority w:val="0"/>
    <w:pPr>
      <w:spacing w:line="240" w:lineRule="auto"/>
      <w:ind w:firstLine="0" w:firstLineChars="0"/>
      <w:jc w:val="left"/>
    </w:pPr>
    <w:rPr>
      <w:rFonts w:ascii="Times New Roman" w:eastAsia="宋体"/>
      <w:sz w:val="21"/>
      <w:szCs w:val="20"/>
    </w:rPr>
  </w:style>
  <w:style w:type="paragraph" w:customStyle="1" w:styleId="2872">
    <w:name w:val="样式 标题 2 + 四号"/>
    <w:basedOn w:val="5"/>
    <w:qFormat/>
    <w:uiPriority w:val="0"/>
    <w:pPr>
      <w:keepNext/>
      <w:keepLines/>
      <w:numPr>
        <w:ilvl w:val="2"/>
        <w:numId w:val="5"/>
      </w:numPr>
      <w:tabs>
        <w:tab w:val="clear" w:pos="720"/>
      </w:tabs>
      <w:spacing w:before="0" w:beforeLines="600" w:after="0" w:afterLines="600" w:line="240" w:lineRule="exact"/>
      <w:ind w:left="0" w:firstLine="0"/>
    </w:pPr>
    <w:rPr>
      <w:rFonts w:ascii="Times New Roman" w:hAnsi="Times New Roman" w:eastAsia="宋体"/>
      <w:sz w:val="28"/>
    </w:rPr>
  </w:style>
  <w:style w:type="paragraph" w:customStyle="1" w:styleId="2873">
    <w:name w:val="表名3-"/>
    <w:basedOn w:val="6"/>
    <w:qFormat/>
    <w:uiPriority w:val="0"/>
    <w:pPr>
      <w:tabs>
        <w:tab w:val="left" w:pos="170"/>
        <w:tab w:val="left" w:pos="720"/>
      </w:tabs>
      <w:spacing w:line="360" w:lineRule="auto"/>
      <w:ind w:left="720" w:hanging="720" w:firstLineChars="0"/>
      <w:jc w:val="left"/>
    </w:pPr>
    <w:rPr>
      <w:rFonts w:ascii="Times New Roman" w:eastAsia="黑体"/>
      <w:szCs w:val="20"/>
      <w:u w:val="none" w:color="000000"/>
      <w:lang w:val="en-US" w:eastAsia="zh-CN"/>
    </w:rPr>
  </w:style>
  <w:style w:type="paragraph" w:customStyle="1" w:styleId="2874">
    <w:name w:val="标列标头"/>
    <w:basedOn w:val="1"/>
    <w:next w:val="1"/>
    <w:semiHidden/>
    <w:qFormat/>
    <w:uiPriority w:val="0"/>
    <w:pPr>
      <w:spacing w:line="360" w:lineRule="auto"/>
      <w:ind w:firstLine="0" w:firstLineChars="0"/>
      <w:jc w:val="left"/>
    </w:pPr>
    <w:rPr>
      <w:rFonts w:ascii="Times New Roman" w:eastAsia="宋体"/>
      <w:b/>
      <w:sz w:val="21"/>
      <w:szCs w:val="24"/>
    </w:rPr>
  </w:style>
  <w:style w:type="paragraph" w:customStyle="1" w:styleId="2875">
    <w:name w:val="样式 标题1"/>
    <w:basedOn w:val="1526"/>
    <w:semiHidden/>
    <w:qFormat/>
    <w:uiPriority w:val="0"/>
    <w:pPr>
      <w:numPr>
        <w:ilvl w:val="0"/>
        <w:numId w:val="18"/>
      </w:numPr>
      <w:tabs>
        <w:tab w:val="left" w:pos="360"/>
        <w:tab w:val="clear" w:pos="425"/>
      </w:tabs>
      <w:spacing w:before="160" w:after="160" w:line="240" w:lineRule="auto"/>
      <w:ind w:left="210" w:firstLine="480" w:firstLineChars="0"/>
      <w:jc w:val="left"/>
    </w:pPr>
    <w:rPr>
      <w:rFonts w:eastAsia="黑体"/>
      <w:b/>
      <w:sz w:val="32"/>
      <w:szCs w:val="32"/>
    </w:rPr>
  </w:style>
  <w:style w:type="paragraph" w:customStyle="1" w:styleId="2876">
    <w:name w:val="z-窗体顶端11"/>
    <w:basedOn w:val="1"/>
    <w:next w:val="1"/>
    <w:qFormat/>
    <w:uiPriority w:val="0"/>
    <w:pPr>
      <w:widowControl/>
      <w:pBdr>
        <w:bottom w:val="single" w:color="auto" w:sz="6" w:space="1"/>
      </w:pBdr>
      <w:spacing w:line="240" w:lineRule="auto"/>
      <w:ind w:firstLine="0" w:firstLineChars="0"/>
      <w:jc w:val="center"/>
    </w:pPr>
    <w:rPr>
      <w:rFonts w:ascii="Arial" w:hAnsi="Arial" w:eastAsia="宋体" w:cs="Arial"/>
      <w:vanish/>
      <w:kern w:val="0"/>
      <w:sz w:val="16"/>
      <w:szCs w:val="16"/>
    </w:rPr>
  </w:style>
  <w:style w:type="paragraph" w:customStyle="1" w:styleId="2877">
    <w:name w:val="Char Char Char Char Char Char Char Char Char Char Char Char Char Char Char Char Char Char Char Char Char Char Char Char Char Char Char Char Char Char Char Char Char Char1"/>
    <w:basedOn w:val="1"/>
    <w:qFormat/>
    <w:uiPriority w:val="0"/>
    <w:pPr>
      <w:spacing w:line="360" w:lineRule="auto"/>
    </w:pPr>
    <w:rPr>
      <w:rFonts w:ascii="宋体" w:hAnsi="宋体"/>
      <w:sz w:val="24"/>
      <w:szCs w:val="24"/>
    </w:rPr>
  </w:style>
  <w:style w:type="paragraph" w:customStyle="1" w:styleId="2878">
    <w:name w:val="表格文字   99"/>
    <w:basedOn w:val="1"/>
    <w:qFormat/>
    <w:uiPriority w:val="0"/>
    <w:pPr>
      <w:widowControl/>
      <w:spacing w:line="0" w:lineRule="atLeast"/>
      <w:ind w:firstLine="0" w:firstLineChars="0"/>
      <w:jc w:val="center"/>
    </w:pPr>
    <w:rPr>
      <w:rFonts w:ascii="Times New Roman" w:eastAsia="楷体_GB2312" w:cs="宋体"/>
      <w:kern w:val="0"/>
      <w:sz w:val="21"/>
      <w:szCs w:val="18"/>
      <w:u w:val="none" w:color="000000"/>
    </w:rPr>
  </w:style>
  <w:style w:type="paragraph" w:customStyle="1" w:styleId="2879">
    <w:name w:val="TOC 标题21"/>
    <w:basedOn w:val="4"/>
    <w:next w:val="1"/>
    <w:semiHidden/>
    <w:qFormat/>
    <w:uiPriority w:val="0"/>
    <w:pPr>
      <w:keepNext/>
      <w:widowControl/>
      <w:tabs>
        <w:tab w:val="left" w:pos="8080"/>
      </w:tabs>
      <w:spacing w:before="240" w:after="60" w:line="240" w:lineRule="auto"/>
      <w:jc w:val="left"/>
      <w:outlineLvl w:val="9"/>
    </w:pPr>
    <w:rPr>
      <w:rFonts w:ascii="Cambria" w:hAnsi="Cambria"/>
      <w:color w:val="000000"/>
      <w:kern w:val="32"/>
      <w:szCs w:val="32"/>
      <w:lang w:val="en-US" w:eastAsia="en-US"/>
    </w:rPr>
  </w:style>
  <w:style w:type="paragraph" w:customStyle="1" w:styleId="2880">
    <w:name w:val="xl98"/>
    <w:basedOn w:val="1"/>
    <w:qFormat/>
    <w:uiPriority w:val="0"/>
    <w:pPr>
      <w:widowControl/>
      <w:pBdr>
        <w:top w:val="single" w:color="auto" w:sz="4" w:space="0"/>
        <w:left w:val="single" w:color="auto" w:sz="4" w:space="0"/>
        <w:bottom w:val="single" w:color="auto" w:sz="4" w:space="0"/>
        <w:right w:val="single" w:color="auto" w:sz="4" w:space="0"/>
      </w:pBdr>
      <w:shd w:val="clear" w:color="000000" w:fill="FFFF99"/>
      <w:spacing w:before="100" w:beforeAutospacing="1" w:after="100" w:afterAutospacing="1" w:line="240" w:lineRule="auto"/>
      <w:ind w:firstLine="0" w:firstLineChars="0"/>
      <w:jc w:val="center"/>
    </w:pPr>
    <w:rPr>
      <w:rFonts w:ascii="宋体" w:hAnsi="宋体" w:eastAsia="宋体" w:cs="宋体"/>
      <w:kern w:val="0"/>
      <w:sz w:val="18"/>
      <w:szCs w:val="18"/>
    </w:rPr>
  </w:style>
  <w:style w:type="paragraph" w:customStyle="1" w:styleId="2881">
    <w:name w:val="BT 4"/>
    <w:basedOn w:val="7"/>
    <w:qFormat/>
    <w:uiPriority w:val="0"/>
    <w:pPr>
      <w:topLinePunct/>
      <w:textAlignment w:val="baseline"/>
      <w:outlineLvl w:val="3"/>
    </w:pPr>
    <w:rPr>
      <w:rFonts w:eastAsia="宋体" w:cs="Arial"/>
      <w:bCs w:val="0"/>
      <w:kern w:val="0"/>
    </w:rPr>
  </w:style>
  <w:style w:type="paragraph" w:customStyle="1" w:styleId="2882">
    <w:name w:val="表后正文"/>
    <w:basedOn w:val="1"/>
    <w:qFormat/>
    <w:uiPriority w:val="0"/>
    <w:pPr>
      <w:suppressLineNumbers/>
      <w:suppressAutoHyphens/>
      <w:topLinePunct/>
      <w:adjustRightInd w:val="0"/>
      <w:snapToGrid w:val="0"/>
      <w:spacing w:beforeLines="70" w:line="360" w:lineRule="auto"/>
      <w:ind w:firstLine="560"/>
    </w:pPr>
    <w:rPr>
      <w:rFonts w:ascii="Times New Roman" w:eastAsia="宋体"/>
      <w:kern w:val="0"/>
      <w:sz w:val="24"/>
      <w:szCs w:val="24"/>
      <w:u w:val="none" w:color="000000"/>
    </w:rPr>
  </w:style>
  <w:style w:type="paragraph" w:customStyle="1" w:styleId="2883">
    <w:name w:val="公表文"/>
    <w:basedOn w:val="1"/>
    <w:qFormat/>
    <w:uiPriority w:val="0"/>
    <w:pPr>
      <w:adjustRightInd w:val="0"/>
      <w:spacing w:beforeLines="20" w:afterLines="20" w:line="240" w:lineRule="auto"/>
      <w:ind w:firstLine="560"/>
      <w:jc w:val="center"/>
    </w:pPr>
    <w:rPr>
      <w:rFonts w:ascii="宋体" w:hAnsi="Swis721 Lt BT" w:eastAsia="楷体_GB2312"/>
      <w:bCs/>
      <w:kern w:val="44"/>
      <w:szCs w:val="44"/>
    </w:rPr>
  </w:style>
  <w:style w:type="paragraph" w:customStyle="1" w:styleId="2884">
    <w:name w:val="样式 样式46 +"/>
    <w:basedOn w:val="1"/>
    <w:qFormat/>
    <w:uiPriority w:val="0"/>
    <w:pPr>
      <w:adjustRightInd w:val="0"/>
      <w:spacing w:line="300" w:lineRule="exact"/>
      <w:ind w:left="-120" w:leftChars="-50" w:right="-120" w:rightChars="-50"/>
      <w:jc w:val="center"/>
    </w:pPr>
    <w:rPr>
      <w:rFonts w:ascii="黑体" w:eastAsia="华文中宋"/>
      <w:kern w:val="0"/>
      <w:sz w:val="24"/>
      <w:szCs w:val="21"/>
    </w:rPr>
  </w:style>
  <w:style w:type="paragraph" w:customStyle="1" w:styleId="2885">
    <w:name w:val="1.1.1.1A"/>
    <w:basedOn w:val="1"/>
    <w:qFormat/>
    <w:uiPriority w:val="0"/>
    <w:pPr>
      <w:snapToGrid w:val="0"/>
      <w:spacing w:line="440" w:lineRule="exact"/>
      <w:ind w:firstLine="0" w:firstLineChars="0"/>
      <w:textAlignment w:val="baseline"/>
    </w:pPr>
    <w:rPr>
      <w:rFonts w:ascii="宋体" w:hAnsi="宋体" w:eastAsia="宋体" w:cs="宋体"/>
      <w:kern w:val="0"/>
      <w:sz w:val="24"/>
      <w:szCs w:val="24"/>
      <w:u w:val="none" w:color="000000"/>
    </w:rPr>
  </w:style>
  <w:style w:type="paragraph" w:customStyle="1" w:styleId="2886">
    <w:name w:val="样式3"/>
    <w:basedOn w:val="2508"/>
    <w:qFormat/>
    <w:uiPriority w:val="0"/>
  </w:style>
  <w:style w:type="paragraph" w:customStyle="1" w:styleId="2887">
    <w:name w:val="xl227"/>
    <w:basedOn w:val="1"/>
    <w:qFormat/>
    <w:uiPriority w:val="0"/>
    <w:pPr>
      <w:widowControl/>
      <w:pBdr>
        <w:top w:val="single" w:color="auto" w:sz="4" w:space="0"/>
        <w:left w:val="single" w:color="auto" w:sz="4" w:space="0"/>
        <w:bottom w:val="single" w:color="auto" w:sz="4" w:space="0"/>
        <w:right w:val="single" w:color="auto" w:sz="4" w:space="0"/>
      </w:pBdr>
      <w:adjustRightInd w:val="0"/>
      <w:snapToGrid w:val="0"/>
      <w:spacing w:before="100" w:beforeAutospacing="1" w:after="100" w:afterAutospacing="1" w:line="360" w:lineRule="auto"/>
      <w:ind w:firstLine="0" w:firstLineChars="0"/>
      <w:jc w:val="center"/>
    </w:pPr>
    <w:rPr>
      <w:rFonts w:ascii="Times New Roman" w:eastAsia="宋体"/>
      <w:kern w:val="0"/>
      <w:sz w:val="24"/>
      <w:szCs w:val="24"/>
    </w:rPr>
  </w:style>
  <w:style w:type="paragraph" w:customStyle="1" w:styleId="2888">
    <w:name w:val="样式 样式 表中文字 + (中文) 楷体_GB2312 五号 + 首行缩进:  2 字符1"/>
    <w:basedOn w:val="1375"/>
    <w:qFormat/>
    <w:uiPriority w:val="0"/>
    <w:pPr>
      <w:ind w:firstLine="0" w:firstLineChars="0"/>
    </w:pPr>
  </w:style>
  <w:style w:type="paragraph" w:customStyle="1" w:styleId="2889">
    <w:name w:val="注释"/>
    <w:basedOn w:val="1"/>
    <w:qFormat/>
    <w:uiPriority w:val="0"/>
    <w:pPr>
      <w:widowControl/>
      <w:spacing w:beforeLines="25" w:afterLines="25" w:line="240" w:lineRule="auto"/>
      <w:jc w:val="left"/>
    </w:pPr>
    <w:rPr>
      <w:rFonts w:ascii="Times New Roman" w:eastAsia="宋体" w:cs="宋体"/>
      <w:snapToGrid w:val="0"/>
      <w:kern w:val="0"/>
      <w:sz w:val="18"/>
      <w:szCs w:val="24"/>
    </w:rPr>
  </w:style>
  <w:style w:type="paragraph" w:customStyle="1" w:styleId="2890">
    <w:name w:val="段落小标题"/>
    <w:basedOn w:val="2103"/>
    <w:qFormat/>
    <w:uiPriority w:val="0"/>
    <w:pPr>
      <w:ind w:firstLine="0" w:firstLineChars="0"/>
    </w:pPr>
    <w:rPr>
      <w:b/>
    </w:rPr>
  </w:style>
  <w:style w:type="paragraph" w:customStyle="1" w:styleId="2891">
    <w:name w:val="Char Char1 Char Char Char2 Char Char Char Char Char Char1 Char"/>
    <w:basedOn w:val="1"/>
    <w:semiHidden/>
    <w:qFormat/>
    <w:uiPriority w:val="0"/>
    <w:pPr>
      <w:adjustRightInd w:val="0"/>
      <w:spacing w:line="360" w:lineRule="atLeast"/>
      <w:ind w:firstLine="0" w:firstLineChars="0"/>
    </w:pPr>
    <w:rPr>
      <w:rFonts w:ascii="Times New Roman" w:eastAsia="宋体"/>
      <w:kern w:val="0"/>
      <w:sz w:val="21"/>
      <w:szCs w:val="24"/>
      <w:u w:val="none" w:color="000000"/>
    </w:rPr>
  </w:style>
  <w:style w:type="paragraph" w:customStyle="1" w:styleId="2892">
    <w:name w:val="五号表格"/>
    <w:basedOn w:val="1"/>
    <w:qFormat/>
    <w:uiPriority w:val="0"/>
    <w:pPr>
      <w:spacing w:line="0" w:lineRule="atLeast"/>
      <w:ind w:firstLine="0" w:firstLineChars="0"/>
      <w:jc w:val="center"/>
    </w:pPr>
    <w:rPr>
      <w:rFonts w:ascii="楷体_GB2312" w:eastAsia="楷体_GB2312"/>
      <w:kern w:val="0"/>
      <w:sz w:val="21"/>
      <w:szCs w:val="20"/>
    </w:rPr>
  </w:style>
  <w:style w:type="paragraph" w:customStyle="1" w:styleId="2893">
    <w:name w:val="样式 标题3"/>
    <w:basedOn w:val="1"/>
    <w:semiHidden/>
    <w:qFormat/>
    <w:uiPriority w:val="0"/>
    <w:pPr>
      <w:numPr>
        <w:ilvl w:val="2"/>
        <w:numId w:val="19"/>
      </w:numPr>
      <w:spacing w:before="120" w:after="120" w:line="240" w:lineRule="auto"/>
      <w:ind w:firstLineChars="0"/>
    </w:pPr>
    <w:rPr>
      <w:rFonts w:ascii="Times New Roman" w:eastAsia="宋体"/>
    </w:rPr>
  </w:style>
  <w:style w:type="paragraph" w:customStyle="1" w:styleId="2894">
    <w:name w:val="标提2"/>
    <w:basedOn w:val="5"/>
    <w:next w:val="1526"/>
    <w:semiHidden/>
    <w:qFormat/>
    <w:uiPriority w:val="0"/>
    <w:pPr>
      <w:numPr>
        <w:ilvl w:val="0"/>
        <w:numId w:val="20"/>
      </w:numPr>
      <w:tabs>
        <w:tab w:val="left" w:pos="315"/>
        <w:tab w:val="left" w:pos="945"/>
      </w:tabs>
      <w:spacing w:before="0" w:beforeLines="600" w:after="0" w:afterLines="600" w:line="240" w:lineRule="exact"/>
      <w:jc w:val="center"/>
    </w:pPr>
    <w:rPr>
      <w:rFonts w:ascii="黑体" w:hAnsi="Times New Roman"/>
      <w:bCs w:val="0"/>
      <w:color w:val="000000"/>
      <w:szCs w:val="32"/>
    </w:rPr>
  </w:style>
  <w:style w:type="paragraph" w:customStyle="1" w:styleId="2895">
    <w:name w:val="新正文"/>
    <w:basedOn w:val="1"/>
    <w:qFormat/>
    <w:uiPriority w:val="0"/>
    <w:pPr>
      <w:adjustRightInd w:val="0"/>
      <w:snapToGrid w:val="0"/>
    </w:pPr>
    <w:rPr>
      <w:rFonts w:hAnsi="宋体"/>
    </w:rPr>
  </w:style>
  <w:style w:type="paragraph" w:customStyle="1" w:styleId="2896">
    <w:name w:val="Char Char Char Char Char Char Char Char Char Char Char Char Char Char Char Char Char Char Char Char"/>
    <w:basedOn w:val="1"/>
    <w:semiHidden/>
    <w:qFormat/>
    <w:uiPriority w:val="0"/>
    <w:pPr>
      <w:widowControl/>
      <w:spacing w:after="160" w:line="240" w:lineRule="exact"/>
      <w:ind w:firstLine="0" w:firstLineChars="0"/>
      <w:jc w:val="left"/>
    </w:pPr>
    <w:rPr>
      <w:rFonts w:ascii="宋体" w:hAnsi="宋体" w:eastAsia="宋体"/>
      <w:spacing w:val="14"/>
      <w:kern w:val="0"/>
      <w:sz w:val="24"/>
      <w:szCs w:val="24"/>
    </w:rPr>
  </w:style>
  <w:style w:type="paragraph" w:customStyle="1" w:styleId="2897">
    <w:name w:val="目录ok"/>
    <w:basedOn w:val="23"/>
    <w:qFormat/>
    <w:uiPriority w:val="0"/>
    <w:pPr>
      <w:widowControl/>
      <w:spacing w:before="400" w:after="300"/>
      <w:jc w:val="center"/>
    </w:pPr>
    <w:rPr>
      <w:rFonts w:ascii="Times New Roman" w:hAnsi="Times New Roman" w:cs="Arial"/>
      <w:snapToGrid w:val="0"/>
      <w:kern w:val="0"/>
      <w:sz w:val="30"/>
      <w:szCs w:val="36"/>
      <w:lang w:val="en-US" w:eastAsia="zh-CN"/>
    </w:rPr>
  </w:style>
  <w:style w:type="paragraph" w:customStyle="1" w:styleId="2898">
    <w:name w:val="样式 表名 + 自动设置"/>
    <w:basedOn w:val="1"/>
    <w:qFormat/>
    <w:uiPriority w:val="0"/>
    <w:pPr>
      <w:spacing w:after="60"/>
      <w:ind w:firstLine="100" w:firstLineChars="100"/>
    </w:pPr>
    <w:rPr>
      <w:rFonts w:ascii="黑体" w:hAnsi="宋体" w:eastAsia="黑体"/>
      <w:sz w:val="24"/>
      <w:szCs w:val="24"/>
    </w:rPr>
  </w:style>
  <w:style w:type="paragraph" w:customStyle="1" w:styleId="2899">
    <w:name w:val="Char Char Char Char1 Char Char Char Char Char Char"/>
    <w:basedOn w:val="1"/>
    <w:qFormat/>
    <w:uiPriority w:val="0"/>
    <w:pPr>
      <w:spacing w:line="360" w:lineRule="auto"/>
    </w:pPr>
    <w:rPr>
      <w:rFonts w:ascii="Times New Roman" w:eastAsia="宋体"/>
      <w:sz w:val="24"/>
      <w:szCs w:val="24"/>
    </w:rPr>
  </w:style>
  <w:style w:type="paragraph" w:customStyle="1" w:styleId="2900">
    <w:name w:val="样式 样式 正文文字缩进 2 + 首行缩进:  2 字符 行距: 固定值 23 磅 Char + 首行缩进:  2 字符"/>
    <w:basedOn w:val="1"/>
    <w:qFormat/>
    <w:uiPriority w:val="0"/>
    <w:pPr>
      <w:spacing w:line="240" w:lineRule="auto"/>
      <w:ind w:firstLine="480"/>
    </w:pPr>
    <w:rPr>
      <w:rFonts w:ascii="Times New Roman" w:eastAsia="华文中宋"/>
      <w:sz w:val="24"/>
      <w:szCs w:val="20"/>
    </w:rPr>
  </w:style>
  <w:style w:type="paragraph" w:customStyle="1" w:styleId="2901">
    <w:name w:val="表格正文"/>
    <w:basedOn w:val="1"/>
    <w:qFormat/>
    <w:uiPriority w:val="0"/>
    <w:pPr>
      <w:kinsoku w:val="0"/>
      <w:overflowPunct w:val="0"/>
      <w:autoSpaceDE w:val="0"/>
      <w:autoSpaceDN w:val="0"/>
      <w:spacing w:line="240" w:lineRule="auto"/>
      <w:ind w:firstLine="0" w:firstLineChars="0"/>
      <w:jc w:val="center"/>
    </w:pPr>
    <w:rPr>
      <w:rFonts w:ascii="宋体" w:eastAsia="宋体"/>
      <w:kern w:val="0"/>
      <w:sz w:val="24"/>
      <w:szCs w:val="24"/>
      <w:lang w:val="zh-CN"/>
    </w:rPr>
  </w:style>
  <w:style w:type="paragraph" w:customStyle="1" w:styleId="2902">
    <w:name w:val="xl225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Times New Roman" w:eastAsia="宋体"/>
      <w:kern w:val="0"/>
      <w:sz w:val="20"/>
      <w:szCs w:val="20"/>
    </w:rPr>
  </w:style>
  <w:style w:type="paragraph" w:customStyle="1" w:styleId="2903">
    <w:name w:val="样式 标题 4 + 段前: 0.5 行"/>
    <w:basedOn w:val="8"/>
    <w:semiHidden/>
    <w:qFormat/>
    <w:uiPriority w:val="0"/>
    <w:pPr>
      <w:numPr>
        <w:ilvl w:val="3"/>
        <w:numId w:val="0"/>
      </w:numPr>
      <w:tabs>
        <w:tab w:val="left" w:pos="1620"/>
      </w:tabs>
      <w:spacing w:before="0" w:beforeLines="50" w:after="120" w:line="377" w:lineRule="auto"/>
      <w:ind w:left="540"/>
      <w:jc w:val="left"/>
    </w:pPr>
    <w:rPr>
      <w:rFonts w:ascii="Arial" w:hAnsi="Arial" w:cs="宋体"/>
      <w:spacing w:val="20"/>
      <w:szCs w:val="20"/>
    </w:rPr>
  </w:style>
  <w:style w:type="paragraph" w:customStyle="1" w:styleId="2904">
    <w:name w:val="样式 标题 2 + 段后: 0.5 行1"/>
    <w:basedOn w:val="5"/>
    <w:semiHidden/>
    <w:qFormat/>
    <w:uiPriority w:val="0"/>
    <w:pPr>
      <w:keepNext/>
      <w:keepLines/>
      <w:numPr>
        <w:ilvl w:val="1"/>
        <w:numId w:val="0"/>
      </w:numPr>
      <w:tabs>
        <w:tab w:val="left" w:pos="567"/>
      </w:tabs>
      <w:spacing w:before="0" w:beforeLines="600" w:after="0" w:afterLines="600" w:line="240" w:lineRule="exact"/>
      <w:ind w:left="851" w:hanging="851"/>
    </w:pPr>
    <w:rPr>
      <w:rFonts w:cs="宋体"/>
      <w:b/>
      <w:bCs w:val="0"/>
      <w:szCs w:val="20"/>
    </w:rPr>
  </w:style>
  <w:style w:type="paragraph" w:customStyle="1" w:styleId="2905">
    <w:name w:val="xl24"/>
    <w:basedOn w:val="1"/>
    <w:qFormat/>
    <w:uiPriority w:val="0"/>
    <w:pPr>
      <w:widowControl/>
      <w:spacing w:before="100" w:beforeAutospacing="1" w:after="100" w:afterAutospacing="1" w:line="240" w:lineRule="auto"/>
      <w:ind w:firstLine="0" w:firstLineChars="0"/>
      <w:jc w:val="center"/>
    </w:pPr>
    <w:rPr>
      <w:rFonts w:ascii="Arial Unicode MS" w:hAnsi="Arial Unicode MS" w:eastAsia="Arial Unicode MS" w:cs="Arial Unicode MS"/>
      <w:kern w:val="0"/>
      <w:sz w:val="20"/>
      <w:szCs w:val="20"/>
    </w:rPr>
  </w:style>
  <w:style w:type="paragraph" w:customStyle="1" w:styleId="2906">
    <w:name w:val="WW-普通文字"/>
    <w:basedOn w:val="1"/>
    <w:qFormat/>
    <w:uiPriority w:val="0"/>
    <w:pPr>
      <w:suppressAutoHyphens/>
      <w:spacing w:line="240" w:lineRule="auto"/>
      <w:ind w:firstLine="0" w:firstLineChars="0"/>
    </w:pPr>
    <w:rPr>
      <w:rFonts w:ascii="宋体" w:hAnsi="宋体" w:eastAsia="宋体"/>
      <w:kern w:val="1"/>
      <w:sz w:val="21"/>
      <w:szCs w:val="20"/>
    </w:rPr>
  </w:style>
  <w:style w:type="paragraph" w:customStyle="1" w:styleId="2907">
    <w:name w:val="xl1612"/>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pPr>
    <w:rPr>
      <w:rFonts w:ascii="Times New Roman" w:eastAsia="宋体"/>
      <w:kern w:val="0"/>
      <w:sz w:val="24"/>
      <w:szCs w:val="24"/>
    </w:rPr>
  </w:style>
  <w:style w:type="paragraph" w:customStyle="1" w:styleId="2908">
    <w:name w:val="样式 标题 1 + 四号 Char"/>
    <w:basedOn w:val="4"/>
    <w:semiHidden/>
    <w:qFormat/>
    <w:uiPriority w:val="0"/>
    <w:pPr>
      <w:keepNext/>
      <w:keepLines/>
      <w:tabs>
        <w:tab w:val="left" w:pos="425"/>
        <w:tab w:val="left" w:pos="1270"/>
      </w:tabs>
      <w:adjustRightInd w:val="0"/>
      <w:snapToGrid w:val="0"/>
      <w:spacing w:after="480" w:line="720" w:lineRule="auto"/>
      <w:ind w:left="1270" w:hanging="630"/>
      <w:jc w:val="center"/>
      <w:textAlignment w:val="baseline"/>
    </w:pPr>
    <w:rPr>
      <w:sz w:val="28"/>
      <w:szCs w:val="24"/>
    </w:rPr>
  </w:style>
  <w:style w:type="paragraph" w:customStyle="1" w:styleId="2909">
    <w:name w:val="正文中表格"/>
    <w:basedOn w:val="1"/>
    <w:next w:val="1"/>
    <w:semiHidden/>
    <w:qFormat/>
    <w:uiPriority w:val="0"/>
    <w:pPr>
      <w:topLinePunct/>
      <w:jc w:val="center"/>
    </w:pPr>
    <w:rPr>
      <w:rFonts w:eastAsia="楷体_GB2312" w:cs="Arial Unicode MS"/>
      <w:szCs w:val="21"/>
    </w:rPr>
  </w:style>
  <w:style w:type="paragraph" w:customStyle="1" w:styleId="2910">
    <w:name w:val="目录4"/>
    <w:basedOn w:val="1"/>
    <w:next w:val="1"/>
    <w:qFormat/>
    <w:uiPriority w:val="0"/>
    <w:pPr>
      <w:adjustRightInd w:val="0"/>
      <w:snapToGrid w:val="0"/>
      <w:spacing w:line="360" w:lineRule="auto"/>
      <w:ind w:firstLine="480"/>
      <w:jc w:val="left"/>
    </w:pPr>
    <w:rPr>
      <w:rFonts w:ascii="Times New Roman" w:eastAsia="宋体"/>
      <w:sz w:val="24"/>
      <w:szCs w:val="24"/>
    </w:rPr>
  </w:style>
  <w:style w:type="paragraph" w:customStyle="1" w:styleId="2911">
    <w:name w:val="xl2782"/>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left"/>
    </w:pPr>
    <w:rPr>
      <w:rFonts w:ascii="Times New Roman" w:eastAsia="宋体"/>
      <w:kern w:val="0"/>
      <w:sz w:val="18"/>
      <w:szCs w:val="18"/>
    </w:rPr>
  </w:style>
  <w:style w:type="paragraph" w:customStyle="1" w:styleId="2912">
    <w:name w:val="样式5图名00"/>
    <w:basedOn w:val="1"/>
    <w:qFormat/>
    <w:uiPriority w:val="0"/>
    <w:pPr>
      <w:spacing w:line="240" w:lineRule="auto"/>
      <w:ind w:firstLine="0" w:firstLineChars="0"/>
      <w:jc w:val="center"/>
      <w:outlineLvl w:val="8"/>
    </w:pPr>
    <w:rPr>
      <w:rFonts w:ascii="黑体" w:eastAsia="黑体"/>
      <w:sz w:val="24"/>
    </w:rPr>
  </w:style>
  <w:style w:type="paragraph" w:customStyle="1" w:styleId="2913">
    <w:name w:val="xl6263"/>
    <w:basedOn w:val="1"/>
    <w:qFormat/>
    <w:uiPriority w:val="0"/>
    <w:pPr>
      <w:widowControl/>
      <w:pBdr>
        <w:top w:val="single" w:color="auto" w:sz="4" w:space="0"/>
        <w:left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 w:val="20"/>
      <w:szCs w:val="20"/>
    </w:rPr>
  </w:style>
  <w:style w:type="paragraph" w:customStyle="1" w:styleId="2914">
    <w:name w:val="文字居中"/>
    <w:basedOn w:val="1"/>
    <w:qFormat/>
    <w:uiPriority w:val="0"/>
    <w:pPr>
      <w:spacing w:line="240" w:lineRule="auto"/>
      <w:ind w:firstLine="0" w:firstLineChars="0"/>
      <w:jc w:val="center"/>
    </w:pPr>
    <w:rPr>
      <w:rFonts w:ascii="Times New Roman" w:eastAsia="宋体-方正超大字符集"/>
      <w:sz w:val="21"/>
      <w:szCs w:val="24"/>
    </w:rPr>
  </w:style>
  <w:style w:type="paragraph" w:customStyle="1" w:styleId="2915">
    <w:name w:val="正文文本2"/>
    <w:basedOn w:val="1"/>
    <w:qFormat/>
    <w:uiPriority w:val="0"/>
    <w:pPr>
      <w:tabs>
        <w:tab w:val="left" w:pos="1304"/>
      </w:tabs>
      <w:adjustRightInd w:val="0"/>
      <w:snapToGrid w:val="0"/>
      <w:spacing w:line="360" w:lineRule="auto"/>
      <w:ind w:left="1758" w:hanging="1758" w:firstLineChars="0"/>
      <w:outlineLvl w:val="0"/>
    </w:pPr>
    <w:rPr>
      <w:rFonts w:ascii="Arial" w:hAnsi="Arial" w:eastAsia="宋体" w:cs="Arial"/>
      <w:snapToGrid w:val="0"/>
      <w:kern w:val="0"/>
      <w:sz w:val="24"/>
      <w:szCs w:val="24"/>
    </w:rPr>
  </w:style>
  <w:style w:type="paragraph" w:customStyle="1" w:styleId="2916">
    <w:name w:val="xl1587"/>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textAlignment w:val="center"/>
    </w:pPr>
    <w:rPr>
      <w:rFonts w:ascii="Times New Roman" w:eastAsia="宋体"/>
      <w:kern w:val="0"/>
      <w:sz w:val="24"/>
      <w:szCs w:val="24"/>
    </w:rPr>
  </w:style>
  <w:style w:type="paragraph" w:customStyle="1" w:styleId="2917">
    <w:name w:val="list22"/>
    <w:basedOn w:val="2054"/>
    <w:qFormat/>
    <w:uiPriority w:val="0"/>
    <w:rPr>
      <w:rFonts w:ascii="宋体" w:hAnsi="Times New Roman"/>
    </w:rPr>
  </w:style>
  <w:style w:type="paragraph" w:customStyle="1" w:styleId="2918">
    <w:name w:val="编章标题-y"/>
    <w:next w:val="87"/>
    <w:qFormat/>
    <w:uiPriority w:val="0"/>
    <w:pPr>
      <w:spacing w:before="300" w:after="300"/>
      <w:jc w:val="center"/>
    </w:pPr>
    <w:rPr>
      <w:rFonts w:ascii="Arial" w:hAnsi="Arial" w:eastAsia="黑体" w:cs="Times New Roman"/>
      <w:b/>
      <w:spacing w:val="20"/>
      <w:kern w:val="2"/>
      <w:sz w:val="52"/>
      <w:szCs w:val="44"/>
      <w:lang w:val="en-US" w:eastAsia="zh-CN" w:bidi="ar-SA"/>
    </w:rPr>
  </w:style>
  <w:style w:type="paragraph" w:customStyle="1" w:styleId="2919">
    <w:name w:val="BT 3"/>
    <w:basedOn w:val="5"/>
    <w:qFormat/>
    <w:uiPriority w:val="0"/>
    <w:pPr>
      <w:keepNext/>
      <w:keepLines/>
      <w:widowControl/>
      <w:tabs>
        <w:tab w:val="left" w:pos="1015"/>
      </w:tabs>
      <w:adjustRightInd w:val="0"/>
      <w:snapToGrid w:val="0"/>
      <w:spacing w:before="0" w:after="0"/>
      <w:jc w:val="left"/>
      <w:textAlignment w:val="baseline"/>
      <w:outlineLvl w:val="2"/>
    </w:pPr>
    <w:rPr>
      <w:rFonts w:ascii="Arial" w:hAnsi="Arial" w:eastAsia="方正小标宋_GBK" w:cs="Arial"/>
      <w:b/>
      <w:kern w:val="0"/>
      <w:sz w:val="28"/>
      <w:lang w:val="en-US" w:eastAsia="zh-CN"/>
    </w:rPr>
  </w:style>
  <w:style w:type="paragraph" w:customStyle="1" w:styleId="2920">
    <w:name w:val="正文文本缩进 31"/>
    <w:basedOn w:val="1"/>
    <w:qFormat/>
    <w:uiPriority w:val="0"/>
    <w:pPr>
      <w:autoSpaceDE w:val="0"/>
      <w:autoSpaceDN w:val="0"/>
      <w:adjustRightInd w:val="0"/>
      <w:spacing w:line="360" w:lineRule="auto"/>
      <w:ind w:firstLine="480"/>
      <w:textAlignment w:val="bottom"/>
    </w:pPr>
    <w:rPr>
      <w:kern w:val="0"/>
      <w:szCs w:val="20"/>
      <w:u w:val="none" w:color="000000"/>
    </w:rPr>
  </w:style>
  <w:style w:type="paragraph" w:customStyle="1" w:styleId="2921">
    <w:name w:val="正文首行缩进 + 首行缩进:  2 字符"/>
    <w:basedOn w:val="1"/>
    <w:semiHidden/>
    <w:qFormat/>
    <w:uiPriority w:val="0"/>
    <w:pPr>
      <w:spacing w:after="60"/>
      <w:ind w:firstLine="626"/>
    </w:pPr>
    <w:rPr>
      <w:rFonts w:cs="宋体"/>
      <w:szCs w:val="20"/>
    </w:rPr>
  </w:style>
  <w:style w:type="paragraph" w:customStyle="1" w:styleId="2922">
    <w:name w:val="xl131"/>
    <w:basedOn w:val="1"/>
    <w:qFormat/>
    <w:uiPriority w:val="0"/>
    <w:pPr>
      <w:widowControl/>
      <w:pBdr>
        <w:top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20"/>
      <w:szCs w:val="20"/>
    </w:rPr>
  </w:style>
  <w:style w:type="paragraph" w:customStyle="1" w:styleId="2923">
    <w:name w:val="正文（缩进）"/>
    <w:basedOn w:val="1"/>
    <w:semiHidden/>
    <w:qFormat/>
    <w:uiPriority w:val="0"/>
    <w:pPr>
      <w:spacing w:line="240" w:lineRule="auto"/>
    </w:pPr>
    <w:rPr>
      <w:rFonts w:ascii="Times New Roman" w:eastAsia="宋体"/>
      <w:sz w:val="24"/>
      <w:szCs w:val="24"/>
    </w:rPr>
  </w:style>
  <w:style w:type="paragraph" w:customStyle="1" w:styleId="2924">
    <w:name w:val="xl2281"/>
    <w:basedOn w:val="1"/>
    <w:qFormat/>
    <w:uiPriority w:val="0"/>
    <w:pPr>
      <w:widowControl/>
      <w:pBdr>
        <w:bottom w:val="single" w:color="auto" w:sz="4" w:space="0"/>
      </w:pBdr>
      <w:spacing w:before="100" w:beforeAutospacing="1" w:after="100" w:afterAutospacing="1" w:line="240" w:lineRule="auto"/>
      <w:ind w:firstLine="0" w:firstLineChars="0"/>
      <w:jc w:val="center"/>
    </w:pPr>
    <w:rPr>
      <w:rFonts w:ascii="楷体_GB2312" w:hAnsi="宋体" w:eastAsia="楷体_GB2312" w:cs="宋体"/>
      <w:kern w:val="0"/>
      <w:sz w:val="20"/>
      <w:szCs w:val="20"/>
    </w:rPr>
  </w:style>
  <w:style w:type="paragraph" w:customStyle="1" w:styleId="2925">
    <w:name w:val="zww"/>
    <w:basedOn w:val="46"/>
    <w:semiHidden/>
    <w:qFormat/>
    <w:uiPriority w:val="0"/>
    <w:pPr>
      <w:widowControl w:val="0"/>
      <w:adjustRightInd w:val="0"/>
      <w:snapToGrid w:val="0"/>
      <w:spacing w:line="400" w:lineRule="atLeast"/>
      <w:ind w:firstLine="397"/>
      <w:textAlignment w:val="auto"/>
    </w:pPr>
    <w:rPr>
      <w:rFonts w:ascii="Arial Narrow" w:hAnsi="Arial Narrow" w:eastAsia="仿宋_GB2312" w:cs="Arial Narrow"/>
      <w:color w:val="auto"/>
      <w:kern w:val="32"/>
      <w:sz w:val="22"/>
      <w:szCs w:val="22"/>
      <w:u w:val="none" w:color="auto"/>
      <w:lang w:val="en-US" w:eastAsia="zh-CN"/>
    </w:rPr>
  </w:style>
  <w:style w:type="paragraph" w:customStyle="1" w:styleId="2926">
    <w:name w:val="样式 标题2"/>
    <w:basedOn w:val="2644"/>
    <w:semiHidden/>
    <w:qFormat/>
    <w:uiPriority w:val="0"/>
    <w:pPr>
      <w:numPr>
        <w:ilvl w:val="1"/>
        <w:numId w:val="21"/>
      </w:numPr>
      <w:tabs>
        <w:tab w:val="left" w:pos="360"/>
        <w:tab w:val="clear" w:pos="567"/>
      </w:tabs>
      <w:spacing w:before="160" w:after="160"/>
      <w:ind w:left="0" w:firstLine="0"/>
    </w:pPr>
    <w:rPr>
      <w:b/>
      <w:szCs w:val="28"/>
    </w:rPr>
  </w:style>
  <w:style w:type="paragraph" w:customStyle="1" w:styleId="2927">
    <w:name w:val="xl1601"/>
    <w:basedOn w:val="1"/>
    <w:qFormat/>
    <w:uiPriority w:val="0"/>
    <w:pPr>
      <w:widowControl/>
      <w:pBdr>
        <w:top w:val="single" w:color="auto" w:sz="4" w:space="0"/>
        <w:left w:val="single" w:color="auto" w:sz="4" w:space="0"/>
        <w:bottom w:val="single" w:color="auto" w:sz="4" w:space="0"/>
        <w:right w:val="single" w:color="auto" w:sz="4" w:space="0"/>
      </w:pBdr>
      <w:shd w:val="clear" w:color="000000" w:fill="DA9694"/>
      <w:spacing w:beforeLines="25" w:beforeAutospacing="1" w:after="100" w:afterAutospacing="1" w:line="240" w:lineRule="auto"/>
      <w:ind w:firstLine="0" w:firstLineChars="0"/>
      <w:jc w:val="center"/>
    </w:pPr>
    <w:rPr>
      <w:rFonts w:ascii="Times New Roman" w:eastAsia="宋体"/>
      <w:kern w:val="0"/>
      <w:sz w:val="24"/>
      <w:szCs w:val="24"/>
    </w:rPr>
  </w:style>
  <w:style w:type="paragraph" w:customStyle="1" w:styleId="2928">
    <w:name w:val="xl2269"/>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firstLineChars="0"/>
      <w:jc w:val="center"/>
    </w:pPr>
    <w:rPr>
      <w:rFonts w:ascii="楷体_GB2312" w:hAnsi="宋体" w:eastAsia="楷体_GB2312" w:cs="宋体"/>
      <w:kern w:val="0"/>
      <w:sz w:val="20"/>
      <w:szCs w:val="20"/>
    </w:rPr>
  </w:style>
  <w:style w:type="paragraph" w:customStyle="1" w:styleId="2929">
    <w:name w:val="xl1592"/>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textAlignment w:val="center"/>
    </w:pPr>
    <w:rPr>
      <w:rFonts w:ascii="Times New Roman" w:eastAsia="宋体"/>
      <w:kern w:val="0"/>
      <w:sz w:val="24"/>
      <w:szCs w:val="24"/>
    </w:rPr>
  </w:style>
  <w:style w:type="paragraph" w:customStyle="1" w:styleId="2930">
    <w:name w:val="样式 小二 加粗 居中 段前: 9.5 磅"/>
    <w:basedOn w:val="1"/>
    <w:qFormat/>
    <w:uiPriority w:val="0"/>
    <w:pPr>
      <w:spacing w:before="120" w:after="120"/>
      <w:jc w:val="center"/>
    </w:pPr>
    <w:rPr>
      <w:rFonts w:ascii="黑体" w:eastAsia="黑体" w:cs="宋体"/>
      <w:bCs/>
      <w:sz w:val="36"/>
      <w:szCs w:val="20"/>
    </w:rPr>
  </w:style>
  <w:style w:type="paragraph" w:customStyle="1" w:styleId="2931">
    <w:name w:val="图例（图名后）"/>
    <w:basedOn w:val="1"/>
    <w:qFormat/>
    <w:uiPriority w:val="0"/>
    <w:pPr>
      <w:autoSpaceDE w:val="0"/>
      <w:autoSpaceDN w:val="0"/>
      <w:adjustRightInd w:val="0"/>
      <w:snapToGrid w:val="0"/>
      <w:spacing w:line="240" w:lineRule="auto"/>
      <w:ind w:firstLine="0" w:firstLineChars="0"/>
    </w:pPr>
    <w:rPr>
      <w:rFonts w:ascii="宋体" w:eastAsia="宋体"/>
      <w:sz w:val="18"/>
      <w:szCs w:val="18"/>
    </w:rPr>
  </w:style>
  <w:style w:type="paragraph" w:customStyle="1" w:styleId="2932">
    <w:name w:val="xl4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ascii="宋体" w:hAnsi="宋体" w:eastAsia="宋体" w:cs="宋体"/>
      <w:kern w:val="0"/>
      <w:sz w:val="16"/>
      <w:szCs w:val="16"/>
    </w:rPr>
  </w:style>
  <w:style w:type="paragraph" w:customStyle="1" w:styleId="2933">
    <w:name w:val="俺的新标题1（终）"/>
    <w:basedOn w:val="4"/>
    <w:semiHidden/>
    <w:qFormat/>
    <w:uiPriority w:val="0"/>
    <w:pPr>
      <w:keepNext/>
      <w:keepLines/>
      <w:tabs>
        <w:tab w:val="left" w:pos="8080"/>
      </w:tabs>
      <w:spacing w:before="360" w:after="240" w:line="360" w:lineRule="auto"/>
      <w:ind w:left="840" w:hanging="360" w:firstLineChars="200"/>
    </w:pPr>
    <w:rPr>
      <w:rFonts w:ascii="Arial" w:hAnsi="Arial" w:cs="宋体"/>
      <w:color w:val="000000"/>
      <w:sz w:val="44"/>
      <w:lang w:val="en-US" w:eastAsia="zh-CN"/>
    </w:rPr>
  </w:style>
  <w:style w:type="paragraph" w:customStyle="1" w:styleId="2934">
    <w:name w:val="正文1.1.1"/>
    <w:basedOn w:val="1"/>
    <w:qFormat/>
    <w:uiPriority w:val="0"/>
    <w:pPr>
      <w:adjustRightInd w:val="0"/>
      <w:snapToGrid w:val="0"/>
    </w:pPr>
    <w:rPr>
      <w:rFonts w:cs="宋体"/>
    </w:rPr>
  </w:style>
  <w:style w:type="paragraph" w:customStyle="1" w:styleId="2935">
    <w:name w:val="引用2"/>
    <w:basedOn w:val="1"/>
    <w:next w:val="1"/>
    <w:semiHidden/>
    <w:qFormat/>
    <w:uiPriority w:val="0"/>
    <w:pPr>
      <w:widowControl/>
      <w:jc w:val="left"/>
    </w:pPr>
    <w:rPr>
      <w:rFonts w:ascii="Times New Roman" w:eastAsia="Times New Roman"/>
      <w:i/>
      <w:kern w:val="0"/>
      <w:sz w:val="24"/>
      <w:szCs w:val="24"/>
      <w:lang w:eastAsia="en-US"/>
    </w:rPr>
  </w:style>
  <w:style w:type="paragraph" w:customStyle="1" w:styleId="2936">
    <w:name w:val="样式 正文缩进首行缩进 + 黑体 三号 加粗 首行缩进:  2 字符"/>
    <w:basedOn w:val="6"/>
    <w:semiHidden/>
    <w:qFormat/>
    <w:uiPriority w:val="0"/>
    <w:pPr>
      <w:spacing w:line="240" w:lineRule="auto"/>
      <w:ind w:firstLine="200"/>
    </w:pPr>
    <w:rPr>
      <w:rFonts w:ascii="Times New Roman" w:eastAsia="宋体" w:cs="宋体"/>
      <w:bCs/>
      <w:sz w:val="24"/>
      <w:szCs w:val="24"/>
    </w:rPr>
  </w:style>
  <w:style w:type="paragraph" w:customStyle="1" w:styleId="2937">
    <w:name w:val="表格 Liu"/>
    <w:basedOn w:val="1"/>
    <w:semiHidden/>
    <w:qFormat/>
    <w:uiPriority w:val="0"/>
    <w:pPr>
      <w:spacing w:before="100" w:beforeAutospacing="1" w:line="240" w:lineRule="auto"/>
      <w:ind w:firstLine="0" w:firstLineChars="0"/>
      <w:jc w:val="center"/>
    </w:pPr>
    <w:rPr>
      <w:rFonts w:ascii="Times New Roman" w:eastAsia="宋体"/>
      <w:kern w:val="0"/>
      <w:sz w:val="21"/>
      <w:szCs w:val="20"/>
    </w:rPr>
  </w:style>
  <w:style w:type="paragraph" w:customStyle="1" w:styleId="2938">
    <w:name w:val="图表头"/>
    <w:basedOn w:val="1"/>
    <w:qFormat/>
    <w:uiPriority w:val="0"/>
    <w:pPr>
      <w:adjustRightInd w:val="0"/>
      <w:snapToGrid w:val="0"/>
      <w:spacing w:beforeLines="5" w:afterLines="5" w:line="240" w:lineRule="auto"/>
      <w:ind w:firstLine="964" w:firstLineChars="400"/>
      <w:jc w:val="center"/>
      <w:textAlignment w:val="baseline"/>
    </w:pPr>
    <w:rPr>
      <w:rFonts w:ascii="Times New Roman" w:eastAsia="宋体"/>
      <w:b/>
      <w:bCs/>
      <w:kern w:val="0"/>
      <w:sz w:val="24"/>
      <w:szCs w:val="21"/>
    </w:rPr>
  </w:style>
  <w:style w:type="paragraph" w:customStyle="1" w:styleId="2939">
    <w:name w:val="==&gt;"/>
    <w:semiHidden/>
    <w:qFormat/>
    <w:uiPriority w:val="0"/>
    <w:pPr>
      <w:overflowPunct w:val="0"/>
      <w:autoSpaceDE w:val="0"/>
      <w:autoSpaceDN w:val="0"/>
      <w:adjustRightInd w:val="0"/>
      <w:textAlignment w:val="baseline"/>
    </w:pPr>
    <w:rPr>
      <w:rFonts w:ascii="Times New Roman" w:hAnsi="Times New Roman" w:eastAsia="宋体" w:cs="Times New Roman"/>
      <w:lang w:val="en-US" w:eastAsia="zh-CN" w:bidi="ar-SA"/>
    </w:rPr>
  </w:style>
  <w:style w:type="paragraph" w:customStyle="1" w:styleId="2940">
    <w:name w:val="编章标题（石）"/>
    <w:next w:val="87"/>
    <w:qFormat/>
    <w:uiPriority w:val="0"/>
    <w:pPr>
      <w:spacing w:before="300" w:after="300"/>
      <w:jc w:val="center"/>
    </w:pPr>
    <w:rPr>
      <w:rFonts w:ascii="Arial" w:hAnsi="Arial" w:eastAsia="黑体" w:cs="Times New Roman"/>
      <w:b/>
      <w:spacing w:val="20"/>
      <w:kern w:val="2"/>
      <w:sz w:val="52"/>
      <w:szCs w:val="44"/>
      <w:lang w:val="en-US" w:eastAsia="zh-CN" w:bidi="ar-SA"/>
    </w:rPr>
  </w:style>
  <w:style w:type="paragraph" w:customStyle="1" w:styleId="2941">
    <w:name w:val="xl117"/>
    <w:basedOn w:val="1"/>
    <w:qFormat/>
    <w:uiPriority w:val="0"/>
    <w:pPr>
      <w:widowControl/>
      <w:pBdr>
        <w:top w:val="single" w:color="000000" w:sz="4" w:space="0"/>
        <w:left w:val="single" w:color="000000" w:sz="4" w:space="0"/>
        <w:right w:val="single" w:color="000000" w:sz="4" w:space="0"/>
      </w:pBdr>
      <w:shd w:val="clear" w:color="FFFFFF" w:fill="FFFFFF"/>
      <w:spacing w:before="100" w:beforeAutospacing="1" w:after="100" w:afterAutospacing="1" w:line="240" w:lineRule="auto"/>
      <w:ind w:firstLine="0" w:firstLineChars="0"/>
      <w:jc w:val="left"/>
      <w:textAlignment w:val="center"/>
    </w:pPr>
    <w:rPr>
      <w:rFonts w:ascii="宋体" w:hAnsi="宋体" w:eastAsia="宋体" w:cs="宋体"/>
      <w:color w:val="000000"/>
      <w:kern w:val="0"/>
      <w:sz w:val="24"/>
      <w:szCs w:val="24"/>
    </w:rPr>
  </w:style>
  <w:style w:type="paragraph" w:customStyle="1" w:styleId="2942">
    <w:name w:val="xl178"/>
    <w:basedOn w:val="1"/>
    <w:qFormat/>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color w:val="FF0000"/>
      <w:kern w:val="0"/>
      <w:sz w:val="20"/>
      <w:szCs w:val="20"/>
    </w:rPr>
  </w:style>
  <w:style w:type="paragraph" w:customStyle="1" w:styleId="2943">
    <w:name w:val="xl187"/>
    <w:basedOn w:val="1"/>
    <w:qFormat/>
    <w:uiPriority w:val="0"/>
    <w:pPr>
      <w:widowControl/>
      <w:pBdr>
        <w:top w:val="single" w:color="auto" w:sz="8" w:space="0"/>
        <w:left w:val="single" w:color="auto" w:sz="8"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color w:val="FF0000"/>
      <w:kern w:val="0"/>
      <w:sz w:val="20"/>
      <w:szCs w:val="20"/>
    </w:rPr>
  </w:style>
  <w:style w:type="paragraph" w:customStyle="1" w:styleId="2944">
    <w:name w:val="样式5"/>
    <w:basedOn w:val="544"/>
    <w:qFormat/>
    <w:uiPriority w:val="0"/>
    <w:pPr>
      <w:adjustRightInd/>
      <w:snapToGrid/>
      <w:spacing w:after="0" w:line="240" w:lineRule="auto"/>
    </w:pPr>
    <w:rPr>
      <w:rFonts w:hAnsi="宋体"/>
      <w:snapToGrid w:val="0"/>
      <w:color w:val="000000"/>
      <w:kern w:val="0"/>
      <w:szCs w:val="24"/>
    </w:rPr>
  </w:style>
  <w:style w:type="paragraph" w:customStyle="1" w:styleId="2945">
    <w:name w:val="xl20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b/>
      <w:bCs/>
      <w:color w:val="000000"/>
      <w:kern w:val="0"/>
      <w:sz w:val="18"/>
      <w:szCs w:val="18"/>
    </w:rPr>
  </w:style>
  <w:style w:type="paragraph" w:customStyle="1" w:styleId="2946">
    <w:name w:val="正文zjd"/>
    <w:basedOn w:val="1"/>
    <w:qFormat/>
    <w:uiPriority w:val="0"/>
    <w:pPr>
      <w:widowControl/>
      <w:adjustRightInd w:val="0"/>
      <w:snapToGrid w:val="0"/>
      <w:spacing w:line="360" w:lineRule="auto"/>
      <w:ind w:firstLine="465"/>
      <w:jc w:val="left"/>
    </w:pPr>
    <w:rPr>
      <w:rFonts w:ascii="宋体" w:hAnsi="宋体" w:eastAsia="宋体"/>
      <w:kern w:val="0"/>
      <w:sz w:val="24"/>
      <w:szCs w:val="24"/>
    </w:rPr>
  </w:style>
  <w:style w:type="paragraph" w:customStyle="1" w:styleId="2947">
    <w:name w:val="xl191"/>
    <w:basedOn w:val="1"/>
    <w:qFormat/>
    <w:uiPriority w:val="0"/>
    <w:pPr>
      <w:widowControl/>
      <w:pBdr>
        <w:top w:val="single" w:color="auto" w:sz="8" w:space="0"/>
        <w:left w:val="single" w:color="auto" w:sz="4" w:space="0"/>
        <w:bottom w:val="single" w:color="auto" w:sz="4" w:space="0"/>
      </w:pBdr>
      <w:spacing w:before="100" w:beforeAutospacing="1" w:after="100" w:afterAutospacing="1" w:line="240" w:lineRule="auto"/>
      <w:ind w:firstLine="0" w:firstLineChars="0"/>
      <w:jc w:val="center"/>
    </w:pPr>
    <w:rPr>
      <w:rFonts w:ascii="宋体" w:hAnsi="宋体" w:eastAsia="宋体" w:cs="宋体"/>
      <w:kern w:val="0"/>
      <w:sz w:val="24"/>
      <w:szCs w:val="24"/>
    </w:rPr>
  </w:style>
  <w:style w:type="paragraph" w:customStyle="1" w:styleId="2948">
    <w:name w:val="样式 样式4 + 首行缩进:  2 字符"/>
    <w:basedOn w:val="265"/>
    <w:qFormat/>
    <w:uiPriority w:val="0"/>
    <w:rPr>
      <w:rFonts w:cs="宋体"/>
    </w:rPr>
  </w:style>
  <w:style w:type="paragraph" w:customStyle="1" w:styleId="2949">
    <w:name w:val="xl58"/>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color w:val="000000"/>
      <w:kern w:val="0"/>
      <w:sz w:val="16"/>
      <w:szCs w:val="16"/>
    </w:rPr>
  </w:style>
  <w:style w:type="paragraph" w:customStyle="1" w:styleId="2950">
    <w:name w:val="样式 小五 加粗 居中 首行缩进:  0.64 厘米 段前: 5 磅 段后: 5 磅"/>
    <w:basedOn w:val="1"/>
    <w:qFormat/>
    <w:uiPriority w:val="0"/>
    <w:pPr>
      <w:spacing w:before="100" w:after="100" w:line="240" w:lineRule="auto"/>
      <w:ind w:firstLine="0" w:firstLineChars="0"/>
      <w:jc w:val="center"/>
    </w:pPr>
    <w:rPr>
      <w:rFonts w:ascii="Times New Roman" w:eastAsia="宋体" w:cs="宋体"/>
      <w:b/>
      <w:bCs/>
      <w:sz w:val="18"/>
      <w:szCs w:val="20"/>
    </w:rPr>
  </w:style>
  <w:style w:type="paragraph" w:customStyle="1" w:styleId="2951">
    <w:name w:val="标标1"/>
    <w:basedOn w:val="1"/>
    <w:qFormat/>
    <w:uiPriority w:val="0"/>
    <w:pPr>
      <w:keepNext/>
      <w:keepLines/>
      <w:spacing w:beforeLines="100" w:line="480" w:lineRule="auto"/>
      <w:ind w:firstLine="0" w:firstLineChars="0"/>
      <w:jc w:val="left"/>
      <w:outlineLvl w:val="0"/>
    </w:pPr>
    <w:rPr>
      <w:rFonts w:ascii="黑体" w:hAnsi="Arial" w:eastAsia="黑体" w:cs="宋体"/>
      <w:kern w:val="44"/>
      <w:sz w:val="36"/>
      <w:szCs w:val="20"/>
    </w:rPr>
  </w:style>
  <w:style w:type="paragraph" w:customStyle="1" w:styleId="2952">
    <w:name w:val=" Char Char1"/>
    <w:basedOn w:val="1"/>
    <w:qFormat/>
    <w:uiPriority w:val="0"/>
    <w:pPr>
      <w:spacing w:line="240" w:lineRule="auto"/>
      <w:ind w:firstLine="0" w:firstLineChars="0"/>
    </w:pPr>
    <w:rPr>
      <w:rFonts w:ascii="Calibri" w:hAnsi="Calibri" w:eastAsia="黑体"/>
      <w:sz w:val="21"/>
      <w:szCs w:val="22"/>
    </w:rPr>
  </w:style>
  <w:style w:type="paragraph" w:customStyle="1" w:styleId="2953">
    <w:name w:val="样式 样式 首行缩进:  2 字符7 + 首行缩进:  2 字符"/>
    <w:basedOn w:val="1916"/>
    <w:qFormat/>
    <w:uiPriority w:val="0"/>
  </w:style>
  <w:style w:type="paragraph" w:customStyle="1" w:styleId="2954">
    <w:name w:val="xl1611"/>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textAlignment w:val="center"/>
    </w:pPr>
    <w:rPr>
      <w:rFonts w:ascii="Times New Roman" w:eastAsia="宋体"/>
      <w:kern w:val="0"/>
      <w:sz w:val="24"/>
      <w:szCs w:val="24"/>
    </w:rPr>
  </w:style>
  <w:style w:type="paragraph" w:customStyle="1" w:styleId="2955">
    <w:name w:val="xl45351"/>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left"/>
    </w:pPr>
    <w:rPr>
      <w:rFonts w:ascii="Times New Roman" w:eastAsia="宋体"/>
      <w:kern w:val="0"/>
      <w:sz w:val="20"/>
      <w:szCs w:val="20"/>
    </w:rPr>
  </w:style>
  <w:style w:type="paragraph" w:customStyle="1" w:styleId="2956">
    <w:name w:val="font20"/>
    <w:basedOn w:val="1"/>
    <w:qFormat/>
    <w:uiPriority w:val="0"/>
    <w:pPr>
      <w:widowControl/>
      <w:spacing w:before="100" w:beforeAutospacing="1" w:after="100" w:afterAutospacing="1" w:line="240" w:lineRule="auto"/>
      <w:ind w:firstLine="0" w:firstLineChars="0"/>
      <w:jc w:val="left"/>
    </w:pPr>
    <w:rPr>
      <w:rFonts w:ascii="Times New Roman" w:eastAsia="宋体"/>
      <w:kern w:val="0"/>
      <w:sz w:val="24"/>
      <w:szCs w:val="24"/>
    </w:rPr>
  </w:style>
  <w:style w:type="paragraph" w:customStyle="1" w:styleId="2957">
    <w:name w:val="图框文字2"/>
    <w:basedOn w:val="1"/>
    <w:qFormat/>
    <w:uiPriority w:val="0"/>
    <w:pPr>
      <w:autoSpaceDE w:val="0"/>
      <w:autoSpaceDN w:val="0"/>
      <w:adjustRightInd w:val="0"/>
      <w:spacing w:line="240" w:lineRule="exact"/>
      <w:ind w:firstLine="0" w:firstLineChars="0"/>
      <w:jc w:val="center"/>
    </w:pPr>
    <w:rPr>
      <w:rFonts w:ascii="Times New Roman" w:eastAsia="宋体"/>
      <w:color w:val="000000"/>
      <w:sz w:val="21"/>
      <w:szCs w:val="24"/>
      <w:u w:val="none" w:color="000000"/>
      <w:lang w:val="zh-CN"/>
    </w:rPr>
  </w:style>
  <w:style w:type="paragraph" w:customStyle="1" w:styleId="2958">
    <w:name w:val="默认段落字体 Para Char Char Char1 Char Char Char"/>
    <w:basedOn w:val="1"/>
    <w:qFormat/>
    <w:uiPriority w:val="0"/>
    <w:pPr>
      <w:ind w:firstLine="21"/>
      <w:jc w:val="left"/>
    </w:pPr>
    <w:rPr>
      <w:kern w:val="0"/>
      <w:sz w:val="20"/>
      <w:szCs w:val="20"/>
      <w:u w:val="none" w:color="000000"/>
    </w:rPr>
  </w:style>
  <w:style w:type="paragraph" w:customStyle="1" w:styleId="2959">
    <w:name w:val="样式 样式5 + 黑色"/>
    <w:basedOn w:val="1"/>
    <w:qFormat/>
    <w:uiPriority w:val="0"/>
    <w:pPr>
      <w:spacing w:line="240" w:lineRule="auto"/>
      <w:ind w:firstLine="420"/>
    </w:pPr>
    <w:rPr>
      <w:rFonts w:ascii="Times New Roman" w:eastAsia="华文中宋"/>
      <w:color w:val="000000"/>
      <w:sz w:val="21"/>
      <w:szCs w:val="21"/>
    </w:rPr>
  </w:style>
  <w:style w:type="paragraph" w:customStyle="1" w:styleId="2960">
    <w:name w:val="Char Char Char Char Char Char1 Char Char Char Char Char Char Char Char Char Char"/>
    <w:basedOn w:val="1"/>
    <w:qFormat/>
    <w:uiPriority w:val="0"/>
  </w:style>
  <w:style w:type="paragraph" w:customStyle="1" w:styleId="2961">
    <w:name w:val="样式 黑色 首行缩进:  2 字符 行距: 固定值 23 磅"/>
    <w:basedOn w:val="1"/>
    <w:qFormat/>
    <w:uiPriority w:val="0"/>
    <w:pPr>
      <w:spacing w:line="240" w:lineRule="auto"/>
    </w:pPr>
    <w:rPr>
      <w:rFonts w:ascii="Times New Roman" w:eastAsia="华文中宋"/>
      <w:color w:val="000000"/>
      <w:sz w:val="24"/>
      <w:szCs w:val="20"/>
    </w:rPr>
  </w:style>
  <w:style w:type="paragraph" w:customStyle="1" w:styleId="2962">
    <w:name w:val="Char1 Char Char Char5"/>
    <w:basedOn w:val="8"/>
    <w:next w:val="1"/>
    <w:qFormat/>
    <w:uiPriority w:val="0"/>
    <w:pPr>
      <w:widowControl/>
      <w:tabs>
        <w:tab w:val="left" w:pos="360"/>
        <w:tab w:val="left" w:pos="864"/>
      </w:tabs>
      <w:spacing w:before="100" w:beforeAutospacing="1" w:after="160" w:line="240" w:lineRule="exact"/>
      <w:ind w:left="851" w:hanging="851" w:firstLineChars="0"/>
      <w:jc w:val="left"/>
    </w:pPr>
    <w:rPr>
      <w:rFonts w:ascii="Verdana" w:hAnsi="Verdana" w:eastAsia="仿宋_GB2312"/>
      <w:b w:val="0"/>
      <w:bCs w:val="0"/>
      <w:snapToGrid w:val="0"/>
      <w:color w:val="000000"/>
      <w:kern w:val="0"/>
      <w:sz w:val="24"/>
      <w:szCs w:val="20"/>
      <w:lang w:val="en-US" w:eastAsia="en-US"/>
    </w:rPr>
  </w:style>
  <w:style w:type="paragraph" w:customStyle="1" w:styleId="2963">
    <w:name w:val="xl6267"/>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textAlignment w:val="center"/>
    </w:pPr>
    <w:rPr>
      <w:rFonts w:ascii="Times New Roman" w:eastAsia="宋体"/>
      <w:kern w:val="0"/>
      <w:sz w:val="24"/>
      <w:szCs w:val="24"/>
    </w:rPr>
  </w:style>
  <w:style w:type="paragraph" w:customStyle="1" w:styleId="2964">
    <w:name w:val="图名NN"/>
    <w:basedOn w:val="1"/>
    <w:qFormat/>
    <w:uiPriority w:val="0"/>
    <w:pPr>
      <w:adjustRightInd w:val="0"/>
      <w:snapToGrid w:val="0"/>
      <w:spacing w:line="240" w:lineRule="auto"/>
      <w:ind w:firstLine="0" w:firstLineChars="0"/>
      <w:jc w:val="center"/>
      <w:textAlignment w:val="baseline"/>
      <w:outlineLvl w:val="8"/>
    </w:pPr>
    <w:rPr>
      <w:rFonts w:ascii="Times New Roman" w:eastAsia="黑体"/>
      <w:bCs/>
      <w:kern w:val="0"/>
      <w:sz w:val="24"/>
      <w:szCs w:val="24"/>
    </w:rPr>
  </w:style>
  <w:style w:type="paragraph" w:customStyle="1" w:styleId="2965">
    <w:name w:val="xl61"/>
    <w:basedOn w:val="1"/>
    <w:qFormat/>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 w:val="16"/>
      <w:szCs w:val="16"/>
    </w:rPr>
  </w:style>
  <w:style w:type="paragraph" w:customStyle="1" w:styleId="2966">
    <w:name w:val="扉页"/>
    <w:qFormat/>
    <w:uiPriority w:val="0"/>
    <w:pPr>
      <w:adjustRightInd w:val="0"/>
      <w:snapToGrid w:val="0"/>
      <w:spacing w:line="480" w:lineRule="auto"/>
    </w:pPr>
    <w:rPr>
      <w:rFonts w:ascii="Times New Roman" w:hAnsi="Times New Roman" w:eastAsia="仿宋_GB2312" w:cs="Times New Roman"/>
      <w:snapToGrid w:val="0"/>
      <w:kern w:val="28"/>
      <w:sz w:val="28"/>
      <w:lang w:val="en-US" w:eastAsia="zh-CN" w:bidi="ar-SA"/>
    </w:rPr>
  </w:style>
  <w:style w:type="paragraph" w:customStyle="1" w:styleId="2967">
    <w:name w:val="公表头样式"/>
    <w:basedOn w:val="2120"/>
    <w:qFormat/>
    <w:uiPriority w:val="0"/>
    <w:pPr>
      <w:ind w:firstLine="100" w:firstLineChars="100"/>
    </w:pPr>
  </w:style>
  <w:style w:type="paragraph" w:customStyle="1" w:styleId="2968">
    <w:name w:val="xl3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Times New Roman" w:eastAsia="Arial Unicode MS"/>
      <w:kern w:val="0"/>
      <w:sz w:val="20"/>
      <w:szCs w:val="20"/>
    </w:rPr>
  </w:style>
  <w:style w:type="paragraph" w:customStyle="1" w:styleId="2969">
    <w:name w:val="封面标题 4"/>
    <w:basedOn w:val="1"/>
    <w:next w:val="1"/>
    <w:qFormat/>
    <w:uiPriority w:val="0"/>
    <w:pPr>
      <w:spacing w:line="240" w:lineRule="auto"/>
      <w:ind w:firstLine="0" w:firstLineChars="0"/>
      <w:jc w:val="center"/>
    </w:pPr>
    <w:rPr>
      <w:rFonts w:hAnsi="仿宋_GB2312" w:eastAsia="华文新魏"/>
      <w:sz w:val="24"/>
      <w:szCs w:val="24"/>
    </w:rPr>
  </w:style>
  <w:style w:type="paragraph" w:customStyle="1" w:styleId="2970">
    <w:name w:val="样式 样式15 + 黑色"/>
    <w:basedOn w:val="1"/>
    <w:qFormat/>
    <w:uiPriority w:val="0"/>
    <w:pPr>
      <w:spacing w:line="240" w:lineRule="auto"/>
      <w:ind w:firstLine="420"/>
    </w:pPr>
    <w:rPr>
      <w:rFonts w:ascii="Times New Roman" w:eastAsia="华文中宋"/>
      <w:color w:val="000000"/>
      <w:kern w:val="0"/>
      <w:sz w:val="21"/>
      <w:szCs w:val="21"/>
    </w:rPr>
  </w:style>
  <w:style w:type="paragraph" w:customStyle="1" w:styleId="2971">
    <w:name w:val="表格内文字"/>
    <w:qFormat/>
    <w:uiPriority w:val="0"/>
    <w:pPr>
      <w:spacing w:before="40" w:after="40"/>
      <w:jc w:val="center"/>
    </w:pPr>
    <w:rPr>
      <w:rFonts w:ascii="Times New Roman" w:hAnsi="Times New Roman" w:eastAsia="宋体" w:cs="Times New Roman"/>
      <w:bCs/>
      <w:kern w:val="44"/>
      <w:sz w:val="21"/>
      <w:szCs w:val="21"/>
      <w:lang w:val="en-US" w:eastAsia="zh-CN" w:bidi="ar-SA"/>
    </w:rPr>
  </w:style>
  <w:style w:type="paragraph" w:customStyle="1" w:styleId="2972">
    <w:name w:val="xl256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Times New Roman" w:eastAsia="宋体"/>
      <w:kern w:val="0"/>
      <w:sz w:val="20"/>
      <w:szCs w:val="20"/>
    </w:rPr>
  </w:style>
  <w:style w:type="paragraph" w:customStyle="1" w:styleId="2973">
    <w:name w:val="样式 正文文本 + 首行缩进:  2 字符"/>
    <w:basedOn w:val="35"/>
    <w:qFormat/>
    <w:uiPriority w:val="0"/>
    <w:pPr>
      <w:spacing w:afterLines="50" w:line="240" w:lineRule="exact"/>
      <w:ind w:firstLine="0" w:firstLineChars="0"/>
      <w:jc w:val="center"/>
    </w:pPr>
    <w:rPr>
      <w:rFonts w:ascii="仿宋_GB2312" w:eastAsia="文鼎CS书宋二"/>
      <w:snapToGrid w:val="0"/>
      <w:kern w:val="0"/>
      <w:sz w:val="21"/>
    </w:rPr>
  </w:style>
  <w:style w:type="paragraph" w:customStyle="1" w:styleId="2974">
    <w:name w:val="xl104"/>
    <w:basedOn w:val="1"/>
    <w:qFormat/>
    <w:uiPriority w:val="0"/>
    <w:pPr>
      <w:widowControl/>
      <w:pBdr>
        <w:left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18"/>
      <w:szCs w:val="18"/>
    </w:rPr>
  </w:style>
  <w:style w:type="paragraph" w:customStyle="1" w:styleId="2975">
    <w:name w:val="Char Char Char Char Char Char Char1"/>
    <w:basedOn w:val="1"/>
    <w:qFormat/>
    <w:uiPriority w:val="0"/>
    <w:pPr>
      <w:spacing w:line="240" w:lineRule="auto"/>
      <w:ind w:firstLine="0" w:firstLineChars="0"/>
    </w:pPr>
    <w:rPr>
      <w:rFonts w:ascii="Times New Roman" w:eastAsia="宋体"/>
      <w:sz w:val="21"/>
      <w:szCs w:val="24"/>
    </w:rPr>
  </w:style>
  <w:style w:type="paragraph" w:customStyle="1" w:styleId="2976">
    <w:name w:val="标 题 5"/>
    <w:basedOn w:val="1320"/>
    <w:qFormat/>
    <w:uiPriority w:val="0"/>
    <w:pPr>
      <w:outlineLvl w:val="4"/>
    </w:pPr>
    <w:rPr>
      <w:rFonts w:eastAsia="仿宋_GB2312"/>
    </w:rPr>
  </w:style>
  <w:style w:type="paragraph" w:customStyle="1" w:styleId="2977">
    <w:name w:val="样式38"/>
    <w:basedOn w:val="4"/>
    <w:qFormat/>
    <w:uiPriority w:val="0"/>
    <w:pPr>
      <w:spacing w:before="0" w:after="0"/>
      <w:outlineLvl w:val="9"/>
    </w:pPr>
  </w:style>
  <w:style w:type="paragraph" w:customStyle="1" w:styleId="2978">
    <w:name w:val="正文文本 31"/>
    <w:basedOn w:val="1"/>
    <w:qFormat/>
    <w:uiPriority w:val="0"/>
    <w:pPr>
      <w:adjustRightInd w:val="0"/>
      <w:spacing w:line="360" w:lineRule="auto"/>
      <w:ind w:left="-771" w:firstLine="560"/>
      <w:textAlignment w:val="baseline"/>
    </w:pPr>
    <w:rPr>
      <w:rFonts w:ascii="Arial" w:hAnsi="Arial" w:eastAsia="楷体_GB2312"/>
      <w:kern w:val="0"/>
      <w:szCs w:val="20"/>
      <w:u w:val="none" w:color="000000"/>
    </w:rPr>
  </w:style>
  <w:style w:type="paragraph" w:customStyle="1" w:styleId="2979">
    <w:name w:val="样式 正文首行缩进 + 首行缩进:  1 字符"/>
    <w:next w:val="1"/>
    <w:qFormat/>
    <w:uiPriority w:val="0"/>
    <w:pPr>
      <w:widowControl w:val="0"/>
      <w:spacing w:line="360" w:lineRule="auto"/>
      <w:ind w:firstLine="560" w:firstLineChars="200"/>
      <w:jc w:val="both"/>
    </w:pPr>
    <w:rPr>
      <w:rFonts w:ascii="Times New Roman" w:hAnsi="Times New Roman" w:eastAsia="宋体" w:cs="宋体"/>
      <w:kern w:val="2"/>
      <w:sz w:val="28"/>
      <w:szCs w:val="28"/>
      <w:lang w:val="en-US" w:eastAsia="zh-CN" w:bidi="ar-SA"/>
    </w:rPr>
  </w:style>
  <w:style w:type="paragraph" w:customStyle="1" w:styleId="2980">
    <w:name w:val="表文居中"/>
    <w:basedOn w:val="989"/>
    <w:qFormat/>
    <w:uiPriority w:val="0"/>
    <w:pPr>
      <w:autoSpaceDE w:val="0"/>
      <w:autoSpaceDN w:val="0"/>
      <w:adjustRightInd w:val="0"/>
      <w:spacing w:before="20"/>
      <w:textAlignment w:val="baseline"/>
    </w:pPr>
    <w:rPr>
      <w:snapToGrid/>
    </w:rPr>
  </w:style>
  <w:style w:type="paragraph" w:customStyle="1" w:styleId="2981">
    <w:name w:val="样式 样式7 + 首行缩进:  2 字符"/>
    <w:basedOn w:val="2095"/>
    <w:qFormat/>
    <w:uiPriority w:val="0"/>
    <w:pPr>
      <w:adjustRightInd/>
      <w:snapToGrid/>
      <w:spacing w:line="300" w:lineRule="exact"/>
      <w:ind w:left="-50" w:leftChars="-50" w:right="-50" w:rightChars="-50" w:firstLine="0" w:firstLineChars="0"/>
      <w:jc w:val="center"/>
    </w:pPr>
    <w:rPr>
      <w:rFonts w:ascii="Times New Roman" w:hAnsi="Times New Roman" w:eastAsia="华文中宋"/>
      <w:snapToGrid/>
      <w:color w:val="auto"/>
      <w:kern w:val="2"/>
      <w:sz w:val="21"/>
      <w:szCs w:val="20"/>
    </w:rPr>
  </w:style>
  <w:style w:type="paragraph" w:customStyle="1" w:styleId="2982">
    <w:name w:val="表格小五"/>
    <w:basedOn w:val="1"/>
    <w:semiHidden/>
    <w:qFormat/>
    <w:uiPriority w:val="0"/>
    <w:pPr>
      <w:tabs>
        <w:tab w:val="left" w:pos="1440"/>
        <w:tab w:val="left" w:pos="1680"/>
      </w:tabs>
      <w:adjustRightInd w:val="0"/>
      <w:snapToGrid w:val="0"/>
      <w:spacing w:after="120" w:line="240" w:lineRule="atLeast"/>
      <w:ind w:firstLine="0" w:firstLineChars="0"/>
      <w:jc w:val="left"/>
    </w:pPr>
    <w:rPr>
      <w:rFonts w:ascii="宋体" w:eastAsia="宋体"/>
      <w:w w:val="110"/>
      <w:kern w:val="0"/>
      <w:sz w:val="18"/>
      <w:szCs w:val="20"/>
    </w:rPr>
  </w:style>
  <w:style w:type="paragraph" w:customStyle="1" w:styleId="2983">
    <w:name w:val="xl174"/>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color w:val="FF0000"/>
      <w:kern w:val="0"/>
      <w:sz w:val="20"/>
      <w:szCs w:val="20"/>
    </w:rPr>
  </w:style>
  <w:style w:type="paragraph" w:customStyle="1" w:styleId="2984">
    <w:name w:val="xl2808"/>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textAlignment w:val="center"/>
    </w:pPr>
    <w:rPr>
      <w:rFonts w:ascii="Times New Roman" w:eastAsia="宋体"/>
      <w:b/>
      <w:bCs/>
      <w:color w:val="7030A0"/>
      <w:kern w:val="0"/>
      <w:sz w:val="24"/>
      <w:szCs w:val="24"/>
    </w:rPr>
  </w:style>
  <w:style w:type="paragraph" w:customStyle="1" w:styleId="2985">
    <w:name w:val="text"/>
    <w:basedOn w:val="1"/>
    <w:qFormat/>
    <w:uiPriority w:val="0"/>
    <w:pPr>
      <w:widowControl/>
      <w:spacing w:before="150" w:after="150" w:line="240" w:lineRule="auto"/>
      <w:ind w:firstLine="480" w:firstLineChars="0"/>
      <w:jc w:val="left"/>
    </w:pPr>
    <w:rPr>
      <w:rFonts w:ascii="ˎ̥" w:hAnsi="ˎ̥" w:eastAsia="宋体"/>
      <w:color w:val="486B8A"/>
      <w:kern w:val="0"/>
      <w:sz w:val="18"/>
      <w:szCs w:val="18"/>
    </w:rPr>
  </w:style>
  <w:style w:type="paragraph" w:customStyle="1" w:styleId="2986">
    <w:name w:val="xl2270"/>
    <w:basedOn w:val="1"/>
    <w:qFormat/>
    <w:uiPriority w:val="0"/>
    <w:pPr>
      <w:widowControl/>
      <w:pBdr>
        <w:top w:val="single" w:color="auto" w:sz="4" w:space="0"/>
        <w:bottom w:val="single" w:color="auto" w:sz="4" w:space="0"/>
      </w:pBdr>
      <w:spacing w:before="100" w:beforeAutospacing="1" w:after="100" w:afterAutospacing="1" w:line="240" w:lineRule="auto"/>
      <w:ind w:firstLine="0" w:firstLineChars="0"/>
      <w:jc w:val="center"/>
    </w:pPr>
    <w:rPr>
      <w:rFonts w:ascii="楷体_GB2312" w:hAnsi="宋体" w:eastAsia="楷体_GB2312" w:cs="宋体"/>
      <w:kern w:val="0"/>
      <w:sz w:val="20"/>
      <w:szCs w:val="20"/>
    </w:rPr>
  </w:style>
  <w:style w:type="paragraph" w:customStyle="1" w:styleId="2987">
    <w:name w:val="标准标题2格式"/>
    <w:basedOn w:val="5"/>
    <w:next w:val="1"/>
    <w:qFormat/>
    <w:uiPriority w:val="0"/>
    <w:pPr>
      <w:keepNext/>
      <w:keepLines/>
      <w:spacing w:before="0" w:after="0" w:line="540" w:lineRule="exact"/>
      <w:outlineLvl w:val="9"/>
    </w:pPr>
    <w:rPr>
      <w:rFonts w:ascii="宋体" w:hAnsi="宋体" w:eastAsia="宋体"/>
      <w:color w:val="000000"/>
      <w:spacing w:val="-10"/>
      <w:kern w:val="0"/>
      <w:sz w:val="30"/>
      <w:szCs w:val="30"/>
    </w:rPr>
  </w:style>
  <w:style w:type="paragraph" w:customStyle="1" w:styleId="2988">
    <w:name w:val="Char3"/>
    <w:basedOn w:val="1"/>
    <w:qFormat/>
    <w:uiPriority w:val="0"/>
    <w:pPr>
      <w:spacing w:line="240" w:lineRule="auto"/>
      <w:ind w:firstLine="0" w:firstLineChars="0"/>
    </w:pPr>
    <w:rPr>
      <w:rFonts w:ascii="Times New Roman" w:eastAsia="宋体"/>
      <w:sz w:val="21"/>
      <w:szCs w:val="24"/>
    </w:rPr>
  </w:style>
  <w:style w:type="paragraph" w:customStyle="1" w:styleId="2989">
    <w:name w:val="xl510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Times New Roman" w:eastAsia="宋体"/>
      <w:kern w:val="0"/>
      <w:sz w:val="20"/>
      <w:szCs w:val="20"/>
    </w:rPr>
  </w:style>
  <w:style w:type="paragraph" w:customStyle="1" w:styleId="2990">
    <w:name w:val="段落1"/>
    <w:basedOn w:val="1"/>
    <w:qFormat/>
    <w:uiPriority w:val="0"/>
    <w:pPr>
      <w:adjustRightInd w:val="0"/>
      <w:snapToGrid w:val="0"/>
      <w:spacing w:line="500" w:lineRule="exact"/>
      <w:textAlignment w:val="baseline"/>
    </w:pPr>
    <w:rPr>
      <w:spacing w:val="30"/>
      <w:kern w:val="0"/>
      <w:szCs w:val="20"/>
    </w:rPr>
  </w:style>
  <w:style w:type="paragraph" w:customStyle="1" w:styleId="2991">
    <w:name w:val="样式 纯文本 + 四号"/>
    <w:basedOn w:val="1"/>
    <w:qFormat/>
    <w:uiPriority w:val="0"/>
    <w:pPr>
      <w:suppressAutoHyphens/>
      <w:spacing w:line="500" w:lineRule="exact"/>
      <w:ind w:firstLine="573" w:firstLineChars="0"/>
    </w:pPr>
    <w:rPr>
      <w:rFonts w:ascii="宋体" w:hAnsi="宋体" w:eastAsia="宋体"/>
      <w:kern w:val="1"/>
      <w:szCs w:val="20"/>
    </w:rPr>
  </w:style>
  <w:style w:type="paragraph" w:customStyle="1" w:styleId="2992">
    <w:name w:val="5"/>
    <w:basedOn w:val="1"/>
    <w:next w:val="36"/>
    <w:qFormat/>
    <w:uiPriority w:val="0"/>
    <w:pPr>
      <w:spacing w:line="324" w:lineRule="auto"/>
      <w:ind w:firstLine="459" w:firstLineChars="0"/>
    </w:pPr>
    <w:rPr>
      <w:rFonts w:ascii="Times New Roman" w:eastAsia="宋体"/>
      <w:spacing w:val="15"/>
      <w:kern w:val="0"/>
      <w:sz w:val="24"/>
      <w:szCs w:val="20"/>
    </w:rPr>
  </w:style>
  <w:style w:type="paragraph" w:customStyle="1" w:styleId="2993">
    <w:name w:val="xl1607"/>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Lines="25" w:beforeAutospacing="1" w:after="100" w:afterAutospacing="1" w:line="240" w:lineRule="auto"/>
      <w:ind w:firstLine="0" w:firstLineChars="0"/>
      <w:jc w:val="center"/>
      <w:textAlignment w:val="center"/>
    </w:pPr>
    <w:rPr>
      <w:rFonts w:ascii="Times New Roman" w:eastAsia="宋体"/>
      <w:kern w:val="0"/>
      <w:sz w:val="24"/>
      <w:szCs w:val="24"/>
    </w:rPr>
  </w:style>
  <w:style w:type="paragraph" w:customStyle="1" w:styleId="2994">
    <w:name w:val="xl238"/>
    <w:basedOn w:val="1"/>
    <w:qFormat/>
    <w:uiPriority w:val="0"/>
    <w:pPr>
      <w:widowControl/>
      <w:pBdr>
        <w:top w:val="single" w:color="auto" w:sz="4" w:space="0"/>
        <w:left w:val="single" w:color="auto" w:sz="4" w:space="0"/>
        <w:bottom w:val="single" w:color="auto" w:sz="4" w:space="0"/>
        <w:right w:val="single" w:color="auto" w:sz="4" w:space="0"/>
      </w:pBdr>
      <w:adjustRightInd w:val="0"/>
      <w:snapToGrid w:val="0"/>
      <w:spacing w:before="100" w:beforeAutospacing="1" w:after="100" w:afterAutospacing="1" w:line="360" w:lineRule="auto"/>
      <w:ind w:firstLine="0" w:firstLineChars="0"/>
      <w:jc w:val="left"/>
      <w:textAlignment w:val="bottom"/>
    </w:pPr>
    <w:rPr>
      <w:rFonts w:ascii="Times New Roman" w:eastAsia="宋体"/>
      <w:color w:val="FF0000"/>
      <w:kern w:val="0"/>
      <w:sz w:val="24"/>
      <w:szCs w:val="24"/>
    </w:rPr>
  </w:style>
  <w:style w:type="paragraph" w:customStyle="1" w:styleId="2995">
    <w:name w:val="xl1589"/>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textAlignment w:val="center"/>
    </w:pPr>
    <w:rPr>
      <w:rFonts w:ascii="Times New Roman" w:eastAsia="宋体"/>
      <w:kern w:val="0"/>
      <w:sz w:val="24"/>
      <w:szCs w:val="24"/>
    </w:rPr>
  </w:style>
  <w:style w:type="paragraph" w:customStyle="1" w:styleId="2996">
    <w:name w:val="xl226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楷体_GB2312" w:hAnsi="宋体" w:eastAsia="楷体_GB2312" w:cs="宋体"/>
      <w:kern w:val="0"/>
      <w:sz w:val="20"/>
      <w:szCs w:val="20"/>
    </w:rPr>
  </w:style>
  <w:style w:type="paragraph" w:customStyle="1" w:styleId="2997">
    <w:name w:val="样式 首行缩进:  2 字符 行距: 固定值 28 磅1"/>
    <w:basedOn w:val="1"/>
    <w:qFormat/>
    <w:uiPriority w:val="0"/>
    <w:rPr>
      <w:rFonts w:cs="宋体"/>
      <w:szCs w:val="20"/>
    </w:rPr>
  </w:style>
  <w:style w:type="paragraph" w:customStyle="1" w:styleId="2998">
    <w:name w:val="xl145"/>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20"/>
      <w:szCs w:val="20"/>
    </w:rPr>
  </w:style>
  <w:style w:type="paragraph" w:customStyle="1" w:styleId="2999">
    <w:name w:val="xl2268"/>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楷体_GB2312" w:hAnsi="宋体" w:eastAsia="楷体_GB2312" w:cs="宋体"/>
      <w:kern w:val="0"/>
      <w:sz w:val="20"/>
      <w:szCs w:val="20"/>
    </w:rPr>
  </w:style>
  <w:style w:type="paragraph" w:customStyle="1" w:styleId="3000">
    <w:name w:val="样式 样式6 + 黑色"/>
    <w:basedOn w:val="1602"/>
    <w:qFormat/>
    <w:uiPriority w:val="0"/>
    <w:pPr>
      <w:widowControl/>
      <w:adjustRightInd/>
      <w:snapToGrid/>
      <w:spacing w:beforeLines="0" w:afterLines="0" w:line="300" w:lineRule="exact"/>
      <w:ind w:left="-120" w:leftChars="-50" w:right="-120" w:rightChars="-50" w:firstLine="0" w:firstLineChars="0"/>
    </w:pPr>
    <w:rPr>
      <w:rFonts w:ascii="Times New Roman" w:hAnsi="Times New Roman" w:eastAsia="华文中宋"/>
      <w:bCs w:val="0"/>
      <w:snapToGrid/>
      <w:kern w:val="2"/>
      <w:sz w:val="21"/>
    </w:rPr>
  </w:style>
  <w:style w:type="paragraph" w:customStyle="1" w:styleId="3001">
    <w:name w:val="样式"/>
    <w:basedOn w:val="1"/>
    <w:next w:val="35"/>
    <w:qFormat/>
    <w:uiPriority w:val="0"/>
    <w:pPr>
      <w:spacing w:line="360" w:lineRule="auto"/>
    </w:pPr>
    <w:rPr>
      <w:rFonts w:ascii="Times New Roman" w:eastAsia="宋体"/>
      <w:sz w:val="24"/>
      <w:szCs w:val="24"/>
    </w:rPr>
  </w:style>
  <w:style w:type="paragraph" w:customStyle="1" w:styleId="3002">
    <w:name w:val="样式 (中文) 楷体_GB2312 居中 首行缩进:  0.71 厘米 右侧:  1.23 厘米"/>
    <w:basedOn w:val="1"/>
    <w:qFormat/>
    <w:uiPriority w:val="0"/>
    <w:pPr>
      <w:spacing w:line="240" w:lineRule="auto"/>
      <w:ind w:right="697" w:firstLine="0" w:firstLineChars="0"/>
      <w:jc w:val="center"/>
    </w:pPr>
    <w:rPr>
      <w:rFonts w:ascii="Times New Roman" w:eastAsia="楷体_GB2312" w:cs="宋体"/>
      <w:sz w:val="21"/>
      <w:szCs w:val="20"/>
    </w:rPr>
  </w:style>
  <w:style w:type="paragraph" w:customStyle="1" w:styleId="3003">
    <w:name w:val="Char Char Char Char Char Char Char Char Char Char Char Char1"/>
    <w:basedOn w:val="1"/>
    <w:qFormat/>
    <w:uiPriority w:val="0"/>
    <w:rPr>
      <w:szCs w:val="24"/>
    </w:rPr>
  </w:style>
  <w:style w:type="paragraph" w:customStyle="1" w:styleId="3004">
    <w:name w:val="xl200"/>
    <w:basedOn w:val="1"/>
    <w:qFormat/>
    <w:uiPriority w:val="0"/>
    <w:pPr>
      <w:widowControl/>
      <w:pBdr>
        <w:top w:val="single" w:color="auto" w:sz="4" w:space="0"/>
        <w:left w:val="single" w:color="auto" w:sz="4" w:space="0"/>
        <w:right w:val="single" w:color="auto" w:sz="4" w:space="0"/>
      </w:pBdr>
      <w:spacing w:before="100" w:beforeAutospacing="1" w:after="100" w:afterAutospacing="1" w:line="240" w:lineRule="auto"/>
      <w:ind w:firstLine="0" w:firstLineChars="0"/>
      <w:jc w:val="center"/>
      <w:textAlignment w:val="center"/>
    </w:pPr>
    <w:rPr>
      <w:rFonts w:ascii="Times New Roman" w:eastAsia="宋体"/>
      <w:b/>
      <w:bCs/>
      <w:kern w:val="0"/>
      <w:sz w:val="18"/>
      <w:szCs w:val="18"/>
    </w:rPr>
  </w:style>
  <w:style w:type="paragraph" w:customStyle="1" w:styleId="3005">
    <w:name w:val="xl225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Times New Roman" w:eastAsia="宋体"/>
      <w:kern w:val="0"/>
      <w:sz w:val="20"/>
      <w:szCs w:val="20"/>
    </w:rPr>
  </w:style>
  <w:style w:type="paragraph" w:customStyle="1" w:styleId="3006">
    <w:name w:val="表格1"/>
    <w:basedOn w:val="1"/>
    <w:qFormat/>
    <w:uiPriority w:val="0"/>
    <w:pPr>
      <w:widowControl/>
      <w:snapToGrid w:val="0"/>
      <w:spacing w:line="200" w:lineRule="exact"/>
      <w:ind w:left="10" w:leftChars="10" w:right="10" w:rightChars="10" w:firstLine="0" w:firstLineChars="0"/>
      <w:jc w:val="left"/>
    </w:pPr>
    <w:rPr>
      <w:rFonts w:ascii="Times New Roman" w:eastAsia="宋体"/>
      <w:sz w:val="18"/>
      <w:szCs w:val="20"/>
    </w:rPr>
  </w:style>
  <w:style w:type="paragraph" w:customStyle="1" w:styleId="3007">
    <w:name w:val="封面公司名称"/>
    <w:basedOn w:val="1"/>
    <w:next w:val="1"/>
    <w:qFormat/>
    <w:uiPriority w:val="0"/>
    <w:pPr>
      <w:spacing w:line="360" w:lineRule="auto"/>
      <w:ind w:firstLine="0" w:firstLineChars="0"/>
      <w:jc w:val="center"/>
    </w:pPr>
    <w:rPr>
      <w:rFonts w:ascii="Times New Roman" w:eastAsia="宋体"/>
      <w:b/>
      <w:spacing w:val="20"/>
      <w:sz w:val="24"/>
      <w:szCs w:val="24"/>
    </w:rPr>
  </w:style>
  <w:style w:type="paragraph" w:customStyle="1" w:styleId="3008">
    <w:name w:val="xl185"/>
    <w:basedOn w:val="1"/>
    <w:qFormat/>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 w:val="20"/>
      <w:szCs w:val="20"/>
    </w:rPr>
  </w:style>
  <w:style w:type="paragraph" w:customStyle="1" w:styleId="3009">
    <w:name w:val=" Char Char1 Char Char Char Char Char Char Char Char Char Char"/>
    <w:basedOn w:val="1"/>
    <w:semiHidden/>
    <w:qFormat/>
    <w:uiPriority w:val="0"/>
    <w:pPr>
      <w:spacing w:line="360" w:lineRule="auto"/>
      <w:ind w:firstLine="200" w:firstLineChars="200"/>
    </w:pPr>
    <w:rPr>
      <w:rFonts w:ascii="宋体" w:hAnsi="宋体" w:cs="宋体"/>
      <w:sz w:val="24"/>
    </w:rPr>
  </w:style>
  <w:style w:type="paragraph" w:customStyle="1" w:styleId="3010">
    <w:name w:val="Char Char Char1 Char Char Char Char"/>
    <w:basedOn w:val="1"/>
    <w:qFormat/>
    <w:uiPriority w:val="0"/>
    <w:pPr>
      <w:snapToGrid w:val="0"/>
      <w:spacing w:line="440" w:lineRule="exact"/>
    </w:pPr>
    <w:rPr>
      <w:rFonts w:ascii="Times New Roman" w:eastAsia="宋体"/>
      <w:sz w:val="24"/>
      <w:szCs w:val="24"/>
    </w:rPr>
  </w:style>
  <w:style w:type="paragraph" w:customStyle="1" w:styleId="3011">
    <w:name w:val="样式 标题1 + (西文) Times New Roman (中文) 华文中宋 行距: 1.5 倍行距"/>
    <w:basedOn w:val="1"/>
    <w:qFormat/>
    <w:uiPriority w:val="0"/>
    <w:pPr>
      <w:overflowPunct w:val="0"/>
      <w:topLinePunct/>
      <w:spacing w:line="360" w:lineRule="auto"/>
      <w:ind w:firstLine="0" w:firstLineChars="0"/>
      <w:jc w:val="center"/>
      <w:outlineLvl w:val="0"/>
    </w:pPr>
    <w:rPr>
      <w:rFonts w:ascii="Times New Roman" w:eastAsia="黑体"/>
      <w:b/>
      <w:bCs/>
      <w:color w:val="000000"/>
      <w:sz w:val="32"/>
      <w:szCs w:val="32"/>
    </w:rPr>
  </w:style>
  <w:style w:type="paragraph" w:customStyle="1" w:styleId="3012">
    <w:name w:val="xl1585"/>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textAlignment w:val="center"/>
    </w:pPr>
    <w:rPr>
      <w:rFonts w:ascii="Times New Roman" w:eastAsia="宋体"/>
      <w:kern w:val="0"/>
      <w:sz w:val="24"/>
      <w:szCs w:val="24"/>
    </w:rPr>
  </w:style>
  <w:style w:type="paragraph" w:customStyle="1" w:styleId="3013">
    <w:name w:val="样式49"/>
    <w:basedOn w:val="965"/>
    <w:qFormat/>
    <w:uiPriority w:val="0"/>
    <w:rPr>
      <w:kern w:val="0"/>
      <w:szCs w:val="21"/>
      <w:lang w:val="en-US" w:eastAsia="zh-CN"/>
    </w:rPr>
  </w:style>
  <w:style w:type="paragraph" w:customStyle="1" w:styleId="3014">
    <w:name w:val="正文文本 25"/>
    <w:basedOn w:val="1"/>
    <w:qFormat/>
    <w:uiPriority w:val="0"/>
    <w:pPr>
      <w:adjustRightInd w:val="0"/>
      <w:spacing w:line="240" w:lineRule="auto"/>
      <w:ind w:firstLine="461"/>
      <w:textAlignment w:val="baseline"/>
    </w:pPr>
    <w:rPr>
      <w:rFonts w:ascii="方正仿宋简体" w:eastAsia="方正仿宋简体"/>
      <w:kern w:val="0"/>
      <w:sz w:val="24"/>
      <w:szCs w:val="20"/>
    </w:rPr>
  </w:style>
  <w:style w:type="paragraph" w:customStyle="1" w:styleId="3015">
    <w:name w:val="标准表格数据"/>
    <w:basedOn w:val="1"/>
    <w:qFormat/>
    <w:uiPriority w:val="0"/>
    <w:pPr>
      <w:autoSpaceDE w:val="0"/>
      <w:adjustRightInd w:val="0"/>
      <w:spacing w:line="320" w:lineRule="exact"/>
      <w:ind w:left="-640" w:leftChars="-240" w:firstLine="0" w:firstLineChars="0"/>
      <w:jc w:val="center"/>
      <w:textAlignment w:val="center"/>
    </w:pPr>
    <w:rPr>
      <w:rFonts w:ascii="宋体" w:hAnsi="宋体" w:eastAsia="宋体"/>
      <w:snapToGrid w:val="0"/>
      <w:kern w:val="0"/>
      <w:sz w:val="22"/>
      <w:szCs w:val="22"/>
    </w:rPr>
  </w:style>
  <w:style w:type="paragraph" w:customStyle="1" w:styleId="3016">
    <w:name w:val="xl2793"/>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pPr>
    <w:rPr>
      <w:rFonts w:ascii="宋体" w:hAnsi="宋体" w:eastAsia="宋体" w:cs="宋体"/>
      <w:kern w:val="0"/>
      <w:sz w:val="18"/>
      <w:szCs w:val="18"/>
    </w:rPr>
  </w:style>
  <w:style w:type="paragraph" w:customStyle="1" w:styleId="3017">
    <w:name w:val="样式 样式 样式 (中文) 方正小标宋简体 四号 行距: 1.5 倍行距 + 仿宋_GB2312 五号 居中 + 两端对齐 行..."/>
    <w:basedOn w:val="1445"/>
    <w:qFormat/>
    <w:uiPriority w:val="0"/>
    <w:pPr>
      <w:spacing w:line="560" w:lineRule="exact"/>
    </w:pPr>
  </w:style>
  <w:style w:type="paragraph" w:customStyle="1" w:styleId="3018">
    <w:name w:val="样式 标题 2 + 黑体 小三 黑色 段前: 10 磅 段后: 10 磅 行距: 固定值 20 磅"/>
    <w:basedOn w:val="5"/>
    <w:qFormat/>
    <w:uiPriority w:val="0"/>
    <w:pPr>
      <w:keepNext/>
      <w:keepLines/>
      <w:spacing w:before="0" w:after="0" w:line="400" w:lineRule="exact"/>
    </w:pPr>
    <w:rPr>
      <w:rFonts w:ascii="黑体" w:hAnsi="Times New Roman"/>
      <w:color w:val="000000"/>
      <w:sz w:val="28"/>
      <w:szCs w:val="20"/>
    </w:rPr>
  </w:style>
  <w:style w:type="paragraph" w:customStyle="1" w:styleId="3019">
    <w:name w:val="样式 标题 3 + 段前: 0.5 行 段后: 0.5 行2"/>
    <w:basedOn w:val="7"/>
    <w:qFormat/>
    <w:uiPriority w:val="0"/>
    <w:pPr>
      <w:keepNext/>
      <w:keepLines/>
      <w:spacing w:before="260" w:beforeLines="50" w:after="260" w:afterLines="50" w:line="440" w:lineRule="exact"/>
    </w:pPr>
    <w:rPr>
      <w:rFonts w:ascii="Times New Roman" w:hAnsi="Times New Roman" w:eastAsia="华文中宋"/>
      <w:b/>
      <w:bCs w:val="0"/>
      <w:szCs w:val="20"/>
    </w:rPr>
  </w:style>
  <w:style w:type="paragraph" w:customStyle="1" w:styleId="3020">
    <w:name w:val="Char Char Char"/>
    <w:basedOn w:val="27"/>
    <w:qFormat/>
    <w:uiPriority w:val="0"/>
    <w:pPr>
      <w:adjustRightInd w:val="0"/>
      <w:spacing w:line="436" w:lineRule="exact"/>
      <w:ind w:left="357" w:firstLine="0" w:firstLineChars="0"/>
      <w:jc w:val="left"/>
      <w:outlineLvl w:val="3"/>
    </w:pPr>
    <w:rPr>
      <w:rFonts w:ascii="Tahoma" w:hAnsi="Tahoma" w:eastAsia="宋体"/>
      <w:b/>
      <w:sz w:val="44"/>
      <w:szCs w:val="24"/>
    </w:rPr>
  </w:style>
  <w:style w:type="paragraph" w:customStyle="1" w:styleId="3021">
    <w:name w:val="Char Char Char Char Char Char Char Char Char"/>
    <w:basedOn w:val="1"/>
    <w:next w:val="5"/>
    <w:qFormat/>
    <w:uiPriority w:val="0"/>
    <w:pPr>
      <w:keepNext/>
      <w:keepLines/>
      <w:tabs>
        <w:tab w:val="left" w:pos="1545"/>
      </w:tabs>
      <w:spacing w:beforeLines="50" w:line="360" w:lineRule="auto"/>
      <w:ind w:left="1545" w:hanging="420"/>
      <w:outlineLvl w:val="1"/>
    </w:pPr>
    <w:rPr>
      <w:rFonts w:ascii="黑体" w:hAnsi="Arial" w:eastAsia="黑体" w:cs="宋体"/>
    </w:rPr>
  </w:style>
  <w:style w:type="paragraph" w:customStyle="1" w:styleId="3022">
    <w:name w:val="xl2798"/>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pPr>
    <w:rPr>
      <w:rFonts w:ascii="Times New Roman" w:eastAsia="宋体"/>
      <w:kern w:val="0"/>
      <w:sz w:val="24"/>
      <w:szCs w:val="24"/>
    </w:rPr>
  </w:style>
  <w:style w:type="paragraph" w:customStyle="1" w:styleId="3023">
    <w:name w:val="图例"/>
    <w:qFormat/>
    <w:uiPriority w:val="0"/>
    <w:pPr>
      <w:spacing w:after="60"/>
      <w:jc w:val="center"/>
    </w:pPr>
    <w:rPr>
      <w:rFonts w:ascii="Times New Roman" w:hAnsi="Times New Roman" w:eastAsia="宋体" w:cs="Times New Roman"/>
      <w:b/>
      <w:sz w:val="18"/>
      <w:lang w:val="en-US" w:eastAsia="zh-CN" w:bidi="ar-SA"/>
    </w:rPr>
  </w:style>
  <w:style w:type="paragraph" w:customStyle="1" w:styleId="3024">
    <w:name w:val="样式 普通文字 + 小四"/>
    <w:basedOn w:val="46"/>
    <w:qFormat/>
    <w:uiPriority w:val="0"/>
    <w:pPr>
      <w:widowControl w:val="0"/>
      <w:spacing w:line="240" w:lineRule="auto"/>
      <w:ind w:firstLine="0" w:firstLineChars="0"/>
      <w:textAlignment w:val="auto"/>
    </w:pPr>
    <w:rPr>
      <w:rFonts w:hAnsi="Courier New" w:eastAsia="宋体" w:cs="Courier New"/>
      <w:color w:val="auto"/>
      <w:kern w:val="2"/>
      <w:szCs w:val="21"/>
      <w:u w:val="none" w:color="auto"/>
      <w:lang w:bidi="he-IL"/>
    </w:rPr>
  </w:style>
  <w:style w:type="paragraph" w:customStyle="1" w:styleId="3025">
    <w:name w:val="表图标题"/>
    <w:basedOn w:val="1"/>
    <w:qFormat/>
    <w:uiPriority w:val="0"/>
    <w:pPr>
      <w:spacing w:line="312" w:lineRule="auto"/>
    </w:pPr>
    <w:rPr>
      <w:rFonts w:ascii="黑体" w:hAnsi="宋体" w:eastAsia="黑体"/>
      <w:sz w:val="24"/>
      <w:szCs w:val="24"/>
    </w:rPr>
  </w:style>
  <w:style w:type="paragraph" w:customStyle="1" w:styleId="3026">
    <w:name w:val="xl2795"/>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textAlignment w:val="center"/>
    </w:pPr>
    <w:rPr>
      <w:rFonts w:ascii="Times New Roman" w:eastAsia="宋体"/>
      <w:kern w:val="0"/>
      <w:sz w:val="24"/>
      <w:szCs w:val="24"/>
    </w:rPr>
  </w:style>
  <w:style w:type="paragraph" w:customStyle="1" w:styleId="3027">
    <w:name w:val="bf"/>
    <w:basedOn w:val="1"/>
    <w:qFormat/>
    <w:uiPriority w:val="0"/>
    <w:pPr>
      <w:tabs>
        <w:tab w:val="left" w:pos="1134"/>
      </w:tabs>
      <w:autoSpaceDE w:val="0"/>
      <w:autoSpaceDN w:val="0"/>
      <w:adjustRightInd w:val="0"/>
      <w:spacing w:before="1200" w:after="480" w:line="227" w:lineRule="atLeast"/>
      <w:ind w:firstLine="560"/>
      <w:jc w:val="center"/>
    </w:pPr>
    <w:rPr>
      <w:rFonts w:ascii="黑体" w:eastAsia="黑体"/>
      <w:spacing w:val="5"/>
      <w:kern w:val="0"/>
      <w:sz w:val="44"/>
      <w:szCs w:val="20"/>
      <w:u w:val="none" w:color="000000"/>
    </w:rPr>
  </w:style>
  <w:style w:type="paragraph" w:customStyle="1" w:styleId="3028">
    <w:name w:val="xl276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pPr>
    <w:rPr>
      <w:rFonts w:ascii="Times New Roman" w:eastAsia="宋体"/>
      <w:kern w:val="0"/>
      <w:sz w:val="21"/>
      <w:szCs w:val="21"/>
    </w:rPr>
  </w:style>
  <w:style w:type="paragraph" w:customStyle="1" w:styleId="3029">
    <w:name w:val="标题正文"/>
    <w:basedOn w:val="1"/>
    <w:qFormat/>
    <w:uiPriority w:val="0"/>
    <w:pPr>
      <w:tabs>
        <w:tab w:val="left" w:pos="1134"/>
      </w:tabs>
      <w:autoSpaceDE w:val="0"/>
      <w:autoSpaceDN w:val="0"/>
      <w:adjustRightInd w:val="0"/>
      <w:spacing w:line="360" w:lineRule="auto"/>
      <w:ind w:left="1134" w:hanging="924" w:firstLineChars="0"/>
    </w:pPr>
    <w:rPr>
      <w:rFonts w:ascii="Arial" w:hAnsi="Arial" w:eastAsia="宋体" w:cs="Arial"/>
      <w:kern w:val="0"/>
      <w:sz w:val="24"/>
      <w:szCs w:val="21"/>
    </w:rPr>
  </w:style>
  <w:style w:type="paragraph" w:customStyle="1" w:styleId="3030">
    <w:name w:val="font10"/>
    <w:basedOn w:val="1"/>
    <w:qFormat/>
    <w:uiPriority w:val="0"/>
    <w:pPr>
      <w:widowControl/>
      <w:spacing w:before="100" w:beforeAutospacing="1" w:after="100" w:afterAutospacing="1" w:line="240" w:lineRule="auto"/>
      <w:jc w:val="left"/>
    </w:pPr>
    <w:rPr>
      <w:rFonts w:ascii="Times New Roman" w:eastAsia="Arial Unicode MS"/>
      <w:kern w:val="0"/>
      <w:sz w:val="20"/>
      <w:szCs w:val="20"/>
    </w:rPr>
  </w:style>
  <w:style w:type="paragraph" w:customStyle="1" w:styleId="3031">
    <w:name w:val="样式 表格 + 小五"/>
    <w:basedOn w:val="1"/>
    <w:qFormat/>
    <w:uiPriority w:val="0"/>
    <w:pPr>
      <w:adjustRightInd w:val="0"/>
      <w:snapToGrid w:val="0"/>
      <w:spacing w:line="0" w:lineRule="atLeast"/>
      <w:ind w:firstLine="0" w:firstLineChars="0"/>
      <w:jc w:val="center"/>
      <w:textAlignment w:val="baseline"/>
    </w:pPr>
    <w:rPr>
      <w:rFonts w:ascii="楷体_GB2312" w:hAnsi="宋体" w:eastAsia="楷体_GB2312"/>
      <w:snapToGrid w:val="0"/>
      <w:sz w:val="21"/>
      <w:szCs w:val="21"/>
    </w:rPr>
  </w:style>
  <w:style w:type="paragraph" w:customStyle="1" w:styleId="3032">
    <w:name w:val="表格注释"/>
    <w:next w:val="1"/>
    <w:qFormat/>
    <w:uiPriority w:val="0"/>
    <w:pPr>
      <w:adjustRightInd w:val="0"/>
      <w:snapToGrid w:val="0"/>
      <w:spacing w:line="320" w:lineRule="exact"/>
    </w:pPr>
    <w:rPr>
      <w:rFonts w:ascii="Times New Roman" w:hAnsi="Times New Roman" w:eastAsia="楷体_GB2312" w:cs="Times New Roman"/>
      <w:w w:val="90"/>
      <w:sz w:val="21"/>
      <w:szCs w:val="21"/>
      <w:lang w:val="en-US" w:eastAsia="zh-CN" w:bidi="ar-SA"/>
    </w:rPr>
  </w:style>
  <w:style w:type="paragraph" w:customStyle="1" w:styleId="3033">
    <w:name w:val="album-div1"/>
    <w:basedOn w:val="1"/>
    <w:qFormat/>
    <w:uiPriority w:val="0"/>
    <w:pPr>
      <w:widowControl/>
      <w:shd w:val="clear" w:color="auto" w:fill="FFFFFF"/>
      <w:spacing w:before="100" w:beforeAutospacing="1" w:after="100" w:afterAutospacing="1" w:line="240" w:lineRule="auto"/>
      <w:ind w:firstLine="0" w:firstLineChars="0"/>
      <w:jc w:val="left"/>
    </w:pPr>
    <w:rPr>
      <w:rFonts w:ascii="宋体" w:hAnsi="宋体" w:eastAsia="宋体" w:cs="宋体"/>
      <w:kern w:val="0"/>
      <w:sz w:val="24"/>
      <w:szCs w:val="24"/>
    </w:rPr>
  </w:style>
  <w:style w:type="paragraph" w:customStyle="1" w:styleId="3034">
    <w:name w:val="修改"/>
    <w:basedOn w:val="87"/>
    <w:next w:val="87"/>
    <w:qFormat/>
    <w:uiPriority w:val="0"/>
    <w:pPr>
      <w:spacing w:after="0" w:line="360" w:lineRule="auto"/>
      <w:ind w:left="0" w:firstLine="200" w:firstLineChars="200"/>
    </w:pPr>
    <w:rPr>
      <w:color w:val="000000"/>
      <w:spacing w:val="4"/>
      <w:sz w:val="24"/>
      <w:szCs w:val="28"/>
    </w:rPr>
  </w:style>
  <w:style w:type="paragraph" w:customStyle="1" w:styleId="3035">
    <w:name w:val="表格中的文字"/>
    <w:basedOn w:val="1"/>
    <w:qFormat/>
    <w:uiPriority w:val="0"/>
    <w:pPr>
      <w:ind w:firstLine="0" w:firstLineChars="0"/>
      <w:jc w:val="center"/>
    </w:pPr>
    <w:rPr>
      <w:rFonts w:ascii="楷体_GB2312" w:hAnsi="华文仿宋" w:eastAsia="楷体_GB2312" w:cs="楷体_GB2312"/>
      <w:kern w:val="0"/>
      <w:sz w:val="21"/>
      <w:szCs w:val="21"/>
      <w:u w:val="none" w:color="000000"/>
    </w:rPr>
  </w:style>
  <w:style w:type="paragraph" w:customStyle="1" w:styleId="3036">
    <w:name w:val="正文页眉"/>
    <w:basedOn w:val="1"/>
    <w:qFormat/>
    <w:uiPriority w:val="0"/>
    <w:pPr>
      <w:pBdr>
        <w:bottom w:val="single" w:color="auto" w:sz="4" w:space="1"/>
      </w:pBdr>
      <w:spacing w:line="240" w:lineRule="auto"/>
      <w:ind w:firstLine="0" w:firstLineChars="0"/>
      <w:jc w:val="left"/>
    </w:pPr>
    <w:rPr>
      <w:rFonts w:hAnsi="仿宋_GB2312" w:eastAsia="宋体"/>
      <w:sz w:val="15"/>
      <w:szCs w:val="24"/>
    </w:rPr>
  </w:style>
  <w:style w:type="paragraph" w:customStyle="1" w:styleId="3037">
    <w:name w:val="xl1598"/>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textAlignment w:val="center"/>
    </w:pPr>
    <w:rPr>
      <w:rFonts w:ascii="Times New Roman" w:eastAsia="宋体"/>
      <w:kern w:val="0"/>
      <w:sz w:val="24"/>
      <w:szCs w:val="24"/>
    </w:rPr>
  </w:style>
  <w:style w:type="paragraph" w:customStyle="1" w:styleId="3038">
    <w:name w:val="Char Char Char Char1 Char Char Char"/>
    <w:basedOn w:val="1"/>
    <w:semiHidden/>
    <w:qFormat/>
    <w:uiPriority w:val="0"/>
  </w:style>
  <w:style w:type="paragraph" w:customStyle="1" w:styleId="3039">
    <w:name w:val="xl2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Times New Roman" w:eastAsia="Arial Unicode MS"/>
      <w:kern w:val="0"/>
      <w:sz w:val="20"/>
      <w:szCs w:val="20"/>
    </w:rPr>
  </w:style>
  <w:style w:type="paragraph" w:customStyle="1" w:styleId="3040">
    <w:name w:val="正文！！！"/>
    <w:basedOn w:val="1"/>
    <w:qFormat/>
    <w:uiPriority w:val="0"/>
    <w:pPr>
      <w:adjustRightInd w:val="0"/>
      <w:textAlignment w:val="baseline"/>
    </w:pPr>
    <w:rPr>
      <w:kern w:val="0"/>
      <w:u w:val="none" w:color="000000"/>
    </w:rPr>
  </w:style>
  <w:style w:type="paragraph" w:customStyle="1" w:styleId="3041">
    <w:name w:val="样式 标题 1 + 首行缩进:  2 字符"/>
    <w:basedOn w:val="4"/>
    <w:qFormat/>
    <w:uiPriority w:val="0"/>
    <w:pPr>
      <w:spacing w:after="120" w:line="240" w:lineRule="auto"/>
      <w:jc w:val="left"/>
    </w:pPr>
    <w:rPr>
      <w:rFonts w:cs="宋体"/>
      <w:kern w:val="36"/>
      <w:szCs w:val="20"/>
    </w:rPr>
  </w:style>
  <w:style w:type="paragraph" w:customStyle="1" w:styleId="3042">
    <w:name w:val="样式 样式2 + 黑色 段前: 0.5 行 段后: 0.5 行"/>
    <w:basedOn w:val="965"/>
    <w:qFormat/>
    <w:uiPriority w:val="0"/>
    <w:pPr>
      <w:tabs>
        <w:tab w:val="left" w:pos="567"/>
      </w:tabs>
      <w:adjustRightInd/>
      <w:snapToGrid/>
      <w:spacing w:beforeLines="50" w:afterLines="50" w:line="240" w:lineRule="exact"/>
      <w:ind w:left="567" w:hanging="567"/>
      <w:jc w:val="both"/>
    </w:pPr>
    <w:rPr>
      <w:rFonts w:ascii="Times New Roman" w:eastAsia="华文中宋"/>
      <w:b/>
      <w:bCs/>
      <w:color w:val="000000"/>
      <w:sz w:val="28"/>
      <w:szCs w:val="20"/>
    </w:rPr>
  </w:style>
  <w:style w:type="paragraph" w:customStyle="1" w:styleId="3043">
    <w:name w:val="表中文字-rebecca"/>
    <w:next w:val="1"/>
    <w:qFormat/>
    <w:uiPriority w:val="0"/>
    <w:pPr>
      <w:widowControl w:val="0"/>
      <w:spacing w:before="40" w:after="40"/>
      <w:jc w:val="center"/>
    </w:pPr>
    <w:rPr>
      <w:rFonts w:ascii="Times New Roman" w:hAnsi="Times New Roman" w:eastAsia="宋体" w:cs="Arial"/>
      <w:kern w:val="2"/>
      <w:sz w:val="21"/>
      <w:szCs w:val="24"/>
      <w:lang w:val="en-US" w:eastAsia="zh-CN" w:bidi="ar-SA"/>
    </w:rPr>
  </w:style>
  <w:style w:type="paragraph" w:customStyle="1" w:styleId="3044">
    <w:name w:val="xl150"/>
    <w:basedOn w:val="1"/>
    <w:qFormat/>
    <w:uiPriority w:val="0"/>
    <w:pPr>
      <w:widowControl/>
      <w:pBdr>
        <w:right w:val="single" w:color="auto" w:sz="4" w:space="0"/>
      </w:pBdr>
      <w:spacing w:before="100" w:beforeAutospacing="1" w:after="100" w:afterAutospacing="1" w:line="240" w:lineRule="auto"/>
      <w:ind w:firstLine="0" w:firstLineChars="0"/>
      <w:jc w:val="left"/>
    </w:pPr>
    <w:rPr>
      <w:rFonts w:ascii="Times New Roman" w:eastAsia="宋体"/>
      <w:kern w:val="0"/>
      <w:sz w:val="20"/>
      <w:szCs w:val="20"/>
    </w:rPr>
  </w:style>
  <w:style w:type="paragraph" w:customStyle="1" w:styleId="3045">
    <w:name w:val="Char2 Char"/>
    <w:basedOn w:val="1"/>
    <w:semiHidden/>
    <w:qFormat/>
    <w:uiPriority w:val="0"/>
    <w:pPr>
      <w:adjustRightInd w:val="0"/>
      <w:spacing w:line="360" w:lineRule="atLeast"/>
      <w:ind w:firstLine="0" w:firstLineChars="0"/>
    </w:pPr>
    <w:rPr>
      <w:rFonts w:ascii="宋体" w:eastAsia="宋体"/>
      <w:szCs w:val="24"/>
    </w:rPr>
  </w:style>
  <w:style w:type="paragraph" w:customStyle="1" w:styleId="3046">
    <w:name w:val="xl1604"/>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textAlignment w:val="center"/>
    </w:pPr>
    <w:rPr>
      <w:rFonts w:ascii="Times New Roman" w:eastAsia="宋体"/>
      <w:kern w:val="0"/>
      <w:sz w:val="24"/>
      <w:szCs w:val="24"/>
    </w:rPr>
  </w:style>
  <w:style w:type="paragraph" w:customStyle="1" w:styleId="3047">
    <w:name w:val="jzbt"/>
    <w:basedOn w:val="1"/>
    <w:qFormat/>
    <w:uiPriority w:val="0"/>
    <w:pPr>
      <w:widowControl/>
      <w:adjustRightInd w:val="0"/>
      <w:spacing w:after="60"/>
      <w:ind w:firstLine="0" w:firstLineChars="0"/>
      <w:jc w:val="center"/>
      <w:textAlignment w:val="baseline"/>
    </w:pPr>
    <w:rPr>
      <w:rFonts w:ascii="黑体" w:eastAsia="黑体" w:cs="宋体"/>
      <w:kern w:val="0"/>
      <w:sz w:val="24"/>
      <w:szCs w:val="24"/>
    </w:rPr>
  </w:style>
  <w:style w:type="paragraph" w:customStyle="1" w:styleId="3048">
    <w:name w:val="xl509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Times New Roman" w:eastAsia="宋体"/>
      <w:kern w:val="0"/>
      <w:sz w:val="20"/>
      <w:szCs w:val="20"/>
    </w:rPr>
  </w:style>
  <w:style w:type="paragraph" w:customStyle="1" w:styleId="3049">
    <w:name w:val="样式 小四 行距: 1.5 倍行距 首行缩进:  2 字符"/>
    <w:basedOn w:val="1"/>
    <w:qFormat/>
    <w:uiPriority w:val="0"/>
    <w:pPr>
      <w:spacing w:line="360" w:lineRule="auto"/>
    </w:pPr>
    <w:rPr>
      <w:rFonts w:ascii="Times New Roman" w:eastAsia="宋体"/>
      <w:sz w:val="24"/>
      <w:szCs w:val="24"/>
    </w:rPr>
  </w:style>
  <w:style w:type="paragraph" w:customStyle="1" w:styleId="3050">
    <w:name w:val="样式 (中文) 楷体_GB2312 居中 首行缩进:  0.85 厘米 行距: 最小值 12 磅"/>
    <w:basedOn w:val="1"/>
    <w:qFormat/>
    <w:uiPriority w:val="0"/>
    <w:pPr>
      <w:spacing w:line="240" w:lineRule="atLeast"/>
      <w:ind w:firstLine="0" w:firstLineChars="0"/>
      <w:jc w:val="center"/>
    </w:pPr>
    <w:rPr>
      <w:rFonts w:ascii="Times New Roman" w:eastAsia="楷体_GB2312" w:cs="宋体"/>
      <w:sz w:val="21"/>
      <w:szCs w:val="20"/>
    </w:rPr>
  </w:style>
  <w:style w:type="paragraph" w:customStyle="1" w:styleId="3051">
    <w:name w:val="xl78"/>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firstLineChars="0"/>
      <w:jc w:val="center"/>
      <w:textAlignment w:val="center"/>
    </w:pPr>
    <w:rPr>
      <w:rFonts w:ascii="Times New Roman" w:eastAsia="宋体"/>
      <w:kern w:val="0"/>
      <w:sz w:val="18"/>
      <w:szCs w:val="18"/>
    </w:rPr>
  </w:style>
  <w:style w:type="paragraph" w:customStyle="1" w:styleId="3052">
    <w:name w:val="xl7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Times New Roman" w:eastAsia="宋体"/>
      <w:color w:val="FF0000"/>
      <w:kern w:val="0"/>
      <w:sz w:val="18"/>
      <w:szCs w:val="18"/>
    </w:rPr>
  </w:style>
  <w:style w:type="paragraph" w:customStyle="1" w:styleId="3053">
    <w:name w:val="正文5"/>
    <w:qFormat/>
    <w:uiPriority w:val="0"/>
    <w:pPr>
      <w:jc w:val="both"/>
    </w:pPr>
    <w:rPr>
      <w:rFonts w:ascii="Times New Roman" w:hAnsi="Times New Roman" w:eastAsia="宋体" w:cs="Times New Roman"/>
      <w:kern w:val="2"/>
      <w:sz w:val="21"/>
      <w:szCs w:val="21"/>
      <w:lang w:val="en-US" w:eastAsia="zh-CN" w:bidi="ar-SA"/>
    </w:rPr>
  </w:style>
  <w:style w:type="paragraph" w:customStyle="1" w:styleId="3054">
    <w:name w:val="样式 四号"/>
    <w:basedOn w:val="1"/>
    <w:qFormat/>
    <w:uiPriority w:val="0"/>
    <w:pPr>
      <w:spacing w:line="480" w:lineRule="auto"/>
      <w:ind w:right="210" w:rightChars="100" w:firstLine="560"/>
    </w:pPr>
    <w:rPr>
      <w:rFonts w:ascii="Times New Roman" w:eastAsia="宋体"/>
      <w:kern w:val="0"/>
      <w:szCs w:val="20"/>
    </w:rPr>
  </w:style>
  <w:style w:type="paragraph" w:customStyle="1" w:styleId="3055">
    <w:name w:val="报告标题 5"/>
    <w:basedOn w:val="9"/>
    <w:semiHidden/>
    <w:qFormat/>
    <w:uiPriority w:val="0"/>
    <w:pPr>
      <w:widowControl w:val="0"/>
      <w:tabs>
        <w:tab w:val="left" w:pos="1008"/>
        <w:tab w:val="left" w:pos="1113"/>
        <w:tab w:val="left" w:pos="1330"/>
      </w:tabs>
      <w:spacing w:before="0" w:after="0" w:line="377" w:lineRule="auto"/>
      <w:ind w:left="992" w:hanging="992"/>
      <w:jc w:val="both"/>
    </w:pPr>
    <w:rPr>
      <w:rFonts w:ascii="Times New Roman" w:hAnsi="Times New Roman"/>
      <w:bCs/>
      <w:spacing w:val="14"/>
      <w:kern w:val="2"/>
      <w:sz w:val="28"/>
      <w:szCs w:val="28"/>
      <w:lang w:val="en-US" w:eastAsia="zh-CN"/>
    </w:rPr>
  </w:style>
  <w:style w:type="paragraph" w:customStyle="1" w:styleId="3056">
    <w:name w:val="样式 标题 3标题 3 Char1 Char Char Char Char Char Char Char Char Char ..."/>
    <w:basedOn w:val="7"/>
    <w:qFormat/>
    <w:uiPriority w:val="0"/>
    <w:pPr>
      <w:numPr>
        <w:ilvl w:val="2"/>
        <w:numId w:val="0"/>
      </w:numPr>
      <w:spacing w:before="120" w:after="120" w:line="360" w:lineRule="auto"/>
      <w:ind w:left="420" w:firstLine="420"/>
      <w:jc w:val="left"/>
    </w:pPr>
    <w:rPr>
      <w:rFonts w:eastAsia="黑体"/>
      <w:bCs w:val="0"/>
      <w:kern w:val="0"/>
      <w:szCs w:val="32"/>
    </w:rPr>
  </w:style>
  <w:style w:type="paragraph" w:customStyle="1" w:styleId="3057">
    <w:name w:val="正文文本缩进 23"/>
    <w:basedOn w:val="1"/>
    <w:next w:val="52"/>
    <w:semiHidden/>
    <w:qFormat/>
    <w:uiPriority w:val="0"/>
    <w:pPr>
      <w:ind w:firstLine="555"/>
    </w:pPr>
    <w:rPr>
      <w:rFonts w:ascii="宋体"/>
      <w:sz w:val="24"/>
      <w:szCs w:val="20"/>
    </w:rPr>
  </w:style>
  <w:style w:type="paragraph" w:customStyle="1" w:styleId="3058">
    <w:name w:val="表格文本"/>
    <w:basedOn w:val="1"/>
    <w:qFormat/>
    <w:uiPriority w:val="0"/>
    <w:pPr>
      <w:spacing w:beforeLines="20" w:afterLines="20" w:line="240" w:lineRule="auto"/>
      <w:ind w:firstLine="0" w:firstLineChars="0"/>
      <w:jc w:val="center"/>
    </w:pPr>
    <w:rPr>
      <w:rFonts w:ascii="宋体" w:hAnsi="宋体" w:eastAsia="楷体_GB2312"/>
      <w:color w:val="000000"/>
      <w:sz w:val="21"/>
      <w:szCs w:val="21"/>
    </w:rPr>
  </w:style>
  <w:style w:type="paragraph" w:customStyle="1" w:styleId="3059">
    <w:name w:val="报告表正文"/>
    <w:basedOn w:val="1"/>
    <w:semiHidden/>
    <w:qFormat/>
    <w:uiPriority w:val="0"/>
    <w:pPr>
      <w:spacing w:line="500" w:lineRule="exact"/>
    </w:pPr>
    <w:rPr>
      <w:rFonts w:ascii="Times New Roman" w:eastAsia="宋体"/>
      <w:sz w:val="24"/>
      <w:szCs w:val="24"/>
    </w:rPr>
  </w:style>
  <w:style w:type="paragraph" w:customStyle="1" w:styleId="3060">
    <w:name w:val="Char22"/>
    <w:basedOn w:val="1"/>
    <w:qFormat/>
    <w:uiPriority w:val="0"/>
    <w:rPr>
      <w:u w:val="none" w:color="000000"/>
    </w:rPr>
  </w:style>
  <w:style w:type="paragraph" w:customStyle="1" w:styleId="3061">
    <w:name w:val="样式 标题 3标  题  3SottoparagrafoChar1 Char Char Char3h33rd lev..."/>
    <w:basedOn w:val="7"/>
    <w:qFormat/>
    <w:uiPriority w:val="0"/>
    <w:pPr>
      <w:keepNext/>
      <w:keepLines/>
    </w:pPr>
    <w:rPr>
      <w:rFonts w:cs="宋体"/>
      <w:bCs w:val="0"/>
      <w:szCs w:val="20"/>
    </w:rPr>
  </w:style>
  <w:style w:type="paragraph" w:customStyle="1" w:styleId="3062">
    <w:name w:val="标01"/>
    <w:basedOn w:val="4"/>
    <w:qFormat/>
    <w:uiPriority w:val="0"/>
    <w:pPr>
      <w:keepNext/>
      <w:keepLines/>
      <w:tabs>
        <w:tab w:val="left" w:pos="8080"/>
      </w:tabs>
      <w:spacing w:before="240" w:after="240"/>
      <w:jc w:val="left"/>
    </w:pPr>
    <w:rPr>
      <w:rFonts w:ascii="Arial" w:hAnsi="Arial" w:cs="宋体"/>
      <w:bCs w:val="0"/>
      <w:color w:val="000000"/>
      <w:szCs w:val="20"/>
      <w:lang w:val="en-US" w:eastAsia="zh-CN"/>
    </w:rPr>
  </w:style>
  <w:style w:type="paragraph" w:customStyle="1" w:styleId="3063">
    <w:name w:val="xl510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 w:val="20"/>
      <w:szCs w:val="20"/>
    </w:rPr>
  </w:style>
  <w:style w:type="paragraph" w:customStyle="1" w:styleId="3064">
    <w:name w:val="表格内文字（5）"/>
    <w:basedOn w:val="46"/>
    <w:qFormat/>
    <w:uiPriority w:val="0"/>
    <w:pPr>
      <w:widowControl w:val="0"/>
      <w:adjustRightInd w:val="0"/>
      <w:spacing w:line="400" w:lineRule="atLeast"/>
      <w:ind w:firstLine="200"/>
      <w:jc w:val="center"/>
    </w:pPr>
    <w:rPr>
      <w:rFonts w:hAnsi="Courier New" w:eastAsia="仿宋_GB2312"/>
      <w:color w:val="auto"/>
      <w:spacing w:val="2"/>
      <w:sz w:val="28"/>
      <w:lang w:val="en-US" w:eastAsia="zh-CN"/>
    </w:rPr>
  </w:style>
  <w:style w:type="paragraph" w:customStyle="1" w:styleId="3065">
    <w:name w:val="样式 黑体 小四 居中 行距: 单倍行距 首行缩进:  0 字符"/>
    <w:basedOn w:val="1"/>
    <w:qFormat/>
    <w:uiPriority w:val="0"/>
    <w:pPr>
      <w:adjustRightInd w:val="0"/>
      <w:spacing w:line="240" w:lineRule="auto"/>
      <w:ind w:firstLine="0" w:firstLineChars="0"/>
      <w:jc w:val="center"/>
      <w:textAlignment w:val="baseline"/>
    </w:pPr>
    <w:rPr>
      <w:rFonts w:ascii="黑体" w:eastAsia="黑体" w:cs="宋体"/>
      <w:kern w:val="0"/>
      <w:sz w:val="24"/>
      <w:szCs w:val="20"/>
    </w:rPr>
  </w:style>
  <w:style w:type="paragraph" w:customStyle="1" w:styleId="3066">
    <w:name w:val="xl230"/>
    <w:basedOn w:val="1"/>
    <w:qFormat/>
    <w:uiPriority w:val="0"/>
    <w:pPr>
      <w:widowControl/>
      <w:pBdr>
        <w:top w:val="single" w:color="auto" w:sz="4" w:space="0"/>
        <w:left w:val="single" w:color="auto" w:sz="4" w:space="0"/>
        <w:bottom w:val="single" w:color="auto" w:sz="4" w:space="0"/>
        <w:right w:val="single" w:color="auto" w:sz="4" w:space="0"/>
      </w:pBdr>
      <w:adjustRightInd w:val="0"/>
      <w:snapToGrid w:val="0"/>
      <w:spacing w:before="100" w:beforeAutospacing="1" w:after="100" w:afterAutospacing="1" w:line="360" w:lineRule="auto"/>
      <w:ind w:firstLine="0" w:firstLineChars="0"/>
      <w:jc w:val="center"/>
    </w:pPr>
    <w:rPr>
      <w:rFonts w:ascii="宋体" w:hAnsi="宋体" w:eastAsia="宋体" w:cs="宋体"/>
      <w:kern w:val="0"/>
      <w:sz w:val="24"/>
      <w:szCs w:val="24"/>
    </w:rPr>
  </w:style>
  <w:style w:type="paragraph" w:customStyle="1" w:styleId="3067">
    <w:name w:val="xl148"/>
    <w:basedOn w:val="1"/>
    <w:qFormat/>
    <w:uiPriority w:val="0"/>
    <w:pPr>
      <w:widowControl/>
      <w:spacing w:before="100" w:beforeAutospacing="1" w:after="100" w:afterAutospacing="1" w:line="240" w:lineRule="auto"/>
      <w:ind w:firstLine="0" w:firstLineChars="0"/>
      <w:jc w:val="left"/>
      <w:textAlignment w:val="bottom"/>
    </w:pPr>
    <w:rPr>
      <w:rFonts w:ascii="宋体" w:hAnsi="宋体" w:eastAsia="宋体" w:cs="宋体"/>
      <w:kern w:val="0"/>
      <w:sz w:val="24"/>
      <w:szCs w:val="24"/>
    </w:rPr>
  </w:style>
  <w:style w:type="paragraph" w:customStyle="1" w:styleId="3068">
    <w:name w:val="样式 标题3 + 段前: 0.5 行 段后: 0.5 行1"/>
    <w:basedOn w:val="7"/>
    <w:qFormat/>
    <w:uiPriority w:val="0"/>
    <w:pPr>
      <w:overflowPunct w:val="0"/>
      <w:topLinePunct/>
      <w:spacing w:line="440" w:lineRule="exact"/>
    </w:pPr>
    <w:rPr>
      <w:rFonts w:ascii="Times New Roman" w:hAnsi="Times New Roman" w:eastAsia="华文中宋"/>
      <w:b/>
      <w:kern w:val="10"/>
      <w:szCs w:val="20"/>
    </w:rPr>
  </w:style>
  <w:style w:type="paragraph" w:customStyle="1" w:styleId="3069">
    <w:name w:val="xl2812"/>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Lines="25" w:beforeAutospacing="1" w:after="100" w:afterAutospacing="1" w:line="240" w:lineRule="auto"/>
      <w:ind w:firstLine="0" w:firstLineChars="0"/>
      <w:jc w:val="center"/>
    </w:pPr>
    <w:rPr>
      <w:rFonts w:ascii="Times New Roman" w:eastAsia="宋体"/>
      <w:kern w:val="0"/>
      <w:sz w:val="24"/>
      <w:szCs w:val="24"/>
    </w:rPr>
  </w:style>
  <w:style w:type="paragraph" w:customStyle="1" w:styleId="3070">
    <w:name w:val="xl6271"/>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textAlignment w:val="center"/>
    </w:pPr>
    <w:rPr>
      <w:rFonts w:ascii="宋体" w:hAnsi="宋体" w:eastAsia="宋体" w:cs="宋体"/>
      <w:kern w:val="0"/>
      <w:sz w:val="24"/>
      <w:szCs w:val="24"/>
    </w:rPr>
  </w:style>
  <w:style w:type="paragraph" w:customStyle="1" w:styleId="3071">
    <w:name w:val="Char Char1 Char Char Char"/>
    <w:basedOn w:val="1"/>
    <w:qFormat/>
    <w:uiPriority w:val="0"/>
    <w:pPr>
      <w:snapToGrid w:val="0"/>
      <w:spacing w:line="360" w:lineRule="auto"/>
      <w:ind w:firstLine="560"/>
    </w:pPr>
    <w:rPr>
      <w:rFonts w:ascii="Times New Roman"/>
      <w:kern w:val="0"/>
      <w:sz w:val="24"/>
      <w:szCs w:val="24"/>
      <w:u w:val="none" w:color="000000"/>
    </w:rPr>
  </w:style>
  <w:style w:type="paragraph" w:customStyle="1" w:styleId="3072">
    <w:name w:val="样式 样式10 + 黑色"/>
    <w:basedOn w:val="1394"/>
    <w:qFormat/>
    <w:uiPriority w:val="0"/>
    <w:pPr>
      <w:widowControl w:val="0"/>
      <w:adjustRightInd/>
      <w:snapToGrid/>
      <w:spacing w:line="240" w:lineRule="auto"/>
      <w:ind w:firstLine="480"/>
    </w:pPr>
    <w:rPr>
      <w:rFonts w:ascii="Times New Roman" w:hAnsi="Times New Roman" w:eastAsia="华文中宋"/>
      <w:color w:val="000000"/>
      <w:kern w:val="2"/>
      <w:sz w:val="24"/>
      <w:szCs w:val="24"/>
      <w:lang w:bidi="ar-SA"/>
    </w:rPr>
  </w:style>
  <w:style w:type="paragraph" w:customStyle="1" w:styleId="3073">
    <w:name w:val="sb-正文"/>
    <w:basedOn w:val="1"/>
    <w:qFormat/>
    <w:uiPriority w:val="0"/>
    <w:pPr>
      <w:widowControl/>
      <w:spacing w:line="360" w:lineRule="auto"/>
      <w:jc w:val="left"/>
    </w:pPr>
    <w:rPr>
      <w:rFonts w:ascii="Times New Roman" w:eastAsia="宋体"/>
      <w:sz w:val="24"/>
      <w:szCs w:val="24"/>
    </w:rPr>
  </w:style>
  <w:style w:type="paragraph" w:customStyle="1" w:styleId="3074">
    <w:name w:val="样式 样式8 + 左  -0.5 字符 右  -0.5 字符"/>
    <w:basedOn w:val="1344"/>
    <w:qFormat/>
    <w:uiPriority w:val="0"/>
    <w:pPr>
      <w:keepNext w:val="0"/>
      <w:keepLines w:val="0"/>
      <w:adjustRightInd/>
      <w:snapToGrid/>
      <w:spacing w:beforeLines="0" w:afterLines="0" w:line="320" w:lineRule="exact"/>
      <w:ind w:left="-120" w:leftChars="-50" w:right="-120" w:rightChars="-50"/>
      <w:jc w:val="center"/>
      <w:outlineLvl w:val="9"/>
    </w:pPr>
    <w:rPr>
      <w:rFonts w:ascii="Times New Roman" w:hAnsi="Times New Roman" w:eastAsia="华文中宋"/>
      <w:b w:val="0"/>
      <w:bCs w:val="0"/>
      <w:snapToGrid/>
      <w:color w:val="000000"/>
      <w:sz w:val="21"/>
      <w:szCs w:val="20"/>
    </w:rPr>
  </w:style>
  <w:style w:type="paragraph" w:customStyle="1" w:styleId="3075">
    <w:name w:val="样式 样式 首行缩进:  2 字符2 + Times New Roman 首行缩进:  2 字符"/>
    <w:basedOn w:val="1"/>
    <w:qFormat/>
    <w:uiPriority w:val="0"/>
    <w:rPr>
      <w:rFonts w:ascii="Times New Roman" w:cs="宋体"/>
      <w:szCs w:val="20"/>
    </w:rPr>
  </w:style>
  <w:style w:type="paragraph" w:customStyle="1" w:styleId="3076">
    <w:name w:val="样式 表名 + Times New Roman 段前: 0.5 行 段后: 0.5 行1"/>
    <w:basedOn w:val="624"/>
    <w:qFormat/>
    <w:uiPriority w:val="0"/>
    <w:pPr>
      <w:overflowPunct w:val="0"/>
      <w:topLinePunct/>
      <w:spacing w:beforeLines="50" w:line="440" w:lineRule="exact"/>
      <w:ind w:firstLine="0" w:firstLineChars="0"/>
      <w:jc w:val="center"/>
    </w:pPr>
    <w:rPr>
      <w:rFonts w:ascii="Times New Roman" w:eastAsia="宋体"/>
      <w:b/>
      <w:bCs/>
      <w:szCs w:val="20"/>
    </w:rPr>
  </w:style>
  <w:style w:type="paragraph" w:customStyle="1" w:styleId="3077">
    <w:name w:val="样式 样式 标题 3 + Times New Roman"/>
    <w:basedOn w:val="1"/>
    <w:qFormat/>
    <w:uiPriority w:val="0"/>
    <w:pPr>
      <w:keepLines/>
      <w:adjustRightInd w:val="0"/>
      <w:snapToGrid w:val="0"/>
      <w:ind w:firstLine="0" w:firstLineChars="0"/>
      <w:jc w:val="left"/>
      <w:outlineLvl w:val="2"/>
    </w:pPr>
    <w:rPr>
      <w:rFonts w:ascii="Arial" w:eastAsia="方正小标宋_GBK" w:cs="宋体"/>
    </w:rPr>
  </w:style>
  <w:style w:type="paragraph" w:customStyle="1" w:styleId="3078">
    <w:name w:val="表名[BM]"/>
    <w:basedOn w:val="1"/>
    <w:qFormat/>
    <w:uiPriority w:val="0"/>
    <w:pPr>
      <w:adjustRightInd w:val="0"/>
      <w:spacing w:after="60" w:line="400" w:lineRule="atLeast"/>
      <w:ind w:firstLine="340" w:firstLineChars="0"/>
      <w:textAlignment w:val="baseline"/>
    </w:pPr>
    <w:rPr>
      <w:rFonts w:ascii="楷体_GB2312" w:eastAsia="黑体"/>
      <w:kern w:val="0"/>
      <w:sz w:val="24"/>
      <w:szCs w:val="20"/>
      <w:u w:val="none" w:color="000000"/>
    </w:rPr>
  </w:style>
  <w:style w:type="paragraph" w:customStyle="1" w:styleId="3079">
    <w:name w:val="样式 正文首行缩进 + 宋体 首行缩进:  1 字符"/>
    <w:basedOn w:val="86"/>
    <w:semiHidden/>
    <w:qFormat/>
    <w:uiPriority w:val="0"/>
    <w:pPr>
      <w:keepLines/>
      <w:spacing w:after="60" w:line="560" w:lineRule="exact"/>
      <w:ind w:firstLine="626" w:firstLineChars="200"/>
    </w:pPr>
    <w:rPr>
      <w:rFonts w:ascii="宋体"/>
      <w:szCs w:val="28"/>
    </w:rPr>
  </w:style>
  <w:style w:type="paragraph" w:customStyle="1" w:styleId="3080">
    <w:name w:val="样式 标题 1 + 小二"/>
    <w:basedOn w:val="4"/>
    <w:semiHidden/>
    <w:qFormat/>
    <w:uiPriority w:val="0"/>
    <w:pPr>
      <w:keepNext/>
      <w:keepLines/>
      <w:tabs>
        <w:tab w:val="left" w:pos="425"/>
      </w:tabs>
      <w:spacing w:after="120" w:afterLines="100" w:line="720" w:lineRule="exact"/>
      <w:ind w:left="425" w:hanging="425"/>
      <w:jc w:val="left"/>
    </w:pPr>
    <w:rPr>
      <w:rFonts w:eastAsia="仿宋_GB2312"/>
      <w:sz w:val="30"/>
      <w:szCs w:val="44"/>
    </w:rPr>
  </w:style>
  <w:style w:type="paragraph" w:customStyle="1" w:styleId="3081">
    <w:name w:val="xl221"/>
    <w:basedOn w:val="1"/>
    <w:qFormat/>
    <w:uiPriority w:val="0"/>
    <w:pPr>
      <w:widowControl/>
      <w:pBdr>
        <w:top w:val="single" w:color="auto" w:sz="4" w:space="0"/>
        <w:left w:val="single" w:color="auto" w:sz="4" w:space="0"/>
        <w:bottom w:val="single" w:color="auto" w:sz="4" w:space="0"/>
        <w:right w:val="single" w:color="auto" w:sz="4" w:space="0"/>
      </w:pBdr>
      <w:adjustRightInd w:val="0"/>
      <w:snapToGrid w:val="0"/>
      <w:spacing w:before="100" w:beforeAutospacing="1" w:after="100" w:afterAutospacing="1" w:line="360" w:lineRule="auto"/>
      <w:ind w:firstLine="0" w:firstLineChars="0"/>
      <w:jc w:val="center"/>
    </w:pPr>
    <w:rPr>
      <w:rFonts w:ascii="Times New Roman" w:eastAsia="宋体"/>
      <w:kern w:val="0"/>
      <w:sz w:val="24"/>
      <w:szCs w:val="24"/>
    </w:rPr>
  </w:style>
  <w:style w:type="paragraph" w:customStyle="1" w:styleId="3082">
    <w:name w:val="00000"/>
    <w:basedOn w:val="1"/>
    <w:qFormat/>
    <w:uiPriority w:val="0"/>
    <w:pPr>
      <w:keepNext/>
      <w:keepLines/>
      <w:tabs>
        <w:tab w:val="left" w:pos="1134"/>
      </w:tabs>
      <w:spacing w:line="360" w:lineRule="auto"/>
      <w:ind w:left="742" w:leftChars="742" w:firstLine="0" w:firstLineChars="0"/>
      <w:outlineLvl w:val="1"/>
    </w:pPr>
    <w:rPr>
      <w:rFonts w:ascii="宋体" w:hAnsi="Arial" w:eastAsia="宋体" w:cs="Arial"/>
      <w:bCs/>
      <w:sz w:val="24"/>
      <w:szCs w:val="24"/>
    </w:rPr>
  </w:style>
  <w:style w:type="paragraph" w:customStyle="1" w:styleId="3083">
    <w:name w:val="biaoti1"/>
    <w:basedOn w:val="1"/>
    <w:qFormat/>
    <w:uiPriority w:val="0"/>
    <w:pPr>
      <w:adjustRightInd w:val="0"/>
      <w:spacing w:before="240" w:after="240" w:line="600" w:lineRule="exact"/>
      <w:ind w:firstLine="0" w:firstLineChars="0"/>
      <w:jc w:val="left"/>
      <w:textAlignment w:val="baseline"/>
    </w:pPr>
    <w:rPr>
      <w:rFonts w:ascii="Arial" w:hAnsi="Arial" w:eastAsia="黑体"/>
      <w:kern w:val="0"/>
      <w:sz w:val="36"/>
    </w:rPr>
  </w:style>
  <w:style w:type="paragraph" w:customStyle="1" w:styleId="3084">
    <w:name w:val="正文文本 22"/>
    <w:basedOn w:val="1"/>
    <w:qFormat/>
    <w:uiPriority w:val="0"/>
    <w:pPr>
      <w:adjustRightInd w:val="0"/>
      <w:spacing w:line="240" w:lineRule="auto"/>
      <w:ind w:firstLine="461" w:firstLineChars="0"/>
      <w:textAlignment w:val="baseline"/>
    </w:pPr>
    <w:rPr>
      <w:rFonts w:ascii="方正仿宋简体" w:eastAsia="方正仿宋简体"/>
      <w:kern w:val="0"/>
      <w:sz w:val="24"/>
      <w:szCs w:val="20"/>
    </w:rPr>
  </w:style>
  <w:style w:type="paragraph" w:customStyle="1" w:styleId="3085">
    <w:name w:val="Char Char2 Char Char Char Char2"/>
    <w:basedOn w:val="1"/>
    <w:qFormat/>
    <w:uiPriority w:val="0"/>
    <w:pPr>
      <w:spacing w:line="240" w:lineRule="auto"/>
      <w:ind w:firstLine="0" w:firstLineChars="0"/>
    </w:pPr>
    <w:rPr>
      <w:rFonts w:ascii="Times New Roman" w:eastAsia="宋体"/>
      <w:sz w:val="21"/>
      <w:szCs w:val="24"/>
    </w:rPr>
  </w:style>
  <w:style w:type="paragraph" w:customStyle="1" w:styleId="3086">
    <w:name w:val="xl180"/>
    <w:basedOn w:val="1"/>
    <w:qFormat/>
    <w:uiPriority w:val="0"/>
    <w:pPr>
      <w:widowControl/>
      <w:pBdr>
        <w:bottom w:val="single" w:color="auto" w:sz="4" w:space="0"/>
      </w:pBdr>
      <w:spacing w:before="100" w:beforeAutospacing="1" w:after="100" w:afterAutospacing="1" w:line="240" w:lineRule="auto"/>
      <w:ind w:firstLine="0" w:firstLineChars="0"/>
      <w:jc w:val="left"/>
    </w:pPr>
    <w:rPr>
      <w:rFonts w:ascii="宋体" w:hAnsi="宋体" w:eastAsia="宋体" w:cs="宋体"/>
      <w:kern w:val="0"/>
      <w:sz w:val="24"/>
      <w:szCs w:val="24"/>
    </w:rPr>
  </w:style>
  <w:style w:type="paragraph" w:customStyle="1" w:styleId="3087">
    <w:name w:val="Char Char Char Char Char Char Char Char Char Char Char Char Char Char Char Char Char Char Char Char Char Char Char Char Char Char Char Char"/>
    <w:basedOn w:val="1"/>
    <w:qFormat/>
    <w:uiPriority w:val="0"/>
    <w:pPr>
      <w:widowControl/>
      <w:spacing w:after="160" w:line="240" w:lineRule="exact"/>
      <w:ind w:firstLine="0" w:firstLineChars="0"/>
      <w:jc w:val="left"/>
    </w:pPr>
    <w:rPr>
      <w:rFonts w:ascii="Verdana" w:hAnsi="Verdana"/>
      <w:kern w:val="0"/>
      <w:sz w:val="24"/>
      <w:szCs w:val="20"/>
      <w:lang w:eastAsia="en-US"/>
    </w:rPr>
  </w:style>
  <w:style w:type="paragraph" w:customStyle="1" w:styleId="3088">
    <w:name w:val="标提 3"/>
    <w:basedOn w:val="7"/>
    <w:next w:val="1526"/>
    <w:semiHidden/>
    <w:qFormat/>
    <w:uiPriority w:val="0"/>
    <w:pPr>
      <w:spacing w:before="160" w:after="160" w:line="240" w:lineRule="auto"/>
      <w:jc w:val="left"/>
    </w:pPr>
    <w:rPr>
      <w:rFonts w:ascii="Times New Roman" w:hAnsi="Times New Roman" w:eastAsia="宋体"/>
      <w:color w:val="000000"/>
    </w:rPr>
  </w:style>
  <w:style w:type="paragraph" w:customStyle="1" w:styleId="3089">
    <w:name w:val="样式 标提 1 +2"/>
    <w:basedOn w:val="1"/>
    <w:semiHidden/>
    <w:qFormat/>
    <w:uiPriority w:val="0"/>
    <w:pPr>
      <w:widowControl/>
      <w:spacing w:before="160" w:after="160" w:line="240" w:lineRule="auto"/>
    </w:pPr>
    <w:rPr>
      <w:rFonts w:ascii="宋体" w:eastAsia="宋体"/>
      <w:kern w:val="0"/>
      <w:sz w:val="24"/>
      <w:szCs w:val="24"/>
    </w:rPr>
  </w:style>
  <w:style w:type="paragraph" w:customStyle="1" w:styleId="3090">
    <w:name w:val="xl2818"/>
    <w:basedOn w:val="1"/>
    <w:qFormat/>
    <w:uiPriority w:val="0"/>
    <w:pPr>
      <w:widowControl/>
      <w:pBdr>
        <w:top w:val="single" w:color="auto" w:sz="4" w:space="0"/>
        <w:left w:val="single" w:color="auto" w:sz="4" w:space="0"/>
        <w:bottom w:val="single" w:color="auto" w:sz="4" w:space="0"/>
        <w:right w:val="single" w:color="auto" w:sz="4" w:space="0"/>
      </w:pBdr>
      <w:spacing w:beforeLines="25" w:beforeAutospacing="1" w:after="100" w:afterAutospacing="1" w:line="240" w:lineRule="auto"/>
      <w:ind w:firstLine="0" w:firstLineChars="0"/>
      <w:jc w:val="center"/>
    </w:pPr>
    <w:rPr>
      <w:rFonts w:ascii="宋体" w:hAnsi="宋体" w:eastAsia="宋体" w:cs="宋体"/>
      <w:color w:val="FF0000"/>
      <w:kern w:val="0"/>
      <w:sz w:val="24"/>
      <w:szCs w:val="24"/>
    </w:rPr>
  </w:style>
  <w:style w:type="paragraph" w:customStyle="1" w:styleId="3091">
    <w:name w:val="Char Char Char Char Char Char Char Char Char Char Char Char Char Char Char Char1"/>
    <w:basedOn w:val="1"/>
    <w:qFormat/>
    <w:uiPriority w:val="0"/>
    <w:pPr>
      <w:tabs>
        <w:tab w:val="left" w:pos="360"/>
      </w:tabs>
    </w:pPr>
    <w:rPr>
      <w:sz w:val="24"/>
      <w:szCs w:val="24"/>
    </w:rPr>
  </w:style>
  <w:style w:type="paragraph" w:customStyle="1" w:styleId="3092">
    <w:name w:val="Char Char Char Char Char Char1 Char1 Char Char Char Char Char Char11"/>
    <w:basedOn w:val="1"/>
    <w:qFormat/>
    <w:uiPriority w:val="0"/>
    <w:pPr>
      <w:ind w:left="510"/>
    </w:pPr>
    <w:rPr>
      <w:szCs w:val="21"/>
    </w:rPr>
  </w:style>
  <w:style w:type="paragraph" w:customStyle="1" w:styleId="3093">
    <w:name w:val="000正文"/>
    <w:basedOn w:val="1"/>
    <w:qFormat/>
    <w:uiPriority w:val="0"/>
    <w:pPr>
      <w:adjustRightInd w:val="0"/>
      <w:textAlignment w:val="baseline"/>
    </w:pPr>
    <w:rPr>
      <w:kern w:val="0"/>
    </w:rPr>
  </w:style>
  <w:style w:type="paragraph" w:customStyle="1" w:styleId="3094">
    <w:name w:val="标题333"/>
    <w:basedOn w:val="7"/>
    <w:qFormat/>
    <w:uiPriority w:val="0"/>
    <w:pPr>
      <w:keepNext/>
      <w:keepLines/>
      <w:spacing w:line="240" w:lineRule="auto"/>
    </w:pPr>
    <w:rPr>
      <w:rFonts w:ascii="黑体" w:hAnsi="Calibri" w:eastAsia="黑体"/>
      <w:lang w:val="en-US" w:eastAsia="zh-CN"/>
    </w:rPr>
  </w:style>
  <w:style w:type="paragraph" w:customStyle="1" w:styleId="3095">
    <w:name w:val="font21"/>
    <w:basedOn w:val="1"/>
    <w:qFormat/>
    <w:uiPriority w:val="0"/>
    <w:pPr>
      <w:widowControl/>
      <w:spacing w:before="100" w:beforeAutospacing="1" w:after="100" w:afterAutospacing="1" w:line="240" w:lineRule="auto"/>
      <w:ind w:firstLine="0" w:firstLineChars="0"/>
      <w:jc w:val="left"/>
    </w:pPr>
    <w:rPr>
      <w:rFonts w:ascii="Times New Roman" w:eastAsia="宋体"/>
      <w:kern w:val="0"/>
      <w:sz w:val="16"/>
      <w:szCs w:val="16"/>
    </w:rPr>
  </w:style>
  <w:style w:type="paragraph" w:customStyle="1" w:styleId="3096">
    <w:name w:val="标题样式2（多级）2"/>
    <w:basedOn w:val="1"/>
    <w:qFormat/>
    <w:uiPriority w:val="0"/>
    <w:pPr>
      <w:spacing w:line="360" w:lineRule="auto"/>
      <w:ind w:firstLine="560"/>
    </w:pPr>
    <w:rPr>
      <w:kern w:val="0"/>
      <w:sz w:val="24"/>
      <w:szCs w:val="20"/>
      <w:u w:val="none" w:color="000000"/>
    </w:rPr>
  </w:style>
  <w:style w:type="paragraph" w:customStyle="1" w:styleId="3097">
    <w:name w:val="xl40"/>
    <w:basedOn w:val="1"/>
    <w:qFormat/>
    <w:uiPriority w:val="0"/>
    <w:pPr>
      <w:widowControl/>
      <w:numPr>
        <w:ilvl w:val="0"/>
        <w:numId w:val="22"/>
      </w:numPr>
      <w:pBdr>
        <w:left w:val="single" w:color="auto" w:sz="4" w:space="0"/>
        <w:bottom w:val="single" w:color="auto" w:sz="4" w:space="0"/>
        <w:right w:val="single" w:color="auto" w:sz="4" w:space="0"/>
      </w:pBdr>
      <w:tabs>
        <w:tab w:val="clear" w:pos="780"/>
      </w:tabs>
      <w:spacing w:before="100" w:beforeAutospacing="1" w:after="100" w:afterAutospacing="1" w:line="240" w:lineRule="auto"/>
      <w:ind w:left="0" w:leftChars="0" w:firstLine="0" w:firstLineChars="0"/>
      <w:jc w:val="center"/>
      <w:textAlignment w:val="center"/>
    </w:pPr>
    <w:rPr>
      <w:rFonts w:ascii="Times New Roman" w:eastAsia="宋体"/>
      <w:kern w:val="0"/>
      <w:sz w:val="16"/>
      <w:szCs w:val="16"/>
    </w:rPr>
  </w:style>
  <w:style w:type="paragraph" w:customStyle="1" w:styleId="3098">
    <w:name w:val="样式 5级 + 首行缩进:  2 字符"/>
    <w:basedOn w:val="1"/>
    <w:qFormat/>
    <w:uiPriority w:val="0"/>
    <w:pPr>
      <w:adjustRightInd w:val="0"/>
      <w:snapToGrid w:val="0"/>
      <w:spacing w:line="353" w:lineRule="auto"/>
      <w:ind w:firstLine="560"/>
      <w:outlineLvl w:val="4"/>
    </w:pPr>
    <w:rPr>
      <w:rFonts w:ascii="宋体" w:hAnsi="宋体" w:cs="宋体"/>
    </w:rPr>
  </w:style>
  <w:style w:type="paragraph" w:customStyle="1" w:styleId="3099">
    <w:name w:val="表4小"/>
    <w:basedOn w:val="1"/>
    <w:qFormat/>
    <w:uiPriority w:val="0"/>
    <w:pPr>
      <w:tabs>
        <w:tab w:val="left" w:pos="3098"/>
      </w:tabs>
      <w:spacing w:line="0" w:lineRule="atLeast"/>
      <w:ind w:firstLine="560"/>
    </w:pPr>
    <w:rPr>
      <w:kern w:val="0"/>
      <w:sz w:val="24"/>
      <w:szCs w:val="20"/>
      <w:u w:val="none" w:color="000000"/>
    </w:rPr>
  </w:style>
  <w:style w:type="paragraph" w:customStyle="1" w:styleId="3100">
    <w:name w:val="样式 标题 1 + 段前: 0.5 行 段后: 0.5 行1"/>
    <w:basedOn w:val="4"/>
    <w:qFormat/>
    <w:uiPriority w:val="0"/>
    <w:pPr>
      <w:keepNext/>
      <w:keepLines/>
      <w:spacing w:beforeLines="50" w:after="120" w:afterLines="50" w:line="440" w:lineRule="exact"/>
      <w:jc w:val="center"/>
    </w:pPr>
    <w:rPr>
      <w:rFonts w:ascii="Times New Roman" w:hAnsi="Times New Roman" w:eastAsia="华文中宋"/>
      <w:b/>
      <w:sz w:val="32"/>
      <w:szCs w:val="32"/>
    </w:rPr>
  </w:style>
  <w:style w:type="paragraph" w:customStyle="1" w:styleId="3101">
    <w:name w:val="样式 标题 2 + 字距调整二号"/>
    <w:basedOn w:val="5"/>
    <w:qFormat/>
    <w:uiPriority w:val="0"/>
    <w:pPr>
      <w:keepNext/>
      <w:keepLines/>
      <w:tabs>
        <w:tab w:val="left" w:pos="567"/>
      </w:tabs>
      <w:spacing w:before="0" w:beforeLines="600" w:after="0" w:afterLines="600" w:line="360" w:lineRule="auto"/>
      <w:ind w:left="567" w:hanging="567"/>
    </w:pPr>
    <w:rPr>
      <w:rFonts w:ascii="黑体" w:hAnsi="黑体"/>
      <w:color w:val="000000"/>
      <w:sz w:val="28"/>
    </w:rPr>
  </w:style>
  <w:style w:type="paragraph" w:customStyle="1" w:styleId="3102">
    <w:name w:val="Char Char Char Char Char Char Char Char Char Char Char1 Char Char Char Char"/>
    <w:basedOn w:val="1"/>
    <w:next w:val="3"/>
    <w:qFormat/>
    <w:uiPriority w:val="0"/>
    <w:pPr>
      <w:spacing w:line="240" w:lineRule="auto"/>
      <w:ind w:firstLine="0" w:firstLineChars="0"/>
    </w:pPr>
    <w:rPr>
      <w:rFonts w:ascii="Times New Roman" w:eastAsia="宋体"/>
    </w:rPr>
  </w:style>
  <w:style w:type="paragraph" w:customStyle="1" w:styleId="3103">
    <w:name w:val="a6"/>
    <w:basedOn w:val="1"/>
    <w:qFormat/>
    <w:uiPriority w:val="0"/>
    <w:pPr>
      <w:widowControl/>
      <w:spacing w:after="60" w:line="240" w:lineRule="auto"/>
      <w:ind w:firstLine="0" w:firstLineChars="0"/>
      <w:jc w:val="right"/>
    </w:pPr>
    <w:rPr>
      <w:rFonts w:ascii="Times New Roman" w:eastAsia="宋体"/>
      <w:kern w:val="0"/>
      <w:sz w:val="21"/>
      <w:szCs w:val="21"/>
    </w:rPr>
  </w:style>
  <w:style w:type="paragraph" w:customStyle="1" w:styleId="3104">
    <w:name w:val="xl2569"/>
    <w:basedOn w:val="1"/>
    <w:qFormat/>
    <w:uiPriority w:val="0"/>
    <w:pPr>
      <w:widowControl/>
      <w:pBdr>
        <w:top w:val="single" w:color="auto" w:sz="4" w:space="0"/>
        <w:bottom w:val="single" w:color="auto" w:sz="4" w:space="0"/>
      </w:pBdr>
      <w:spacing w:before="100" w:beforeAutospacing="1" w:after="100" w:afterAutospacing="1" w:line="240" w:lineRule="auto"/>
      <w:ind w:firstLine="0" w:firstLineChars="0"/>
      <w:jc w:val="center"/>
    </w:pPr>
    <w:rPr>
      <w:rFonts w:ascii="楷体_GB2312" w:hAnsi="宋体" w:eastAsia="楷体_GB2312" w:cs="宋体"/>
      <w:kern w:val="0"/>
      <w:sz w:val="20"/>
      <w:szCs w:val="20"/>
    </w:rPr>
  </w:style>
  <w:style w:type="paragraph" w:customStyle="1" w:styleId="3105">
    <w:name w:val="样式 样式 表格五号 首行缩进:  2 字符 + 小五1 + 五号"/>
    <w:basedOn w:val="663"/>
    <w:qFormat/>
    <w:uiPriority w:val="0"/>
    <w:rPr>
      <w:sz w:val="21"/>
    </w:rPr>
  </w:style>
  <w:style w:type="paragraph" w:customStyle="1" w:styleId="3106">
    <w:name w:val="标题 01"/>
    <w:basedOn w:val="1461"/>
    <w:qFormat/>
    <w:uiPriority w:val="0"/>
    <w:pPr>
      <w:outlineLvl w:val="0"/>
    </w:pPr>
  </w:style>
  <w:style w:type="paragraph" w:customStyle="1" w:styleId="3107">
    <w:name w:val="项目编号"/>
    <w:basedOn w:val="1"/>
    <w:next w:val="1"/>
    <w:semiHidden/>
    <w:qFormat/>
    <w:uiPriority w:val="0"/>
    <w:pPr>
      <w:tabs>
        <w:tab w:val="left" w:pos="720"/>
      </w:tabs>
      <w:adjustRightInd w:val="0"/>
      <w:snapToGrid w:val="0"/>
      <w:spacing w:before="100" w:beforeAutospacing="1" w:line="360" w:lineRule="auto"/>
      <w:ind w:firstLine="0" w:firstLineChars="0"/>
      <w:jc w:val="left"/>
    </w:pPr>
    <w:rPr>
      <w:rFonts w:ascii="Times New Roman" w:eastAsia="宋体"/>
      <w:b/>
      <w:bCs/>
      <w:color w:val="000000"/>
      <w:sz w:val="24"/>
      <w:szCs w:val="24"/>
    </w:rPr>
  </w:style>
  <w:style w:type="paragraph" w:customStyle="1" w:styleId="3108">
    <w:name w:val="表芯"/>
    <w:basedOn w:val="1"/>
    <w:next w:val="1"/>
    <w:qFormat/>
    <w:uiPriority w:val="0"/>
    <w:pPr>
      <w:keepNext/>
      <w:adjustRightInd w:val="0"/>
      <w:spacing w:before="20" w:line="0" w:lineRule="atLeast"/>
      <w:ind w:firstLine="0" w:firstLineChars="0"/>
      <w:jc w:val="center"/>
      <w:textAlignment w:val="baseline"/>
    </w:pPr>
    <w:rPr>
      <w:rFonts w:ascii="Times New Roman" w:eastAsia="宋体"/>
      <w:kern w:val="21"/>
      <w:sz w:val="21"/>
      <w:szCs w:val="20"/>
    </w:rPr>
  </w:style>
  <w:style w:type="paragraph" w:customStyle="1" w:styleId="3109">
    <w:name w:val="样式 标题1 + 行距: 1.5 倍行距"/>
    <w:basedOn w:val="2083"/>
    <w:next w:val="4"/>
    <w:qFormat/>
    <w:uiPriority w:val="0"/>
    <w:pPr>
      <w:keepLines w:val="0"/>
      <w:pageBreakBefore w:val="0"/>
      <w:tabs>
        <w:tab w:val="clear" w:pos="720"/>
      </w:tabs>
      <w:overflowPunct w:val="0"/>
      <w:topLinePunct/>
      <w:spacing w:before="0" w:line="360" w:lineRule="auto"/>
      <w:jc w:val="center"/>
    </w:pPr>
    <w:rPr>
      <w:rFonts w:ascii="宋体" w:hAnsi="宋体" w:eastAsia="华文中宋"/>
      <w:b/>
      <w:color w:val="000000"/>
      <w:kern w:val="2"/>
      <w:sz w:val="32"/>
      <w:szCs w:val="20"/>
    </w:rPr>
  </w:style>
  <w:style w:type="paragraph" w:customStyle="1" w:styleId="3110">
    <w:name w:val="样式 标1 + 首行缩进:  0.99 厘米 段前: 1 行 段后: 12 磅 行距: 固定值 28 磅"/>
    <w:basedOn w:val="1082"/>
    <w:qFormat/>
    <w:uiPriority w:val="0"/>
    <w:pPr>
      <w:spacing w:beforeLines="0" w:line="560" w:lineRule="exact"/>
    </w:pPr>
    <w:rPr>
      <w:rFonts w:ascii="Arial" w:hAnsi="Arial" w:cs="宋体"/>
      <w:bCs w:val="0"/>
      <w:szCs w:val="20"/>
    </w:rPr>
  </w:style>
  <w:style w:type="paragraph" w:customStyle="1" w:styleId="3111">
    <w:name w:val="zhenwen Char"/>
    <w:basedOn w:val="1"/>
    <w:semiHidden/>
    <w:qFormat/>
    <w:uiPriority w:val="0"/>
    <w:pPr>
      <w:adjustRightInd w:val="0"/>
      <w:snapToGrid w:val="0"/>
      <w:spacing w:line="360" w:lineRule="auto"/>
      <w:ind w:firstLine="480"/>
    </w:pPr>
    <w:rPr>
      <w:sz w:val="24"/>
    </w:rPr>
  </w:style>
  <w:style w:type="paragraph" w:customStyle="1" w:styleId="3112">
    <w:name w:val="1 Char Char Char Char"/>
    <w:basedOn w:val="1"/>
    <w:semiHidden/>
    <w:qFormat/>
    <w:uiPriority w:val="0"/>
    <w:pPr>
      <w:widowControl/>
      <w:spacing w:after="160" w:line="240" w:lineRule="exact"/>
      <w:ind w:firstLine="0" w:firstLineChars="0"/>
      <w:jc w:val="left"/>
    </w:pPr>
    <w:rPr>
      <w:rFonts w:ascii="Verdana" w:hAnsi="Verdana"/>
      <w:kern w:val="0"/>
      <w:sz w:val="24"/>
      <w:szCs w:val="20"/>
      <w:lang w:eastAsia="en-US"/>
    </w:rPr>
  </w:style>
  <w:style w:type="paragraph" w:customStyle="1" w:styleId="3113">
    <w:name w:val="样式 表格 + 首行缩进:  0.99 厘米"/>
    <w:basedOn w:val="1"/>
    <w:qFormat/>
    <w:uiPriority w:val="0"/>
    <w:pPr>
      <w:adjustRightInd w:val="0"/>
      <w:spacing w:line="0" w:lineRule="atLeast"/>
      <w:ind w:firstLine="0" w:firstLineChars="0"/>
      <w:jc w:val="center"/>
      <w:textAlignment w:val="baseline"/>
    </w:pPr>
    <w:rPr>
      <w:rFonts w:ascii="楷体_GB2312" w:eastAsia="楷体_GB2312" w:cs="宋体"/>
      <w:kern w:val="0"/>
      <w:sz w:val="21"/>
      <w:szCs w:val="20"/>
    </w:rPr>
  </w:style>
  <w:style w:type="paragraph" w:customStyle="1" w:styleId="3114">
    <w:name w:val="样式 样式7 + (中文) 黑体"/>
    <w:basedOn w:val="1"/>
    <w:qFormat/>
    <w:uiPriority w:val="0"/>
    <w:pPr>
      <w:spacing w:line="240" w:lineRule="auto"/>
      <w:ind w:firstLine="429"/>
    </w:pPr>
    <w:rPr>
      <w:rFonts w:ascii="Times New Roman" w:eastAsia="华文中宋"/>
      <w:sz w:val="21"/>
      <w:szCs w:val="21"/>
    </w:rPr>
  </w:style>
  <w:style w:type="paragraph" w:customStyle="1" w:styleId="3115">
    <w:name w:val="标  题  1"/>
    <w:basedOn w:val="4"/>
    <w:qFormat/>
    <w:uiPriority w:val="0"/>
    <w:pPr>
      <w:keepNext/>
      <w:keepLines/>
      <w:tabs>
        <w:tab w:val="left" w:pos="8080"/>
      </w:tabs>
      <w:adjustRightInd w:val="0"/>
      <w:spacing w:before="240" w:after="240"/>
      <w:jc w:val="both"/>
      <w:textAlignment w:val="baseline"/>
    </w:pPr>
    <w:rPr>
      <w:rFonts w:ascii="Arial" w:hAnsi="Arial"/>
      <w:bCs w:val="0"/>
      <w:color w:val="000000"/>
      <w:kern w:val="0"/>
      <w:lang w:val="en-US" w:eastAsia="zh-CN"/>
    </w:rPr>
  </w:style>
  <w:style w:type="paragraph" w:customStyle="1" w:styleId="3116">
    <w:name w:val="目录标题"/>
    <w:basedOn w:val="1"/>
    <w:next w:val="2393"/>
    <w:qFormat/>
    <w:uiPriority w:val="0"/>
    <w:pPr>
      <w:spacing w:line="360" w:lineRule="auto"/>
      <w:ind w:firstLine="560" w:firstLineChars="0"/>
      <w:jc w:val="center"/>
    </w:pPr>
    <w:rPr>
      <w:rFonts w:ascii="Times New Roman" w:eastAsia="黑体"/>
      <w:szCs w:val="24"/>
    </w:rPr>
  </w:style>
  <w:style w:type="table" w:customStyle="1" w:styleId="3117">
    <w:name w:val="网格型325"/>
    <w:basedOn w:val="88"/>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18">
    <w:name w:val="网格型25"/>
    <w:basedOn w:val="88"/>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19">
    <w:name w:val="精巧型 121"/>
    <w:basedOn w:val="88"/>
    <w:qFormat/>
    <w:uiPriority w:val="0"/>
    <w:pPr>
      <w:widowControl w:val="0"/>
      <w:spacing w:line="560" w:lineRule="exact"/>
      <w:ind w:firstLine="200" w:firstLineChars="200"/>
      <w:jc w:val="both"/>
    </w:pPr>
    <w:rPr>
      <w:rFonts w:ascii="Calibri" w:hAnsi="Calibri"/>
    </w:rPr>
    <w:tblStylePr w:type="firstRow">
      <w:tcPr>
        <w:tcBorders>
          <w:top w:val="single" w:color="000000" w:sz="6" w:space="0"/>
          <w:left w:val="single" w:color="000000" w:sz="12" w:space="0"/>
          <w:bottom w:val="nil"/>
          <w:right w:val="nil"/>
          <w:insideH w:val="nil"/>
          <w:insideV w:val="nil"/>
          <w:tl2br w:val="nil"/>
          <w:tr2bl w:val="nil"/>
        </w:tcBorders>
      </w:tcPr>
    </w:tblStylePr>
    <w:tblStylePr w:type="lastRow">
      <w:tcPr>
        <w:tcBorders>
          <w:top w:val="single" w:color="000000" w:sz="12" w:space="0"/>
          <w:left w:val="nil"/>
          <w:bottom w:val="nil"/>
          <w:right w:val="nil"/>
          <w:insideH w:val="nil"/>
          <w:insideV w:val="nil"/>
          <w:tl2br w:val="nil"/>
          <w:tr2bl w:val="nil"/>
        </w:tcBorders>
        <w:shd w:val="pct25" w:color="800080" w:fill="FFFFFF"/>
      </w:tcPr>
    </w:tblStylePr>
    <w:tblStylePr w:type="firstCol">
      <w:tcPr>
        <w:tcBorders>
          <w:top w:val="nil"/>
          <w:left w:val="nil"/>
          <w:bottom w:val="nil"/>
          <w:right w:val="single" w:color="000000" w:sz="12" w:space="0"/>
          <w:insideH w:val="nil"/>
          <w:insideV w:val="nil"/>
          <w:tl2br w:val="nil"/>
          <w:tr2bl w:val="nil"/>
        </w:tcBorders>
      </w:tcPr>
    </w:tblStylePr>
    <w:tblStylePr w:type="lastCol">
      <w:tcPr>
        <w:tcBorders>
          <w:top w:val="nil"/>
          <w:left w:val="nil"/>
          <w:bottom w:val="single" w:color="000000" w:sz="12" w:space="0"/>
          <w:right w:val="nil"/>
          <w:insideH w:val="nil"/>
          <w:insideV w:val="nil"/>
          <w:tl2br w:val="nil"/>
          <w:tr2bl w:val="nil"/>
        </w:tcBorders>
      </w:tcPr>
    </w:tblStylePr>
    <w:tblStylePr w:type="band1Horz">
      <w:tcPr>
        <w:tcBorders>
          <w:top w:val="nil"/>
          <w:left w:val="single" w:color="000000" w:sz="6" w:space="0"/>
          <w:bottom w:val="nil"/>
          <w:right w:val="nil"/>
          <w:insideH w:val="nil"/>
          <w:insideV w:val="nil"/>
          <w:tl2br w:val="nil"/>
          <w:tr2bl w:val="nil"/>
        </w:tcBorders>
        <w:shd w:val="pct25" w:color="808000" w:fill="FFFFFF"/>
      </w:tcPr>
    </w:tblStylePr>
    <w:tblStylePr w:type="neCell">
      <w:rPr>
        <w:b/>
        <w:bCs/>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120">
    <w:name w:val="网格型3111113"/>
    <w:basedOn w:val="88"/>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21">
    <w:name w:val="网格型 111"/>
    <w:basedOn w:val="88"/>
    <w:qFormat/>
    <w:uiPriority w:val="0"/>
    <w:pPr>
      <w:widowControl w:val="0"/>
      <w:jc w:val="both"/>
    </w:pPr>
    <w:rPr>
      <w:rFonts w:ascii="Calibri" w:hAnsi="Calibri"/>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122">
    <w:name w:val="网格型32"/>
    <w:basedOn w:val="88"/>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23">
    <w:name w:val="网格型1112"/>
    <w:basedOn w:val="88"/>
    <w:qFormat/>
    <w:uiPriority w:val="59"/>
    <w:rPr>
      <w:rFonts w:ascii="Calibri" w:hAnsi="Calibri"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24">
    <w:name w:val="网格型114"/>
    <w:basedOn w:val="88"/>
    <w:qFormat/>
    <w:uiPriority w:val="59"/>
    <w:pPr>
      <w:widowControl w:val="0"/>
      <w:jc w:val="both"/>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25">
    <w:name w:val="彩色型 311"/>
    <w:basedOn w:val="88"/>
    <w:semiHidden/>
    <w:qFormat/>
    <w:uiPriority w:val="0"/>
    <w:pPr>
      <w:widowControl w:val="0"/>
      <w:jc w:val="both"/>
    </w:pPr>
    <w:rPr>
      <w:rFonts w:ascii="Calibri" w:hAnsi="Calibri"/>
    </w:rPr>
    <w:tblPr>
      <w:tblBorders>
        <w:top w:val="single" w:color="000000" w:sz="18" w:space="0"/>
        <w:left w:val="single" w:color="000000" w:sz="18" w:space="0"/>
        <w:bottom w:val="single" w:color="000000" w:sz="18" w:space="0"/>
        <w:right w:val="single" w:color="000000" w:sz="18" w:space="0"/>
        <w:insideH w:val="single" w:color="C0C0C0" w:sz="6" w:space="0"/>
      </w:tblBorders>
    </w:tblPr>
    <w:tcPr>
      <w:shd w:val="pct25" w:color="008080" w:fill="FFFFFF"/>
    </w:tcPr>
    <w:tblStylePr w:type="firstRow">
      <w:tcPr>
        <w:tcBorders>
          <w:top w:val="nil"/>
          <w:left w:val="single" w:color="000000" w:sz="6" w:space="0"/>
          <w:bottom w:val="nil"/>
          <w:right w:val="nil"/>
          <w:insideH w:val="nil"/>
          <w:insideV w:val="nil"/>
          <w:tl2br w:val="nil"/>
          <w:tr2bl w:val="nil"/>
        </w:tcBorders>
        <w:shd w:val="solid" w:color="008080" w:fill="FFFFFF"/>
      </w:tcPr>
    </w:tblStylePr>
    <w:tblStylePr w:type="firstCol">
      <w:tcPr>
        <w:tcBorders>
          <w:top w:val="nil"/>
          <w:left w:val="nil"/>
          <w:bottom w:val="single" w:color="000000" w:sz="36" w:space="0"/>
          <w:right w:val="single" w:color="000000" w:sz="6" w:space="0"/>
          <w:insideH w:val="nil"/>
          <w:insideV w:val="nil"/>
          <w:tl2br w:val="nil"/>
          <w:tr2bl w:val="nil"/>
        </w:tcBorders>
        <w:shd w:val="solid" w:color="008080" w:fill="FFFFFF"/>
      </w:tcPr>
    </w:tblStylePr>
    <w:tblStylePr w:type="nwCell">
      <w:rPr>
        <w:b/>
        <w:bCs/>
        <w:color w:val="FFFFFF"/>
      </w:rPr>
      <w:tcPr>
        <w:tcBorders>
          <w:top w:val="nil"/>
          <w:left w:val="nil"/>
          <w:bottom w:val="nil"/>
          <w:right w:val="nil"/>
          <w:insideH w:val="nil"/>
          <w:insideV w:val="nil"/>
          <w:tl2br w:val="nil"/>
          <w:tr2bl w:val="nil"/>
        </w:tcBorders>
        <w:shd w:val="solid" w:color="000000" w:fill="FFFFFF"/>
      </w:tcPr>
    </w:tblStylePr>
  </w:style>
  <w:style w:type="table" w:customStyle="1" w:styleId="3126">
    <w:name w:val="网格型 83"/>
    <w:basedOn w:val="88"/>
    <w:qFormat/>
    <w:uiPriority w:val="0"/>
    <w:pPr>
      <w:widowControl w:val="0"/>
      <w:spacing w:line="560" w:lineRule="exact"/>
      <w:ind w:firstLine="200" w:firstLineChars="200"/>
      <w:jc w:val="both"/>
    </w:pPr>
    <w:rPr>
      <w:rFonts w:ascii="Calibri" w:hAnsi="Calibri"/>
    </w:r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color w:val="FFFFFF"/>
      </w:rPr>
      <w:tcPr>
        <w:tcBorders>
          <w:top w:val="nil"/>
          <w:left w:val="nil"/>
          <w:bottom w:val="nil"/>
          <w:right w:val="nil"/>
          <w:insideH w:val="nil"/>
          <w:insideV w:val="nil"/>
          <w:tl2br w:val="nil"/>
          <w:tr2bl w:val="nil"/>
        </w:tcBorders>
        <w:shd w:val="solid" w:color="000080" w:fill="FFFFFF"/>
      </w:tcPr>
    </w:tblStylePr>
    <w:tblStylePr w:type="lastRow">
      <w:rPr>
        <w:b/>
        <w:bCs/>
        <w:color w:val="auto"/>
      </w:rPr>
      <w:tcPr>
        <w:tcBorders>
          <w:top w:val="nil"/>
          <w:left w:val="nil"/>
          <w:bottom w:val="nil"/>
          <w:right w:val="nil"/>
          <w:insideH w:val="nil"/>
          <w:insideV w:val="nil"/>
          <w:tl2br w:val="nil"/>
          <w:tr2bl w:val="nil"/>
        </w:tcBorders>
      </w:tcPr>
    </w:tblStylePr>
    <w:tblStylePr w:type="lastCol">
      <w:rPr>
        <w:b/>
        <w:bCs/>
        <w:color w:val="auto"/>
      </w:rPr>
      <w:tcPr>
        <w:tcBorders>
          <w:top w:val="nil"/>
          <w:left w:val="nil"/>
          <w:bottom w:val="nil"/>
          <w:right w:val="nil"/>
          <w:insideH w:val="nil"/>
          <w:insideV w:val="nil"/>
          <w:tl2br w:val="nil"/>
          <w:tr2bl w:val="nil"/>
        </w:tcBorders>
      </w:tcPr>
    </w:tblStylePr>
  </w:style>
  <w:style w:type="table" w:customStyle="1" w:styleId="3127">
    <w:name w:val="网格型 53"/>
    <w:basedOn w:val="88"/>
    <w:qFormat/>
    <w:uiPriority w:val="0"/>
    <w:pPr>
      <w:widowControl w:val="0"/>
      <w:spacing w:line="560" w:lineRule="exact"/>
      <w:ind w:firstLine="200" w:firstLineChars="200"/>
      <w:jc w:val="both"/>
    </w:pPr>
    <w:rPr>
      <w:rFonts w:ascii="Calibri" w:hAnsi="Calibri"/>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top w:val="nil"/>
          <w:left w:val="single" w:color="000000" w:sz="12" w:space="0"/>
          <w:bottom w:val="nil"/>
          <w:right w:val="nil"/>
          <w:insideH w:val="nil"/>
          <w:insideV w:val="nil"/>
          <w:tl2br w:val="nil"/>
          <w:tr2bl w:val="nil"/>
        </w:tcBorders>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128">
    <w:name w:val="网格型 813"/>
    <w:basedOn w:val="88"/>
    <w:semiHidden/>
    <w:qFormat/>
    <w:uiPriority w:val="0"/>
    <w:pPr>
      <w:widowControl w:val="0"/>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color w:val="FFFFFF"/>
      </w:rPr>
      <w:tcPr>
        <w:tcBorders>
          <w:top w:val="nil"/>
          <w:left w:val="nil"/>
          <w:bottom w:val="nil"/>
          <w:right w:val="nil"/>
          <w:insideH w:val="nil"/>
          <w:insideV w:val="nil"/>
          <w:tl2br w:val="nil"/>
          <w:tr2bl w:val="nil"/>
        </w:tcBorders>
        <w:shd w:val="solid" w:color="000080" w:fill="FFFFFF"/>
      </w:tcPr>
    </w:tblStylePr>
    <w:tblStylePr w:type="lastRow">
      <w:rPr>
        <w:b/>
        <w:bCs/>
        <w:color w:val="auto"/>
      </w:rPr>
      <w:tcPr>
        <w:tcBorders>
          <w:top w:val="nil"/>
          <w:left w:val="nil"/>
          <w:bottom w:val="nil"/>
          <w:right w:val="nil"/>
          <w:insideH w:val="nil"/>
          <w:insideV w:val="nil"/>
          <w:tl2br w:val="nil"/>
          <w:tr2bl w:val="nil"/>
        </w:tcBorders>
      </w:tcPr>
    </w:tblStylePr>
    <w:tblStylePr w:type="lastCol">
      <w:rPr>
        <w:b/>
        <w:bCs/>
        <w:color w:val="auto"/>
      </w:rPr>
      <w:tcPr>
        <w:tcBorders>
          <w:top w:val="nil"/>
          <w:left w:val="nil"/>
          <w:bottom w:val="nil"/>
          <w:right w:val="nil"/>
          <w:insideH w:val="nil"/>
          <w:insideV w:val="nil"/>
          <w:tl2br w:val="nil"/>
          <w:tr2bl w:val="nil"/>
        </w:tcBorders>
      </w:tcPr>
    </w:tblStylePr>
  </w:style>
  <w:style w:type="table" w:customStyle="1" w:styleId="3129">
    <w:name w:val="列表型 43"/>
    <w:basedOn w:val="88"/>
    <w:qFormat/>
    <w:uiPriority w:val="0"/>
    <w:pPr>
      <w:widowControl w:val="0"/>
      <w:spacing w:line="560" w:lineRule="exact"/>
      <w:ind w:firstLine="200" w:firstLineChars="200"/>
      <w:jc w:val="both"/>
    </w:pPr>
    <w:rPr>
      <w:rFonts w:ascii="Calibri" w:hAnsi="Calibri"/>
    </w:rPr>
    <w:tblPr>
      <w:tblBorders>
        <w:top w:val="single" w:color="000000" w:sz="12" w:space="0"/>
        <w:left w:val="single" w:color="000000" w:sz="12" w:space="0"/>
        <w:bottom w:val="single" w:color="000000" w:sz="12" w:space="0"/>
        <w:right w:val="single" w:color="000000" w:sz="12" w:space="0"/>
        <w:insideH w:val="single" w:color="000000" w:sz="6" w:space="0"/>
      </w:tblBorders>
    </w:tblPr>
    <w:tcPr>
      <w:shd w:val="clear" w:color="auto" w:fill="auto"/>
    </w:tcPr>
    <w:tblStylePr w:type="firstRow">
      <w:rPr>
        <w:b/>
        <w:bCs/>
        <w:color w:val="FFFFFF"/>
      </w:rPr>
      <w:tcPr>
        <w:tcBorders>
          <w:top w:val="nil"/>
          <w:left w:val="single" w:color="000000" w:sz="12" w:space="0"/>
          <w:bottom w:val="nil"/>
          <w:right w:val="nil"/>
          <w:insideH w:val="nil"/>
          <w:insideV w:val="nil"/>
          <w:tl2br w:val="nil"/>
          <w:tr2bl w:val="nil"/>
        </w:tcBorders>
        <w:shd w:val="solid" w:color="808080" w:fill="FFFFFF"/>
      </w:tcPr>
    </w:tblStylePr>
  </w:style>
  <w:style w:type="table" w:customStyle="1" w:styleId="3130">
    <w:name w:val="简明型 31"/>
    <w:basedOn w:val="88"/>
    <w:semiHidden/>
    <w:qFormat/>
    <w:uiPriority w:val="0"/>
    <w:pPr>
      <w:widowControl w:val="0"/>
      <w:jc w:val="both"/>
    </w:pPr>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color w:val="FFFFFF"/>
      </w:rPr>
      <w:tcPr>
        <w:tcBorders>
          <w:top w:val="nil"/>
          <w:left w:val="nil"/>
          <w:bottom w:val="nil"/>
          <w:right w:val="nil"/>
          <w:insideH w:val="nil"/>
          <w:insideV w:val="nil"/>
          <w:tl2br w:val="nil"/>
          <w:tr2bl w:val="nil"/>
        </w:tcBorders>
        <w:shd w:val="solid" w:color="000000" w:fill="FFFFFF"/>
      </w:tcPr>
    </w:tblStylePr>
  </w:style>
  <w:style w:type="table" w:customStyle="1" w:styleId="3131">
    <w:name w:val="竖列型 421"/>
    <w:basedOn w:val="88"/>
    <w:qFormat/>
    <w:uiPriority w:val="0"/>
    <w:pPr>
      <w:widowControl w:val="0"/>
      <w:spacing w:line="560" w:lineRule="exact"/>
      <w:ind w:firstLine="200" w:firstLineChars="200"/>
      <w:jc w:val="both"/>
    </w:pPr>
    <w:rPr>
      <w:rFonts w:ascii="Calibri" w:hAnsi="Calibri"/>
    </w:rPr>
    <w:tblStylePr w:type="firstRow">
      <w:rPr>
        <w:color w:val="FFFFFF"/>
      </w:rPr>
      <w:tcPr>
        <w:tcBorders>
          <w:top w:val="nil"/>
          <w:left w:val="nil"/>
          <w:bottom w:val="nil"/>
          <w:right w:val="nil"/>
          <w:insideH w:val="nil"/>
          <w:insideV w:val="nil"/>
          <w:tl2br w:val="nil"/>
          <w:tr2bl w:val="nil"/>
        </w:tcBorders>
        <w:shd w:val="solid" w:color="000000" w:fill="FFFFFF"/>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Vert">
      <w:rPr>
        <w:color w:val="auto"/>
      </w:rPr>
      <w:tcPr>
        <w:shd w:val="pct50" w:color="008080" w:fill="FFFFFF"/>
      </w:tcPr>
    </w:tblStylePr>
    <w:tblStylePr w:type="band2Vert">
      <w:rPr>
        <w:color w:val="auto"/>
      </w:rPr>
      <w:tcPr>
        <w:shd w:val="pct10" w:color="000000" w:fill="FFFFFF"/>
      </w:tcPr>
    </w:tblStylePr>
  </w:style>
  <w:style w:type="table" w:customStyle="1" w:styleId="3132">
    <w:name w:val="表格网格型32"/>
    <w:basedOn w:val="88"/>
    <w:qFormat/>
    <w:uiPriority w:val="0"/>
    <w:pPr>
      <w:widowControl w:val="0"/>
      <w:ind w:firstLine="560" w:firstLineChars="200"/>
      <w:jc w:val="both"/>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33">
    <w:name w:val="网格型 52"/>
    <w:basedOn w:val="88"/>
    <w:qFormat/>
    <w:uiPriority w:val="0"/>
    <w:pPr>
      <w:widowControl w:val="0"/>
      <w:spacing w:line="560" w:lineRule="exact"/>
      <w:ind w:firstLine="200" w:firstLineChars="200"/>
      <w:jc w:val="both"/>
    </w:pPr>
    <w:rPr>
      <w:rFonts w:ascii="Calibri" w:hAnsi="Calibri"/>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top w:val="nil"/>
          <w:left w:val="single" w:color="000000" w:sz="12" w:space="0"/>
          <w:bottom w:val="nil"/>
          <w:right w:val="nil"/>
          <w:insideH w:val="nil"/>
          <w:insideV w:val="nil"/>
          <w:tl2br w:val="nil"/>
          <w:tr2bl w:val="nil"/>
        </w:tcBorders>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134">
    <w:name w:val="网格型3132"/>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35">
    <w:name w:val="网格型32112"/>
    <w:basedOn w:val="88"/>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36">
    <w:name w:val="列表型 521"/>
    <w:basedOn w:val="88"/>
    <w:qFormat/>
    <w:uiPriority w:val="0"/>
    <w:pPr>
      <w:widowControl w:val="0"/>
      <w:spacing w:line="560" w:lineRule="exact"/>
      <w:ind w:firstLine="200" w:firstLineChars="200"/>
      <w:jc w:val="both"/>
    </w:pPr>
    <w:rPr>
      <w:rFonts w:ascii="Calibri" w:hAnsi="Calibri"/>
    </w:rPr>
    <w:tblPr>
      <w:tblBorders>
        <w:top w:val="single" w:color="000000" w:sz="6" w:space="0"/>
        <w:left w:val="single" w:color="000000" w:sz="6" w:space="0"/>
        <w:bottom w:val="single" w:color="000000" w:sz="6" w:space="0"/>
        <w:right w:val="single" w:color="000000" w:sz="6" w:space="0"/>
        <w:insideH w:val="single" w:color="000000" w:sz="6" w:space="0"/>
      </w:tblBorders>
    </w:tblPr>
    <w:tcPr>
      <w:shd w:val="clear" w:color="auto" w:fill="auto"/>
    </w:tcPr>
    <w:tblStylePr w:type="firstRow">
      <w:rPr>
        <w:b/>
        <w:bCs/>
      </w:rPr>
      <w:tcPr>
        <w:tcBorders>
          <w:top w:val="nil"/>
          <w:left w:val="single" w:color="000000" w:sz="12" w:space="0"/>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style>
  <w:style w:type="table" w:customStyle="1" w:styleId="3137">
    <w:name w:val="古典型 311"/>
    <w:basedOn w:val="88"/>
    <w:semiHidden/>
    <w:qFormat/>
    <w:uiPriority w:val="0"/>
    <w:pPr>
      <w:widowControl w:val="0"/>
      <w:jc w:val="both"/>
    </w:pPr>
    <w:rPr>
      <w:rFonts w:ascii="Calibri" w:hAnsi="Calibri"/>
      <w:color w:val="000080"/>
    </w:rPr>
    <w:tblPr>
      <w:tblBorders>
        <w:top w:val="single" w:color="000000" w:sz="12" w:space="0"/>
        <w:left w:val="single" w:color="000000" w:sz="12" w:space="0"/>
        <w:bottom w:val="single" w:color="000000" w:sz="12" w:space="0"/>
        <w:right w:val="single" w:color="000000" w:sz="12" w:space="0"/>
      </w:tblBorders>
    </w:tblPr>
    <w:tcPr>
      <w:shd w:val="solid" w:color="C0C0C0" w:fill="FFFFFF"/>
    </w:tcPr>
    <w:tblStylePr w:type="firstRow">
      <w:rPr>
        <w:b/>
        <w:bCs/>
        <w:i/>
        <w:iCs/>
        <w:color w:val="FFFFFF"/>
      </w:rPr>
      <w:tcPr>
        <w:tcBorders>
          <w:top w:val="nil"/>
          <w:left w:val="single" w:color="000000" w:sz="6" w:space="0"/>
          <w:bottom w:val="nil"/>
          <w:right w:val="nil"/>
          <w:insideH w:val="nil"/>
          <w:insideV w:val="nil"/>
          <w:tl2br w:val="nil"/>
          <w:tr2bl w:val="nil"/>
        </w:tcBorders>
        <w:shd w:val="solid" w:color="000080" w:fill="FFFFFF"/>
      </w:tcPr>
    </w:tblStylePr>
    <w:tblStylePr w:type="lastRow">
      <w:rPr>
        <w:color w:val="000080"/>
      </w:rPr>
      <w:tcPr>
        <w:tcBorders>
          <w:top w:val="single" w:color="000000" w:sz="12" w:space="0"/>
          <w:left w:val="nil"/>
          <w:bottom w:val="nil"/>
          <w:right w:val="nil"/>
          <w:insideH w:val="nil"/>
          <w:insideV w:val="nil"/>
          <w:tl2br w:val="nil"/>
          <w:tr2bl w:val="nil"/>
        </w:tcBorders>
        <w:shd w:val="solid" w:color="FFFFFF" w:fill="FFFFFF"/>
      </w:tcPr>
    </w:tblStylePr>
    <w:tblStylePr w:type="firstCol">
      <w:rPr>
        <w:b/>
        <w:bCs/>
        <w:color w:val="000000"/>
      </w:rPr>
      <w:tcPr>
        <w:tcBorders>
          <w:top w:val="nil"/>
          <w:left w:val="nil"/>
          <w:bottom w:val="nil"/>
          <w:right w:val="nil"/>
          <w:insideH w:val="nil"/>
          <w:insideV w:val="nil"/>
          <w:tl2br w:val="nil"/>
          <w:tr2bl w:val="nil"/>
        </w:tcBorders>
      </w:tcPr>
    </w:tblStylePr>
  </w:style>
  <w:style w:type="table" w:customStyle="1" w:styleId="3138">
    <w:name w:val="网格型 712"/>
    <w:basedOn w:val="88"/>
    <w:semiHidden/>
    <w:qFormat/>
    <w:uiPriority w:val="0"/>
    <w:pPr>
      <w:widowControl w:val="0"/>
      <w:jc w:val="both"/>
    </w:pPr>
    <w:rPr>
      <w:rFonts w:ascii="Calibri" w:hAnsi="Calibri"/>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cPr>
        <w:tcBorders>
          <w:top w:val="nil"/>
          <w:left w:val="single" w:color="000000" w:sz="12" w:space="0"/>
          <w:bottom w:val="nil"/>
          <w:right w:val="nil"/>
          <w:insideH w:val="nil"/>
          <w:insideV w:val="nil"/>
          <w:tl2br w:val="nil"/>
          <w:tr2bl w:val="nil"/>
        </w:tcBorders>
      </w:tcPr>
    </w:tblStylePr>
    <w:tblStylePr w:type="lastRow">
      <w:rPr>
        <w:b w:val="0"/>
        <w:bCs w:val="0"/>
      </w:rPr>
      <w:tcPr>
        <w:tcBorders>
          <w:top w:val="single" w:color="000000" w:sz="6" w:space="0"/>
          <w:left w:val="nil"/>
          <w:bottom w:val="nil"/>
          <w:right w:val="nil"/>
          <w:insideH w:val="nil"/>
          <w:insideV w:val="nil"/>
          <w:tl2br w:val="nil"/>
          <w:tr2bl w:val="nil"/>
        </w:tcBorders>
      </w:tcPr>
    </w:tblStylePr>
    <w:tblStylePr w:type="firstCol">
      <w:rPr>
        <w:b w:val="0"/>
        <w:bCs w:val="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139">
    <w:name w:val="列表型 311"/>
    <w:basedOn w:val="88"/>
    <w:semiHidden/>
    <w:qFormat/>
    <w:uiPriority w:val="0"/>
    <w:pPr>
      <w:widowControl w:val="0"/>
      <w:jc w:val="both"/>
    </w:pPr>
    <w:rPr>
      <w:rFonts w:ascii="Calibri" w:hAnsi="Calibri"/>
    </w:rPr>
    <w:tblPr>
      <w:tblBorders>
        <w:top w:val="single" w:color="000000" w:sz="12" w:space="0"/>
        <w:bottom w:val="single" w:color="000000" w:sz="12" w:space="0"/>
        <w:insideH w:val="single" w:color="000000" w:sz="6" w:space="0"/>
      </w:tblBorders>
    </w:tblPr>
    <w:tcPr>
      <w:shd w:val="clear" w:color="auto" w:fill="auto"/>
    </w:tcPr>
    <w:tblStylePr w:type="firstRow">
      <w:rPr>
        <w:b/>
        <w:bCs/>
        <w:color w:val="000080"/>
      </w:rPr>
      <w:tcPr>
        <w:tcBorders>
          <w:top w:val="nil"/>
          <w:left w:val="single" w:color="000000" w:sz="12" w:space="0"/>
          <w:bottom w:val="nil"/>
          <w:right w:val="nil"/>
          <w:insideH w:val="nil"/>
          <w:insideV w:val="nil"/>
          <w:tl2br w:val="nil"/>
          <w:tr2bl w:val="nil"/>
        </w:tcBorders>
      </w:tcPr>
    </w:tblStylePr>
    <w:tblStylePr w:type="lastRow">
      <w:tcPr>
        <w:tcBorders>
          <w:top w:val="single" w:color="000000" w:sz="12" w:space="0"/>
          <w:left w:val="nil"/>
          <w:bottom w:val="nil"/>
          <w:right w:val="nil"/>
          <w:insideH w:val="nil"/>
          <w:insideV w:val="nil"/>
          <w:tl2br w:val="nil"/>
          <w:tr2bl w:val="nil"/>
        </w:tcBorders>
      </w:tcPr>
    </w:tblStylePr>
    <w:tblStylePr w:type="swCell">
      <w:rPr>
        <w:i/>
        <w:iCs/>
        <w:color w:val="000080"/>
      </w:rPr>
      <w:tcPr>
        <w:tcBorders>
          <w:top w:val="nil"/>
          <w:left w:val="nil"/>
          <w:bottom w:val="nil"/>
          <w:right w:val="nil"/>
          <w:insideH w:val="nil"/>
          <w:insideV w:val="nil"/>
          <w:tl2br w:val="nil"/>
          <w:tr2bl w:val="nil"/>
        </w:tcBorders>
      </w:tcPr>
    </w:tblStylePr>
  </w:style>
  <w:style w:type="table" w:customStyle="1" w:styleId="3140">
    <w:name w:val="网格型31"/>
    <w:basedOn w:val="88"/>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41">
    <w:name w:val="精巧型 211"/>
    <w:basedOn w:val="88"/>
    <w:semiHidden/>
    <w:qFormat/>
    <w:uiPriority w:val="0"/>
    <w:pPr>
      <w:widowControl w:val="0"/>
      <w:jc w:val="both"/>
    </w:pPr>
    <w:rPr>
      <w:rFonts w:ascii="Calibri" w:hAnsi="Calibri"/>
    </w:rPr>
    <w:tblPr>
      <w:tblBorders>
        <w:left w:val="single" w:color="000000" w:sz="6" w:space="0"/>
        <w:right w:val="single" w:color="000000" w:sz="6" w:space="0"/>
      </w:tblBorders>
    </w:tblPr>
    <w:tblStylePr w:type="firstRow">
      <w:tcPr>
        <w:tcBorders>
          <w:top w:val="nil"/>
          <w:left w:val="single" w:color="000000" w:sz="12" w:space="0"/>
          <w:bottom w:val="nil"/>
          <w:right w:val="nil"/>
          <w:insideH w:val="nil"/>
          <w:insideV w:val="nil"/>
          <w:tl2br w:val="nil"/>
          <w:tr2bl w:val="nil"/>
        </w:tcBorders>
      </w:tcPr>
    </w:tblStylePr>
    <w:tblStylePr w:type="lastRow">
      <w:tcPr>
        <w:tcBorders>
          <w:top w:val="single" w:color="000000" w:sz="12" w:space="0"/>
          <w:left w:val="nil"/>
          <w:bottom w:val="nil"/>
          <w:right w:val="nil"/>
          <w:insideH w:val="nil"/>
          <w:insideV w:val="nil"/>
          <w:tl2br w:val="nil"/>
          <w:tr2bl w:val="nil"/>
        </w:tcBorders>
      </w:tcPr>
    </w:tblStylePr>
    <w:tblStylePr w:type="firstCol">
      <w:tcPr>
        <w:tcBorders>
          <w:top w:val="nil"/>
          <w:left w:val="nil"/>
          <w:bottom w:val="nil"/>
          <w:right w:val="single" w:color="000000" w:sz="12" w:space="0"/>
          <w:insideH w:val="nil"/>
          <w:insideV w:val="nil"/>
          <w:tl2br w:val="nil"/>
          <w:tr2bl w:val="nil"/>
        </w:tcBorders>
        <w:shd w:val="pct25" w:color="008000" w:fill="FFFFFF"/>
      </w:tcPr>
    </w:tblStylePr>
    <w:tblStylePr w:type="lastCol">
      <w:tcPr>
        <w:tcBorders>
          <w:top w:val="nil"/>
          <w:left w:val="nil"/>
          <w:bottom w:val="single" w:color="000000" w:sz="12" w:space="0"/>
          <w:right w:val="nil"/>
          <w:insideH w:val="nil"/>
          <w:insideV w:val="nil"/>
          <w:tl2br w:val="nil"/>
          <w:tr2bl w:val="nil"/>
        </w:tcBorders>
        <w:shd w:val="pct25" w:color="808000" w:fill="FFFFFF"/>
      </w:tcPr>
    </w:tblStylePr>
    <w:tblStylePr w:type="neCell">
      <w:rPr>
        <w:b/>
        <w:bCs/>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142">
    <w:name w:val="网格型 14"/>
    <w:basedOn w:val="88"/>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143">
    <w:name w:val="竖列型 513"/>
    <w:basedOn w:val="88"/>
    <w:semiHidden/>
    <w:qFormat/>
    <w:uiPriority w:val="0"/>
    <w:pPr>
      <w:widowControl w:val="0"/>
      <w:jc w:val="both"/>
    </w:pPr>
    <w:tblPr>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cPr>
        <w:tcBorders>
          <w:top w:val="nil"/>
          <w:left w:val="single" w:color="808080" w:sz="6" w:space="0"/>
          <w:bottom w:val="nil"/>
          <w:right w:val="nil"/>
          <w:insideH w:val="nil"/>
          <w:insideV w:val="nil"/>
          <w:tl2br w:val="nil"/>
          <w:tr2bl w:val="nil"/>
        </w:tcBorders>
      </w:tcPr>
    </w:tblStylePr>
    <w:tblStylePr w:type="lastRow">
      <w:rPr>
        <w:b/>
        <w:bCs/>
      </w:rPr>
      <w:tcPr>
        <w:tcBorders>
          <w:top w:val="single" w:color="808080" w:sz="6"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Vert">
      <w:rPr>
        <w:color w:val="auto"/>
      </w:rPr>
      <w:tcPr>
        <w:shd w:val="solid" w:color="C0C0C0" w:fill="FFFFFF"/>
      </w:tcPr>
    </w:tblStylePr>
    <w:tblStylePr w:type="band2Vert">
      <w:rPr>
        <w:color w:val="auto"/>
      </w:rPr>
    </w:tblStylePr>
  </w:style>
  <w:style w:type="table" w:customStyle="1" w:styleId="3144">
    <w:name w:val="古典型 112"/>
    <w:basedOn w:val="88"/>
    <w:semiHidden/>
    <w:qFormat/>
    <w:uiPriority w:val="0"/>
    <w:pPr>
      <w:widowControl w:val="0"/>
      <w:jc w:val="both"/>
    </w:pPr>
    <w:rPr>
      <w:rFonts w:ascii="Calibri" w:hAnsi="Calibri"/>
    </w:r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145">
    <w:name w:val="网格型612"/>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46">
    <w:name w:val="网格型31142"/>
    <w:basedOn w:val="88"/>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47">
    <w:name w:val="列表型 23"/>
    <w:basedOn w:val="88"/>
    <w:qFormat/>
    <w:uiPriority w:val="0"/>
    <w:pPr>
      <w:widowControl w:val="0"/>
      <w:spacing w:line="560" w:lineRule="exact"/>
      <w:ind w:firstLine="200" w:firstLineChars="200"/>
      <w:jc w:val="both"/>
    </w:pPr>
    <w:rPr>
      <w:rFonts w:ascii="Calibri" w:hAnsi="Calibri"/>
    </w:rPr>
    <w:tblPr>
      <w:tblBorders>
        <w:bottom w:val="single" w:color="808080" w:sz="12" w:space="0"/>
      </w:tblBorders>
    </w:tblPr>
    <w:tblStylePr w:type="firstRow">
      <w:rPr>
        <w:b/>
        <w:bCs/>
        <w:color w:val="FFFFFF"/>
      </w:rPr>
      <w:tcPr>
        <w:tcBorders>
          <w:top w:val="nil"/>
          <w:left w:val="single" w:color="000000" w:sz="6" w:space="0"/>
          <w:bottom w:val="nil"/>
          <w:right w:val="nil"/>
          <w:insideH w:val="nil"/>
          <w:insideV w:val="nil"/>
          <w:tl2br w:val="nil"/>
          <w:tr2bl w:val="nil"/>
        </w:tcBorders>
        <w:shd w:val="pct75" w:color="008080" w:fill="008000"/>
      </w:tcPr>
    </w:tblStylePr>
    <w:tblStylePr w:type="lastRow">
      <w:tcPr>
        <w:tcBorders>
          <w:top w:val="single" w:color="000000" w:sz="6" w:space="0"/>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FF00" w:fill="FFFFFF"/>
      </w:tcPr>
    </w:tblStylePr>
    <w:tblStylePr w:type="band2Horz">
      <w:rPr>
        <w:color w:val="auto"/>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148">
    <w:name w:val="表格网格型21"/>
    <w:basedOn w:val="88"/>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49">
    <w:name w:val="古典型 32"/>
    <w:basedOn w:val="88"/>
    <w:qFormat/>
    <w:uiPriority w:val="0"/>
    <w:pPr>
      <w:widowControl w:val="0"/>
      <w:spacing w:line="560" w:lineRule="exact"/>
      <w:ind w:firstLine="200" w:firstLineChars="200"/>
      <w:jc w:val="both"/>
    </w:pPr>
    <w:rPr>
      <w:rFonts w:ascii="Calibri" w:hAnsi="Calibri"/>
      <w:color w:val="000080"/>
    </w:rPr>
    <w:tblPr>
      <w:tblBorders>
        <w:top w:val="single" w:color="000000" w:sz="12" w:space="0"/>
        <w:left w:val="single" w:color="000000" w:sz="12" w:space="0"/>
        <w:bottom w:val="single" w:color="000000" w:sz="12" w:space="0"/>
        <w:right w:val="single" w:color="000000" w:sz="12" w:space="0"/>
      </w:tblBorders>
    </w:tblPr>
    <w:tcPr>
      <w:shd w:val="solid" w:color="C0C0C0" w:fill="FFFFFF"/>
    </w:tcPr>
    <w:tblStylePr w:type="firstRow">
      <w:rPr>
        <w:b/>
        <w:bCs/>
        <w:i/>
        <w:iCs/>
        <w:color w:val="FFFFFF"/>
      </w:rPr>
      <w:tcPr>
        <w:tcBorders>
          <w:top w:val="nil"/>
          <w:left w:val="single" w:color="000000" w:sz="6" w:space="0"/>
          <w:bottom w:val="nil"/>
          <w:right w:val="nil"/>
          <w:insideH w:val="nil"/>
          <w:insideV w:val="nil"/>
          <w:tl2br w:val="nil"/>
          <w:tr2bl w:val="nil"/>
        </w:tcBorders>
        <w:shd w:val="solid" w:color="000080" w:fill="FFFFFF"/>
      </w:tcPr>
    </w:tblStylePr>
    <w:tblStylePr w:type="lastRow">
      <w:rPr>
        <w:color w:val="000080"/>
      </w:rPr>
      <w:tcPr>
        <w:tcBorders>
          <w:top w:val="single" w:color="000000" w:sz="12" w:space="0"/>
          <w:left w:val="nil"/>
          <w:bottom w:val="nil"/>
          <w:right w:val="nil"/>
          <w:insideH w:val="nil"/>
          <w:insideV w:val="nil"/>
          <w:tl2br w:val="nil"/>
          <w:tr2bl w:val="nil"/>
        </w:tcBorders>
        <w:shd w:val="solid" w:color="FFFFFF" w:fill="FFFFFF"/>
      </w:tcPr>
    </w:tblStylePr>
    <w:tblStylePr w:type="firstCol">
      <w:rPr>
        <w:b/>
        <w:bCs/>
        <w:color w:val="000000"/>
      </w:rPr>
      <w:tcPr>
        <w:tcBorders>
          <w:top w:val="nil"/>
          <w:left w:val="nil"/>
          <w:bottom w:val="nil"/>
          <w:right w:val="nil"/>
          <w:insideH w:val="nil"/>
          <w:insideV w:val="nil"/>
          <w:tl2br w:val="nil"/>
          <w:tr2bl w:val="nil"/>
        </w:tcBorders>
      </w:tcPr>
    </w:tblStylePr>
  </w:style>
  <w:style w:type="table" w:customStyle="1" w:styleId="3150">
    <w:name w:val="表格主题41"/>
    <w:basedOn w:val="88"/>
    <w:qFormat/>
    <w:uiPriority w:val="0"/>
    <w:pPr>
      <w:widowControl w:val="0"/>
      <w:adjustRightInd w:val="0"/>
      <w:snapToGrid w:val="0"/>
      <w:jc w:val="center"/>
    </w:pPr>
    <w:rPr>
      <w:sz w:val="24"/>
      <w:szCs w:val="24"/>
    </w:rPr>
    <w:tblPr>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rPr>
      <w:jc w:val="center"/>
    </w:trPr>
    <w:tcPr>
      <w:tcMar>
        <w:left w:w="28" w:type="dxa"/>
        <w:right w:w="28" w:type="dxa"/>
      </w:tcMar>
      <w:vAlign w:val="center"/>
    </w:tcPr>
    <w:tblStylePr w:type="firstRow">
      <w:pPr>
        <w:wordWrap/>
        <w:spacing w:beforeLines="0" w:beforeAutospacing="0" w:afterLines="0" w:afterAutospacing="0" w:line="240" w:lineRule="auto"/>
        <w:ind w:left="0" w:leftChars="0" w:right="0" w:rightChars="0"/>
      </w:pPr>
      <w:rPr>
        <w:rFonts w:ascii="Times New Roman" w:hAnsi="Times New Roman" w:eastAsia="Century"/>
        <w:sz w:val="21"/>
      </w:rPr>
      <w:tcPr>
        <w:tcBorders>
          <w:top w:val="single" w:color="auto" w:sz="12" w:space="0"/>
          <w:left w:val="single" w:color="auto" w:sz="4" w:space="0"/>
          <w:bottom w:val="single" w:color="auto" w:sz="12" w:space="0"/>
          <w:right w:val="single" w:color="auto" w:sz="12" w:space="0"/>
          <w:insideH w:val="single" w:sz="4" w:space="0"/>
          <w:insideV w:val="single" w:sz="4" w:space="0"/>
          <w:tl2br w:val="nil"/>
          <w:tr2bl w:val="nil"/>
        </w:tcBorders>
      </w:tcPr>
    </w:tblStylePr>
    <w:tblStylePr w:type="firstCol">
      <w:pPr>
        <w:keepNext w:val="0"/>
        <w:keepLines w:val="0"/>
        <w:pageBreakBefore w:val="0"/>
        <w:widowControl w:val="0"/>
        <w:suppressLineNumbers w:val="0"/>
        <w:suppressAutoHyphens w:val="0"/>
        <w:wordWrap/>
        <w:spacing w:beforeLines="0" w:beforeAutospacing="0" w:afterLines="0" w:afterAutospacing="0" w:line="240" w:lineRule="auto"/>
        <w:ind w:left="0" w:leftChars="0" w:right="0" w:rightChars="0"/>
      </w:pPr>
      <w:rPr>
        <w:rFonts w:ascii="Times New Roman" w:hAnsi="Times New Roman" w:eastAsia="Century"/>
        <w:b w:val="0"/>
        <w:sz w:val="21"/>
      </w:rPr>
    </w:tblStylePr>
  </w:style>
  <w:style w:type="table" w:customStyle="1" w:styleId="3151">
    <w:name w:val="列表型 54"/>
    <w:basedOn w:val="88"/>
    <w:qFormat/>
    <w:uiPriority w:val="0"/>
    <w:pPr>
      <w:widowControl w:val="0"/>
      <w:spacing w:line="560" w:lineRule="exact"/>
      <w:ind w:firstLine="200" w:firstLineChars="200"/>
      <w:jc w:val="both"/>
    </w:pPr>
    <w:rPr>
      <w:rFonts w:ascii="Calibri" w:hAnsi="Calibri"/>
    </w:rPr>
    <w:tblPr>
      <w:tblBorders>
        <w:top w:val="single" w:color="000000" w:sz="6" w:space="0"/>
        <w:left w:val="single" w:color="000000" w:sz="6" w:space="0"/>
        <w:bottom w:val="single" w:color="000000" w:sz="6" w:space="0"/>
        <w:right w:val="single" w:color="000000" w:sz="6" w:space="0"/>
        <w:insideH w:val="single" w:color="000000" w:sz="6" w:space="0"/>
      </w:tblBorders>
    </w:tblPr>
    <w:tcPr>
      <w:shd w:val="clear" w:color="auto" w:fill="auto"/>
    </w:tcPr>
    <w:tblStylePr w:type="firstRow">
      <w:rPr>
        <w:b/>
        <w:bCs/>
      </w:rPr>
      <w:tcPr>
        <w:tcBorders>
          <w:top w:val="nil"/>
          <w:left w:val="single" w:color="000000" w:sz="12" w:space="0"/>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style>
  <w:style w:type="table" w:customStyle="1" w:styleId="3152">
    <w:name w:val="网格型3113"/>
    <w:basedOn w:val="88"/>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53">
    <w:name w:val="表格主题1"/>
    <w:basedOn w:val="88"/>
    <w:qFormat/>
    <w:uiPriority w:val="0"/>
    <w:pPr>
      <w:widowControl w:val="0"/>
      <w:adjustRightInd w:val="0"/>
      <w:snapToGrid w:val="0"/>
      <w:jc w:val="center"/>
    </w:pPr>
    <w:rPr>
      <w:sz w:val="24"/>
      <w:szCs w:val="24"/>
    </w:rPr>
    <w:tblPr>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rPr>
      <w:jc w:val="center"/>
    </w:trPr>
    <w:tcPr>
      <w:tcMar>
        <w:left w:w="28" w:type="dxa"/>
        <w:right w:w="28" w:type="dxa"/>
      </w:tcMar>
      <w:vAlign w:val="center"/>
    </w:tcPr>
    <w:tblStylePr w:type="firstRow">
      <w:pPr>
        <w:wordWrap/>
        <w:spacing w:beforeLines="0" w:beforeAutospacing="0" w:afterLines="0" w:afterAutospacing="0" w:line="240" w:lineRule="auto"/>
        <w:ind w:left="0" w:leftChars="0" w:right="0" w:rightChars="0"/>
      </w:pPr>
      <w:rPr>
        <w:rFonts w:ascii="Times New Roman" w:hAnsi="Times New Roman" w:eastAsia="Century"/>
        <w:sz w:val="21"/>
      </w:rPr>
      <w:tcPr>
        <w:tcBorders>
          <w:top w:val="single" w:color="auto" w:sz="12" w:space="0"/>
          <w:left w:val="single" w:color="auto" w:sz="4" w:space="0"/>
          <w:bottom w:val="single" w:color="auto" w:sz="12" w:space="0"/>
          <w:right w:val="single" w:color="auto" w:sz="12" w:space="0"/>
          <w:insideH w:val="single" w:sz="4" w:space="0"/>
          <w:insideV w:val="single" w:sz="4" w:space="0"/>
          <w:tl2br w:val="nil"/>
          <w:tr2bl w:val="nil"/>
        </w:tcBorders>
      </w:tcPr>
    </w:tblStylePr>
    <w:tblStylePr w:type="firstCol">
      <w:pPr>
        <w:keepNext w:val="0"/>
        <w:keepLines w:val="0"/>
        <w:pageBreakBefore w:val="0"/>
        <w:widowControl w:val="0"/>
        <w:suppressLineNumbers w:val="0"/>
        <w:suppressAutoHyphens w:val="0"/>
        <w:wordWrap/>
        <w:spacing w:beforeLines="0" w:beforeAutospacing="0" w:afterLines="0" w:afterAutospacing="0" w:line="240" w:lineRule="auto"/>
        <w:ind w:left="0" w:leftChars="0" w:right="0" w:rightChars="0"/>
      </w:pPr>
      <w:rPr>
        <w:rFonts w:ascii="Times New Roman" w:hAnsi="Times New Roman" w:eastAsia="Century"/>
        <w:b w:val="0"/>
        <w:sz w:val="21"/>
      </w:rPr>
    </w:tblStylePr>
  </w:style>
  <w:style w:type="table" w:customStyle="1" w:styleId="3154">
    <w:name w:val="网格型38"/>
    <w:basedOn w:val="88"/>
    <w:qFormat/>
    <w:uiPriority w:val="0"/>
    <w:pPr>
      <w:widowControl w:val="0"/>
      <w:jc w:val="both"/>
    </w:pPr>
    <w:rPr>
      <w:rFonts w:eastAsia="Times New Roman"/>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3155">
    <w:name w:val="网格型311132"/>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56">
    <w:name w:val="立体型 211"/>
    <w:basedOn w:val="88"/>
    <w:semiHidden/>
    <w:qFormat/>
    <w:uiPriority w:val="0"/>
    <w:pPr>
      <w:widowControl w:val="0"/>
      <w:jc w:val="both"/>
    </w:pPr>
    <w:rPr>
      <w:rFonts w:ascii="Calibri" w:hAnsi="Calibri"/>
    </w:rPr>
    <w:tcPr>
      <w:shd w:val="solid" w:color="C0C0C0" w:fill="FFFFFF"/>
    </w:tcPr>
    <w:tblStylePr w:type="firstRow">
      <w:rPr>
        <w:b/>
        <w:bCs/>
      </w:rPr>
      <w:tcPr>
        <w:tcBorders>
          <w:top w:val="nil"/>
          <w:left w:val="nil"/>
          <w:bottom w:val="nil"/>
          <w:right w:val="nil"/>
          <w:insideH w:val="nil"/>
          <w:insideV w:val="nil"/>
          <w:tl2br w:val="nil"/>
          <w:tr2bl w:val="nil"/>
        </w:tcBorders>
      </w:tcPr>
    </w:tblStylePr>
    <w:tblStylePr w:type="firstCol">
      <w:tcPr>
        <w:tcBorders>
          <w:top w:val="nil"/>
          <w:left w:val="nil"/>
          <w:bottom w:val="nil"/>
          <w:right w:val="single" w:color="808080" w:sz="6" w:space="0"/>
          <w:insideH w:val="nil"/>
          <w:insideV w:val="nil"/>
          <w:tl2br w:val="nil"/>
          <w:tr2bl w:val="nil"/>
        </w:tcBorders>
      </w:tcPr>
    </w:tblStylePr>
    <w:tblStylePr w:type="lastCol">
      <w:tcPr>
        <w:tcBorders>
          <w:top w:val="nil"/>
          <w:left w:val="nil"/>
          <w:bottom w:val="nil"/>
          <w:right w:val="single" w:color="FFFFFF" w:sz="6" w:space="0"/>
          <w:insideH w:val="nil"/>
          <w:insideV w:val="nil"/>
          <w:tl2br w:val="nil"/>
          <w:tr2bl w:val="nil"/>
        </w:tcBorders>
      </w:tcPr>
    </w:tblStylePr>
    <w:tblStylePr w:type="band1Horz">
      <w:tcPr>
        <w:tcBorders>
          <w:top w:val="single" w:color="808080" w:sz="6" w:space="0"/>
          <w:left w:val="single" w:color="FFFFFF" w:sz="6" w:space="0"/>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157">
    <w:name w:val="列表型 53"/>
    <w:basedOn w:val="88"/>
    <w:qFormat/>
    <w:uiPriority w:val="0"/>
    <w:pPr>
      <w:widowControl w:val="0"/>
      <w:spacing w:line="560" w:lineRule="exact"/>
      <w:ind w:firstLine="200" w:firstLineChars="200"/>
      <w:jc w:val="both"/>
    </w:pPr>
    <w:rPr>
      <w:rFonts w:ascii="Calibri" w:hAnsi="Calibri"/>
    </w:rPr>
    <w:tblPr>
      <w:tblBorders>
        <w:top w:val="single" w:color="000000" w:sz="6" w:space="0"/>
        <w:left w:val="single" w:color="000000" w:sz="6" w:space="0"/>
        <w:bottom w:val="single" w:color="000000" w:sz="6" w:space="0"/>
        <w:right w:val="single" w:color="000000" w:sz="6" w:space="0"/>
        <w:insideH w:val="single" w:color="000000" w:sz="6" w:space="0"/>
      </w:tblBorders>
    </w:tblPr>
    <w:tcPr>
      <w:shd w:val="clear" w:color="auto" w:fill="auto"/>
    </w:tcPr>
    <w:tblStylePr w:type="firstRow">
      <w:rPr>
        <w:b/>
        <w:bCs/>
      </w:rPr>
      <w:tcPr>
        <w:tcBorders>
          <w:top w:val="nil"/>
          <w:left w:val="single" w:color="000000" w:sz="12" w:space="0"/>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style>
  <w:style w:type="table" w:customStyle="1" w:styleId="3158">
    <w:name w:val="彩色型 23"/>
    <w:basedOn w:val="88"/>
    <w:qFormat/>
    <w:uiPriority w:val="0"/>
    <w:pPr>
      <w:widowControl w:val="0"/>
      <w:spacing w:line="560" w:lineRule="exact"/>
      <w:ind w:firstLine="200" w:firstLineChars="200"/>
      <w:jc w:val="both"/>
    </w:pPr>
    <w:rPr>
      <w:rFonts w:ascii="Calibri" w:hAnsi="Calibri"/>
    </w:rPr>
    <w:tblPr>
      <w:tblBorders>
        <w:bottom w:val="single" w:color="000000" w:sz="12" w:space="0"/>
      </w:tblBorders>
    </w:tblPr>
    <w:tcPr>
      <w:shd w:val="pct20" w:color="FFFF00" w:fill="FFFFFF"/>
    </w:tcPr>
    <w:tblStylePr w:type="firstRow">
      <w:rPr>
        <w:b/>
        <w:bCs/>
        <w:i/>
        <w:iCs/>
        <w:color w:val="FFFFFF"/>
      </w:rPr>
      <w:tcPr>
        <w:tcBorders>
          <w:top w:val="nil"/>
          <w:left w:val="single" w:color="000000" w:sz="12" w:space="0"/>
          <w:bottom w:val="nil"/>
          <w:right w:val="nil"/>
          <w:insideH w:val="nil"/>
          <w:insideV w:val="nil"/>
          <w:tl2br w:val="nil"/>
          <w:tr2bl w:val="nil"/>
        </w:tcBorders>
        <w:shd w:val="solid" w:color="800000" w:fill="FFFFFF"/>
      </w:tcPr>
    </w:tblStylePr>
    <w:tblStylePr w:type="firstCol">
      <w:rPr>
        <w:b/>
        <w:bCs/>
        <w:i/>
        <w:iCs/>
      </w:rPr>
      <w:tcPr>
        <w:tcBorders>
          <w:top w:val="nil"/>
          <w:left w:val="nil"/>
          <w:bottom w:val="nil"/>
          <w:right w:val="nil"/>
          <w:insideH w:val="nil"/>
          <w:insideV w:val="nil"/>
          <w:tl2br w:val="nil"/>
          <w:tr2bl w:val="nil"/>
        </w:tcBorders>
      </w:tcPr>
    </w:tblStylePr>
    <w:tblStylePr w:type="lastCol">
      <w:tcPr>
        <w:tcBorders>
          <w:top w:val="nil"/>
          <w:left w:val="nil"/>
          <w:bottom w:val="nil"/>
          <w:right w:val="nil"/>
          <w:insideH w:val="nil"/>
          <w:insideV w:val="nil"/>
          <w:tl2br w:val="nil"/>
          <w:tr2bl w:val="nil"/>
        </w:tcBorders>
        <w:shd w:val="solid" w:color="C0C0C0" w:fill="FFFFFF"/>
      </w:tcPr>
    </w:tblStylePr>
    <w:tblStylePr w:type="swCell">
      <w:rPr>
        <w:b/>
        <w:bCs/>
        <w:i w:val="0"/>
        <w:iCs w:val="0"/>
      </w:rPr>
      <w:tcPr>
        <w:tcBorders>
          <w:top w:val="nil"/>
          <w:left w:val="nil"/>
          <w:bottom w:val="nil"/>
          <w:right w:val="nil"/>
          <w:insideH w:val="nil"/>
          <w:insideV w:val="nil"/>
          <w:tl2br w:val="nil"/>
          <w:tr2bl w:val="nil"/>
        </w:tcBorders>
      </w:tcPr>
    </w:tblStylePr>
  </w:style>
  <w:style w:type="table" w:customStyle="1" w:styleId="3159">
    <w:name w:val="表格主题131"/>
    <w:basedOn w:val="88"/>
    <w:qFormat/>
    <w:uiPriority w:val="0"/>
    <w:pPr>
      <w:widowControl w:val="0"/>
      <w:adjustRightInd w:val="0"/>
      <w:snapToGrid w:val="0"/>
      <w:jc w:val="center"/>
    </w:pPr>
    <w:rPr>
      <w:sz w:val="24"/>
      <w:szCs w:val="24"/>
    </w:rPr>
    <w:tblPr>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rPr>
      <w:jc w:val="center"/>
    </w:trPr>
    <w:tcPr>
      <w:tcMar>
        <w:left w:w="28" w:type="dxa"/>
        <w:right w:w="28" w:type="dxa"/>
      </w:tcMar>
      <w:vAlign w:val="center"/>
    </w:tcPr>
    <w:tblStylePr w:type="firstRow">
      <w:pPr>
        <w:wordWrap/>
        <w:spacing w:beforeLines="0" w:beforeAutospacing="0" w:afterLines="0" w:afterAutospacing="0" w:line="240" w:lineRule="auto"/>
        <w:ind w:left="0" w:leftChars="0" w:right="0" w:rightChars="0"/>
      </w:pPr>
      <w:rPr>
        <w:rFonts w:ascii="Times New Roman" w:hAnsi="Times New Roman" w:eastAsia="Arial"/>
        <w:sz w:val="21"/>
      </w:rPr>
      <w:tcPr>
        <w:tcBorders>
          <w:top w:val="single" w:color="auto" w:sz="12" w:space="0"/>
          <w:left w:val="single" w:color="auto" w:sz="4" w:space="0"/>
          <w:bottom w:val="single" w:color="auto" w:sz="12" w:space="0"/>
          <w:right w:val="single" w:color="auto" w:sz="12" w:space="0"/>
          <w:insideH w:val="single" w:sz="4" w:space="0"/>
          <w:insideV w:val="single" w:sz="4" w:space="0"/>
          <w:tl2br w:val="nil"/>
          <w:tr2bl w:val="nil"/>
        </w:tcBorders>
      </w:tcPr>
    </w:tblStylePr>
    <w:tblStylePr w:type="firstCol">
      <w:pPr>
        <w:keepNext w:val="0"/>
        <w:keepLines w:val="0"/>
        <w:pageBreakBefore w:val="0"/>
        <w:widowControl w:val="0"/>
        <w:suppressLineNumbers w:val="0"/>
        <w:suppressAutoHyphens w:val="0"/>
        <w:wordWrap/>
        <w:spacing w:beforeLines="0" w:beforeAutospacing="0" w:afterLines="0" w:afterAutospacing="0" w:line="240" w:lineRule="auto"/>
        <w:ind w:left="0" w:leftChars="0" w:right="0" w:rightChars="0"/>
      </w:pPr>
      <w:rPr>
        <w:rFonts w:ascii="Times New Roman" w:hAnsi="Times New Roman" w:eastAsia="Arial"/>
        <w:b w:val="0"/>
        <w:sz w:val="21"/>
      </w:rPr>
    </w:tblStylePr>
  </w:style>
  <w:style w:type="table" w:customStyle="1" w:styleId="3160">
    <w:name w:val="网格型3141"/>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61">
    <w:name w:val="网格型 22"/>
    <w:basedOn w:val="88"/>
    <w:qFormat/>
    <w:uiPriority w:val="0"/>
    <w:pPr>
      <w:widowControl w:val="0"/>
      <w:spacing w:line="560" w:lineRule="exact"/>
      <w:ind w:firstLine="200" w:firstLineChars="200"/>
      <w:jc w:val="both"/>
    </w:pPr>
    <w:rPr>
      <w:rFonts w:ascii="Calibri" w:hAnsi="Calibri"/>
    </w:rPr>
    <w:tblPr>
      <w:tblBorders>
        <w:insideH w:val="single" w:color="000000" w:sz="6" w:space="0"/>
        <w:insideV w:val="single" w:color="000000" w:sz="6" w:space="0"/>
      </w:tblBorders>
    </w:tblPr>
    <w:tcPr>
      <w:shd w:val="clear" w:color="auto" w:fill="auto"/>
    </w:tcPr>
    <w:tblStylePr w:type="firstRow">
      <w:rPr>
        <w:b/>
        <w:bCs/>
      </w:rPr>
      <w:tcPr>
        <w:tcBorders>
          <w:top w:val="nil"/>
          <w:left w:val="nil"/>
          <w:bottom w:val="nil"/>
          <w:right w:val="nil"/>
          <w:insideH w:val="nil"/>
          <w:insideV w:val="nil"/>
          <w:tl2br w:val="nil"/>
          <w:tr2bl w:val="nil"/>
        </w:tcBorders>
      </w:tcPr>
    </w:tblStylePr>
    <w:tblStylePr w:type="lastRow">
      <w:rPr>
        <w:b/>
        <w:bCs/>
      </w:rPr>
      <w:tcPr>
        <w:tcBorders>
          <w:top w:val="single" w:color="000000" w:sz="6"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style>
  <w:style w:type="table" w:customStyle="1" w:styleId="3162">
    <w:name w:val="网格型8"/>
    <w:basedOn w:val="88"/>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63">
    <w:name w:val="彩色型 12"/>
    <w:basedOn w:val="88"/>
    <w:qFormat/>
    <w:uiPriority w:val="0"/>
    <w:pPr>
      <w:widowControl w:val="0"/>
      <w:spacing w:line="560" w:lineRule="exact"/>
      <w:ind w:firstLine="200" w:firstLineChars="200"/>
      <w:jc w:val="both"/>
    </w:pPr>
    <w:rPr>
      <w:rFonts w:ascii="Calibri" w:hAnsi="Calibri"/>
      <w:color w:val="FFFFFF"/>
    </w:rPr>
    <w:tblPr>
      <w:tblBorders>
        <w:top w:val="single" w:color="008080" w:sz="12" w:space="0"/>
        <w:left w:val="single" w:color="008080" w:sz="12" w:space="0"/>
        <w:bottom w:val="single" w:color="008080" w:sz="12" w:space="0"/>
        <w:right w:val="single" w:color="008080" w:sz="12" w:space="0"/>
        <w:insideH w:val="single" w:color="00FFFF" w:sz="6" w:space="0"/>
      </w:tblBorders>
    </w:tblPr>
    <w:tcPr>
      <w:shd w:val="solid" w:color="008080" w:fill="FFFFFF"/>
    </w:tcPr>
    <w:tblStylePr w:type="firstRow">
      <w:rPr>
        <w:b/>
        <w:bCs/>
        <w:i/>
        <w:iCs/>
      </w:rPr>
      <w:tcPr>
        <w:tcBorders>
          <w:top w:val="nil"/>
          <w:left w:val="nil"/>
          <w:bottom w:val="nil"/>
          <w:right w:val="nil"/>
          <w:insideH w:val="nil"/>
          <w:insideV w:val="nil"/>
          <w:tl2br w:val="nil"/>
          <w:tr2bl w:val="nil"/>
        </w:tcBorders>
        <w:shd w:val="solid" w:color="000000" w:fill="FFFFFF"/>
      </w:tcPr>
    </w:tblStylePr>
    <w:tblStylePr w:type="firstCol">
      <w:rPr>
        <w:b/>
        <w:bCs/>
        <w:i/>
        <w:iCs/>
      </w:rPr>
      <w:tcPr>
        <w:tcBorders>
          <w:top w:val="nil"/>
          <w:left w:val="nil"/>
          <w:bottom w:val="nil"/>
          <w:right w:val="nil"/>
          <w:insideH w:val="nil"/>
          <w:insideV w:val="nil"/>
          <w:tl2br w:val="nil"/>
          <w:tr2bl w:val="nil"/>
        </w:tcBorders>
        <w:shd w:val="solid" w:color="000080" w:fill="FFFFFF"/>
      </w:tcPr>
    </w:tblStylePr>
    <w:tblStylePr w:type="nwCell">
      <w:tcPr>
        <w:tcBorders>
          <w:top w:val="nil"/>
          <w:left w:val="nil"/>
          <w:bottom w:val="nil"/>
          <w:right w:val="nil"/>
          <w:insideH w:val="nil"/>
          <w:insideV w:val="nil"/>
          <w:tl2br w:val="nil"/>
          <w:tr2bl w:val="nil"/>
        </w:tcBorders>
        <w:shd w:val="solid" w:color="000000" w:fill="FFFFFF"/>
      </w:tcPr>
    </w:tblStylePr>
    <w:tblStylePr w:type="swCell">
      <w:rPr>
        <w:b/>
        <w:bCs/>
        <w:i w:val="0"/>
        <w:iCs w:val="0"/>
      </w:rPr>
      <w:tcPr>
        <w:tcBorders>
          <w:top w:val="nil"/>
          <w:left w:val="nil"/>
          <w:bottom w:val="nil"/>
          <w:right w:val="nil"/>
          <w:insideH w:val="nil"/>
          <w:insideV w:val="nil"/>
          <w:tl2br w:val="nil"/>
          <w:tr2bl w:val="nil"/>
        </w:tcBorders>
      </w:tcPr>
    </w:tblStylePr>
  </w:style>
  <w:style w:type="table" w:customStyle="1" w:styleId="3164">
    <w:name w:val="精巧型 11"/>
    <w:basedOn w:val="88"/>
    <w:semiHidden/>
    <w:qFormat/>
    <w:uiPriority w:val="0"/>
    <w:pPr>
      <w:widowControl w:val="0"/>
      <w:jc w:val="both"/>
    </w:pPr>
    <w:tblStylePr w:type="firstRow">
      <w:tcPr>
        <w:tcBorders>
          <w:top w:val="single" w:color="000000" w:sz="6" w:space="0"/>
          <w:left w:val="single" w:color="000000" w:sz="12" w:space="0"/>
          <w:bottom w:val="nil"/>
          <w:right w:val="nil"/>
          <w:insideH w:val="nil"/>
          <w:insideV w:val="nil"/>
          <w:tl2br w:val="nil"/>
          <w:tr2bl w:val="nil"/>
        </w:tcBorders>
      </w:tcPr>
    </w:tblStylePr>
    <w:tblStylePr w:type="lastRow">
      <w:tcPr>
        <w:tcBorders>
          <w:top w:val="single" w:color="000000" w:sz="12" w:space="0"/>
          <w:left w:val="nil"/>
          <w:bottom w:val="nil"/>
          <w:right w:val="nil"/>
          <w:insideH w:val="nil"/>
          <w:insideV w:val="nil"/>
          <w:tl2br w:val="nil"/>
          <w:tr2bl w:val="nil"/>
        </w:tcBorders>
        <w:shd w:val="pct25" w:color="800080" w:fill="FFFFFF"/>
      </w:tcPr>
    </w:tblStylePr>
    <w:tblStylePr w:type="firstCol">
      <w:tcPr>
        <w:tcBorders>
          <w:top w:val="nil"/>
          <w:left w:val="nil"/>
          <w:bottom w:val="nil"/>
          <w:right w:val="single" w:color="000000" w:sz="12" w:space="0"/>
          <w:insideH w:val="nil"/>
          <w:insideV w:val="nil"/>
          <w:tl2br w:val="nil"/>
          <w:tr2bl w:val="nil"/>
        </w:tcBorders>
      </w:tcPr>
    </w:tblStylePr>
    <w:tblStylePr w:type="lastCol">
      <w:tcPr>
        <w:tcBorders>
          <w:top w:val="nil"/>
          <w:left w:val="nil"/>
          <w:bottom w:val="single" w:color="000000" w:sz="12" w:space="0"/>
          <w:right w:val="nil"/>
          <w:insideH w:val="nil"/>
          <w:insideV w:val="nil"/>
          <w:tl2br w:val="nil"/>
          <w:tr2bl w:val="nil"/>
        </w:tcBorders>
      </w:tcPr>
    </w:tblStylePr>
    <w:tblStylePr w:type="band1Horz">
      <w:tcPr>
        <w:tcBorders>
          <w:top w:val="nil"/>
          <w:left w:val="single" w:color="000000" w:sz="6" w:space="0"/>
          <w:bottom w:val="nil"/>
          <w:right w:val="nil"/>
          <w:insideH w:val="nil"/>
          <w:insideV w:val="nil"/>
          <w:tl2br w:val="nil"/>
          <w:tr2bl w:val="nil"/>
        </w:tcBorders>
        <w:shd w:val="pct25" w:color="808000" w:fill="FFFFFF"/>
      </w:tcPr>
    </w:tblStylePr>
    <w:tblStylePr w:type="neCell">
      <w:rPr>
        <w:b/>
        <w:bCs/>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165">
    <w:name w:val="网格型81"/>
    <w:basedOn w:val="88"/>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66">
    <w:name w:val="列表型 82"/>
    <w:basedOn w:val="88"/>
    <w:qFormat/>
    <w:uiPriority w:val="0"/>
    <w:pPr>
      <w:widowControl w:val="0"/>
      <w:spacing w:line="560" w:lineRule="exact"/>
      <w:ind w:firstLine="200" w:firstLineChars="200"/>
      <w:jc w:val="both"/>
    </w:pPr>
    <w:rPr>
      <w:rFonts w:ascii="Calibri" w:hAnsi="Calibri"/>
    </w:rPr>
    <w:tblPr>
      <w:tblBorders>
        <w:top w:val="single" w:color="000000" w:sz="6" w:space="0"/>
        <w:left w:val="single" w:color="000000" w:sz="6" w:space="0"/>
        <w:bottom w:val="single" w:color="000000" w:sz="6" w:space="0"/>
        <w:right w:val="single" w:color="000000" w:sz="6" w:space="0"/>
        <w:insideV w:val="single" w:color="000000" w:sz="6" w:space="0"/>
      </w:tblBorders>
    </w:tblPr>
    <w:tblStylePr w:type="firstRow">
      <w:rPr>
        <w:b/>
        <w:bCs/>
        <w:i/>
        <w:iCs/>
      </w:rPr>
      <w:tcPr>
        <w:tcBorders>
          <w:top w:val="nil"/>
          <w:left w:val="single" w:color="000000" w:sz="6" w:space="0"/>
          <w:bottom w:val="nil"/>
          <w:right w:val="nil"/>
          <w:insideH w:val="nil"/>
          <w:insideV w:val="nil"/>
          <w:tl2br w:val="nil"/>
          <w:tr2bl w:val="nil"/>
        </w:tcBorders>
        <w:shd w:val="solid" w:color="FFFF00" w:fill="FFFFFF"/>
      </w:tcPr>
    </w:tblStylePr>
    <w:tblStylePr w:type="lastRow">
      <w:rPr>
        <w:b/>
        <w:bCs/>
      </w:rPr>
      <w:tcPr>
        <w:tcBorders>
          <w:top w:val="single" w:color="000000" w:sz="6"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5" w:color="FFFF00" w:fill="FFFFFF"/>
      </w:tcPr>
    </w:tblStylePr>
    <w:tblStylePr w:type="band2Horz">
      <w:tcPr>
        <w:tcBorders>
          <w:top w:val="nil"/>
          <w:left w:val="nil"/>
          <w:bottom w:val="nil"/>
          <w:right w:val="nil"/>
          <w:insideH w:val="nil"/>
          <w:insideV w:val="nil"/>
          <w:tl2br w:val="nil"/>
          <w:tr2bl w:val="nil"/>
        </w:tcBorders>
        <w:shd w:val="pct50" w:color="FF0000" w:fill="FFFFFF"/>
      </w:tcPr>
    </w:tblStylePr>
    <w:tblStylePr w:type="nwCell">
      <w:tcPr>
        <w:tcBorders>
          <w:top w:val="nil"/>
          <w:left w:val="nil"/>
          <w:bottom w:val="nil"/>
          <w:right w:val="nil"/>
          <w:insideH w:val="nil"/>
          <w:insideV w:val="nil"/>
          <w:tl2br w:val="single" w:color="auto" w:sz="6" w:space="0"/>
          <w:tr2bl w:val="nil"/>
        </w:tcBorders>
      </w:tcPr>
    </w:tblStylePr>
  </w:style>
  <w:style w:type="table" w:customStyle="1" w:styleId="3167">
    <w:name w:val="网格型123"/>
    <w:basedOn w:val="88"/>
    <w:qFormat/>
    <w:uiPriority w:val="59"/>
    <w:rPr>
      <w:rFonts w:ascii="Calibri" w:hAnsi="Calibri"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68">
    <w:name w:val="网格型 221"/>
    <w:basedOn w:val="88"/>
    <w:qFormat/>
    <w:uiPriority w:val="0"/>
    <w:pPr>
      <w:widowControl w:val="0"/>
      <w:spacing w:line="560" w:lineRule="exact"/>
      <w:ind w:firstLine="200" w:firstLineChars="200"/>
      <w:jc w:val="both"/>
    </w:pPr>
    <w:rPr>
      <w:rFonts w:ascii="Calibri" w:hAnsi="Calibri"/>
    </w:rPr>
    <w:tblPr>
      <w:tblBorders>
        <w:insideH w:val="single" w:color="000000" w:sz="6" w:space="0"/>
        <w:insideV w:val="single" w:color="000000" w:sz="6" w:space="0"/>
      </w:tblBorders>
    </w:tblPr>
    <w:tcPr>
      <w:shd w:val="clear" w:color="auto" w:fill="auto"/>
    </w:tcPr>
    <w:tblStylePr w:type="firstRow">
      <w:rPr>
        <w:b/>
        <w:bCs/>
      </w:rPr>
      <w:tcPr>
        <w:tcBorders>
          <w:top w:val="nil"/>
          <w:left w:val="nil"/>
          <w:bottom w:val="nil"/>
          <w:right w:val="nil"/>
          <w:insideH w:val="nil"/>
          <w:insideV w:val="nil"/>
          <w:tl2br w:val="nil"/>
          <w:tr2bl w:val="nil"/>
        </w:tcBorders>
      </w:tcPr>
    </w:tblStylePr>
    <w:tblStylePr w:type="lastRow">
      <w:rPr>
        <w:b/>
        <w:bCs/>
      </w:rPr>
      <w:tcPr>
        <w:tcBorders>
          <w:top w:val="single" w:color="000000" w:sz="6"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style>
  <w:style w:type="table" w:customStyle="1" w:styleId="3169">
    <w:name w:val="网格型3142"/>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70">
    <w:name w:val="网格型36"/>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71">
    <w:name w:val="网格型 81"/>
    <w:basedOn w:val="88"/>
    <w:semiHidden/>
    <w:qFormat/>
    <w:uiPriority w:val="0"/>
    <w:pPr>
      <w:widowControl w:val="0"/>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color w:val="FFFFFF"/>
      </w:rPr>
      <w:tcPr>
        <w:tcBorders>
          <w:top w:val="nil"/>
          <w:left w:val="nil"/>
          <w:bottom w:val="nil"/>
          <w:right w:val="nil"/>
          <w:insideH w:val="nil"/>
          <w:insideV w:val="nil"/>
          <w:tl2br w:val="nil"/>
          <w:tr2bl w:val="nil"/>
        </w:tcBorders>
        <w:shd w:val="solid" w:color="000080" w:fill="FFFFFF"/>
      </w:tcPr>
    </w:tblStylePr>
    <w:tblStylePr w:type="lastRow">
      <w:rPr>
        <w:b/>
        <w:bCs/>
        <w:color w:val="auto"/>
      </w:rPr>
      <w:tcPr>
        <w:tcBorders>
          <w:top w:val="nil"/>
          <w:left w:val="nil"/>
          <w:bottom w:val="nil"/>
          <w:right w:val="nil"/>
          <w:insideH w:val="nil"/>
          <w:insideV w:val="nil"/>
          <w:tl2br w:val="nil"/>
          <w:tr2bl w:val="nil"/>
        </w:tcBorders>
      </w:tcPr>
    </w:tblStylePr>
    <w:tblStylePr w:type="lastCol">
      <w:rPr>
        <w:b/>
        <w:bCs/>
        <w:color w:val="auto"/>
      </w:rPr>
      <w:tcPr>
        <w:tcBorders>
          <w:top w:val="nil"/>
          <w:left w:val="nil"/>
          <w:bottom w:val="nil"/>
          <w:right w:val="nil"/>
          <w:insideH w:val="nil"/>
          <w:insideV w:val="nil"/>
          <w:tl2br w:val="nil"/>
          <w:tr2bl w:val="nil"/>
        </w:tcBorders>
      </w:tcPr>
    </w:tblStylePr>
  </w:style>
  <w:style w:type="table" w:customStyle="1" w:styleId="3172">
    <w:name w:val="网格型151"/>
    <w:basedOn w:val="88"/>
    <w:qFormat/>
    <w:uiPriority w:val="59"/>
    <w:rPr>
      <w:rFonts w:ascii="Calibri" w:hAnsi="Calibri" w:eastAsia="Times New Roman"/>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73">
    <w:name w:val="网格型18111"/>
    <w:basedOn w:val="88"/>
    <w:qFormat/>
    <w:uiPriority w:val="59"/>
    <w:pPr>
      <w:widowControl w:val="0"/>
      <w:spacing w:line="300" w:lineRule="exact"/>
      <w:jc w:val="both"/>
      <w:textAlignment w:val="baseline"/>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74">
    <w:name w:val="网格型184"/>
    <w:basedOn w:val="88"/>
    <w:qFormat/>
    <w:uiPriority w:val="59"/>
    <w:pPr>
      <w:widowControl w:val="0"/>
      <w:spacing w:line="300" w:lineRule="exact"/>
      <w:jc w:val="both"/>
      <w:textAlignment w:val="baseline"/>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75">
    <w:name w:val="古典型 14"/>
    <w:basedOn w:val="88"/>
    <w:qFormat/>
    <w:uiPriority w:val="0"/>
    <w:pPr>
      <w:widowControl w:val="0"/>
      <w:spacing w:line="560" w:lineRule="exact"/>
      <w:ind w:firstLine="200" w:firstLineChars="200"/>
      <w:jc w:val="both"/>
    </w:pPr>
    <w:rPr>
      <w:rFonts w:ascii="Calibri" w:hAnsi="Calibri"/>
    </w:r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176">
    <w:name w:val="网格型312111"/>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77">
    <w:name w:val="列表型 12"/>
    <w:basedOn w:val="88"/>
    <w:qFormat/>
    <w:uiPriority w:val="0"/>
    <w:pPr>
      <w:widowControl w:val="0"/>
      <w:spacing w:line="560" w:lineRule="exact"/>
      <w:ind w:firstLine="200" w:firstLineChars="200"/>
      <w:jc w:val="both"/>
    </w:pPr>
    <w:rPr>
      <w:rFonts w:ascii="Calibri" w:hAnsi="Calibri"/>
    </w:rPr>
    <w:tblPr>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cPr>
        <w:tcBorders>
          <w:top w:val="nil"/>
          <w:left w:val="single" w:color="000000" w:sz="6" w:space="0"/>
          <w:bottom w:val="nil"/>
          <w:right w:val="nil"/>
          <w:insideH w:val="nil"/>
          <w:insideV w:val="nil"/>
          <w:tl2br w:val="nil"/>
          <w:tr2bl w:val="nil"/>
        </w:tcBorders>
        <w:shd w:val="solid" w:color="C0C0C0" w:fill="FFFFFF"/>
      </w:tcPr>
    </w:tblStylePr>
    <w:tblStylePr w:type="lastRow">
      <w:tcPr>
        <w:tcBorders>
          <w:top w:val="single" w:color="000000" w:sz="6" w:space="0"/>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solid" w:color="C0C0C0" w:fill="FFFFFF"/>
      </w:tcPr>
    </w:tblStylePr>
    <w:tblStylePr w:type="band2Horz">
      <w:rPr>
        <w:color w:val="auto"/>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178">
    <w:name w:val="列表型 61"/>
    <w:basedOn w:val="88"/>
    <w:semiHidden/>
    <w:qFormat/>
    <w:uiPriority w:val="0"/>
    <w:pPr>
      <w:widowControl w:val="0"/>
      <w:jc w:val="both"/>
    </w:pPr>
    <w:tblPr>
      <w:tblBorders>
        <w:top w:val="single" w:color="000000" w:sz="6" w:space="0"/>
        <w:left w:val="single" w:color="000000" w:sz="6" w:space="0"/>
        <w:bottom w:val="single" w:color="000000" w:sz="6" w:space="0"/>
        <w:right w:val="single" w:color="000000" w:sz="6" w:space="0"/>
      </w:tblBorders>
    </w:tblPr>
    <w:tcPr>
      <w:shd w:val="pct50" w:color="000000" w:fill="FFFFFF"/>
    </w:tcPr>
    <w:tblStylePr w:type="firstRow">
      <w:rPr>
        <w:b/>
        <w:bCs/>
      </w:rPr>
      <w:tcPr>
        <w:tcBorders>
          <w:top w:val="nil"/>
          <w:left w:val="single" w:color="000000" w:sz="12" w:space="0"/>
          <w:bottom w:val="nil"/>
          <w:right w:val="nil"/>
          <w:insideH w:val="nil"/>
          <w:insideV w:val="nil"/>
          <w:tl2br w:val="nil"/>
          <w:tr2bl w:val="nil"/>
        </w:tcBorders>
      </w:tcPr>
    </w:tblStylePr>
    <w:tblStylePr w:type="firstCol">
      <w:rPr>
        <w:b/>
        <w:bCs/>
      </w:rPr>
      <w:tcPr>
        <w:tcBorders>
          <w:top w:val="nil"/>
          <w:left w:val="nil"/>
          <w:bottom w:val="nil"/>
          <w:right w:val="single" w:color="000000" w:sz="12" w:space="0"/>
          <w:insideH w:val="nil"/>
          <w:insideV w:val="nil"/>
          <w:tl2br w:val="nil"/>
          <w:tr2bl w:val="nil"/>
        </w:tcBorders>
      </w:tcPr>
    </w:tblStylePr>
    <w:tblStylePr w:type="band1Horz">
      <w:tcPr>
        <w:tcBorders>
          <w:top w:val="nil"/>
          <w:left w:val="nil"/>
          <w:bottom w:val="nil"/>
          <w:right w:val="nil"/>
          <w:insideH w:val="nil"/>
          <w:insideV w:val="nil"/>
          <w:tl2br w:val="nil"/>
          <w:tr2bl w:val="nil"/>
        </w:tcBorders>
        <w:shd w:val="pct25" w:color="000000" w:fill="FFFFFF"/>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179">
    <w:name w:val="古典型 111"/>
    <w:basedOn w:val="88"/>
    <w:semiHidden/>
    <w:qFormat/>
    <w:uiPriority w:val="0"/>
    <w:pPr>
      <w:widowControl w:val="0"/>
      <w:jc w:val="both"/>
    </w:pPr>
    <w:rPr>
      <w:rFonts w:ascii="Calibri" w:hAnsi="Calibri"/>
    </w:r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180">
    <w:name w:val="简明型 121"/>
    <w:basedOn w:val="88"/>
    <w:qFormat/>
    <w:uiPriority w:val="0"/>
    <w:pPr>
      <w:widowControl w:val="0"/>
      <w:spacing w:line="560" w:lineRule="exact"/>
      <w:ind w:firstLine="200" w:firstLineChars="200"/>
      <w:jc w:val="both"/>
    </w:pPr>
    <w:rPr>
      <w:rFonts w:ascii="Calibri" w:hAnsi="Calibri"/>
    </w:rPr>
    <w:tblPr>
      <w:tblBorders>
        <w:top w:val="single" w:color="008000" w:sz="12" w:space="0"/>
        <w:bottom w:val="single" w:color="008000" w:sz="12" w:space="0"/>
      </w:tblBorders>
    </w:tblPr>
    <w:tcPr>
      <w:shd w:val="clear" w:color="auto" w:fill="auto"/>
    </w:tcPr>
    <w:tblStylePr w:type="firstRow">
      <w:tcPr>
        <w:tcBorders>
          <w:top w:val="nil"/>
          <w:left w:val="single" w:color="008000" w:sz="6" w:space="0"/>
          <w:bottom w:val="nil"/>
          <w:right w:val="nil"/>
          <w:insideH w:val="nil"/>
          <w:insideV w:val="nil"/>
          <w:tl2br w:val="nil"/>
          <w:tr2bl w:val="nil"/>
        </w:tcBorders>
      </w:tcPr>
    </w:tblStylePr>
    <w:tblStylePr w:type="lastRow">
      <w:tcPr>
        <w:tcBorders>
          <w:top w:val="single" w:color="008000" w:sz="6" w:space="0"/>
          <w:left w:val="nil"/>
          <w:bottom w:val="nil"/>
          <w:right w:val="nil"/>
          <w:insideH w:val="nil"/>
          <w:insideV w:val="nil"/>
          <w:tl2br w:val="nil"/>
          <w:tr2bl w:val="nil"/>
        </w:tcBorders>
      </w:tcPr>
    </w:tblStylePr>
  </w:style>
  <w:style w:type="table" w:customStyle="1" w:styleId="3181">
    <w:name w:val="网格型3115"/>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82">
    <w:name w:val="列表型 321"/>
    <w:basedOn w:val="88"/>
    <w:qFormat/>
    <w:uiPriority w:val="0"/>
    <w:pPr>
      <w:widowControl w:val="0"/>
      <w:spacing w:line="560" w:lineRule="exact"/>
      <w:ind w:firstLine="200" w:firstLineChars="200"/>
      <w:jc w:val="both"/>
    </w:pPr>
    <w:rPr>
      <w:rFonts w:ascii="Calibri" w:hAnsi="Calibri"/>
    </w:rPr>
    <w:tblPr>
      <w:tblBorders>
        <w:top w:val="single" w:color="000000" w:sz="12" w:space="0"/>
        <w:bottom w:val="single" w:color="000000" w:sz="12" w:space="0"/>
        <w:insideH w:val="single" w:color="000000" w:sz="6" w:space="0"/>
      </w:tblBorders>
    </w:tblPr>
    <w:tcPr>
      <w:shd w:val="clear" w:color="auto" w:fill="auto"/>
    </w:tcPr>
    <w:tblStylePr w:type="firstRow">
      <w:rPr>
        <w:b/>
        <w:bCs/>
        <w:color w:val="000080"/>
      </w:rPr>
      <w:tcPr>
        <w:tcBorders>
          <w:top w:val="nil"/>
          <w:left w:val="single" w:color="000000" w:sz="12" w:space="0"/>
          <w:bottom w:val="nil"/>
          <w:right w:val="nil"/>
          <w:insideH w:val="nil"/>
          <w:insideV w:val="nil"/>
          <w:tl2br w:val="nil"/>
          <w:tr2bl w:val="nil"/>
        </w:tcBorders>
      </w:tcPr>
    </w:tblStylePr>
    <w:tblStylePr w:type="lastRow">
      <w:tcPr>
        <w:tcBorders>
          <w:top w:val="single" w:color="000000" w:sz="12" w:space="0"/>
          <w:left w:val="nil"/>
          <w:bottom w:val="nil"/>
          <w:right w:val="nil"/>
          <w:insideH w:val="nil"/>
          <w:insideV w:val="nil"/>
          <w:tl2br w:val="nil"/>
          <w:tr2bl w:val="nil"/>
        </w:tcBorders>
      </w:tcPr>
    </w:tblStylePr>
    <w:tblStylePr w:type="swCell">
      <w:rPr>
        <w:i/>
        <w:iCs/>
        <w:color w:val="000080"/>
      </w:rPr>
      <w:tcPr>
        <w:tcBorders>
          <w:top w:val="nil"/>
          <w:left w:val="nil"/>
          <w:bottom w:val="nil"/>
          <w:right w:val="nil"/>
          <w:insideH w:val="nil"/>
          <w:insideV w:val="nil"/>
          <w:tl2br w:val="nil"/>
          <w:tr2bl w:val="nil"/>
        </w:tcBorders>
      </w:tcPr>
    </w:tblStylePr>
  </w:style>
  <w:style w:type="table" w:customStyle="1" w:styleId="3183">
    <w:name w:val="竖列型 11"/>
    <w:basedOn w:val="88"/>
    <w:semiHidden/>
    <w:qFormat/>
    <w:uiPriority w:val="0"/>
    <w:pPr>
      <w:widowControl w:val="0"/>
      <w:jc w:val="both"/>
    </w:pPr>
    <w:rPr>
      <w:b/>
      <w:bCs/>
    </w:rPr>
    <w:tblPr>
      <w:tblBorders>
        <w:top w:val="single" w:color="000000" w:sz="12" w:space="0"/>
        <w:left w:val="single" w:color="000000" w:sz="12" w:space="0"/>
        <w:bottom w:val="single" w:color="000000" w:sz="12" w:space="0"/>
        <w:right w:val="single" w:color="000000" w:sz="12" w:space="0"/>
      </w:tblBorders>
    </w:tblPr>
    <w:tblStylePr w:type="firstRow">
      <w:rPr>
        <w:b w:val="0"/>
        <w:bCs w:val="0"/>
      </w:rPr>
      <w:tcPr>
        <w:tcBorders>
          <w:top w:val="nil"/>
          <w:left w:val="double" w:color="000000" w:sz="6" w:space="0"/>
          <w:bottom w:val="nil"/>
          <w:right w:val="nil"/>
          <w:insideH w:val="nil"/>
          <w:insideV w:val="nil"/>
          <w:tl2br w:val="nil"/>
          <w:tr2bl w:val="nil"/>
        </w:tcBorders>
      </w:tcPr>
    </w:tblStylePr>
    <w:tblStylePr w:type="lastRow">
      <w:rPr>
        <w:b w:val="0"/>
        <w:bCs w:val="0"/>
      </w:rPr>
      <w:tcPr>
        <w:tcBorders>
          <w:top w:val="nil"/>
          <w:left w:val="nil"/>
          <w:bottom w:val="nil"/>
          <w:right w:val="nil"/>
          <w:insideH w:val="nil"/>
          <w:insideV w:val="nil"/>
          <w:tl2br w:val="nil"/>
          <w:tr2bl w:val="nil"/>
        </w:tcBorders>
      </w:tcPr>
    </w:tblStylePr>
    <w:tblStylePr w:type="firstCol">
      <w:rPr>
        <w:b w:val="0"/>
        <w:bCs w:val="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band1Vert">
      <w:rPr>
        <w:color w:val="auto"/>
      </w:rPr>
      <w:tcPr>
        <w:shd w:val="pct25" w:color="000000" w:fill="FFFFFF"/>
      </w:tcPr>
    </w:tblStylePr>
    <w:tblStylePr w:type="band2Vert">
      <w:rPr>
        <w:color w:val="auto"/>
      </w:rPr>
      <w:tcPr>
        <w:shd w:val="pct25" w:color="FFFF00" w:fill="FFFFFF"/>
      </w:tcPr>
    </w:tblStylePr>
    <w:tblStylePr w:type="neCell">
      <w:rPr>
        <w:b/>
        <w:bCs/>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184">
    <w:name w:val="网格型22"/>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85">
    <w:name w:val="简明型 22"/>
    <w:basedOn w:val="88"/>
    <w:qFormat/>
    <w:uiPriority w:val="0"/>
    <w:pPr>
      <w:widowControl w:val="0"/>
      <w:spacing w:line="560" w:lineRule="exact"/>
      <w:ind w:firstLine="200" w:firstLineChars="200"/>
      <w:jc w:val="both"/>
    </w:pPr>
    <w:rPr>
      <w:rFonts w:ascii="Calibri" w:hAnsi="Calibri"/>
    </w:rPr>
    <w:tblStylePr w:type="firstRow">
      <w:rPr>
        <w:b/>
        <w:bCs/>
      </w:rPr>
      <w:tcPr>
        <w:tcBorders>
          <w:top w:val="nil"/>
          <w:left w:val="single" w:color="000000" w:sz="12" w:space="0"/>
          <w:bottom w:val="nil"/>
          <w:right w:val="nil"/>
          <w:insideH w:val="nil"/>
          <w:insideV w:val="nil"/>
          <w:tl2br w:val="nil"/>
          <w:tr2bl w:val="nil"/>
        </w:tcBorders>
      </w:tcPr>
    </w:tblStylePr>
    <w:tblStylePr w:type="lastRow">
      <w:rPr>
        <w:b/>
        <w:bCs/>
        <w:color w:val="auto"/>
      </w:rPr>
      <w:tcPr>
        <w:tcBorders>
          <w:top w:val="single" w:color="000000" w:sz="6" w:space="0"/>
          <w:left w:val="nil"/>
          <w:bottom w:val="nil"/>
          <w:right w:val="nil"/>
          <w:insideH w:val="nil"/>
          <w:insideV w:val="nil"/>
          <w:tl2br w:val="nil"/>
          <w:tr2bl w:val="nil"/>
        </w:tcBorders>
      </w:tcPr>
    </w:tblStylePr>
    <w:tblStylePr w:type="firstCol">
      <w:rPr>
        <w:b/>
        <w:bCs/>
      </w:rPr>
      <w:tcPr>
        <w:tcBorders>
          <w:top w:val="nil"/>
          <w:left w:val="nil"/>
          <w:bottom w:val="nil"/>
          <w:right w:val="single" w:color="000000" w:sz="12" w:space="0"/>
          <w:insideH w:val="nil"/>
          <w:insideV w:val="nil"/>
          <w:tl2br w:val="nil"/>
          <w:tr2bl w:val="nil"/>
        </w:tcBorders>
      </w:tcPr>
    </w:tblStylePr>
    <w:tblStylePr w:type="lastCol">
      <w:rPr>
        <w:b/>
        <w:bCs/>
      </w:rPr>
      <w:tcPr>
        <w:tcBorders>
          <w:top w:val="nil"/>
          <w:left w:val="nil"/>
          <w:bottom w:val="single" w:color="000000" w:sz="6" w:space="0"/>
          <w:right w:val="nil"/>
          <w:insideH w:val="nil"/>
          <w:insideV w:val="nil"/>
          <w:tl2br w:val="nil"/>
          <w:tr2bl w:val="nil"/>
        </w:tcBorders>
      </w:tcPr>
    </w:tblStylePr>
    <w:tblStylePr w:type="neCell">
      <w:rPr>
        <w:b/>
        <w:bCs/>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186">
    <w:name w:val="竖列型 43"/>
    <w:basedOn w:val="88"/>
    <w:qFormat/>
    <w:uiPriority w:val="0"/>
    <w:pPr>
      <w:widowControl w:val="0"/>
      <w:spacing w:line="560" w:lineRule="exact"/>
      <w:ind w:firstLine="200" w:firstLineChars="200"/>
      <w:jc w:val="both"/>
    </w:pPr>
    <w:rPr>
      <w:rFonts w:ascii="Calibri" w:hAnsi="Calibri"/>
    </w:rPr>
    <w:tblStylePr w:type="firstRow">
      <w:rPr>
        <w:color w:val="FFFFFF"/>
      </w:rPr>
      <w:tcPr>
        <w:tcBorders>
          <w:top w:val="nil"/>
          <w:left w:val="nil"/>
          <w:bottom w:val="nil"/>
          <w:right w:val="nil"/>
          <w:insideH w:val="nil"/>
          <w:insideV w:val="nil"/>
          <w:tl2br w:val="nil"/>
          <w:tr2bl w:val="nil"/>
        </w:tcBorders>
        <w:shd w:val="solid" w:color="000000" w:fill="FFFFFF"/>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Vert">
      <w:rPr>
        <w:color w:val="auto"/>
      </w:rPr>
      <w:tcPr>
        <w:shd w:val="pct50" w:color="008080" w:fill="FFFFFF"/>
      </w:tcPr>
    </w:tblStylePr>
    <w:tblStylePr w:type="band2Vert">
      <w:rPr>
        <w:color w:val="auto"/>
      </w:rPr>
      <w:tcPr>
        <w:shd w:val="pct10" w:color="000000" w:fill="FFFFFF"/>
      </w:tcPr>
    </w:tblStylePr>
  </w:style>
  <w:style w:type="table" w:customStyle="1" w:styleId="3187">
    <w:name w:val="网格型31122"/>
    <w:basedOn w:val="88"/>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88">
    <w:name w:val="网格型27"/>
    <w:basedOn w:val="88"/>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89">
    <w:name w:val="网格型316"/>
    <w:basedOn w:val="88"/>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90">
    <w:name w:val="网格型32211"/>
    <w:basedOn w:val="88"/>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91">
    <w:name w:val="网页型 11"/>
    <w:basedOn w:val="88"/>
    <w:semiHidden/>
    <w:qFormat/>
    <w:uiPriority w:val="0"/>
    <w:pPr>
      <w:widowControl w:val="0"/>
      <w:jc w:val="both"/>
    </w:pPr>
    <w:tblPr>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cPr>
      <w:shd w:val="clear" w:color="auto" w:fill="auto"/>
    </w:tcPr>
    <w:tblStylePr w:type="firstRow">
      <w:rPr>
        <w:color w:val="auto"/>
      </w:rPr>
      <w:tcPr>
        <w:tcBorders>
          <w:top w:val="nil"/>
          <w:left w:val="nil"/>
          <w:bottom w:val="nil"/>
          <w:right w:val="nil"/>
          <w:insideH w:val="nil"/>
          <w:insideV w:val="nil"/>
          <w:tl2br w:val="nil"/>
          <w:tr2bl w:val="nil"/>
        </w:tcBorders>
      </w:tcPr>
    </w:tblStylePr>
  </w:style>
  <w:style w:type="table" w:customStyle="1" w:styleId="3192">
    <w:name w:val="网格型11"/>
    <w:basedOn w:val="88"/>
    <w:qFormat/>
    <w:uiPriority w:val="0"/>
    <w:rPr>
      <w:rFonts w:ascii="Calibri" w:hAnsi="Calibri"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93">
    <w:name w:val="古典型 212"/>
    <w:basedOn w:val="88"/>
    <w:semiHidden/>
    <w:qFormat/>
    <w:uiPriority w:val="0"/>
    <w:pPr>
      <w:widowControl w:val="0"/>
      <w:jc w:val="both"/>
    </w:pPr>
    <w:rPr>
      <w:rFonts w:ascii="Calibri" w:hAnsi="Calibri"/>
    </w:rPr>
    <w:tblPr>
      <w:tblBorders>
        <w:top w:val="single" w:color="000000" w:sz="12" w:space="0"/>
        <w:bottom w:val="single" w:color="000000" w:sz="12" w:space="0"/>
      </w:tblBorders>
    </w:tblPr>
    <w:tcPr>
      <w:shd w:val="clear" w:color="auto" w:fill="auto"/>
    </w:tcPr>
    <w:tblStylePr w:type="firstRow">
      <w:rPr>
        <w:color w:val="FFFFFF"/>
      </w:rPr>
      <w:tcPr>
        <w:tcBorders>
          <w:top w:val="nil"/>
          <w:left w:val="single" w:color="000000" w:sz="6" w:space="0"/>
          <w:bottom w:val="nil"/>
          <w:right w:val="nil"/>
          <w:insideH w:val="nil"/>
          <w:insideV w:val="nil"/>
          <w:tl2br w:val="nil"/>
          <w:tr2bl w:val="nil"/>
        </w:tcBorders>
        <w:shd w:val="solid" w:color="800080" w:fill="FFFFFF"/>
      </w:tcPr>
    </w:tblStylePr>
    <w:tblStylePr w:type="lastRow">
      <w:tcPr>
        <w:tcBorders>
          <w:top w:val="single" w:color="000000" w:sz="6"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shd w:val="solid" w:color="C0C0C0" w:fill="FFFFFF"/>
      </w:tcPr>
    </w:tblStylePr>
    <w:tblStylePr w:type="neCel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nil"/>
          <w:tr2bl w:val="nil"/>
        </w:tcBorders>
        <w:shd w:val="solid" w:color="800080" w:fill="FFFFFF"/>
      </w:tcPr>
    </w:tblStylePr>
    <w:tblStylePr w:type="swCell">
      <w:rPr>
        <w:color w:val="000080"/>
      </w:rPr>
      <w:tcPr>
        <w:tcBorders>
          <w:top w:val="nil"/>
          <w:left w:val="nil"/>
          <w:bottom w:val="nil"/>
          <w:right w:val="nil"/>
          <w:insideH w:val="nil"/>
          <w:insideV w:val="nil"/>
          <w:tl2br w:val="nil"/>
          <w:tr2bl w:val="nil"/>
        </w:tcBorders>
      </w:tcPr>
    </w:tblStylePr>
  </w:style>
  <w:style w:type="table" w:customStyle="1" w:styleId="3194">
    <w:name w:val="竖列型 221"/>
    <w:basedOn w:val="88"/>
    <w:qFormat/>
    <w:uiPriority w:val="0"/>
    <w:pPr>
      <w:widowControl w:val="0"/>
      <w:spacing w:line="560" w:lineRule="exact"/>
      <w:ind w:firstLine="200" w:firstLineChars="200"/>
      <w:jc w:val="both"/>
    </w:pPr>
    <w:rPr>
      <w:rFonts w:ascii="Calibri" w:hAnsi="Calibri"/>
      <w:b/>
      <w:bCs/>
    </w:rPr>
    <w:tblStylePr w:type="firstRow">
      <w:rPr>
        <w:color w:val="FFFFFF"/>
      </w:rPr>
      <w:tcPr>
        <w:tcBorders>
          <w:top w:val="nil"/>
          <w:left w:val="nil"/>
          <w:bottom w:val="nil"/>
          <w:right w:val="nil"/>
          <w:insideH w:val="nil"/>
          <w:insideV w:val="nil"/>
          <w:tl2br w:val="nil"/>
          <w:tr2bl w:val="nil"/>
        </w:tcBorders>
        <w:shd w:val="solid" w:color="000080" w:fill="FFFFFF"/>
      </w:tcPr>
    </w:tblStylePr>
    <w:tblStylePr w:type="lastRow">
      <w:rPr>
        <w:b w:val="0"/>
        <w:bCs w:val="0"/>
      </w:rPr>
      <w:tcPr>
        <w:tcBorders>
          <w:top w:val="nil"/>
          <w:left w:val="nil"/>
          <w:bottom w:val="nil"/>
          <w:right w:val="nil"/>
          <w:insideH w:val="nil"/>
          <w:insideV w:val="nil"/>
          <w:tl2br w:val="nil"/>
          <w:tr2bl w:val="nil"/>
        </w:tcBorders>
      </w:tcPr>
    </w:tblStylePr>
    <w:tblStylePr w:type="firstCol">
      <w:rPr>
        <w:b w:val="0"/>
        <w:bCs w:val="0"/>
        <w:color w:val="00000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band1Vert">
      <w:rPr>
        <w:color w:val="auto"/>
      </w:rPr>
      <w:tcPr>
        <w:shd w:val="pct30" w:color="000000" w:fill="FFFFFF"/>
      </w:tcPr>
    </w:tblStylePr>
    <w:tblStylePr w:type="band2Vert">
      <w:rPr>
        <w:color w:val="auto"/>
      </w:rPr>
      <w:tcPr>
        <w:shd w:val="pct25" w:color="00FF00" w:fill="FFFFFF"/>
      </w:tcPr>
    </w:tblStylePr>
    <w:tblStylePr w:type="neCell">
      <w:rPr>
        <w:b/>
        <w:bCs/>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195">
    <w:name w:val="典雅型2"/>
    <w:basedOn w:val="88"/>
    <w:qFormat/>
    <w:uiPriority w:val="0"/>
    <w:pPr>
      <w:widowControl w:val="0"/>
      <w:spacing w:line="560" w:lineRule="exact"/>
      <w:ind w:firstLine="200" w:firstLineChars="200"/>
      <w:jc w:val="both"/>
    </w:pPr>
    <w:rPr>
      <w:rFonts w:ascii="Calibri" w:hAnsi="Calibri"/>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196">
    <w:name w:val="表格网格型11"/>
    <w:basedOn w:val="88"/>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97">
    <w:name w:val="网格型193"/>
    <w:basedOn w:val="88"/>
    <w:qFormat/>
    <w:uiPriority w:val="0"/>
    <w:pPr>
      <w:widowControl w:val="0"/>
      <w:spacing w:line="300" w:lineRule="exact"/>
      <w:jc w:val="both"/>
      <w:textAlignment w:val="baseline"/>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98">
    <w:name w:val="彩色型 313"/>
    <w:basedOn w:val="88"/>
    <w:semiHidden/>
    <w:qFormat/>
    <w:uiPriority w:val="0"/>
    <w:pPr>
      <w:widowControl w:val="0"/>
      <w:jc w:val="both"/>
    </w:pPr>
    <w:tblPr>
      <w:tblBorders>
        <w:top w:val="single" w:color="000000" w:sz="18" w:space="0"/>
        <w:left w:val="single" w:color="000000" w:sz="18" w:space="0"/>
        <w:bottom w:val="single" w:color="000000" w:sz="18" w:space="0"/>
        <w:right w:val="single" w:color="000000" w:sz="18" w:space="0"/>
        <w:insideH w:val="single" w:color="C0C0C0" w:sz="6" w:space="0"/>
      </w:tblBorders>
    </w:tblPr>
    <w:tcPr>
      <w:shd w:val="pct25" w:color="008080" w:fill="FFFFFF"/>
    </w:tcPr>
    <w:tblStylePr w:type="firstRow">
      <w:tcPr>
        <w:tcBorders>
          <w:top w:val="nil"/>
          <w:left w:val="single" w:color="000000" w:sz="6" w:space="0"/>
          <w:bottom w:val="nil"/>
          <w:right w:val="nil"/>
          <w:insideH w:val="nil"/>
          <w:insideV w:val="nil"/>
          <w:tl2br w:val="nil"/>
          <w:tr2bl w:val="nil"/>
        </w:tcBorders>
        <w:shd w:val="solid" w:color="008080" w:fill="FFFFFF"/>
      </w:tcPr>
    </w:tblStylePr>
    <w:tblStylePr w:type="firstCol">
      <w:tcPr>
        <w:tcBorders>
          <w:top w:val="nil"/>
          <w:left w:val="nil"/>
          <w:bottom w:val="single" w:color="000000" w:sz="36" w:space="0"/>
          <w:right w:val="single" w:color="000000" w:sz="6" w:space="0"/>
          <w:insideH w:val="nil"/>
          <w:insideV w:val="nil"/>
          <w:tl2br w:val="nil"/>
          <w:tr2bl w:val="nil"/>
        </w:tcBorders>
        <w:shd w:val="solid" w:color="008080" w:fill="FFFFFF"/>
      </w:tcPr>
    </w:tblStylePr>
    <w:tblStylePr w:type="nwCell">
      <w:rPr>
        <w:b/>
        <w:bCs/>
        <w:color w:val="FFFFFF"/>
      </w:rPr>
      <w:tcPr>
        <w:tcBorders>
          <w:top w:val="nil"/>
          <w:left w:val="nil"/>
          <w:bottom w:val="nil"/>
          <w:right w:val="nil"/>
          <w:insideH w:val="nil"/>
          <w:insideV w:val="nil"/>
          <w:tl2br w:val="nil"/>
          <w:tr2bl w:val="nil"/>
        </w:tcBorders>
        <w:shd w:val="solid" w:color="000000" w:fill="FFFFFF"/>
      </w:tcPr>
    </w:tblStylePr>
  </w:style>
  <w:style w:type="table" w:customStyle="1" w:styleId="3199">
    <w:name w:val="网格型3122"/>
    <w:basedOn w:val="88"/>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00">
    <w:name w:val="网格型311212"/>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01">
    <w:name w:val="网格型333"/>
    <w:basedOn w:val="88"/>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02">
    <w:name w:val="网格型3112"/>
    <w:basedOn w:val="88"/>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03">
    <w:name w:val="网格型311111"/>
    <w:basedOn w:val="88"/>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04">
    <w:name w:val="典雅型13"/>
    <w:basedOn w:val="88"/>
    <w:semiHidden/>
    <w:qFormat/>
    <w:uiPriority w:val="0"/>
    <w:pPr>
      <w:widowControl w:val="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205">
    <w:name w:val="网格型3214"/>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06">
    <w:name w:val="网格型 71"/>
    <w:basedOn w:val="88"/>
    <w:semiHidden/>
    <w:qFormat/>
    <w:uiPriority w:val="0"/>
    <w:pPr>
      <w:widowControl w:val="0"/>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cPr>
        <w:tcBorders>
          <w:top w:val="nil"/>
          <w:left w:val="single" w:color="000000" w:sz="12" w:space="0"/>
          <w:bottom w:val="nil"/>
          <w:right w:val="nil"/>
          <w:insideH w:val="nil"/>
          <w:insideV w:val="nil"/>
          <w:tl2br w:val="nil"/>
          <w:tr2bl w:val="nil"/>
        </w:tcBorders>
      </w:tcPr>
    </w:tblStylePr>
    <w:tblStylePr w:type="lastRow">
      <w:rPr>
        <w:b w:val="0"/>
        <w:bCs w:val="0"/>
      </w:rPr>
      <w:tcPr>
        <w:tcBorders>
          <w:top w:val="single" w:color="000000" w:sz="6" w:space="0"/>
          <w:left w:val="nil"/>
          <w:bottom w:val="nil"/>
          <w:right w:val="nil"/>
          <w:insideH w:val="nil"/>
          <w:insideV w:val="nil"/>
          <w:tl2br w:val="nil"/>
          <w:tr2bl w:val="nil"/>
        </w:tcBorders>
      </w:tcPr>
    </w:tblStylePr>
    <w:tblStylePr w:type="firstCol">
      <w:rPr>
        <w:b w:val="0"/>
        <w:bCs w:val="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207">
    <w:name w:val="列表型 411"/>
    <w:basedOn w:val="88"/>
    <w:semiHidden/>
    <w:qFormat/>
    <w:uiPriority w:val="0"/>
    <w:pPr>
      <w:widowControl w:val="0"/>
      <w:jc w:val="both"/>
    </w:pPr>
    <w:rPr>
      <w:rFonts w:ascii="Calibri" w:hAnsi="Calibri"/>
    </w:rPr>
    <w:tblPr>
      <w:tblBorders>
        <w:top w:val="single" w:color="000000" w:sz="12" w:space="0"/>
        <w:left w:val="single" w:color="000000" w:sz="12" w:space="0"/>
        <w:bottom w:val="single" w:color="000000" w:sz="12" w:space="0"/>
        <w:right w:val="single" w:color="000000" w:sz="12" w:space="0"/>
        <w:insideH w:val="single" w:color="000000" w:sz="6" w:space="0"/>
      </w:tblBorders>
    </w:tblPr>
    <w:tcPr>
      <w:shd w:val="clear" w:color="auto" w:fill="auto"/>
    </w:tcPr>
    <w:tblStylePr w:type="firstRow">
      <w:rPr>
        <w:b/>
        <w:bCs/>
        <w:color w:val="FFFFFF"/>
      </w:rPr>
      <w:tcPr>
        <w:tcBorders>
          <w:top w:val="nil"/>
          <w:left w:val="single" w:color="000000" w:sz="12" w:space="0"/>
          <w:bottom w:val="nil"/>
          <w:right w:val="nil"/>
          <w:insideH w:val="nil"/>
          <w:insideV w:val="nil"/>
          <w:tl2br w:val="nil"/>
          <w:tr2bl w:val="nil"/>
        </w:tcBorders>
        <w:shd w:val="solid" w:color="808080" w:fill="FFFFFF"/>
      </w:tcPr>
    </w:tblStylePr>
  </w:style>
  <w:style w:type="table" w:customStyle="1" w:styleId="3208">
    <w:name w:val="立体型 311"/>
    <w:basedOn w:val="88"/>
    <w:semiHidden/>
    <w:qFormat/>
    <w:uiPriority w:val="0"/>
    <w:pPr>
      <w:widowControl w:val="0"/>
      <w:jc w:val="both"/>
    </w:pPr>
    <w:rPr>
      <w:rFonts w:ascii="Calibri" w:hAnsi="Calibri"/>
    </w:rPr>
    <w:tblStylePr w:type="firstRow">
      <w:rPr>
        <w:b/>
        <w:bCs/>
      </w:rPr>
      <w:tcPr>
        <w:tcBorders>
          <w:top w:val="nil"/>
          <w:left w:val="nil"/>
          <w:bottom w:val="nil"/>
          <w:right w:val="nil"/>
          <w:insideH w:val="nil"/>
          <w:insideV w:val="nil"/>
          <w:tl2br w:val="nil"/>
          <w:tr2bl w:val="nil"/>
        </w:tcBorders>
      </w:tcPr>
    </w:tblStylePr>
    <w:tblStylePr w:type="firstCol">
      <w:tcPr>
        <w:tcBorders>
          <w:top w:val="nil"/>
          <w:left w:val="nil"/>
          <w:bottom w:val="nil"/>
          <w:right w:val="single" w:color="808080" w:sz="6" w:space="0"/>
          <w:insideH w:val="nil"/>
          <w:insideV w:val="nil"/>
          <w:tl2br w:val="nil"/>
          <w:tr2bl w:val="nil"/>
        </w:tcBorders>
      </w:tcPr>
    </w:tblStylePr>
    <w:tblStylePr w:type="lastCol">
      <w:tcPr>
        <w:tcBorders>
          <w:top w:val="nil"/>
          <w:left w:val="nil"/>
          <w:bottom w:val="nil"/>
          <w:right w:val="single" w:color="FFFFFF" w:sz="6" w:space="0"/>
          <w:insideH w:val="nil"/>
          <w:insideV w:val="nil"/>
          <w:tl2br w:val="nil"/>
          <w:tr2bl w:val="nil"/>
        </w:tcBorders>
      </w:tcPr>
    </w:tblStylePr>
    <w:tblStylePr w:type="band1Vert">
      <w:rPr>
        <w:color w:val="auto"/>
      </w:rPr>
      <w:tcPr>
        <w:shd w:val="solid" w:color="C0C0C0" w:fill="FFFFFF"/>
      </w:tcPr>
    </w:tblStylePr>
    <w:tblStylePr w:type="band2Vert">
      <w:rPr>
        <w:color w:val="auto"/>
      </w:rPr>
      <w:tcPr>
        <w:shd w:val="pct50" w:color="C0C0C0" w:fill="FFFFFF"/>
      </w:tcPr>
    </w:tblStylePr>
    <w:tblStylePr w:type="band1Horz">
      <w:tcPr>
        <w:tcBorders>
          <w:top w:val="single" w:color="808080" w:sz="6" w:space="0"/>
          <w:left w:val="single" w:color="FFFFFF" w:sz="6" w:space="0"/>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209">
    <w:name w:val="彩色型 213"/>
    <w:basedOn w:val="88"/>
    <w:semiHidden/>
    <w:qFormat/>
    <w:uiPriority w:val="0"/>
    <w:pPr>
      <w:widowControl w:val="0"/>
      <w:jc w:val="both"/>
    </w:pPr>
    <w:tblPr>
      <w:tblBorders>
        <w:bottom w:val="single" w:color="000000" w:sz="12" w:space="0"/>
      </w:tblBorders>
    </w:tblPr>
    <w:tcPr>
      <w:shd w:val="pct20" w:color="FFFF00" w:fill="FFFFFF"/>
    </w:tcPr>
    <w:tblStylePr w:type="firstRow">
      <w:rPr>
        <w:b/>
        <w:bCs/>
        <w:i/>
        <w:iCs/>
        <w:color w:val="FFFFFF"/>
      </w:rPr>
      <w:tcPr>
        <w:tcBorders>
          <w:top w:val="nil"/>
          <w:left w:val="single" w:color="000000" w:sz="12" w:space="0"/>
          <w:bottom w:val="nil"/>
          <w:right w:val="nil"/>
          <w:insideH w:val="nil"/>
          <w:insideV w:val="nil"/>
          <w:tl2br w:val="nil"/>
          <w:tr2bl w:val="nil"/>
        </w:tcBorders>
        <w:shd w:val="solid" w:color="800000" w:fill="FFFFFF"/>
      </w:tcPr>
    </w:tblStylePr>
    <w:tblStylePr w:type="firstCol">
      <w:rPr>
        <w:b/>
        <w:bCs/>
        <w:i/>
        <w:iCs/>
      </w:rPr>
      <w:tcPr>
        <w:tcBorders>
          <w:top w:val="nil"/>
          <w:left w:val="nil"/>
          <w:bottom w:val="nil"/>
          <w:right w:val="nil"/>
          <w:insideH w:val="nil"/>
          <w:insideV w:val="nil"/>
          <w:tl2br w:val="nil"/>
          <w:tr2bl w:val="nil"/>
        </w:tcBorders>
      </w:tcPr>
    </w:tblStylePr>
    <w:tblStylePr w:type="lastCol">
      <w:tcPr>
        <w:tcBorders>
          <w:top w:val="nil"/>
          <w:left w:val="nil"/>
          <w:bottom w:val="nil"/>
          <w:right w:val="nil"/>
          <w:insideH w:val="nil"/>
          <w:insideV w:val="nil"/>
          <w:tl2br w:val="nil"/>
          <w:tr2bl w:val="nil"/>
        </w:tcBorders>
        <w:shd w:val="solid" w:color="C0C0C0" w:fill="FFFFFF"/>
      </w:tcPr>
    </w:tblStylePr>
    <w:tblStylePr w:type="swCell">
      <w:rPr>
        <w:b/>
        <w:bCs/>
        <w:i w:val="0"/>
        <w:iCs w:val="0"/>
      </w:rPr>
      <w:tcPr>
        <w:tcBorders>
          <w:top w:val="nil"/>
          <w:left w:val="nil"/>
          <w:bottom w:val="nil"/>
          <w:right w:val="nil"/>
          <w:insideH w:val="nil"/>
          <w:insideV w:val="nil"/>
          <w:tl2br w:val="nil"/>
          <w:tr2bl w:val="nil"/>
        </w:tcBorders>
      </w:tcPr>
    </w:tblStylePr>
  </w:style>
  <w:style w:type="table" w:customStyle="1" w:styleId="3210">
    <w:name w:val="典雅型12"/>
    <w:basedOn w:val="88"/>
    <w:semiHidden/>
    <w:qFormat/>
    <w:uiPriority w:val="0"/>
    <w:pPr>
      <w:widowControl w:val="0"/>
      <w:jc w:val="both"/>
    </w:pPr>
    <w:rPr>
      <w:rFonts w:ascii="Calibri" w:hAnsi="Calibri"/>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211">
    <w:name w:val="网格型18"/>
    <w:basedOn w:val="88"/>
    <w:qFormat/>
    <w:uiPriority w:val="0"/>
    <w:pPr>
      <w:widowControl w:val="0"/>
      <w:spacing w:line="300" w:lineRule="exact"/>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12">
    <w:name w:val="网格型 11"/>
    <w:basedOn w:val="88"/>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213">
    <w:name w:val="网格型3114"/>
    <w:basedOn w:val="88"/>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14">
    <w:name w:val="古典型 12"/>
    <w:basedOn w:val="88"/>
    <w:qFormat/>
    <w:uiPriority w:val="0"/>
    <w:pPr>
      <w:widowControl w:val="0"/>
      <w:spacing w:line="560" w:lineRule="exact"/>
      <w:ind w:firstLine="200" w:firstLineChars="200"/>
      <w:jc w:val="both"/>
    </w:pPr>
    <w:rPr>
      <w:rFonts w:ascii="Calibri" w:hAnsi="Calibri"/>
    </w:r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215">
    <w:name w:val="网格型321111"/>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16">
    <w:name w:val="精巧型 24"/>
    <w:basedOn w:val="88"/>
    <w:qFormat/>
    <w:uiPriority w:val="0"/>
    <w:pPr>
      <w:widowControl w:val="0"/>
      <w:spacing w:line="560" w:lineRule="exact"/>
      <w:ind w:firstLine="200" w:firstLineChars="200"/>
      <w:jc w:val="both"/>
    </w:pPr>
    <w:rPr>
      <w:rFonts w:ascii="Calibri" w:hAnsi="Calibri"/>
    </w:rPr>
    <w:tblPr>
      <w:tblBorders>
        <w:left w:val="single" w:color="000000" w:sz="6" w:space="0"/>
        <w:right w:val="single" w:color="000000" w:sz="6" w:space="0"/>
      </w:tblBorders>
    </w:tblPr>
    <w:tblStylePr w:type="firstRow">
      <w:tcPr>
        <w:tcBorders>
          <w:top w:val="nil"/>
          <w:left w:val="single" w:color="000000" w:sz="12" w:space="0"/>
          <w:bottom w:val="nil"/>
          <w:right w:val="nil"/>
          <w:insideH w:val="nil"/>
          <w:insideV w:val="nil"/>
          <w:tl2br w:val="nil"/>
          <w:tr2bl w:val="nil"/>
        </w:tcBorders>
      </w:tcPr>
    </w:tblStylePr>
    <w:tblStylePr w:type="lastRow">
      <w:tcPr>
        <w:tcBorders>
          <w:top w:val="single" w:color="000000" w:sz="12" w:space="0"/>
          <w:left w:val="nil"/>
          <w:bottom w:val="nil"/>
          <w:right w:val="nil"/>
          <w:insideH w:val="nil"/>
          <w:insideV w:val="nil"/>
          <w:tl2br w:val="nil"/>
          <w:tr2bl w:val="nil"/>
        </w:tcBorders>
      </w:tcPr>
    </w:tblStylePr>
    <w:tblStylePr w:type="firstCol">
      <w:tcPr>
        <w:tcBorders>
          <w:top w:val="nil"/>
          <w:left w:val="nil"/>
          <w:bottom w:val="nil"/>
          <w:right w:val="single" w:color="000000" w:sz="12" w:space="0"/>
          <w:insideH w:val="nil"/>
          <w:insideV w:val="nil"/>
          <w:tl2br w:val="nil"/>
          <w:tr2bl w:val="nil"/>
        </w:tcBorders>
        <w:shd w:val="pct25" w:color="008000" w:fill="FFFFFF"/>
      </w:tcPr>
    </w:tblStylePr>
    <w:tblStylePr w:type="lastCol">
      <w:tcPr>
        <w:tcBorders>
          <w:top w:val="nil"/>
          <w:left w:val="nil"/>
          <w:bottom w:val="single" w:color="000000" w:sz="12" w:space="0"/>
          <w:right w:val="nil"/>
          <w:insideH w:val="nil"/>
          <w:insideV w:val="nil"/>
          <w:tl2br w:val="nil"/>
          <w:tr2bl w:val="nil"/>
        </w:tcBorders>
        <w:shd w:val="pct25" w:color="808000" w:fill="FFFFFF"/>
      </w:tcPr>
    </w:tblStylePr>
    <w:tblStylePr w:type="neCell">
      <w:rPr>
        <w:b/>
        <w:bCs/>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217">
    <w:name w:val="竖列型 23"/>
    <w:basedOn w:val="88"/>
    <w:qFormat/>
    <w:uiPriority w:val="0"/>
    <w:pPr>
      <w:widowControl w:val="0"/>
      <w:spacing w:line="560" w:lineRule="exact"/>
      <w:ind w:firstLine="200" w:firstLineChars="200"/>
      <w:jc w:val="both"/>
    </w:pPr>
    <w:rPr>
      <w:rFonts w:ascii="Calibri" w:hAnsi="Calibri"/>
      <w:b/>
      <w:bCs/>
    </w:rPr>
    <w:tblStylePr w:type="firstRow">
      <w:rPr>
        <w:color w:val="FFFFFF"/>
      </w:rPr>
      <w:tcPr>
        <w:tcBorders>
          <w:top w:val="nil"/>
          <w:left w:val="nil"/>
          <w:bottom w:val="nil"/>
          <w:right w:val="nil"/>
          <w:insideH w:val="nil"/>
          <w:insideV w:val="nil"/>
          <w:tl2br w:val="nil"/>
          <w:tr2bl w:val="nil"/>
        </w:tcBorders>
        <w:shd w:val="solid" w:color="000080" w:fill="FFFFFF"/>
      </w:tcPr>
    </w:tblStylePr>
    <w:tblStylePr w:type="lastRow">
      <w:rPr>
        <w:b w:val="0"/>
        <w:bCs w:val="0"/>
      </w:rPr>
      <w:tcPr>
        <w:tcBorders>
          <w:top w:val="nil"/>
          <w:left w:val="nil"/>
          <w:bottom w:val="nil"/>
          <w:right w:val="nil"/>
          <w:insideH w:val="nil"/>
          <w:insideV w:val="nil"/>
          <w:tl2br w:val="nil"/>
          <w:tr2bl w:val="nil"/>
        </w:tcBorders>
      </w:tcPr>
    </w:tblStylePr>
    <w:tblStylePr w:type="firstCol">
      <w:rPr>
        <w:b w:val="0"/>
        <w:bCs w:val="0"/>
        <w:color w:val="00000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band1Vert">
      <w:rPr>
        <w:color w:val="auto"/>
      </w:rPr>
      <w:tcPr>
        <w:shd w:val="pct30" w:color="000000" w:fill="FFFFFF"/>
      </w:tcPr>
    </w:tblStylePr>
    <w:tblStylePr w:type="band2Vert">
      <w:rPr>
        <w:color w:val="auto"/>
      </w:rPr>
      <w:tcPr>
        <w:shd w:val="pct25" w:color="00FF00" w:fill="FFFFFF"/>
      </w:tcPr>
    </w:tblStylePr>
    <w:tblStylePr w:type="neCell">
      <w:rPr>
        <w:b/>
        <w:bCs/>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218">
    <w:name w:val="列表型 74"/>
    <w:basedOn w:val="88"/>
    <w:qFormat/>
    <w:uiPriority w:val="0"/>
    <w:pPr>
      <w:widowControl w:val="0"/>
      <w:spacing w:line="560" w:lineRule="exact"/>
      <w:ind w:firstLine="200" w:firstLineChars="200"/>
      <w:jc w:val="both"/>
    </w:pPr>
    <w:rPr>
      <w:rFonts w:ascii="Calibri" w:hAnsi="Calibri"/>
    </w:r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219">
    <w:name w:val="网格型1821"/>
    <w:basedOn w:val="88"/>
    <w:qFormat/>
    <w:uiPriority w:val="59"/>
    <w:pPr>
      <w:widowControl w:val="0"/>
      <w:spacing w:line="300" w:lineRule="exact"/>
      <w:jc w:val="both"/>
      <w:textAlignment w:val="baseline"/>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20">
    <w:name w:val="网格型10"/>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21">
    <w:name w:val="表格主题4111"/>
    <w:basedOn w:val="88"/>
    <w:qFormat/>
    <w:uiPriority w:val="0"/>
    <w:pPr>
      <w:widowControl w:val="0"/>
      <w:adjustRightInd w:val="0"/>
      <w:snapToGrid w:val="0"/>
      <w:jc w:val="center"/>
    </w:pPr>
    <w:rPr>
      <w:rFonts w:ascii="Calibri" w:hAnsi="Calibri"/>
      <w:sz w:val="24"/>
      <w:szCs w:val="24"/>
    </w:rPr>
    <w:tblPr>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rPr>
      <w:jc w:val="center"/>
    </w:trPr>
    <w:tcPr>
      <w:tcMar>
        <w:left w:w="28" w:type="dxa"/>
        <w:right w:w="28" w:type="dxa"/>
      </w:tcMar>
      <w:vAlign w:val="center"/>
    </w:tcPr>
    <w:tblStylePr w:type="firstRow">
      <w:pPr>
        <w:wordWrap/>
        <w:spacing w:beforeLines="0" w:beforeAutospacing="0" w:afterLines="0" w:afterAutospacing="0" w:line="240" w:lineRule="auto"/>
        <w:ind w:left="0" w:leftChars="0" w:right="0" w:rightChars="0"/>
      </w:pPr>
      <w:rPr>
        <w:rFonts w:ascii="Times New Roman" w:hAnsi="Times New Roman" w:eastAsia="方正魏碑_GBK"/>
        <w:sz w:val="21"/>
      </w:rPr>
      <w:tcPr>
        <w:tcBorders>
          <w:top w:val="single" w:color="auto" w:sz="12" w:space="0"/>
          <w:left w:val="single" w:color="auto" w:sz="4" w:space="0"/>
          <w:bottom w:val="single" w:color="auto" w:sz="12" w:space="0"/>
          <w:right w:val="single" w:color="auto" w:sz="12" w:space="0"/>
          <w:insideH w:val="single" w:sz="4" w:space="0"/>
          <w:insideV w:val="single" w:sz="4" w:space="0"/>
          <w:tl2br w:val="nil"/>
          <w:tr2bl w:val="nil"/>
        </w:tcBorders>
      </w:tcPr>
    </w:tblStylePr>
    <w:tblStylePr w:type="firstCol">
      <w:pPr>
        <w:keepNext w:val="0"/>
        <w:keepLines w:val="0"/>
        <w:pageBreakBefore w:val="0"/>
        <w:widowControl w:val="0"/>
        <w:suppressLineNumbers w:val="0"/>
        <w:suppressAutoHyphens w:val="0"/>
        <w:wordWrap/>
        <w:spacing w:beforeLines="0" w:beforeAutospacing="0" w:afterLines="0" w:afterAutospacing="0" w:line="240" w:lineRule="auto"/>
        <w:ind w:left="0" w:leftChars="0" w:right="0" w:rightChars="0"/>
      </w:pPr>
      <w:rPr>
        <w:rFonts w:ascii="Times New Roman" w:hAnsi="Times New Roman" w:eastAsia="方正魏碑_GBK"/>
        <w:b w:val="0"/>
        <w:sz w:val="21"/>
      </w:rPr>
    </w:tblStylePr>
  </w:style>
  <w:style w:type="table" w:customStyle="1" w:styleId="3222">
    <w:name w:val="彩色型 111"/>
    <w:basedOn w:val="88"/>
    <w:semiHidden/>
    <w:qFormat/>
    <w:uiPriority w:val="0"/>
    <w:pPr>
      <w:widowControl w:val="0"/>
      <w:jc w:val="both"/>
    </w:pPr>
    <w:rPr>
      <w:rFonts w:ascii="Calibri" w:hAnsi="Calibri"/>
      <w:color w:val="FFFFFF"/>
    </w:rPr>
    <w:tblPr>
      <w:tblBorders>
        <w:top w:val="single" w:color="008080" w:sz="12" w:space="0"/>
        <w:left w:val="single" w:color="008080" w:sz="12" w:space="0"/>
        <w:bottom w:val="single" w:color="008080" w:sz="12" w:space="0"/>
        <w:right w:val="single" w:color="008080" w:sz="12" w:space="0"/>
        <w:insideH w:val="single" w:color="00FFFF" w:sz="6" w:space="0"/>
      </w:tblBorders>
    </w:tblPr>
    <w:tcPr>
      <w:shd w:val="solid" w:color="008080" w:fill="FFFFFF"/>
    </w:tcPr>
    <w:tblStylePr w:type="firstRow">
      <w:rPr>
        <w:b/>
        <w:bCs/>
        <w:i/>
        <w:iCs/>
      </w:rPr>
      <w:tcPr>
        <w:tcBorders>
          <w:top w:val="nil"/>
          <w:left w:val="nil"/>
          <w:bottom w:val="nil"/>
          <w:right w:val="nil"/>
          <w:insideH w:val="nil"/>
          <w:insideV w:val="nil"/>
          <w:tl2br w:val="nil"/>
          <w:tr2bl w:val="nil"/>
        </w:tcBorders>
        <w:shd w:val="solid" w:color="000000" w:fill="FFFFFF"/>
      </w:tcPr>
    </w:tblStylePr>
    <w:tblStylePr w:type="firstCol">
      <w:rPr>
        <w:b/>
        <w:bCs/>
        <w:i/>
        <w:iCs/>
      </w:rPr>
      <w:tcPr>
        <w:tcBorders>
          <w:top w:val="nil"/>
          <w:left w:val="nil"/>
          <w:bottom w:val="nil"/>
          <w:right w:val="nil"/>
          <w:insideH w:val="nil"/>
          <w:insideV w:val="nil"/>
          <w:tl2br w:val="nil"/>
          <w:tr2bl w:val="nil"/>
        </w:tcBorders>
        <w:shd w:val="solid" w:color="000080" w:fill="FFFFFF"/>
      </w:tcPr>
    </w:tblStylePr>
    <w:tblStylePr w:type="nwCell">
      <w:tcPr>
        <w:tcBorders>
          <w:top w:val="nil"/>
          <w:left w:val="nil"/>
          <w:bottom w:val="nil"/>
          <w:right w:val="nil"/>
          <w:insideH w:val="nil"/>
          <w:insideV w:val="nil"/>
          <w:tl2br w:val="nil"/>
          <w:tr2bl w:val="nil"/>
        </w:tcBorders>
        <w:shd w:val="solid" w:color="000000" w:fill="FFFFFF"/>
      </w:tcPr>
    </w:tblStylePr>
    <w:tblStylePr w:type="swCell">
      <w:rPr>
        <w:b/>
        <w:bCs/>
        <w:i w:val="0"/>
        <w:iCs w:val="0"/>
      </w:rPr>
      <w:tcPr>
        <w:tcBorders>
          <w:top w:val="nil"/>
          <w:left w:val="nil"/>
          <w:bottom w:val="nil"/>
          <w:right w:val="nil"/>
          <w:insideH w:val="nil"/>
          <w:insideV w:val="nil"/>
          <w:tl2br w:val="nil"/>
          <w:tr2bl w:val="nil"/>
        </w:tcBorders>
      </w:tcPr>
    </w:tblStylePr>
  </w:style>
  <w:style w:type="table" w:customStyle="1" w:styleId="3223">
    <w:name w:val="竖列型 52"/>
    <w:basedOn w:val="88"/>
    <w:qFormat/>
    <w:uiPriority w:val="0"/>
    <w:pPr>
      <w:widowControl w:val="0"/>
      <w:spacing w:line="560" w:lineRule="exact"/>
      <w:ind w:firstLine="200" w:firstLineChars="200"/>
      <w:jc w:val="both"/>
    </w:pPr>
    <w:rPr>
      <w:rFonts w:ascii="Calibri" w:hAnsi="Calibri"/>
    </w:rPr>
    <w:tblPr>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cPr>
        <w:tcBorders>
          <w:top w:val="nil"/>
          <w:left w:val="single" w:color="808080" w:sz="6" w:space="0"/>
          <w:bottom w:val="nil"/>
          <w:right w:val="nil"/>
          <w:insideH w:val="nil"/>
          <w:insideV w:val="nil"/>
          <w:tl2br w:val="nil"/>
          <w:tr2bl w:val="nil"/>
        </w:tcBorders>
      </w:tcPr>
    </w:tblStylePr>
    <w:tblStylePr w:type="lastRow">
      <w:rPr>
        <w:b/>
        <w:bCs/>
      </w:rPr>
      <w:tcPr>
        <w:tcBorders>
          <w:top w:val="single" w:color="808080" w:sz="6"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Vert">
      <w:rPr>
        <w:color w:val="auto"/>
      </w:rPr>
      <w:tcPr>
        <w:shd w:val="solid" w:color="C0C0C0" w:fill="FFFFFF"/>
      </w:tcPr>
    </w:tblStylePr>
    <w:tblStylePr w:type="band2Vert">
      <w:rPr>
        <w:color w:val="auto"/>
      </w:rPr>
    </w:tblStylePr>
  </w:style>
  <w:style w:type="table" w:customStyle="1" w:styleId="3224">
    <w:name w:val="网格型 62"/>
    <w:basedOn w:val="88"/>
    <w:qFormat/>
    <w:uiPriority w:val="0"/>
    <w:pPr>
      <w:widowControl w:val="0"/>
      <w:spacing w:line="560" w:lineRule="exact"/>
      <w:ind w:firstLine="200" w:firstLineChars="200"/>
      <w:jc w:val="both"/>
    </w:pPr>
    <w:rPr>
      <w:rFonts w:ascii="Calibri" w:hAnsi="Calibri"/>
    </w:rPr>
    <w:tblPr>
      <w:tblBorders>
        <w:top w:val="single" w:color="000000" w:sz="12" w:space="0"/>
        <w:left w:val="single" w:color="000000" w:sz="12" w:space="0"/>
        <w:bottom w:val="single" w:color="000000" w:sz="12" w:space="0"/>
        <w:right w:val="single" w:color="000000" w:sz="12" w:space="0"/>
        <w:insideV w:val="single" w:color="000000" w:sz="6" w:space="0"/>
      </w:tblBorders>
    </w:tblPr>
    <w:tcPr>
      <w:shd w:val="clear" w:color="auto" w:fill="auto"/>
    </w:tcPr>
    <w:tblStylePr w:type="firstRow">
      <w:rPr>
        <w:b/>
        <w:b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225">
    <w:name w:val="列表型 711"/>
    <w:basedOn w:val="88"/>
    <w:semiHidden/>
    <w:qFormat/>
    <w:uiPriority w:val="0"/>
    <w:pPr>
      <w:widowControl w:val="0"/>
      <w:jc w:val="both"/>
    </w:pPr>
    <w:rPr>
      <w:rFonts w:ascii="Calibri" w:hAnsi="Calibri"/>
    </w:r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226">
    <w:name w:val="网格型31111111"/>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27">
    <w:name w:val="列表型 413"/>
    <w:basedOn w:val="88"/>
    <w:semiHidden/>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tblBorders>
    </w:tblPr>
    <w:tcPr>
      <w:shd w:val="clear" w:color="auto" w:fill="auto"/>
    </w:tcPr>
    <w:tblStylePr w:type="firstRow">
      <w:rPr>
        <w:b/>
        <w:bCs/>
        <w:color w:val="FFFFFF"/>
      </w:rPr>
      <w:tcPr>
        <w:tcBorders>
          <w:top w:val="nil"/>
          <w:left w:val="single" w:color="000000" w:sz="12" w:space="0"/>
          <w:bottom w:val="nil"/>
          <w:right w:val="nil"/>
          <w:insideH w:val="nil"/>
          <w:insideV w:val="nil"/>
          <w:tl2br w:val="nil"/>
          <w:tr2bl w:val="nil"/>
        </w:tcBorders>
        <w:shd w:val="solid" w:color="808080" w:fill="FFFFFF"/>
      </w:tcPr>
    </w:tblStylePr>
  </w:style>
  <w:style w:type="table" w:customStyle="1" w:styleId="3228">
    <w:name w:val="表格主题－E版1"/>
    <w:basedOn w:val="88"/>
    <w:semiHidden/>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29">
    <w:name w:val="列表型 62"/>
    <w:basedOn w:val="88"/>
    <w:qFormat/>
    <w:uiPriority w:val="0"/>
    <w:pPr>
      <w:widowControl w:val="0"/>
      <w:spacing w:line="560" w:lineRule="exact"/>
      <w:ind w:firstLine="200" w:firstLineChars="200"/>
      <w:jc w:val="both"/>
    </w:pPr>
    <w:rPr>
      <w:rFonts w:ascii="Calibri" w:hAnsi="Calibri"/>
    </w:rPr>
    <w:tblPr>
      <w:tblBorders>
        <w:top w:val="single" w:color="000000" w:sz="6" w:space="0"/>
        <w:left w:val="single" w:color="000000" w:sz="6" w:space="0"/>
        <w:bottom w:val="single" w:color="000000" w:sz="6" w:space="0"/>
        <w:right w:val="single" w:color="000000" w:sz="6" w:space="0"/>
      </w:tblBorders>
    </w:tblPr>
    <w:tcPr>
      <w:shd w:val="pct50" w:color="000000" w:fill="FFFFFF"/>
    </w:tcPr>
    <w:tblStylePr w:type="firstRow">
      <w:rPr>
        <w:b/>
        <w:bCs/>
      </w:rPr>
      <w:tcPr>
        <w:tcBorders>
          <w:top w:val="nil"/>
          <w:left w:val="single" w:color="000000" w:sz="12" w:space="0"/>
          <w:bottom w:val="nil"/>
          <w:right w:val="nil"/>
          <w:insideH w:val="nil"/>
          <w:insideV w:val="nil"/>
          <w:tl2br w:val="nil"/>
          <w:tr2bl w:val="nil"/>
        </w:tcBorders>
      </w:tcPr>
    </w:tblStylePr>
    <w:tblStylePr w:type="firstCol">
      <w:rPr>
        <w:b/>
        <w:bCs/>
      </w:rPr>
      <w:tcPr>
        <w:tcBorders>
          <w:top w:val="nil"/>
          <w:left w:val="nil"/>
          <w:bottom w:val="nil"/>
          <w:right w:val="single" w:color="000000" w:sz="12" w:space="0"/>
          <w:insideH w:val="nil"/>
          <w:insideV w:val="nil"/>
          <w:tl2br w:val="nil"/>
          <w:tr2bl w:val="nil"/>
        </w:tcBorders>
      </w:tcPr>
    </w:tblStylePr>
    <w:tblStylePr w:type="band1Horz">
      <w:tcPr>
        <w:tcBorders>
          <w:top w:val="nil"/>
          <w:left w:val="nil"/>
          <w:bottom w:val="nil"/>
          <w:right w:val="nil"/>
          <w:insideH w:val="nil"/>
          <w:insideV w:val="nil"/>
          <w:tl2br w:val="nil"/>
          <w:tr2bl w:val="nil"/>
        </w:tcBorders>
        <w:shd w:val="pct25" w:color="000000" w:fill="FFFFFF"/>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230">
    <w:name w:val="立体型 111"/>
    <w:basedOn w:val="88"/>
    <w:semiHidden/>
    <w:qFormat/>
    <w:uiPriority w:val="0"/>
    <w:pPr>
      <w:widowControl w:val="0"/>
      <w:jc w:val="both"/>
    </w:pPr>
    <w:rPr>
      <w:rFonts w:ascii="Calibri" w:hAnsi="Calibri"/>
    </w:rPr>
    <w:tcPr>
      <w:shd w:val="solid" w:color="C0C0C0" w:fill="FFFFFF"/>
    </w:tcPr>
    <w:tblStylePr w:type="firstRow">
      <w:rPr>
        <w:b/>
        <w:bCs/>
        <w:color w:val="800080"/>
      </w:rPr>
      <w:tcPr>
        <w:tcBorders>
          <w:top w:val="nil"/>
          <w:left w:val="single" w:color="808080" w:sz="6" w:space="0"/>
          <w:bottom w:val="nil"/>
          <w:right w:val="nil"/>
          <w:insideH w:val="nil"/>
          <w:insideV w:val="nil"/>
          <w:tl2br w:val="nil"/>
          <w:tr2bl w:val="nil"/>
        </w:tcBorders>
      </w:tcPr>
    </w:tblStylePr>
    <w:tblStylePr w:type="lastRow">
      <w:tcPr>
        <w:tcBorders>
          <w:top w:val="single" w:color="FFFFFF" w:sz="6" w:space="0"/>
          <w:left w:val="nil"/>
          <w:bottom w:val="nil"/>
          <w:right w:val="nil"/>
          <w:insideH w:val="nil"/>
          <w:insideV w:val="nil"/>
          <w:tl2br w:val="nil"/>
          <w:tr2bl w:val="nil"/>
        </w:tcBorders>
      </w:tcPr>
    </w:tblStylePr>
    <w:tblStylePr w:type="firstCol">
      <w:rPr>
        <w:b/>
        <w:bCs/>
      </w:rPr>
      <w:tcPr>
        <w:tcBorders>
          <w:top w:val="nil"/>
          <w:left w:val="nil"/>
          <w:bottom w:val="nil"/>
          <w:right w:val="single" w:color="808080" w:sz="6" w:space="0"/>
          <w:insideH w:val="nil"/>
          <w:insideV w:val="nil"/>
          <w:tl2br w:val="nil"/>
          <w:tr2bl w:val="nil"/>
        </w:tcBorders>
      </w:tcPr>
    </w:tblStylePr>
    <w:tblStylePr w:type="lastCol">
      <w:tcPr>
        <w:tcBorders>
          <w:top w:val="nil"/>
          <w:left w:val="nil"/>
          <w:bottom w:val="single" w:color="FFFFFF" w:sz="6" w:space="0"/>
          <w:right w:val="nil"/>
          <w:insideH w:val="nil"/>
          <w:insideV w:val="nil"/>
          <w:tl2br w:val="nil"/>
          <w:tr2bl w:val="nil"/>
        </w:tcBorders>
      </w:tcPr>
    </w:tblStylePr>
    <w:tblStylePr w:type="neCell">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nil"/>
          <w:tr2bl w:val="nil"/>
        </w:tcBorders>
      </w:tcPr>
    </w:tblStylePr>
    <w:tblStylePr w:type="seCell">
      <w:tcPr>
        <w:tcBorders>
          <w:top w:val="nil"/>
          <w:left w:val="nil"/>
          <w:bottom w:val="nil"/>
          <w:right w:val="nil"/>
          <w:insideH w:val="nil"/>
          <w:insideV w:val="nil"/>
          <w:tl2br w:val="nil"/>
          <w:tr2bl w:val="nil"/>
        </w:tcBorders>
      </w:tcPr>
    </w:tblStylePr>
    <w:tblStylePr w:type="swCell">
      <w:rPr>
        <w:color w:val="000080"/>
      </w:rPr>
      <w:tcPr>
        <w:tcBorders>
          <w:top w:val="nil"/>
          <w:left w:val="nil"/>
          <w:bottom w:val="nil"/>
          <w:right w:val="nil"/>
          <w:insideH w:val="nil"/>
          <w:insideV w:val="nil"/>
          <w:tl2br w:val="nil"/>
          <w:tr2bl w:val="nil"/>
        </w:tcBorders>
      </w:tcPr>
    </w:tblStylePr>
  </w:style>
  <w:style w:type="table" w:customStyle="1" w:styleId="3231">
    <w:name w:val="网格型3232"/>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32">
    <w:name w:val="列表型 313"/>
    <w:basedOn w:val="88"/>
    <w:semiHidden/>
    <w:qFormat/>
    <w:uiPriority w:val="0"/>
    <w:pPr>
      <w:widowControl w:val="0"/>
      <w:jc w:val="both"/>
    </w:pPr>
    <w:tblPr>
      <w:tblBorders>
        <w:top w:val="single" w:color="000000" w:sz="12" w:space="0"/>
        <w:bottom w:val="single" w:color="000000" w:sz="12" w:space="0"/>
        <w:insideH w:val="single" w:color="000000" w:sz="6" w:space="0"/>
      </w:tblBorders>
    </w:tblPr>
    <w:tcPr>
      <w:shd w:val="clear" w:color="auto" w:fill="auto"/>
    </w:tcPr>
    <w:tblStylePr w:type="firstRow">
      <w:rPr>
        <w:b/>
        <w:bCs/>
        <w:color w:val="000080"/>
      </w:rPr>
      <w:tcPr>
        <w:tcBorders>
          <w:top w:val="nil"/>
          <w:left w:val="single" w:color="000000" w:sz="12" w:space="0"/>
          <w:bottom w:val="nil"/>
          <w:right w:val="nil"/>
          <w:insideH w:val="nil"/>
          <w:insideV w:val="nil"/>
          <w:tl2br w:val="nil"/>
          <w:tr2bl w:val="nil"/>
        </w:tcBorders>
      </w:tcPr>
    </w:tblStylePr>
    <w:tblStylePr w:type="lastRow">
      <w:tcPr>
        <w:tcBorders>
          <w:top w:val="single" w:color="000000" w:sz="12" w:space="0"/>
          <w:left w:val="nil"/>
          <w:bottom w:val="nil"/>
          <w:right w:val="nil"/>
          <w:insideH w:val="nil"/>
          <w:insideV w:val="nil"/>
          <w:tl2br w:val="nil"/>
          <w:tr2bl w:val="nil"/>
        </w:tcBorders>
      </w:tcPr>
    </w:tblStylePr>
    <w:tblStylePr w:type="swCell">
      <w:rPr>
        <w:i/>
        <w:iCs/>
        <w:color w:val="000080"/>
      </w:rPr>
      <w:tcPr>
        <w:tcBorders>
          <w:top w:val="nil"/>
          <w:left w:val="nil"/>
          <w:bottom w:val="nil"/>
          <w:right w:val="nil"/>
          <w:insideH w:val="nil"/>
          <w:insideV w:val="nil"/>
          <w:tl2br w:val="nil"/>
          <w:tr2bl w:val="nil"/>
        </w:tcBorders>
      </w:tcPr>
    </w:tblStylePr>
  </w:style>
  <w:style w:type="table" w:customStyle="1" w:styleId="3233">
    <w:name w:val="彩色型 32"/>
    <w:basedOn w:val="88"/>
    <w:qFormat/>
    <w:uiPriority w:val="0"/>
    <w:pPr>
      <w:widowControl w:val="0"/>
      <w:spacing w:line="560" w:lineRule="exact"/>
      <w:ind w:firstLine="200" w:firstLineChars="200"/>
      <w:jc w:val="both"/>
    </w:pPr>
    <w:rPr>
      <w:rFonts w:ascii="Calibri" w:hAnsi="Calibri"/>
    </w:rPr>
    <w:tblPr>
      <w:tblBorders>
        <w:top w:val="single" w:color="000000" w:sz="18" w:space="0"/>
        <w:left w:val="single" w:color="000000" w:sz="18" w:space="0"/>
        <w:bottom w:val="single" w:color="000000" w:sz="18" w:space="0"/>
        <w:right w:val="single" w:color="000000" w:sz="18" w:space="0"/>
        <w:insideH w:val="single" w:color="C0C0C0" w:sz="6" w:space="0"/>
      </w:tblBorders>
    </w:tblPr>
    <w:tcPr>
      <w:shd w:val="pct25" w:color="008080" w:fill="FFFFFF"/>
    </w:tcPr>
    <w:tblStylePr w:type="firstRow">
      <w:tcPr>
        <w:tcBorders>
          <w:top w:val="nil"/>
          <w:left w:val="single" w:color="000000" w:sz="6" w:space="0"/>
          <w:bottom w:val="nil"/>
          <w:right w:val="nil"/>
          <w:insideH w:val="nil"/>
          <w:insideV w:val="nil"/>
          <w:tl2br w:val="nil"/>
          <w:tr2bl w:val="nil"/>
        </w:tcBorders>
        <w:shd w:val="solid" w:color="008080" w:fill="FFFFFF"/>
      </w:tcPr>
    </w:tblStylePr>
    <w:tblStylePr w:type="firstCol">
      <w:tcPr>
        <w:tcBorders>
          <w:top w:val="nil"/>
          <w:left w:val="nil"/>
          <w:bottom w:val="single" w:color="000000" w:sz="36" w:space="0"/>
          <w:right w:val="single" w:color="000000" w:sz="6" w:space="0"/>
          <w:insideH w:val="nil"/>
          <w:insideV w:val="nil"/>
          <w:tl2br w:val="nil"/>
          <w:tr2bl w:val="nil"/>
        </w:tcBorders>
        <w:shd w:val="solid" w:color="008080" w:fill="FFFFFF"/>
      </w:tcPr>
    </w:tblStylePr>
    <w:tblStylePr w:type="nwCell">
      <w:rPr>
        <w:b/>
        <w:bCs/>
        <w:color w:val="FFFFFF"/>
      </w:rPr>
      <w:tcPr>
        <w:tcBorders>
          <w:top w:val="nil"/>
          <w:left w:val="nil"/>
          <w:bottom w:val="nil"/>
          <w:right w:val="nil"/>
          <w:insideH w:val="nil"/>
          <w:insideV w:val="nil"/>
          <w:tl2br w:val="nil"/>
          <w:tr2bl w:val="nil"/>
        </w:tcBorders>
        <w:shd w:val="solid" w:color="000000" w:fill="FFFFFF"/>
      </w:tcPr>
    </w:tblStylePr>
  </w:style>
  <w:style w:type="table" w:customStyle="1" w:styleId="3234">
    <w:name w:val="网格型51"/>
    <w:basedOn w:val="88"/>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35">
    <w:name w:val="网格型110"/>
    <w:basedOn w:val="88"/>
    <w:qFormat/>
    <w:uiPriority w:val="59"/>
    <w:pPr>
      <w:widowControl w:val="0"/>
      <w:jc w:val="both"/>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36">
    <w:name w:val="Table Normal1"/>
    <w:unhideWhenUsed/>
    <w:qFormat/>
    <w:uiPriority w:val="2"/>
    <w:pPr>
      <w:widowControl w:val="0"/>
    </w:pPr>
    <w:rPr>
      <w:rFonts w:ascii="Calibri" w:hAnsi="Calibri"/>
      <w:sz w:val="22"/>
      <w:szCs w:val="22"/>
      <w:lang w:val="en-US" w:eastAsia="en-US" w:bidi="ar-SA"/>
    </w:rPr>
    <w:tblPr>
      <w:tblCellMar>
        <w:top w:w="0" w:type="dxa"/>
        <w:left w:w="0" w:type="dxa"/>
        <w:bottom w:w="0" w:type="dxa"/>
        <w:right w:w="0" w:type="dxa"/>
      </w:tblCellMar>
    </w:tblPr>
  </w:style>
  <w:style w:type="table" w:customStyle="1" w:styleId="3237">
    <w:name w:val="流行型4"/>
    <w:basedOn w:val="88"/>
    <w:qFormat/>
    <w:uiPriority w:val="0"/>
    <w:pPr>
      <w:widowControl w:val="0"/>
      <w:spacing w:line="560" w:lineRule="exact"/>
      <w:ind w:firstLine="200" w:firstLineChars="200"/>
      <w:jc w:val="both"/>
    </w:pPr>
    <w:rPr>
      <w:rFonts w:ascii="Calibri" w:hAnsi="Calibri"/>
    </w:r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238">
    <w:name w:val="网页型 23"/>
    <w:basedOn w:val="88"/>
    <w:qFormat/>
    <w:uiPriority w:val="0"/>
    <w:pPr>
      <w:widowControl w:val="0"/>
      <w:spacing w:line="560" w:lineRule="exact"/>
      <w:ind w:firstLine="200" w:firstLineChars="200"/>
      <w:jc w:val="both"/>
    </w:pPr>
    <w:rPr>
      <w:rFonts w:ascii="Calibri" w:hAnsi="Calibri"/>
    </w:rPr>
    <w:tblPr>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cPr>
      <w:shd w:val="clear" w:color="auto" w:fill="auto"/>
    </w:tcPr>
    <w:tblStylePr w:type="firstRow">
      <w:rPr>
        <w:color w:val="auto"/>
      </w:rPr>
      <w:tcPr>
        <w:tcBorders>
          <w:top w:val="nil"/>
          <w:left w:val="nil"/>
          <w:bottom w:val="nil"/>
          <w:right w:val="nil"/>
          <w:insideH w:val="nil"/>
          <w:insideV w:val="nil"/>
          <w:tl2br w:val="nil"/>
          <w:tr2bl w:val="nil"/>
        </w:tcBorders>
      </w:tcPr>
    </w:tblStylePr>
  </w:style>
  <w:style w:type="table" w:customStyle="1" w:styleId="3239">
    <w:name w:val="网格型352"/>
    <w:basedOn w:val="88"/>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40">
    <w:name w:val="精巧型 111"/>
    <w:basedOn w:val="88"/>
    <w:semiHidden/>
    <w:qFormat/>
    <w:uiPriority w:val="0"/>
    <w:pPr>
      <w:widowControl w:val="0"/>
      <w:jc w:val="both"/>
    </w:pPr>
    <w:rPr>
      <w:rFonts w:ascii="Calibri" w:hAnsi="Calibri"/>
    </w:rPr>
    <w:tblStylePr w:type="firstRow">
      <w:tcPr>
        <w:tcBorders>
          <w:top w:val="single" w:color="000000" w:sz="6" w:space="0"/>
          <w:left w:val="single" w:color="000000" w:sz="12" w:space="0"/>
          <w:bottom w:val="nil"/>
          <w:right w:val="nil"/>
          <w:insideH w:val="nil"/>
          <w:insideV w:val="nil"/>
          <w:tl2br w:val="nil"/>
          <w:tr2bl w:val="nil"/>
        </w:tcBorders>
      </w:tcPr>
    </w:tblStylePr>
    <w:tblStylePr w:type="lastRow">
      <w:tcPr>
        <w:tcBorders>
          <w:top w:val="single" w:color="000000" w:sz="12" w:space="0"/>
          <w:left w:val="nil"/>
          <w:bottom w:val="nil"/>
          <w:right w:val="nil"/>
          <w:insideH w:val="nil"/>
          <w:insideV w:val="nil"/>
          <w:tl2br w:val="nil"/>
          <w:tr2bl w:val="nil"/>
        </w:tcBorders>
        <w:shd w:val="pct25" w:color="800080" w:fill="FFFFFF"/>
      </w:tcPr>
    </w:tblStylePr>
    <w:tblStylePr w:type="firstCol">
      <w:tcPr>
        <w:tcBorders>
          <w:top w:val="nil"/>
          <w:left w:val="nil"/>
          <w:bottom w:val="nil"/>
          <w:right w:val="single" w:color="000000" w:sz="12" w:space="0"/>
          <w:insideH w:val="nil"/>
          <w:insideV w:val="nil"/>
          <w:tl2br w:val="nil"/>
          <w:tr2bl w:val="nil"/>
        </w:tcBorders>
      </w:tcPr>
    </w:tblStylePr>
    <w:tblStylePr w:type="lastCol">
      <w:tcPr>
        <w:tcBorders>
          <w:top w:val="nil"/>
          <w:left w:val="nil"/>
          <w:bottom w:val="single" w:color="000000" w:sz="12" w:space="0"/>
          <w:right w:val="nil"/>
          <w:insideH w:val="nil"/>
          <w:insideV w:val="nil"/>
          <w:tl2br w:val="nil"/>
          <w:tr2bl w:val="nil"/>
        </w:tcBorders>
      </w:tcPr>
    </w:tblStylePr>
    <w:tblStylePr w:type="band1Horz">
      <w:tcPr>
        <w:tcBorders>
          <w:top w:val="nil"/>
          <w:left w:val="single" w:color="000000" w:sz="6" w:space="0"/>
          <w:bottom w:val="nil"/>
          <w:right w:val="nil"/>
          <w:insideH w:val="nil"/>
          <w:insideV w:val="nil"/>
          <w:tl2br w:val="nil"/>
          <w:tr2bl w:val="nil"/>
        </w:tcBorders>
        <w:shd w:val="pct25" w:color="808000" w:fill="FFFFFF"/>
      </w:tcPr>
    </w:tblStylePr>
    <w:tblStylePr w:type="neCell">
      <w:rPr>
        <w:b/>
        <w:bCs/>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241">
    <w:name w:val="竖列型 31"/>
    <w:basedOn w:val="88"/>
    <w:semiHidden/>
    <w:qFormat/>
    <w:uiPriority w:val="0"/>
    <w:pPr>
      <w:widowControl w:val="0"/>
      <w:jc w:val="both"/>
    </w:pPr>
    <w:rPr>
      <w:b/>
      <w:bCs/>
    </w:rPr>
    <w:tblPr>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cPr>
        <w:tcBorders>
          <w:top w:val="nil"/>
          <w:left w:val="nil"/>
          <w:bottom w:val="nil"/>
          <w:right w:val="nil"/>
          <w:insideH w:val="nil"/>
          <w:insideV w:val="nil"/>
          <w:tl2br w:val="nil"/>
          <w:tr2bl w:val="nil"/>
        </w:tcBorders>
        <w:shd w:val="solid" w:color="000080" w:fill="FFFFFF"/>
      </w:tcPr>
    </w:tblStylePr>
    <w:tblStylePr w:type="lastRow">
      <w:rPr>
        <w:b w:val="0"/>
        <w:bCs w:val="0"/>
      </w:rPr>
      <w:tcPr>
        <w:tcBorders>
          <w:top w:val="single" w:color="000080" w:sz="6" w:space="0"/>
          <w:left w:val="nil"/>
          <w:bottom w:val="nil"/>
          <w:right w:val="nil"/>
          <w:insideH w:val="nil"/>
          <w:insideV w:val="nil"/>
          <w:tl2br w:val="nil"/>
          <w:tr2bl w:val="nil"/>
        </w:tcBorders>
      </w:tcPr>
    </w:tblStylePr>
    <w:tblStylePr w:type="firstCol">
      <w:rPr>
        <w:b w:val="0"/>
        <w:bCs w:val="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band1Vert">
      <w:rPr>
        <w:color w:val="auto"/>
      </w:rPr>
      <w:tcPr>
        <w:shd w:val="solid" w:color="C0C0C0" w:fill="FFFFFF"/>
      </w:tcPr>
    </w:tblStylePr>
    <w:tblStylePr w:type="band2Vert">
      <w:rPr>
        <w:color w:val="auto"/>
      </w:rPr>
      <w:tcPr>
        <w:shd w:val="pct10" w:color="000000" w:fill="FFFFFF"/>
      </w:tcPr>
    </w:tblStylePr>
    <w:tblStylePr w:type="neCell">
      <w:rPr>
        <w:b/>
        <w:bCs/>
      </w:rPr>
      <w:tcPr>
        <w:tcBorders>
          <w:top w:val="nil"/>
          <w:left w:val="nil"/>
          <w:bottom w:val="nil"/>
          <w:right w:val="nil"/>
          <w:insideH w:val="nil"/>
          <w:insideV w:val="nil"/>
          <w:tl2br w:val="nil"/>
          <w:tr2bl w:val="nil"/>
        </w:tcBorders>
      </w:tcPr>
    </w:tblStylePr>
  </w:style>
  <w:style w:type="table" w:customStyle="1" w:styleId="3242">
    <w:name w:val="流行型13"/>
    <w:basedOn w:val="88"/>
    <w:semiHidden/>
    <w:qFormat/>
    <w:uiPriority w:val="0"/>
    <w:pPr>
      <w:widowControl w:val="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243">
    <w:name w:val="网格型31311"/>
    <w:basedOn w:val="88"/>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44">
    <w:name w:val="网格型32121"/>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45">
    <w:name w:val="竖列型 512"/>
    <w:basedOn w:val="88"/>
    <w:semiHidden/>
    <w:qFormat/>
    <w:uiPriority w:val="0"/>
    <w:pPr>
      <w:widowControl w:val="0"/>
      <w:jc w:val="both"/>
    </w:pPr>
    <w:rPr>
      <w:rFonts w:ascii="Calibri" w:hAnsi="Calibri"/>
    </w:rPr>
    <w:tblPr>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cPr>
        <w:tcBorders>
          <w:top w:val="nil"/>
          <w:left w:val="single" w:color="808080" w:sz="6" w:space="0"/>
          <w:bottom w:val="nil"/>
          <w:right w:val="nil"/>
          <w:insideH w:val="nil"/>
          <w:insideV w:val="nil"/>
          <w:tl2br w:val="nil"/>
          <w:tr2bl w:val="nil"/>
        </w:tcBorders>
      </w:tcPr>
    </w:tblStylePr>
    <w:tblStylePr w:type="lastRow">
      <w:rPr>
        <w:b/>
        <w:bCs/>
      </w:rPr>
      <w:tcPr>
        <w:tcBorders>
          <w:top w:val="single" w:color="808080" w:sz="6"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Vert">
      <w:rPr>
        <w:color w:val="auto"/>
      </w:rPr>
      <w:tcPr>
        <w:shd w:val="solid" w:color="C0C0C0" w:fill="FFFFFF"/>
      </w:tcPr>
    </w:tblStylePr>
    <w:tblStylePr w:type="band2Vert">
      <w:rPr>
        <w:color w:val="auto"/>
      </w:rPr>
    </w:tblStylePr>
  </w:style>
  <w:style w:type="table" w:customStyle="1" w:styleId="3246">
    <w:name w:val="表三维效果 12"/>
    <w:basedOn w:val="88"/>
    <w:qFormat/>
    <w:uiPriority w:val="0"/>
    <w:pPr>
      <w:widowControl w:val="0"/>
      <w:spacing w:line="560" w:lineRule="exact"/>
      <w:ind w:firstLine="200" w:firstLineChars="200"/>
      <w:jc w:val="both"/>
    </w:pPr>
    <w:rPr>
      <w:rFonts w:ascii="Calibri" w:hAnsi="Calibri"/>
    </w:rPr>
    <w:tcPr>
      <w:shd w:val="solid" w:color="C0C0C0" w:fill="FFFFFF"/>
    </w:tcPr>
    <w:tblStylePr w:type="firstRow">
      <w:rPr>
        <w:b/>
        <w:bCs/>
        <w:color w:val="800080"/>
      </w:rPr>
      <w:tcPr>
        <w:tcBorders>
          <w:top w:val="nil"/>
          <w:left w:val="single" w:color="808080" w:sz="6" w:space="0"/>
          <w:bottom w:val="nil"/>
          <w:right w:val="nil"/>
          <w:insideH w:val="nil"/>
          <w:insideV w:val="nil"/>
          <w:tl2br w:val="nil"/>
          <w:tr2bl w:val="nil"/>
        </w:tcBorders>
      </w:tcPr>
    </w:tblStylePr>
    <w:tblStylePr w:type="lastRow">
      <w:tcPr>
        <w:tcBorders>
          <w:top w:val="single" w:color="FFFFFF" w:sz="6" w:space="0"/>
          <w:left w:val="nil"/>
          <w:bottom w:val="nil"/>
          <w:right w:val="nil"/>
          <w:insideH w:val="nil"/>
          <w:insideV w:val="nil"/>
          <w:tl2br w:val="nil"/>
          <w:tr2bl w:val="nil"/>
        </w:tcBorders>
      </w:tcPr>
    </w:tblStylePr>
    <w:tblStylePr w:type="firstCol">
      <w:rPr>
        <w:b/>
        <w:bCs/>
      </w:rPr>
      <w:tcPr>
        <w:tcBorders>
          <w:top w:val="nil"/>
          <w:left w:val="nil"/>
          <w:bottom w:val="nil"/>
          <w:right w:val="single" w:color="808080" w:sz="6" w:space="0"/>
          <w:insideH w:val="nil"/>
          <w:insideV w:val="nil"/>
          <w:tl2br w:val="nil"/>
          <w:tr2bl w:val="nil"/>
        </w:tcBorders>
      </w:tcPr>
    </w:tblStylePr>
    <w:tblStylePr w:type="lastCol">
      <w:tcPr>
        <w:tcBorders>
          <w:top w:val="nil"/>
          <w:left w:val="nil"/>
          <w:bottom w:val="single" w:color="FFFFFF" w:sz="6" w:space="0"/>
          <w:right w:val="nil"/>
          <w:insideH w:val="nil"/>
          <w:insideV w:val="nil"/>
          <w:tl2br w:val="nil"/>
          <w:tr2bl w:val="nil"/>
        </w:tcBorders>
      </w:tcPr>
    </w:tblStylePr>
    <w:tblStylePr w:type="neCell">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nil"/>
          <w:tr2bl w:val="nil"/>
        </w:tcBorders>
      </w:tcPr>
    </w:tblStylePr>
    <w:tblStylePr w:type="seCell">
      <w:tcPr>
        <w:tcBorders>
          <w:top w:val="nil"/>
          <w:left w:val="nil"/>
          <w:bottom w:val="nil"/>
          <w:right w:val="nil"/>
          <w:insideH w:val="nil"/>
          <w:insideV w:val="nil"/>
          <w:tl2br w:val="nil"/>
          <w:tr2bl w:val="nil"/>
        </w:tcBorders>
      </w:tcPr>
    </w:tblStylePr>
    <w:tblStylePr w:type="swCell">
      <w:rPr>
        <w:color w:val="000080"/>
      </w:rPr>
      <w:tcPr>
        <w:tcBorders>
          <w:top w:val="nil"/>
          <w:left w:val="nil"/>
          <w:bottom w:val="nil"/>
          <w:right w:val="nil"/>
          <w:insideH w:val="nil"/>
          <w:insideV w:val="nil"/>
          <w:tl2br w:val="nil"/>
          <w:tr2bl w:val="nil"/>
        </w:tcBorders>
      </w:tcPr>
    </w:tblStylePr>
  </w:style>
  <w:style w:type="table" w:customStyle="1" w:styleId="3247">
    <w:name w:val="网格型341"/>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48">
    <w:name w:val="网格型92"/>
    <w:basedOn w:val="88"/>
    <w:qFormat/>
    <w:uiPriority w:val="59"/>
    <w:pPr>
      <w:widowControl w:val="0"/>
      <w:spacing w:line="300" w:lineRule="exact"/>
      <w:jc w:val="both"/>
      <w:textAlignment w:val="baseline"/>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49">
    <w:name w:val="表格网格型61"/>
    <w:basedOn w:val="88"/>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50">
    <w:name w:val="网格型3222"/>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51">
    <w:name w:val="列表型 113"/>
    <w:basedOn w:val="88"/>
    <w:semiHidden/>
    <w:qFormat/>
    <w:uiPriority w:val="0"/>
    <w:pPr>
      <w:widowControl w:val="0"/>
      <w:jc w:val="both"/>
    </w:pPr>
    <w:tblPr>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cPr>
        <w:tcBorders>
          <w:top w:val="nil"/>
          <w:left w:val="single" w:color="000000" w:sz="6" w:space="0"/>
          <w:bottom w:val="nil"/>
          <w:right w:val="nil"/>
          <w:insideH w:val="nil"/>
          <w:insideV w:val="nil"/>
          <w:tl2br w:val="nil"/>
          <w:tr2bl w:val="nil"/>
        </w:tcBorders>
        <w:shd w:val="solid" w:color="C0C0C0" w:fill="FFFFFF"/>
      </w:tcPr>
    </w:tblStylePr>
    <w:tblStylePr w:type="lastRow">
      <w:tcPr>
        <w:tcBorders>
          <w:top w:val="single" w:color="000000" w:sz="6" w:space="0"/>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solid" w:color="C0C0C0" w:fill="FFFFFF"/>
      </w:tcPr>
    </w:tblStylePr>
    <w:tblStylePr w:type="band2Horz">
      <w:rPr>
        <w:color w:val="auto"/>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252">
    <w:name w:val="网格型 613"/>
    <w:basedOn w:val="88"/>
    <w:semiHidden/>
    <w:qFormat/>
    <w:uiPriority w:val="0"/>
    <w:pPr>
      <w:widowControl w:val="0"/>
      <w:jc w:val="both"/>
    </w:pPr>
    <w:tblPr>
      <w:tblBorders>
        <w:top w:val="single" w:color="000000" w:sz="12" w:space="0"/>
        <w:left w:val="single" w:color="000000" w:sz="12" w:space="0"/>
        <w:bottom w:val="single" w:color="000000" w:sz="12" w:space="0"/>
        <w:right w:val="single" w:color="000000" w:sz="12" w:space="0"/>
        <w:insideV w:val="single" w:color="000000" w:sz="6" w:space="0"/>
      </w:tblBorders>
    </w:tblPr>
    <w:tcPr>
      <w:shd w:val="clear" w:color="auto" w:fill="auto"/>
    </w:tcPr>
    <w:tblStylePr w:type="firstRow">
      <w:rPr>
        <w:b/>
        <w:b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253">
    <w:name w:val="网页型 213"/>
    <w:basedOn w:val="88"/>
    <w:semiHidden/>
    <w:qFormat/>
    <w:uiPriority w:val="0"/>
    <w:pPr>
      <w:widowControl w:val="0"/>
      <w:jc w:val="both"/>
    </w:pPr>
    <w:tblPr>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cPr>
      <w:shd w:val="clear" w:color="auto" w:fill="auto"/>
    </w:tcPr>
    <w:tblStylePr w:type="firstRow">
      <w:rPr>
        <w:color w:val="auto"/>
      </w:rPr>
      <w:tcPr>
        <w:tcBorders>
          <w:top w:val="nil"/>
          <w:left w:val="nil"/>
          <w:bottom w:val="nil"/>
          <w:right w:val="nil"/>
          <w:insideH w:val="nil"/>
          <w:insideV w:val="nil"/>
          <w:tl2br w:val="nil"/>
          <w:tr2bl w:val="nil"/>
        </w:tcBorders>
      </w:tcPr>
    </w:tblStylePr>
  </w:style>
  <w:style w:type="table" w:customStyle="1" w:styleId="3254">
    <w:name w:val="立体型 212"/>
    <w:basedOn w:val="88"/>
    <w:semiHidden/>
    <w:qFormat/>
    <w:uiPriority w:val="0"/>
    <w:pPr>
      <w:widowControl w:val="0"/>
      <w:jc w:val="both"/>
    </w:pPr>
    <w:rPr>
      <w:rFonts w:ascii="Calibri" w:hAnsi="Calibri"/>
    </w:rPr>
    <w:tcPr>
      <w:shd w:val="solid" w:color="C0C0C0" w:fill="FFFFFF"/>
    </w:tcPr>
    <w:tblStylePr w:type="firstRow">
      <w:rPr>
        <w:b/>
        <w:bCs/>
      </w:rPr>
      <w:tcPr>
        <w:tcBorders>
          <w:top w:val="nil"/>
          <w:left w:val="nil"/>
          <w:bottom w:val="nil"/>
          <w:right w:val="nil"/>
          <w:insideH w:val="nil"/>
          <w:insideV w:val="nil"/>
          <w:tl2br w:val="nil"/>
          <w:tr2bl w:val="nil"/>
        </w:tcBorders>
      </w:tcPr>
    </w:tblStylePr>
    <w:tblStylePr w:type="firstCol">
      <w:tcPr>
        <w:tcBorders>
          <w:top w:val="nil"/>
          <w:left w:val="nil"/>
          <w:bottom w:val="nil"/>
          <w:right w:val="single" w:color="808080" w:sz="6" w:space="0"/>
          <w:insideH w:val="nil"/>
          <w:insideV w:val="nil"/>
          <w:tl2br w:val="nil"/>
          <w:tr2bl w:val="nil"/>
        </w:tcBorders>
      </w:tcPr>
    </w:tblStylePr>
    <w:tblStylePr w:type="lastCol">
      <w:tcPr>
        <w:tcBorders>
          <w:top w:val="nil"/>
          <w:left w:val="nil"/>
          <w:bottom w:val="nil"/>
          <w:right w:val="single" w:color="FFFFFF" w:sz="6" w:space="0"/>
          <w:insideH w:val="nil"/>
          <w:insideV w:val="nil"/>
          <w:tl2br w:val="nil"/>
          <w:tr2bl w:val="nil"/>
        </w:tcBorders>
      </w:tcPr>
    </w:tblStylePr>
    <w:tblStylePr w:type="band1Horz">
      <w:tcPr>
        <w:tcBorders>
          <w:top w:val="single" w:color="808080" w:sz="6" w:space="0"/>
          <w:left w:val="single" w:color="FFFFFF" w:sz="6" w:space="0"/>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255">
    <w:name w:val="网格型21"/>
    <w:basedOn w:val="88"/>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56">
    <w:name w:val="网格型31114"/>
    <w:basedOn w:val="88"/>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57">
    <w:name w:val="竖列型 21"/>
    <w:basedOn w:val="88"/>
    <w:semiHidden/>
    <w:qFormat/>
    <w:uiPriority w:val="0"/>
    <w:pPr>
      <w:widowControl w:val="0"/>
      <w:jc w:val="both"/>
    </w:pPr>
    <w:rPr>
      <w:b/>
      <w:bCs/>
    </w:rPr>
    <w:tblStylePr w:type="firstRow">
      <w:rPr>
        <w:color w:val="FFFFFF"/>
      </w:rPr>
      <w:tcPr>
        <w:tcBorders>
          <w:top w:val="nil"/>
          <w:left w:val="nil"/>
          <w:bottom w:val="nil"/>
          <w:right w:val="nil"/>
          <w:insideH w:val="nil"/>
          <w:insideV w:val="nil"/>
          <w:tl2br w:val="nil"/>
          <w:tr2bl w:val="nil"/>
        </w:tcBorders>
        <w:shd w:val="solid" w:color="000080" w:fill="FFFFFF"/>
      </w:tcPr>
    </w:tblStylePr>
    <w:tblStylePr w:type="lastRow">
      <w:rPr>
        <w:b w:val="0"/>
        <w:bCs w:val="0"/>
      </w:rPr>
      <w:tcPr>
        <w:tcBorders>
          <w:top w:val="nil"/>
          <w:left w:val="nil"/>
          <w:bottom w:val="nil"/>
          <w:right w:val="nil"/>
          <w:insideH w:val="nil"/>
          <w:insideV w:val="nil"/>
          <w:tl2br w:val="nil"/>
          <w:tr2bl w:val="nil"/>
        </w:tcBorders>
      </w:tcPr>
    </w:tblStylePr>
    <w:tblStylePr w:type="firstCol">
      <w:rPr>
        <w:b w:val="0"/>
        <w:bCs w:val="0"/>
        <w:color w:val="00000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band1Vert">
      <w:rPr>
        <w:color w:val="auto"/>
      </w:rPr>
      <w:tcPr>
        <w:shd w:val="pct30" w:color="000000" w:fill="FFFFFF"/>
      </w:tcPr>
    </w:tblStylePr>
    <w:tblStylePr w:type="band2Vert">
      <w:rPr>
        <w:color w:val="auto"/>
      </w:rPr>
      <w:tcPr>
        <w:shd w:val="pct25" w:color="00FF00" w:fill="FFFFFF"/>
      </w:tcPr>
    </w:tblStylePr>
    <w:tblStylePr w:type="neCell">
      <w:rPr>
        <w:b/>
        <w:bCs/>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258">
    <w:name w:val="网格型 311"/>
    <w:basedOn w:val="88"/>
    <w:semiHidden/>
    <w:qFormat/>
    <w:uiPriority w:val="0"/>
    <w:pPr>
      <w:widowControl w:val="0"/>
      <w:jc w:val="both"/>
    </w:pPr>
    <w:rPr>
      <w:rFonts w:ascii="Calibri" w:hAnsi="Calibri"/>
    </w:rPr>
    <w:tblPr>
      <w:tblBorders>
        <w:top w:val="single" w:color="000000" w:sz="6" w:space="0"/>
        <w:left w:val="single" w:color="000000" w:sz="12" w:space="0"/>
        <w:bottom w:val="single" w:color="000000" w:sz="6" w:space="0"/>
        <w:right w:val="single" w:color="000000" w:sz="12" w:space="0"/>
        <w:insideV w:val="single" w:color="000000" w:sz="6" w:space="0"/>
      </w:tblBorders>
    </w:tblPr>
    <w:tcPr>
      <w:shd w:val="clear" w:color="auto" w:fill="auto"/>
    </w:tcPr>
    <w:tblStylePr w:type="firstRow">
      <w:tcPr>
        <w:tcBorders>
          <w:top w:val="nil"/>
          <w:left w:val="single" w:color="000000" w:sz="6" w:space="0"/>
          <w:bottom w:val="nil"/>
          <w:right w:val="nil"/>
          <w:insideH w:val="nil"/>
          <w:insideV w:val="nil"/>
          <w:tl2br w:val="nil"/>
          <w:tr2bl w:val="nil"/>
        </w:tcBorders>
        <w:shd w:val="pct30" w:color="FFFF00" w:fill="FFFFFF"/>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259">
    <w:name w:val="专业型2"/>
    <w:basedOn w:val="88"/>
    <w:qFormat/>
    <w:uiPriority w:val="0"/>
    <w:pPr>
      <w:widowControl w:val="0"/>
      <w:spacing w:line="560" w:lineRule="exact"/>
      <w:ind w:firstLine="200" w:firstLineChars="200"/>
      <w:jc w:val="both"/>
    </w:pPr>
    <w:rPr>
      <w:rFonts w:ascii="Calibri" w:hAnsi="Calibri"/>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260">
    <w:name w:val="网格型322"/>
    <w:basedOn w:val="88"/>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61">
    <w:name w:val="列表型 412"/>
    <w:basedOn w:val="88"/>
    <w:semiHidden/>
    <w:qFormat/>
    <w:uiPriority w:val="0"/>
    <w:pPr>
      <w:widowControl w:val="0"/>
      <w:jc w:val="both"/>
    </w:pPr>
    <w:rPr>
      <w:rFonts w:ascii="Calibri" w:hAnsi="Calibri"/>
    </w:rPr>
    <w:tblPr>
      <w:tblBorders>
        <w:top w:val="single" w:color="000000" w:sz="12" w:space="0"/>
        <w:left w:val="single" w:color="000000" w:sz="12" w:space="0"/>
        <w:bottom w:val="single" w:color="000000" w:sz="12" w:space="0"/>
        <w:right w:val="single" w:color="000000" w:sz="12" w:space="0"/>
        <w:insideH w:val="single" w:color="000000" w:sz="6" w:space="0"/>
      </w:tblBorders>
    </w:tblPr>
    <w:tcPr>
      <w:shd w:val="clear" w:color="auto" w:fill="auto"/>
    </w:tcPr>
    <w:tblStylePr w:type="firstRow">
      <w:rPr>
        <w:b/>
        <w:bCs/>
        <w:color w:val="FFFFFF"/>
      </w:rPr>
      <w:tcPr>
        <w:tcBorders>
          <w:top w:val="nil"/>
          <w:left w:val="single" w:color="000000" w:sz="12" w:space="0"/>
          <w:bottom w:val="nil"/>
          <w:right w:val="nil"/>
          <w:insideH w:val="nil"/>
          <w:insideV w:val="nil"/>
          <w:tl2br w:val="nil"/>
          <w:tr2bl w:val="nil"/>
        </w:tcBorders>
        <w:shd w:val="solid" w:color="808080" w:fill="FFFFFF"/>
      </w:tcPr>
    </w:tblStylePr>
  </w:style>
  <w:style w:type="table" w:customStyle="1" w:styleId="3262">
    <w:name w:val="网格型13"/>
    <w:basedOn w:val="88"/>
    <w:qFormat/>
    <w:uiPriority w:val="0"/>
    <w:rPr>
      <w:rFonts w:ascii="Calibri" w:hAnsi="Calibri"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63">
    <w:name w:val="列表型 813"/>
    <w:basedOn w:val="88"/>
    <w:semiHidden/>
    <w:qFormat/>
    <w:uiPriority w:val="0"/>
    <w:pPr>
      <w:widowControl w:val="0"/>
      <w:jc w:val="both"/>
    </w:pPr>
    <w:tblPr>
      <w:tblBorders>
        <w:top w:val="single" w:color="000000" w:sz="6" w:space="0"/>
        <w:left w:val="single" w:color="000000" w:sz="6" w:space="0"/>
        <w:bottom w:val="single" w:color="000000" w:sz="6" w:space="0"/>
        <w:right w:val="single" w:color="000000" w:sz="6" w:space="0"/>
        <w:insideV w:val="single" w:color="000000" w:sz="6" w:space="0"/>
      </w:tblBorders>
    </w:tblPr>
    <w:tblStylePr w:type="firstRow">
      <w:rPr>
        <w:b/>
        <w:bCs/>
        <w:i/>
        <w:iCs/>
      </w:rPr>
      <w:tcPr>
        <w:tcBorders>
          <w:top w:val="nil"/>
          <w:left w:val="single" w:color="000000" w:sz="6" w:space="0"/>
          <w:bottom w:val="nil"/>
          <w:right w:val="nil"/>
          <w:insideH w:val="nil"/>
          <w:insideV w:val="nil"/>
          <w:tl2br w:val="nil"/>
          <w:tr2bl w:val="nil"/>
        </w:tcBorders>
        <w:shd w:val="solid" w:color="FFFF00" w:fill="FFFFFF"/>
      </w:tcPr>
    </w:tblStylePr>
    <w:tblStylePr w:type="lastRow">
      <w:rPr>
        <w:b/>
        <w:bCs/>
      </w:rPr>
      <w:tcPr>
        <w:tcBorders>
          <w:top w:val="single" w:color="000000" w:sz="6"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5" w:color="FFFF00" w:fill="FFFFFF"/>
      </w:tcPr>
    </w:tblStylePr>
    <w:tblStylePr w:type="band2Horz">
      <w:tcPr>
        <w:tcBorders>
          <w:top w:val="nil"/>
          <w:left w:val="nil"/>
          <w:bottom w:val="nil"/>
          <w:right w:val="nil"/>
          <w:insideH w:val="nil"/>
          <w:insideV w:val="nil"/>
          <w:tl2br w:val="nil"/>
          <w:tr2bl w:val="nil"/>
        </w:tcBorders>
        <w:shd w:val="pct50" w:color="FF0000" w:fill="FFFFFF"/>
      </w:tcPr>
    </w:tblStylePr>
    <w:tblStylePr w:type="nwCell">
      <w:tcPr>
        <w:tcBorders>
          <w:top w:val="nil"/>
          <w:left w:val="nil"/>
          <w:bottom w:val="nil"/>
          <w:right w:val="nil"/>
          <w:insideH w:val="nil"/>
          <w:insideV w:val="nil"/>
          <w:tl2br w:val="single" w:color="auto" w:sz="6" w:space="0"/>
          <w:tr2bl w:val="nil"/>
        </w:tcBorders>
      </w:tcPr>
    </w:tblStylePr>
  </w:style>
  <w:style w:type="table" w:customStyle="1" w:styleId="3264">
    <w:name w:val="精巧型 12"/>
    <w:basedOn w:val="88"/>
    <w:qFormat/>
    <w:uiPriority w:val="0"/>
    <w:pPr>
      <w:widowControl w:val="0"/>
      <w:spacing w:line="560" w:lineRule="exact"/>
      <w:ind w:firstLine="200" w:firstLineChars="200"/>
      <w:jc w:val="both"/>
    </w:pPr>
    <w:rPr>
      <w:rFonts w:ascii="Calibri" w:hAnsi="Calibri"/>
    </w:rPr>
    <w:tblStylePr w:type="firstRow">
      <w:tcPr>
        <w:tcBorders>
          <w:top w:val="single" w:color="000000" w:sz="6" w:space="0"/>
          <w:left w:val="single" w:color="000000" w:sz="12" w:space="0"/>
          <w:bottom w:val="nil"/>
          <w:right w:val="nil"/>
          <w:insideH w:val="nil"/>
          <w:insideV w:val="nil"/>
          <w:tl2br w:val="nil"/>
          <w:tr2bl w:val="nil"/>
        </w:tcBorders>
      </w:tcPr>
    </w:tblStylePr>
    <w:tblStylePr w:type="lastRow">
      <w:tcPr>
        <w:tcBorders>
          <w:top w:val="single" w:color="000000" w:sz="12" w:space="0"/>
          <w:left w:val="nil"/>
          <w:bottom w:val="nil"/>
          <w:right w:val="nil"/>
          <w:insideH w:val="nil"/>
          <w:insideV w:val="nil"/>
          <w:tl2br w:val="nil"/>
          <w:tr2bl w:val="nil"/>
        </w:tcBorders>
        <w:shd w:val="pct25" w:color="800080" w:fill="FFFFFF"/>
      </w:tcPr>
    </w:tblStylePr>
    <w:tblStylePr w:type="firstCol">
      <w:tcPr>
        <w:tcBorders>
          <w:top w:val="nil"/>
          <w:left w:val="nil"/>
          <w:bottom w:val="nil"/>
          <w:right w:val="single" w:color="000000" w:sz="12" w:space="0"/>
          <w:insideH w:val="nil"/>
          <w:insideV w:val="nil"/>
          <w:tl2br w:val="nil"/>
          <w:tr2bl w:val="nil"/>
        </w:tcBorders>
      </w:tcPr>
    </w:tblStylePr>
    <w:tblStylePr w:type="lastCol">
      <w:tcPr>
        <w:tcBorders>
          <w:top w:val="nil"/>
          <w:left w:val="nil"/>
          <w:bottom w:val="single" w:color="000000" w:sz="12" w:space="0"/>
          <w:right w:val="nil"/>
          <w:insideH w:val="nil"/>
          <w:insideV w:val="nil"/>
          <w:tl2br w:val="nil"/>
          <w:tr2bl w:val="nil"/>
        </w:tcBorders>
      </w:tcPr>
    </w:tblStylePr>
    <w:tblStylePr w:type="band1Horz">
      <w:tcPr>
        <w:tcBorders>
          <w:top w:val="nil"/>
          <w:left w:val="single" w:color="000000" w:sz="6" w:space="0"/>
          <w:bottom w:val="nil"/>
          <w:right w:val="nil"/>
          <w:insideH w:val="nil"/>
          <w:insideV w:val="nil"/>
          <w:tl2br w:val="nil"/>
          <w:tr2bl w:val="nil"/>
        </w:tcBorders>
        <w:shd w:val="pct25" w:color="808000" w:fill="FFFFFF"/>
      </w:tcPr>
    </w:tblStylePr>
    <w:tblStylePr w:type="neCell">
      <w:rPr>
        <w:b/>
        <w:bCs/>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265">
    <w:name w:val="网格型152"/>
    <w:basedOn w:val="88"/>
    <w:qFormat/>
    <w:uiPriority w:val="59"/>
    <w:rPr>
      <w:rFonts w:ascii="Calibri" w:hAnsi="Calibri" w:eastAsia="Times New Roman"/>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66">
    <w:name w:val="流行型11"/>
    <w:basedOn w:val="88"/>
    <w:semiHidden/>
    <w:qFormat/>
    <w:uiPriority w:val="0"/>
    <w:pPr>
      <w:widowControl w:val="0"/>
      <w:jc w:val="both"/>
    </w:pPr>
    <w:rPr>
      <w:rFonts w:ascii="Calibri" w:hAnsi="Calibri"/>
    </w:r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267">
    <w:name w:val="列表型 712"/>
    <w:basedOn w:val="88"/>
    <w:semiHidden/>
    <w:qFormat/>
    <w:uiPriority w:val="0"/>
    <w:pPr>
      <w:widowControl w:val="0"/>
      <w:jc w:val="both"/>
    </w:pPr>
    <w:rPr>
      <w:rFonts w:ascii="Calibri" w:hAnsi="Calibri"/>
    </w:r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268">
    <w:name w:val="简明型 313"/>
    <w:basedOn w:val="88"/>
    <w:semiHidden/>
    <w:qFormat/>
    <w:uiPriority w:val="0"/>
    <w:pPr>
      <w:widowControl w:val="0"/>
      <w:jc w:val="both"/>
    </w:pPr>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color w:val="FFFFFF"/>
      </w:rPr>
      <w:tcPr>
        <w:tcBorders>
          <w:top w:val="nil"/>
          <w:left w:val="nil"/>
          <w:bottom w:val="nil"/>
          <w:right w:val="nil"/>
          <w:insideH w:val="nil"/>
          <w:insideV w:val="nil"/>
          <w:tl2br w:val="nil"/>
          <w:tr2bl w:val="nil"/>
        </w:tcBorders>
        <w:shd w:val="solid" w:color="000000" w:fill="FFFFFF"/>
      </w:tcPr>
    </w:tblStylePr>
  </w:style>
  <w:style w:type="table" w:customStyle="1" w:styleId="3269">
    <w:name w:val="古典型 24"/>
    <w:basedOn w:val="88"/>
    <w:qFormat/>
    <w:uiPriority w:val="0"/>
    <w:pPr>
      <w:widowControl w:val="0"/>
      <w:spacing w:line="560" w:lineRule="exact"/>
      <w:ind w:firstLine="200" w:firstLineChars="200"/>
      <w:jc w:val="both"/>
    </w:pPr>
    <w:rPr>
      <w:rFonts w:ascii="Calibri" w:hAnsi="Calibri"/>
    </w:rPr>
    <w:tblPr>
      <w:tblBorders>
        <w:top w:val="single" w:color="000000" w:sz="12" w:space="0"/>
        <w:bottom w:val="single" w:color="000000" w:sz="12" w:space="0"/>
      </w:tblBorders>
    </w:tblPr>
    <w:tcPr>
      <w:shd w:val="clear" w:color="auto" w:fill="auto"/>
    </w:tcPr>
    <w:tblStylePr w:type="firstRow">
      <w:rPr>
        <w:color w:val="FFFFFF"/>
      </w:rPr>
      <w:tcPr>
        <w:tcBorders>
          <w:top w:val="nil"/>
          <w:left w:val="single" w:color="000000" w:sz="6" w:space="0"/>
          <w:bottom w:val="nil"/>
          <w:right w:val="nil"/>
          <w:insideH w:val="nil"/>
          <w:insideV w:val="nil"/>
          <w:tl2br w:val="nil"/>
          <w:tr2bl w:val="nil"/>
        </w:tcBorders>
        <w:shd w:val="solid" w:color="800080" w:fill="FFFFFF"/>
      </w:tcPr>
    </w:tblStylePr>
    <w:tblStylePr w:type="lastRow">
      <w:tcPr>
        <w:tcBorders>
          <w:top w:val="single" w:color="000000" w:sz="6"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shd w:val="solid" w:color="C0C0C0" w:fill="FFFFFF"/>
      </w:tcPr>
    </w:tblStylePr>
    <w:tblStylePr w:type="neCel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nil"/>
          <w:tr2bl w:val="nil"/>
        </w:tcBorders>
        <w:shd w:val="solid" w:color="800080" w:fill="FFFFFF"/>
      </w:tcPr>
    </w:tblStylePr>
    <w:tblStylePr w:type="swCell">
      <w:rPr>
        <w:color w:val="000080"/>
      </w:rPr>
      <w:tcPr>
        <w:tcBorders>
          <w:top w:val="nil"/>
          <w:left w:val="nil"/>
          <w:bottom w:val="nil"/>
          <w:right w:val="nil"/>
          <w:insideH w:val="nil"/>
          <w:insideV w:val="nil"/>
          <w:tl2br w:val="nil"/>
          <w:tr2bl w:val="nil"/>
        </w:tcBorders>
      </w:tcPr>
    </w:tblStylePr>
  </w:style>
  <w:style w:type="table" w:customStyle="1" w:styleId="3270">
    <w:name w:val="网格型72"/>
    <w:basedOn w:val="88"/>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71">
    <w:name w:val="网格型3111"/>
    <w:basedOn w:val="88"/>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72">
    <w:name w:val="古典型 413"/>
    <w:basedOn w:val="88"/>
    <w:semiHidden/>
    <w:qFormat/>
    <w:uiPriority w:val="0"/>
    <w:pPr>
      <w:widowControl w:val="0"/>
      <w:jc w:val="both"/>
    </w:pPr>
    <w:tblPr>
      <w:tblBorders>
        <w:top w:val="single" w:color="000000" w:sz="12" w:space="0"/>
        <w:left w:val="single" w:color="000000" w:sz="6" w:space="0"/>
        <w:bottom w:val="single" w:color="000000" w:sz="12" w:space="0"/>
        <w:right w:val="single" w:color="000000" w:sz="6" w:space="0"/>
      </w:tblBorders>
    </w:tblPr>
    <w:tcPr>
      <w:shd w:val="clear" w:color="auto" w:fill="auto"/>
    </w:tcPr>
    <w:tblStylePr w:type="firstRow">
      <w:rPr>
        <w:b/>
        <w:bCs/>
        <w:i/>
        <w:iCs/>
        <w:color w:val="FFFFFF"/>
      </w:rPr>
      <w:tcPr>
        <w:tcBorders>
          <w:top w:val="nil"/>
          <w:left w:val="single" w:color="000000" w:sz="6" w:space="0"/>
          <w:bottom w:val="nil"/>
          <w:right w:val="nil"/>
          <w:insideH w:val="nil"/>
          <w:insideV w:val="nil"/>
          <w:tl2br w:val="nil"/>
          <w:tr2bl w:val="nil"/>
        </w:tcBorders>
        <w:shd w:val="pct50" w:color="000080" w:fill="FFFFFF"/>
      </w:tcPr>
    </w:tblStylePr>
    <w:tblStylePr w:type="lastRow">
      <w:rPr>
        <w:color w:val="000080"/>
      </w:rPr>
      <w:tcPr>
        <w:tcBorders>
          <w:top w:val="nil"/>
          <w:left w:val="single" w:color="000000" w:sz="6" w:space="0"/>
          <w:bottom w:val="nil"/>
          <w:right w:val="nil"/>
          <w:insideH w:val="nil"/>
          <w:insideV w:val="nil"/>
          <w:tl2br w:val="nil"/>
          <w:tr2bl w:val="nil"/>
        </w:tcBorders>
        <w:shd w:val="pct50" w:color="000000" w:fill="FFFFFF"/>
      </w:tcPr>
    </w:tblStylePr>
    <w:tblStylePr w:type="firstCol">
      <w:rPr>
        <w:b/>
        <w:bCs/>
      </w:rPr>
      <w:tcPr>
        <w:tcBorders>
          <w:top w:val="nil"/>
          <w:left w:val="nil"/>
          <w:bottom w:val="nil"/>
          <w:right w:val="nil"/>
          <w:insideH w:val="nil"/>
          <w:insideV w:val="nil"/>
          <w:tl2br w:val="nil"/>
          <w:tr2bl w:val="nil"/>
        </w:tcBorders>
      </w:tcPr>
    </w:tblStylePr>
    <w:tblStylePr w:type="nwCell">
      <w:rPr>
        <w:b/>
        <w:bCs/>
      </w:rPr>
      <w:tcPr>
        <w:tcBorders>
          <w:top w:val="nil"/>
          <w:left w:val="nil"/>
          <w:bottom w:val="nil"/>
          <w:right w:val="nil"/>
          <w:insideH w:val="nil"/>
          <w:insideV w:val="nil"/>
          <w:tl2br w:val="nil"/>
          <w:tr2bl w:val="nil"/>
        </w:tcBorders>
      </w:tcPr>
    </w:tblStylePr>
    <w:tblStylePr w:type="swCell">
      <w:rPr>
        <w:color w:val="000080"/>
      </w:rPr>
      <w:tcPr>
        <w:tcBorders>
          <w:top w:val="nil"/>
          <w:left w:val="nil"/>
          <w:bottom w:val="nil"/>
          <w:right w:val="nil"/>
          <w:insideH w:val="nil"/>
          <w:insideV w:val="nil"/>
          <w:tl2br w:val="nil"/>
          <w:tr2bl w:val="nil"/>
        </w:tcBorders>
      </w:tcPr>
    </w:tblStylePr>
  </w:style>
  <w:style w:type="table" w:customStyle="1" w:styleId="3273">
    <w:name w:val="网格型 43"/>
    <w:basedOn w:val="88"/>
    <w:qFormat/>
    <w:uiPriority w:val="0"/>
    <w:pPr>
      <w:widowControl w:val="0"/>
      <w:spacing w:line="560" w:lineRule="exact"/>
      <w:ind w:firstLine="200" w:firstLineChars="200"/>
      <w:jc w:val="both"/>
    </w:pPr>
    <w:rPr>
      <w:rFonts w:ascii="Calibri" w:hAnsi="Calibri"/>
    </w:rPr>
    <w:tblPr>
      <w:tblBorders>
        <w:left w:val="single" w:color="000000" w:sz="12" w:space="0"/>
        <w:right w:val="single" w:color="000000" w:sz="12" w:space="0"/>
        <w:insideH w:val="single" w:color="000000" w:sz="6" w:space="0"/>
        <w:insideV w:val="single" w:color="000000" w:sz="6" w:space="0"/>
      </w:tblBorders>
    </w:tblPr>
    <w:tcPr>
      <w:shd w:val="clear" w:color="auto" w:fill="auto"/>
    </w:tcPr>
    <w:tblStylePr w:type="firstRow">
      <w:rPr>
        <w:color w:val="auto"/>
      </w:rPr>
      <w:tcPr>
        <w:tcBorders>
          <w:top w:val="nil"/>
          <w:left w:val="single" w:color="000000" w:sz="6" w:space="0"/>
          <w:bottom w:val="nil"/>
          <w:right w:val="nil"/>
          <w:insideH w:val="nil"/>
          <w:insideV w:val="nil"/>
          <w:tl2br w:val="nil"/>
          <w:tr2bl w:val="nil"/>
        </w:tcBorders>
        <w:shd w:val="pct30" w:color="FFFF00" w:fill="FFFFFF"/>
      </w:tcPr>
    </w:tblStylePr>
    <w:tblStylePr w:type="lastRow">
      <w:rPr>
        <w:b/>
        <w:bCs/>
        <w:color w:val="auto"/>
      </w:rPr>
      <w:tcPr>
        <w:tcBorders>
          <w:top w:val="single" w:color="000000" w:sz="6" w:space="0"/>
          <w:left w:val="nil"/>
          <w:bottom w:val="nil"/>
          <w:right w:val="nil"/>
          <w:insideH w:val="nil"/>
          <w:insideV w:val="nil"/>
          <w:tl2br w:val="nil"/>
          <w:tr2bl w:val="nil"/>
        </w:tcBorders>
        <w:shd w:val="pct30" w:color="FFFF00" w:fill="FFFFFF"/>
      </w:tcPr>
    </w:tblStylePr>
    <w:tblStylePr w:type="lastCol">
      <w:rPr>
        <w:b/>
        <w:bCs/>
        <w:color w:val="auto"/>
      </w:rPr>
      <w:tcPr>
        <w:tcBorders>
          <w:top w:val="nil"/>
          <w:left w:val="nil"/>
          <w:bottom w:val="nil"/>
          <w:right w:val="nil"/>
          <w:insideH w:val="nil"/>
          <w:insideV w:val="nil"/>
          <w:tl2br w:val="nil"/>
          <w:tr2bl w:val="nil"/>
        </w:tcBorders>
      </w:tcPr>
    </w:tblStylePr>
  </w:style>
  <w:style w:type="table" w:customStyle="1" w:styleId="3274">
    <w:name w:val="立体型 11"/>
    <w:basedOn w:val="88"/>
    <w:semiHidden/>
    <w:qFormat/>
    <w:uiPriority w:val="0"/>
    <w:pPr>
      <w:widowControl w:val="0"/>
      <w:jc w:val="both"/>
    </w:pPr>
    <w:tcPr>
      <w:shd w:val="solid" w:color="C0C0C0" w:fill="FFFFFF"/>
    </w:tcPr>
    <w:tblStylePr w:type="firstRow">
      <w:rPr>
        <w:b/>
        <w:bCs/>
        <w:color w:val="800080"/>
      </w:rPr>
      <w:tcPr>
        <w:tcBorders>
          <w:top w:val="nil"/>
          <w:left w:val="single" w:color="808080" w:sz="6" w:space="0"/>
          <w:bottom w:val="nil"/>
          <w:right w:val="nil"/>
          <w:insideH w:val="nil"/>
          <w:insideV w:val="nil"/>
          <w:tl2br w:val="nil"/>
          <w:tr2bl w:val="nil"/>
        </w:tcBorders>
      </w:tcPr>
    </w:tblStylePr>
    <w:tblStylePr w:type="lastRow">
      <w:tcPr>
        <w:tcBorders>
          <w:top w:val="single" w:color="FFFFFF" w:sz="6" w:space="0"/>
          <w:left w:val="nil"/>
          <w:bottom w:val="nil"/>
          <w:right w:val="nil"/>
          <w:insideH w:val="nil"/>
          <w:insideV w:val="nil"/>
          <w:tl2br w:val="nil"/>
          <w:tr2bl w:val="nil"/>
        </w:tcBorders>
      </w:tcPr>
    </w:tblStylePr>
    <w:tblStylePr w:type="firstCol">
      <w:rPr>
        <w:b/>
        <w:bCs/>
      </w:rPr>
      <w:tcPr>
        <w:tcBorders>
          <w:top w:val="nil"/>
          <w:left w:val="nil"/>
          <w:bottom w:val="nil"/>
          <w:right w:val="single" w:color="808080" w:sz="6" w:space="0"/>
          <w:insideH w:val="nil"/>
          <w:insideV w:val="nil"/>
          <w:tl2br w:val="nil"/>
          <w:tr2bl w:val="nil"/>
        </w:tcBorders>
      </w:tcPr>
    </w:tblStylePr>
    <w:tblStylePr w:type="lastCol">
      <w:tcPr>
        <w:tcBorders>
          <w:top w:val="nil"/>
          <w:left w:val="nil"/>
          <w:bottom w:val="single" w:color="FFFFFF" w:sz="6" w:space="0"/>
          <w:right w:val="nil"/>
          <w:insideH w:val="nil"/>
          <w:insideV w:val="nil"/>
          <w:tl2br w:val="nil"/>
          <w:tr2bl w:val="nil"/>
        </w:tcBorders>
      </w:tcPr>
    </w:tblStylePr>
    <w:tblStylePr w:type="neCell">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nil"/>
          <w:tr2bl w:val="nil"/>
        </w:tcBorders>
      </w:tcPr>
    </w:tblStylePr>
    <w:tblStylePr w:type="seCell">
      <w:tcPr>
        <w:tcBorders>
          <w:top w:val="nil"/>
          <w:left w:val="nil"/>
          <w:bottom w:val="nil"/>
          <w:right w:val="nil"/>
          <w:insideH w:val="nil"/>
          <w:insideV w:val="nil"/>
          <w:tl2br w:val="nil"/>
          <w:tr2bl w:val="nil"/>
        </w:tcBorders>
      </w:tcPr>
    </w:tblStylePr>
    <w:tblStylePr w:type="swCell">
      <w:rPr>
        <w:color w:val="000080"/>
      </w:rPr>
      <w:tcPr>
        <w:tcBorders>
          <w:top w:val="nil"/>
          <w:left w:val="nil"/>
          <w:bottom w:val="nil"/>
          <w:right w:val="nil"/>
          <w:insideH w:val="nil"/>
          <w:insideV w:val="nil"/>
          <w:tl2br w:val="nil"/>
          <w:tr2bl w:val="nil"/>
        </w:tcBorders>
      </w:tcPr>
    </w:tblStylePr>
  </w:style>
  <w:style w:type="table" w:customStyle="1" w:styleId="3275">
    <w:name w:val="表格主题112"/>
    <w:basedOn w:val="88"/>
    <w:qFormat/>
    <w:uiPriority w:val="0"/>
    <w:pPr>
      <w:widowControl w:val="0"/>
      <w:adjustRightInd w:val="0"/>
      <w:snapToGrid w:val="0"/>
      <w:jc w:val="center"/>
    </w:pPr>
    <w:rPr>
      <w:rFonts w:ascii="Calibri" w:hAnsi="Calibri"/>
      <w:sz w:val="24"/>
      <w:szCs w:val="24"/>
    </w:rPr>
    <w:tblPr>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rPr>
      <w:jc w:val="center"/>
    </w:trPr>
    <w:tcPr>
      <w:tcMar>
        <w:left w:w="28" w:type="dxa"/>
        <w:right w:w="28" w:type="dxa"/>
      </w:tcMar>
      <w:vAlign w:val="center"/>
    </w:tcPr>
    <w:tblStylePr w:type="firstRow">
      <w:pPr>
        <w:wordWrap/>
        <w:spacing w:beforeLines="0" w:beforeAutospacing="0" w:afterLines="0" w:afterAutospacing="0" w:line="240" w:lineRule="auto"/>
        <w:ind w:left="0" w:leftChars="0" w:right="0" w:rightChars="0"/>
      </w:pPr>
      <w:rPr>
        <w:rFonts w:ascii="Times New Roman" w:hAnsi="Times New Roman" w:eastAsia="Swis721 BT"/>
        <w:sz w:val="21"/>
      </w:rPr>
      <w:tcPr>
        <w:tcBorders>
          <w:top w:val="single" w:color="auto" w:sz="12" w:space="0"/>
          <w:left w:val="single" w:color="auto" w:sz="4" w:space="0"/>
          <w:bottom w:val="single" w:color="auto" w:sz="12" w:space="0"/>
          <w:right w:val="single" w:color="auto" w:sz="12" w:space="0"/>
          <w:insideH w:val="single" w:sz="4" w:space="0"/>
          <w:insideV w:val="single" w:sz="4" w:space="0"/>
          <w:tl2br w:val="nil"/>
          <w:tr2bl w:val="nil"/>
        </w:tcBorders>
      </w:tcPr>
    </w:tblStylePr>
    <w:tblStylePr w:type="firstCol">
      <w:pPr>
        <w:keepNext w:val="0"/>
        <w:keepLines w:val="0"/>
        <w:pageBreakBefore w:val="0"/>
        <w:widowControl w:val="0"/>
        <w:suppressLineNumbers w:val="0"/>
        <w:suppressAutoHyphens w:val="0"/>
        <w:wordWrap/>
        <w:spacing w:beforeLines="0" w:beforeAutospacing="0" w:afterLines="0" w:afterAutospacing="0" w:line="240" w:lineRule="auto"/>
        <w:ind w:left="0" w:leftChars="0" w:right="0" w:rightChars="0"/>
      </w:pPr>
      <w:rPr>
        <w:rFonts w:ascii="Times New Roman" w:hAnsi="Times New Roman" w:eastAsia="Swis721 BT"/>
        <w:b w:val="0"/>
        <w:sz w:val="21"/>
      </w:rPr>
    </w:tblStylePr>
  </w:style>
  <w:style w:type="table" w:customStyle="1" w:styleId="3276">
    <w:name w:val="彩色型 312"/>
    <w:basedOn w:val="88"/>
    <w:semiHidden/>
    <w:qFormat/>
    <w:uiPriority w:val="0"/>
    <w:pPr>
      <w:widowControl w:val="0"/>
      <w:jc w:val="both"/>
    </w:pPr>
    <w:rPr>
      <w:rFonts w:ascii="Calibri" w:hAnsi="Calibri"/>
    </w:rPr>
    <w:tblPr>
      <w:tblBorders>
        <w:top w:val="single" w:color="000000" w:sz="18" w:space="0"/>
        <w:left w:val="single" w:color="000000" w:sz="18" w:space="0"/>
        <w:bottom w:val="single" w:color="000000" w:sz="18" w:space="0"/>
        <w:right w:val="single" w:color="000000" w:sz="18" w:space="0"/>
        <w:insideH w:val="single" w:color="C0C0C0" w:sz="6" w:space="0"/>
      </w:tblBorders>
    </w:tblPr>
    <w:tcPr>
      <w:shd w:val="pct25" w:color="008080" w:fill="FFFFFF"/>
    </w:tcPr>
    <w:tblStylePr w:type="firstRow">
      <w:tcPr>
        <w:tcBorders>
          <w:top w:val="nil"/>
          <w:left w:val="single" w:color="000000" w:sz="6" w:space="0"/>
          <w:bottom w:val="nil"/>
          <w:right w:val="nil"/>
          <w:insideH w:val="nil"/>
          <w:insideV w:val="nil"/>
          <w:tl2br w:val="nil"/>
          <w:tr2bl w:val="nil"/>
        </w:tcBorders>
        <w:shd w:val="solid" w:color="008080" w:fill="FFFFFF"/>
      </w:tcPr>
    </w:tblStylePr>
    <w:tblStylePr w:type="firstCol">
      <w:tcPr>
        <w:tcBorders>
          <w:top w:val="nil"/>
          <w:left w:val="nil"/>
          <w:bottom w:val="single" w:color="000000" w:sz="36" w:space="0"/>
          <w:right w:val="single" w:color="000000" w:sz="6" w:space="0"/>
          <w:insideH w:val="nil"/>
          <w:insideV w:val="nil"/>
          <w:tl2br w:val="nil"/>
          <w:tr2bl w:val="nil"/>
        </w:tcBorders>
        <w:shd w:val="solid" w:color="008080" w:fill="FFFFFF"/>
      </w:tcPr>
    </w:tblStylePr>
    <w:tblStylePr w:type="nwCell">
      <w:rPr>
        <w:b/>
        <w:bCs/>
        <w:color w:val="FFFFFF"/>
      </w:rPr>
      <w:tcPr>
        <w:tcBorders>
          <w:top w:val="nil"/>
          <w:left w:val="nil"/>
          <w:bottom w:val="nil"/>
          <w:right w:val="nil"/>
          <w:insideH w:val="nil"/>
          <w:insideV w:val="nil"/>
          <w:tl2br w:val="nil"/>
          <w:tr2bl w:val="nil"/>
        </w:tcBorders>
        <w:shd w:val="solid" w:color="000000" w:fill="FFFFFF"/>
      </w:tcPr>
    </w:tblStylePr>
  </w:style>
  <w:style w:type="table" w:customStyle="1" w:styleId="3277">
    <w:name w:val="表格网格型22"/>
    <w:basedOn w:val="88"/>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78">
    <w:name w:val="网格型39"/>
    <w:basedOn w:val="88"/>
    <w:qFormat/>
    <w:uiPriority w:val="0"/>
    <w:pPr>
      <w:widowControl w:val="0"/>
      <w:ind w:firstLine="20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79">
    <w:name w:val="网格型3312"/>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80">
    <w:name w:val="网页型 12"/>
    <w:basedOn w:val="88"/>
    <w:qFormat/>
    <w:uiPriority w:val="0"/>
    <w:pPr>
      <w:widowControl w:val="0"/>
      <w:spacing w:line="560" w:lineRule="exact"/>
      <w:ind w:firstLine="200" w:firstLineChars="200"/>
      <w:jc w:val="both"/>
    </w:pPr>
    <w:rPr>
      <w:rFonts w:ascii="Calibri" w:hAnsi="Calibri"/>
    </w:rPr>
    <w:tblPr>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cPr>
      <w:shd w:val="clear" w:color="auto" w:fill="auto"/>
    </w:tcPr>
    <w:tblStylePr w:type="firstRow">
      <w:rPr>
        <w:color w:val="auto"/>
      </w:rPr>
      <w:tcPr>
        <w:tcBorders>
          <w:top w:val="nil"/>
          <w:left w:val="nil"/>
          <w:bottom w:val="nil"/>
          <w:right w:val="nil"/>
          <w:insideH w:val="nil"/>
          <w:insideV w:val="nil"/>
          <w:tl2br w:val="nil"/>
          <w:tr2bl w:val="nil"/>
        </w:tcBorders>
      </w:tcPr>
    </w:tblStylePr>
  </w:style>
  <w:style w:type="table" w:customStyle="1" w:styleId="3281">
    <w:name w:val="网格型311121"/>
    <w:basedOn w:val="88"/>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82">
    <w:name w:val="网格型 213"/>
    <w:basedOn w:val="88"/>
    <w:semiHidden/>
    <w:qFormat/>
    <w:uiPriority w:val="0"/>
    <w:pPr>
      <w:widowControl w:val="0"/>
      <w:jc w:val="both"/>
    </w:pPr>
    <w:tblPr>
      <w:tblBorders>
        <w:insideH w:val="single" w:color="000000" w:sz="6" w:space="0"/>
        <w:insideV w:val="single" w:color="000000" w:sz="6" w:space="0"/>
      </w:tblBorders>
    </w:tblPr>
    <w:tcPr>
      <w:shd w:val="clear" w:color="auto" w:fill="auto"/>
    </w:tcPr>
    <w:tblStylePr w:type="firstRow">
      <w:rPr>
        <w:b/>
        <w:bCs/>
      </w:rPr>
      <w:tcPr>
        <w:tcBorders>
          <w:top w:val="nil"/>
          <w:left w:val="nil"/>
          <w:bottom w:val="nil"/>
          <w:right w:val="nil"/>
          <w:insideH w:val="nil"/>
          <w:insideV w:val="nil"/>
          <w:tl2br w:val="nil"/>
          <w:tr2bl w:val="nil"/>
        </w:tcBorders>
      </w:tcPr>
    </w:tblStylePr>
    <w:tblStylePr w:type="lastRow">
      <w:rPr>
        <w:b/>
        <w:bCs/>
      </w:rPr>
      <w:tcPr>
        <w:tcBorders>
          <w:top w:val="single" w:color="000000" w:sz="6"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style>
  <w:style w:type="table" w:customStyle="1" w:styleId="3283">
    <w:name w:val="网格型 31"/>
    <w:basedOn w:val="88"/>
    <w:semiHidden/>
    <w:qFormat/>
    <w:uiPriority w:val="0"/>
    <w:pPr>
      <w:widowControl w:val="0"/>
      <w:jc w:val="both"/>
    </w:pPr>
    <w:tblPr>
      <w:tblBorders>
        <w:top w:val="single" w:color="000000" w:sz="6" w:space="0"/>
        <w:left w:val="single" w:color="000000" w:sz="12" w:space="0"/>
        <w:bottom w:val="single" w:color="000000" w:sz="6" w:space="0"/>
        <w:right w:val="single" w:color="000000" w:sz="12" w:space="0"/>
        <w:insideV w:val="single" w:color="000000" w:sz="6" w:space="0"/>
      </w:tblBorders>
    </w:tblPr>
    <w:tcPr>
      <w:shd w:val="clear" w:color="auto" w:fill="auto"/>
    </w:tcPr>
    <w:tblStylePr w:type="firstRow">
      <w:tcPr>
        <w:tcBorders>
          <w:top w:val="nil"/>
          <w:left w:val="single" w:color="000000" w:sz="6" w:space="0"/>
          <w:bottom w:val="nil"/>
          <w:right w:val="nil"/>
          <w:insideH w:val="nil"/>
          <w:insideV w:val="nil"/>
          <w:tl2br w:val="nil"/>
          <w:tr2bl w:val="nil"/>
        </w:tcBorders>
        <w:shd w:val="pct30" w:color="FFFF00" w:fill="FFFFFF"/>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284">
    <w:name w:val="网格型 1111"/>
    <w:basedOn w:val="88"/>
    <w:qFormat/>
    <w:uiPriority w:val="0"/>
    <w:pPr>
      <w:widowControl w:val="0"/>
      <w:jc w:val="both"/>
    </w:pPr>
    <w:rPr>
      <w:rFonts w:ascii="Calibri" w:hAnsi="Calibri"/>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285">
    <w:name w:val="网页型 13"/>
    <w:basedOn w:val="88"/>
    <w:qFormat/>
    <w:uiPriority w:val="0"/>
    <w:pPr>
      <w:widowControl w:val="0"/>
      <w:spacing w:line="560" w:lineRule="exact"/>
      <w:ind w:firstLine="200" w:firstLineChars="200"/>
      <w:jc w:val="both"/>
    </w:pPr>
    <w:rPr>
      <w:rFonts w:ascii="Calibri" w:hAnsi="Calibri"/>
    </w:rPr>
    <w:tblPr>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cPr>
      <w:shd w:val="clear" w:color="auto" w:fill="auto"/>
    </w:tcPr>
    <w:tblStylePr w:type="firstRow">
      <w:rPr>
        <w:color w:val="auto"/>
      </w:rPr>
      <w:tcPr>
        <w:tcBorders>
          <w:top w:val="nil"/>
          <w:left w:val="nil"/>
          <w:bottom w:val="nil"/>
          <w:right w:val="nil"/>
          <w:insideH w:val="nil"/>
          <w:insideV w:val="nil"/>
          <w:tl2br w:val="nil"/>
          <w:tr2bl w:val="nil"/>
        </w:tcBorders>
      </w:tcPr>
    </w:tblStylePr>
  </w:style>
  <w:style w:type="table" w:customStyle="1" w:styleId="3286">
    <w:name w:val="简明型 32"/>
    <w:basedOn w:val="88"/>
    <w:qFormat/>
    <w:uiPriority w:val="0"/>
    <w:pPr>
      <w:widowControl w:val="0"/>
      <w:spacing w:line="560" w:lineRule="exact"/>
      <w:ind w:firstLine="200" w:firstLineChars="200"/>
      <w:jc w:val="both"/>
    </w:pPr>
    <w:rPr>
      <w:rFonts w:ascii="Calibri" w:hAnsi="Calibri"/>
    </w:rPr>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color w:val="FFFFFF"/>
      </w:rPr>
      <w:tcPr>
        <w:tcBorders>
          <w:top w:val="nil"/>
          <w:left w:val="nil"/>
          <w:bottom w:val="nil"/>
          <w:right w:val="nil"/>
          <w:insideH w:val="nil"/>
          <w:insideV w:val="nil"/>
          <w:tl2br w:val="nil"/>
          <w:tr2bl w:val="nil"/>
        </w:tcBorders>
        <w:shd w:val="solid" w:color="000000" w:fill="FFFFFF"/>
      </w:tcPr>
    </w:tblStylePr>
  </w:style>
  <w:style w:type="table" w:customStyle="1" w:styleId="3287">
    <w:name w:val="精巧型 221"/>
    <w:basedOn w:val="88"/>
    <w:qFormat/>
    <w:uiPriority w:val="0"/>
    <w:pPr>
      <w:widowControl w:val="0"/>
      <w:spacing w:line="560" w:lineRule="exact"/>
      <w:ind w:firstLine="200" w:firstLineChars="200"/>
      <w:jc w:val="both"/>
    </w:pPr>
    <w:rPr>
      <w:rFonts w:ascii="Calibri" w:hAnsi="Calibri"/>
    </w:rPr>
    <w:tblPr>
      <w:tblBorders>
        <w:left w:val="single" w:color="000000" w:sz="6" w:space="0"/>
        <w:right w:val="single" w:color="000000" w:sz="6" w:space="0"/>
      </w:tblBorders>
    </w:tblPr>
    <w:tblStylePr w:type="firstRow">
      <w:tcPr>
        <w:tcBorders>
          <w:top w:val="nil"/>
          <w:left w:val="single" w:color="000000" w:sz="12" w:space="0"/>
          <w:bottom w:val="nil"/>
          <w:right w:val="nil"/>
          <w:insideH w:val="nil"/>
          <w:insideV w:val="nil"/>
          <w:tl2br w:val="nil"/>
          <w:tr2bl w:val="nil"/>
        </w:tcBorders>
      </w:tcPr>
    </w:tblStylePr>
    <w:tblStylePr w:type="lastRow">
      <w:tcPr>
        <w:tcBorders>
          <w:top w:val="single" w:color="000000" w:sz="12" w:space="0"/>
          <w:left w:val="nil"/>
          <w:bottom w:val="nil"/>
          <w:right w:val="nil"/>
          <w:insideH w:val="nil"/>
          <w:insideV w:val="nil"/>
          <w:tl2br w:val="nil"/>
          <w:tr2bl w:val="nil"/>
        </w:tcBorders>
      </w:tcPr>
    </w:tblStylePr>
    <w:tblStylePr w:type="firstCol">
      <w:tcPr>
        <w:tcBorders>
          <w:top w:val="nil"/>
          <w:left w:val="nil"/>
          <w:bottom w:val="nil"/>
          <w:right w:val="single" w:color="000000" w:sz="12" w:space="0"/>
          <w:insideH w:val="nil"/>
          <w:insideV w:val="nil"/>
          <w:tl2br w:val="nil"/>
          <w:tr2bl w:val="nil"/>
        </w:tcBorders>
        <w:shd w:val="pct25" w:color="008000" w:fill="FFFFFF"/>
      </w:tcPr>
    </w:tblStylePr>
    <w:tblStylePr w:type="lastCol">
      <w:tcPr>
        <w:tcBorders>
          <w:top w:val="nil"/>
          <w:left w:val="nil"/>
          <w:bottom w:val="single" w:color="000000" w:sz="12" w:space="0"/>
          <w:right w:val="nil"/>
          <w:insideH w:val="nil"/>
          <w:insideV w:val="nil"/>
          <w:tl2br w:val="nil"/>
          <w:tr2bl w:val="nil"/>
        </w:tcBorders>
        <w:shd w:val="pct25" w:color="808000" w:fill="FFFFFF"/>
      </w:tcPr>
    </w:tblStylePr>
    <w:tblStylePr w:type="neCell">
      <w:rPr>
        <w:b/>
        <w:bCs/>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288">
    <w:name w:val="简明型 113"/>
    <w:basedOn w:val="88"/>
    <w:semiHidden/>
    <w:qFormat/>
    <w:uiPriority w:val="0"/>
    <w:pPr>
      <w:widowControl w:val="0"/>
      <w:jc w:val="both"/>
    </w:pPr>
    <w:tblPr>
      <w:tblBorders>
        <w:top w:val="single" w:color="008000" w:sz="12" w:space="0"/>
        <w:bottom w:val="single" w:color="008000" w:sz="12" w:space="0"/>
      </w:tblBorders>
    </w:tblPr>
    <w:tcPr>
      <w:shd w:val="clear" w:color="auto" w:fill="auto"/>
    </w:tcPr>
    <w:tblStylePr w:type="firstRow">
      <w:tcPr>
        <w:tcBorders>
          <w:top w:val="nil"/>
          <w:left w:val="single" w:color="008000" w:sz="6" w:space="0"/>
          <w:bottom w:val="nil"/>
          <w:right w:val="nil"/>
          <w:insideH w:val="nil"/>
          <w:insideV w:val="nil"/>
          <w:tl2br w:val="nil"/>
          <w:tr2bl w:val="nil"/>
        </w:tcBorders>
      </w:tcPr>
    </w:tblStylePr>
    <w:tblStylePr w:type="lastRow">
      <w:tcPr>
        <w:tcBorders>
          <w:top w:val="single" w:color="008000" w:sz="6" w:space="0"/>
          <w:left w:val="nil"/>
          <w:bottom w:val="nil"/>
          <w:right w:val="nil"/>
          <w:insideH w:val="nil"/>
          <w:insideV w:val="nil"/>
          <w:tl2br w:val="nil"/>
          <w:tr2bl w:val="nil"/>
        </w:tcBorders>
      </w:tcPr>
    </w:tblStylePr>
  </w:style>
  <w:style w:type="table" w:customStyle="1" w:styleId="3289">
    <w:name w:val="竖列型 24"/>
    <w:basedOn w:val="88"/>
    <w:qFormat/>
    <w:uiPriority w:val="0"/>
    <w:pPr>
      <w:widowControl w:val="0"/>
      <w:spacing w:line="560" w:lineRule="exact"/>
      <w:ind w:firstLine="200" w:firstLineChars="200"/>
      <w:jc w:val="both"/>
    </w:pPr>
    <w:rPr>
      <w:rFonts w:ascii="Calibri" w:hAnsi="Calibri"/>
      <w:b/>
      <w:bCs/>
    </w:rPr>
    <w:tblStylePr w:type="firstRow">
      <w:rPr>
        <w:color w:val="FFFFFF"/>
      </w:rPr>
      <w:tcPr>
        <w:tcBorders>
          <w:top w:val="nil"/>
          <w:left w:val="nil"/>
          <w:bottom w:val="nil"/>
          <w:right w:val="nil"/>
          <w:insideH w:val="nil"/>
          <w:insideV w:val="nil"/>
          <w:tl2br w:val="nil"/>
          <w:tr2bl w:val="nil"/>
        </w:tcBorders>
        <w:shd w:val="solid" w:color="000080" w:fill="FFFFFF"/>
      </w:tcPr>
    </w:tblStylePr>
    <w:tblStylePr w:type="lastRow">
      <w:rPr>
        <w:b w:val="0"/>
        <w:bCs w:val="0"/>
      </w:rPr>
      <w:tcPr>
        <w:tcBorders>
          <w:top w:val="nil"/>
          <w:left w:val="nil"/>
          <w:bottom w:val="nil"/>
          <w:right w:val="nil"/>
          <w:insideH w:val="nil"/>
          <w:insideV w:val="nil"/>
          <w:tl2br w:val="nil"/>
          <w:tr2bl w:val="nil"/>
        </w:tcBorders>
      </w:tcPr>
    </w:tblStylePr>
    <w:tblStylePr w:type="firstCol">
      <w:rPr>
        <w:b w:val="0"/>
        <w:bCs w:val="0"/>
        <w:color w:val="00000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band1Vert">
      <w:rPr>
        <w:color w:val="auto"/>
      </w:rPr>
      <w:tcPr>
        <w:shd w:val="pct30" w:color="000000" w:fill="FFFFFF"/>
      </w:tcPr>
    </w:tblStylePr>
    <w:tblStylePr w:type="band2Vert">
      <w:rPr>
        <w:color w:val="auto"/>
      </w:rPr>
      <w:tcPr>
        <w:shd w:val="pct25" w:color="00FF00" w:fill="FFFFFF"/>
      </w:tcPr>
    </w:tblStylePr>
    <w:tblStylePr w:type="neCell">
      <w:rPr>
        <w:b/>
        <w:bCs/>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290">
    <w:name w:val="网格型3111122"/>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91">
    <w:name w:val="古典型 41"/>
    <w:basedOn w:val="88"/>
    <w:semiHidden/>
    <w:qFormat/>
    <w:uiPriority w:val="0"/>
    <w:pPr>
      <w:widowControl w:val="0"/>
      <w:jc w:val="both"/>
    </w:pPr>
    <w:tblPr>
      <w:tblBorders>
        <w:top w:val="single" w:color="000000" w:sz="12" w:space="0"/>
        <w:left w:val="single" w:color="000000" w:sz="6" w:space="0"/>
        <w:bottom w:val="single" w:color="000000" w:sz="12" w:space="0"/>
        <w:right w:val="single" w:color="000000" w:sz="6" w:space="0"/>
      </w:tblBorders>
    </w:tblPr>
    <w:tcPr>
      <w:shd w:val="clear" w:color="auto" w:fill="auto"/>
    </w:tcPr>
    <w:tblStylePr w:type="firstRow">
      <w:rPr>
        <w:b/>
        <w:bCs/>
        <w:i/>
        <w:iCs/>
        <w:color w:val="FFFFFF"/>
      </w:rPr>
      <w:tcPr>
        <w:tcBorders>
          <w:top w:val="nil"/>
          <w:left w:val="single" w:color="000000" w:sz="6" w:space="0"/>
          <w:bottom w:val="nil"/>
          <w:right w:val="nil"/>
          <w:insideH w:val="nil"/>
          <w:insideV w:val="nil"/>
          <w:tl2br w:val="nil"/>
          <w:tr2bl w:val="nil"/>
        </w:tcBorders>
        <w:shd w:val="pct50" w:color="000080" w:fill="FFFFFF"/>
      </w:tcPr>
    </w:tblStylePr>
    <w:tblStylePr w:type="lastRow">
      <w:rPr>
        <w:color w:val="000080"/>
      </w:rPr>
      <w:tcPr>
        <w:tcBorders>
          <w:top w:val="nil"/>
          <w:left w:val="single" w:color="000000" w:sz="6" w:space="0"/>
          <w:bottom w:val="nil"/>
          <w:right w:val="nil"/>
          <w:insideH w:val="nil"/>
          <w:insideV w:val="nil"/>
          <w:tl2br w:val="nil"/>
          <w:tr2bl w:val="nil"/>
        </w:tcBorders>
        <w:shd w:val="pct50" w:color="000000" w:fill="FFFFFF"/>
      </w:tcPr>
    </w:tblStylePr>
    <w:tblStylePr w:type="firstCol">
      <w:rPr>
        <w:b/>
        <w:bCs/>
      </w:rPr>
      <w:tcPr>
        <w:tcBorders>
          <w:top w:val="nil"/>
          <w:left w:val="nil"/>
          <w:bottom w:val="nil"/>
          <w:right w:val="nil"/>
          <w:insideH w:val="nil"/>
          <w:insideV w:val="nil"/>
          <w:tl2br w:val="nil"/>
          <w:tr2bl w:val="nil"/>
        </w:tcBorders>
      </w:tcPr>
    </w:tblStylePr>
    <w:tblStylePr w:type="nwCell">
      <w:rPr>
        <w:b/>
        <w:bCs/>
      </w:rPr>
      <w:tcPr>
        <w:tcBorders>
          <w:top w:val="nil"/>
          <w:left w:val="nil"/>
          <w:bottom w:val="nil"/>
          <w:right w:val="nil"/>
          <w:insideH w:val="nil"/>
          <w:insideV w:val="nil"/>
          <w:tl2br w:val="nil"/>
          <w:tr2bl w:val="nil"/>
        </w:tcBorders>
      </w:tcPr>
    </w:tblStylePr>
    <w:tblStylePr w:type="swCell">
      <w:rPr>
        <w:color w:val="000080"/>
      </w:rPr>
      <w:tcPr>
        <w:tcBorders>
          <w:top w:val="nil"/>
          <w:left w:val="nil"/>
          <w:bottom w:val="nil"/>
          <w:right w:val="nil"/>
          <w:insideH w:val="nil"/>
          <w:insideV w:val="nil"/>
          <w:tl2br w:val="nil"/>
          <w:tr2bl w:val="nil"/>
        </w:tcBorders>
      </w:tcPr>
    </w:tblStylePr>
  </w:style>
  <w:style w:type="table" w:customStyle="1" w:styleId="3292">
    <w:name w:val="网格型231"/>
    <w:basedOn w:val="88"/>
    <w:qFormat/>
    <w:uiPriority w:val="0"/>
    <w:pPr>
      <w:widowControl w:val="0"/>
      <w:jc w:val="both"/>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93">
    <w:name w:val="网格型3121"/>
    <w:basedOn w:val="88"/>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94">
    <w:name w:val="网格型32111"/>
    <w:basedOn w:val="88"/>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95">
    <w:name w:val="网格型31211"/>
    <w:basedOn w:val="88"/>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96">
    <w:name w:val="网格型162"/>
    <w:basedOn w:val="88"/>
    <w:qFormat/>
    <w:uiPriority w:val="59"/>
    <w:rPr>
      <w:rFonts w:ascii="Calibri" w:hAnsi="Calibri" w:eastAsia="Times New Roman"/>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97">
    <w:name w:val="网格型7"/>
    <w:basedOn w:val="88"/>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98">
    <w:name w:val="网格型 34"/>
    <w:basedOn w:val="88"/>
    <w:qFormat/>
    <w:uiPriority w:val="0"/>
    <w:pPr>
      <w:widowControl w:val="0"/>
      <w:spacing w:line="560" w:lineRule="exact"/>
      <w:ind w:firstLine="200" w:firstLineChars="200"/>
      <w:jc w:val="both"/>
    </w:pPr>
    <w:rPr>
      <w:rFonts w:ascii="Calibri" w:hAnsi="Calibri"/>
    </w:rPr>
    <w:tblPr>
      <w:tblBorders>
        <w:top w:val="single" w:color="000000" w:sz="6" w:space="0"/>
        <w:left w:val="single" w:color="000000" w:sz="12" w:space="0"/>
        <w:bottom w:val="single" w:color="000000" w:sz="6" w:space="0"/>
        <w:right w:val="single" w:color="000000" w:sz="12" w:space="0"/>
        <w:insideV w:val="single" w:color="000000" w:sz="6" w:space="0"/>
      </w:tblBorders>
    </w:tblPr>
    <w:tcPr>
      <w:shd w:val="clear" w:color="auto" w:fill="auto"/>
    </w:tcPr>
    <w:tblStylePr w:type="firstRow">
      <w:tcPr>
        <w:tcBorders>
          <w:top w:val="nil"/>
          <w:left w:val="single" w:color="000000" w:sz="6" w:space="0"/>
          <w:bottom w:val="nil"/>
          <w:right w:val="nil"/>
          <w:insideH w:val="nil"/>
          <w:insideV w:val="nil"/>
          <w:tl2br w:val="nil"/>
          <w:tr2bl w:val="nil"/>
        </w:tcBorders>
        <w:shd w:val="pct30" w:color="FFFF00" w:fill="FFFFFF"/>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299">
    <w:name w:val="网格型 84"/>
    <w:basedOn w:val="88"/>
    <w:qFormat/>
    <w:uiPriority w:val="0"/>
    <w:pPr>
      <w:widowControl w:val="0"/>
      <w:spacing w:line="560" w:lineRule="exact"/>
      <w:ind w:firstLine="200" w:firstLineChars="200"/>
      <w:jc w:val="both"/>
    </w:pPr>
    <w:rPr>
      <w:rFonts w:ascii="Calibri" w:hAnsi="Calibri"/>
    </w:r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color w:val="FFFFFF"/>
      </w:rPr>
      <w:tcPr>
        <w:tcBorders>
          <w:top w:val="nil"/>
          <w:left w:val="nil"/>
          <w:bottom w:val="nil"/>
          <w:right w:val="nil"/>
          <w:insideH w:val="nil"/>
          <w:insideV w:val="nil"/>
          <w:tl2br w:val="nil"/>
          <w:tr2bl w:val="nil"/>
        </w:tcBorders>
        <w:shd w:val="solid" w:color="000080" w:fill="FFFFFF"/>
      </w:tcPr>
    </w:tblStylePr>
    <w:tblStylePr w:type="lastRow">
      <w:rPr>
        <w:b/>
        <w:bCs/>
        <w:color w:val="auto"/>
      </w:rPr>
      <w:tcPr>
        <w:tcBorders>
          <w:top w:val="nil"/>
          <w:left w:val="nil"/>
          <w:bottom w:val="nil"/>
          <w:right w:val="nil"/>
          <w:insideH w:val="nil"/>
          <w:insideV w:val="nil"/>
          <w:tl2br w:val="nil"/>
          <w:tr2bl w:val="nil"/>
        </w:tcBorders>
      </w:tcPr>
    </w:tblStylePr>
    <w:tblStylePr w:type="lastCol">
      <w:rPr>
        <w:b/>
        <w:bCs/>
        <w:color w:val="auto"/>
      </w:rPr>
      <w:tcPr>
        <w:tcBorders>
          <w:top w:val="nil"/>
          <w:left w:val="nil"/>
          <w:bottom w:val="nil"/>
          <w:right w:val="nil"/>
          <w:insideH w:val="nil"/>
          <w:insideV w:val="nil"/>
          <w:tl2br w:val="nil"/>
          <w:tr2bl w:val="nil"/>
        </w:tcBorders>
      </w:tcPr>
    </w:tblStylePr>
  </w:style>
  <w:style w:type="table" w:customStyle="1" w:styleId="3300">
    <w:name w:val="列表型 213"/>
    <w:basedOn w:val="88"/>
    <w:semiHidden/>
    <w:qFormat/>
    <w:uiPriority w:val="0"/>
    <w:pPr>
      <w:widowControl w:val="0"/>
      <w:jc w:val="both"/>
    </w:pPr>
    <w:tblPr>
      <w:tblBorders>
        <w:bottom w:val="single" w:color="808080" w:sz="12" w:space="0"/>
      </w:tblBorders>
    </w:tblPr>
    <w:tblStylePr w:type="firstRow">
      <w:rPr>
        <w:b/>
        <w:bCs/>
        <w:color w:val="FFFFFF"/>
      </w:rPr>
      <w:tcPr>
        <w:tcBorders>
          <w:top w:val="nil"/>
          <w:left w:val="single" w:color="000000" w:sz="6" w:space="0"/>
          <w:bottom w:val="nil"/>
          <w:right w:val="nil"/>
          <w:insideH w:val="nil"/>
          <w:insideV w:val="nil"/>
          <w:tl2br w:val="nil"/>
          <w:tr2bl w:val="nil"/>
        </w:tcBorders>
        <w:shd w:val="pct75" w:color="008080" w:fill="008000"/>
      </w:tcPr>
    </w:tblStylePr>
    <w:tblStylePr w:type="lastRow">
      <w:tcPr>
        <w:tcBorders>
          <w:top w:val="single" w:color="000000" w:sz="6" w:space="0"/>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FF00" w:fill="FFFFFF"/>
      </w:tcPr>
    </w:tblStylePr>
    <w:tblStylePr w:type="band2Horz">
      <w:rPr>
        <w:color w:val="auto"/>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301">
    <w:name w:val="竖列型 412"/>
    <w:basedOn w:val="88"/>
    <w:semiHidden/>
    <w:qFormat/>
    <w:uiPriority w:val="0"/>
    <w:pPr>
      <w:widowControl w:val="0"/>
      <w:jc w:val="both"/>
    </w:pPr>
    <w:rPr>
      <w:rFonts w:ascii="Calibri" w:hAnsi="Calibri"/>
    </w:rPr>
    <w:tblStylePr w:type="firstRow">
      <w:rPr>
        <w:color w:val="FFFFFF"/>
      </w:rPr>
      <w:tcPr>
        <w:tcBorders>
          <w:top w:val="nil"/>
          <w:left w:val="nil"/>
          <w:bottom w:val="nil"/>
          <w:right w:val="nil"/>
          <w:insideH w:val="nil"/>
          <w:insideV w:val="nil"/>
          <w:tl2br w:val="nil"/>
          <w:tr2bl w:val="nil"/>
        </w:tcBorders>
        <w:shd w:val="solid" w:color="000000" w:fill="FFFFFF"/>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Vert">
      <w:rPr>
        <w:color w:val="auto"/>
      </w:rPr>
      <w:tcPr>
        <w:shd w:val="pct50" w:color="008080" w:fill="FFFFFF"/>
      </w:tcPr>
    </w:tblStylePr>
    <w:tblStylePr w:type="band2Vert">
      <w:rPr>
        <w:color w:val="auto"/>
      </w:rPr>
      <w:tcPr>
        <w:shd w:val="pct10" w:color="000000" w:fill="FFFFFF"/>
      </w:tcPr>
    </w:tblStylePr>
  </w:style>
  <w:style w:type="table" w:customStyle="1" w:styleId="3302">
    <w:name w:val="表格主题111"/>
    <w:basedOn w:val="88"/>
    <w:qFormat/>
    <w:uiPriority w:val="0"/>
    <w:pPr>
      <w:widowControl w:val="0"/>
      <w:adjustRightInd w:val="0"/>
      <w:snapToGrid w:val="0"/>
      <w:jc w:val="center"/>
    </w:pPr>
    <w:rPr>
      <w:rFonts w:ascii="Calibri" w:hAnsi="Calibri"/>
      <w:sz w:val="24"/>
      <w:szCs w:val="24"/>
    </w:rPr>
    <w:tblPr>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rPr>
      <w:jc w:val="center"/>
    </w:trPr>
    <w:tcPr>
      <w:tcMar>
        <w:left w:w="28" w:type="dxa"/>
        <w:right w:w="28" w:type="dxa"/>
      </w:tcMar>
      <w:vAlign w:val="center"/>
    </w:tcPr>
    <w:tblStylePr w:type="firstRow">
      <w:pPr>
        <w:wordWrap/>
        <w:spacing w:beforeLines="0" w:beforeAutospacing="0" w:afterLines="0" w:afterAutospacing="0" w:line="240" w:lineRule="auto"/>
        <w:ind w:left="0" w:leftChars="0" w:right="0" w:rightChars="0"/>
      </w:pPr>
      <w:rPr>
        <w:rFonts w:ascii="Times New Roman" w:hAnsi="Times New Roman" w:eastAsia="方正魏碑_GBK"/>
        <w:sz w:val="21"/>
      </w:rPr>
      <w:tcPr>
        <w:tcBorders>
          <w:top w:val="single" w:color="auto" w:sz="12" w:space="0"/>
          <w:left w:val="single" w:color="auto" w:sz="4" w:space="0"/>
          <w:bottom w:val="single" w:color="auto" w:sz="12" w:space="0"/>
          <w:right w:val="single" w:color="auto" w:sz="12" w:space="0"/>
          <w:insideH w:val="single" w:sz="4" w:space="0"/>
          <w:insideV w:val="single" w:sz="4" w:space="0"/>
          <w:tl2br w:val="nil"/>
          <w:tr2bl w:val="nil"/>
        </w:tcBorders>
      </w:tcPr>
    </w:tblStylePr>
    <w:tblStylePr w:type="firstCol">
      <w:pPr>
        <w:keepNext w:val="0"/>
        <w:keepLines w:val="0"/>
        <w:pageBreakBefore w:val="0"/>
        <w:widowControl w:val="0"/>
        <w:suppressLineNumbers w:val="0"/>
        <w:suppressAutoHyphens w:val="0"/>
        <w:wordWrap/>
        <w:spacing w:beforeLines="0" w:beforeAutospacing="0" w:afterLines="0" w:afterAutospacing="0" w:line="240" w:lineRule="auto"/>
        <w:ind w:left="0" w:leftChars="0" w:right="0" w:rightChars="0"/>
      </w:pPr>
      <w:rPr>
        <w:rFonts w:ascii="Times New Roman" w:hAnsi="Times New Roman" w:eastAsia="方正魏碑_GBK"/>
        <w:b w:val="0"/>
        <w:sz w:val="21"/>
      </w:rPr>
    </w:tblStylePr>
  </w:style>
  <w:style w:type="table" w:customStyle="1" w:styleId="3303">
    <w:name w:val="网格型31221"/>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04">
    <w:name w:val="网格型31111"/>
    <w:basedOn w:val="88"/>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05">
    <w:name w:val="彩色型 31"/>
    <w:basedOn w:val="88"/>
    <w:semiHidden/>
    <w:qFormat/>
    <w:uiPriority w:val="0"/>
    <w:pPr>
      <w:widowControl w:val="0"/>
      <w:jc w:val="both"/>
    </w:pPr>
    <w:tblPr>
      <w:tblBorders>
        <w:top w:val="single" w:color="000000" w:sz="18" w:space="0"/>
        <w:left w:val="single" w:color="000000" w:sz="18" w:space="0"/>
        <w:bottom w:val="single" w:color="000000" w:sz="18" w:space="0"/>
        <w:right w:val="single" w:color="000000" w:sz="18" w:space="0"/>
        <w:insideH w:val="single" w:color="C0C0C0" w:sz="6" w:space="0"/>
      </w:tblBorders>
    </w:tblPr>
    <w:tcPr>
      <w:shd w:val="pct25" w:color="008080" w:fill="FFFFFF"/>
    </w:tcPr>
    <w:tblStylePr w:type="firstRow">
      <w:tcPr>
        <w:tcBorders>
          <w:top w:val="nil"/>
          <w:left w:val="single" w:color="000000" w:sz="6" w:space="0"/>
          <w:bottom w:val="nil"/>
          <w:right w:val="nil"/>
          <w:insideH w:val="nil"/>
          <w:insideV w:val="nil"/>
          <w:tl2br w:val="nil"/>
          <w:tr2bl w:val="nil"/>
        </w:tcBorders>
        <w:shd w:val="solid" w:color="008080" w:fill="FFFFFF"/>
      </w:tcPr>
    </w:tblStylePr>
    <w:tblStylePr w:type="firstCol">
      <w:tcPr>
        <w:tcBorders>
          <w:top w:val="nil"/>
          <w:left w:val="nil"/>
          <w:bottom w:val="single" w:color="000000" w:sz="36" w:space="0"/>
          <w:right w:val="single" w:color="000000" w:sz="6" w:space="0"/>
          <w:insideH w:val="nil"/>
          <w:insideV w:val="nil"/>
          <w:tl2br w:val="nil"/>
          <w:tr2bl w:val="nil"/>
        </w:tcBorders>
        <w:shd w:val="solid" w:color="008080" w:fill="FFFFFF"/>
      </w:tcPr>
    </w:tblStylePr>
    <w:tblStylePr w:type="nwCell">
      <w:rPr>
        <w:b/>
        <w:bCs/>
        <w:color w:val="FFFFFF"/>
      </w:rPr>
      <w:tcPr>
        <w:tcBorders>
          <w:top w:val="nil"/>
          <w:left w:val="nil"/>
          <w:bottom w:val="nil"/>
          <w:right w:val="nil"/>
          <w:insideH w:val="nil"/>
          <w:insideV w:val="nil"/>
          <w:tl2br w:val="nil"/>
          <w:tr2bl w:val="nil"/>
        </w:tcBorders>
        <w:shd w:val="solid" w:color="000000" w:fill="FFFFFF"/>
      </w:tcPr>
    </w:tblStylePr>
  </w:style>
  <w:style w:type="table" w:customStyle="1" w:styleId="3306">
    <w:name w:val="精巧型 13"/>
    <w:basedOn w:val="88"/>
    <w:qFormat/>
    <w:uiPriority w:val="0"/>
    <w:pPr>
      <w:widowControl w:val="0"/>
      <w:spacing w:line="560" w:lineRule="exact"/>
      <w:ind w:firstLine="200" w:firstLineChars="200"/>
      <w:jc w:val="both"/>
    </w:pPr>
    <w:rPr>
      <w:rFonts w:ascii="Calibri" w:hAnsi="Calibri"/>
    </w:rPr>
    <w:tblStylePr w:type="firstRow">
      <w:tcPr>
        <w:tcBorders>
          <w:top w:val="single" w:color="000000" w:sz="6" w:space="0"/>
          <w:left w:val="single" w:color="000000" w:sz="12" w:space="0"/>
          <w:bottom w:val="nil"/>
          <w:right w:val="nil"/>
          <w:insideH w:val="nil"/>
          <w:insideV w:val="nil"/>
          <w:tl2br w:val="nil"/>
          <w:tr2bl w:val="nil"/>
        </w:tcBorders>
      </w:tcPr>
    </w:tblStylePr>
    <w:tblStylePr w:type="lastRow">
      <w:tcPr>
        <w:tcBorders>
          <w:top w:val="single" w:color="000000" w:sz="12" w:space="0"/>
          <w:left w:val="nil"/>
          <w:bottom w:val="nil"/>
          <w:right w:val="nil"/>
          <w:insideH w:val="nil"/>
          <w:insideV w:val="nil"/>
          <w:tl2br w:val="nil"/>
          <w:tr2bl w:val="nil"/>
        </w:tcBorders>
        <w:shd w:val="pct25" w:color="800080" w:fill="FFFFFF"/>
      </w:tcPr>
    </w:tblStylePr>
    <w:tblStylePr w:type="firstCol">
      <w:tcPr>
        <w:tcBorders>
          <w:top w:val="nil"/>
          <w:left w:val="nil"/>
          <w:bottom w:val="nil"/>
          <w:right w:val="single" w:color="000000" w:sz="12" w:space="0"/>
          <w:insideH w:val="nil"/>
          <w:insideV w:val="nil"/>
          <w:tl2br w:val="nil"/>
          <w:tr2bl w:val="nil"/>
        </w:tcBorders>
      </w:tcPr>
    </w:tblStylePr>
    <w:tblStylePr w:type="lastCol">
      <w:tcPr>
        <w:tcBorders>
          <w:top w:val="nil"/>
          <w:left w:val="nil"/>
          <w:bottom w:val="single" w:color="000000" w:sz="12" w:space="0"/>
          <w:right w:val="nil"/>
          <w:insideH w:val="nil"/>
          <w:insideV w:val="nil"/>
          <w:tl2br w:val="nil"/>
          <w:tr2bl w:val="nil"/>
        </w:tcBorders>
      </w:tcPr>
    </w:tblStylePr>
    <w:tblStylePr w:type="band1Horz">
      <w:tcPr>
        <w:tcBorders>
          <w:top w:val="nil"/>
          <w:left w:val="single" w:color="000000" w:sz="6" w:space="0"/>
          <w:bottom w:val="nil"/>
          <w:right w:val="nil"/>
          <w:insideH w:val="nil"/>
          <w:insideV w:val="nil"/>
          <w:tl2br w:val="nil"/>
          <w:tr2bl w:val="nil"/>
        </w:tcBorders>
        <w:shd w:val="pct25" w:color="808000" w:fill="FFFFFF"/>
      </w:tcPr>
    </w:tblStylePr>
    <w:tblStylePr w:type="neCell">
      <w:rPr>
        <w:b/>
        <w:bCs/>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307">
    <w:name w:val="网格型32113"/>
    <w:basedOn w:val="88"/>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08">
    <w:name w:val="网格型5"/>
    <w:basedOn w:val="88"/>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09">
    <w:name w:val="网格型101"/>
    <w:basedOn w:val="88"/>
    <w:qFormat/>
    <w:uiPriority w:val="0"/>
    <w:pPr>
      <w:widowControl w:val="0"/>
      <w:jc w:val="both"/>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10">
    <w:name w:val="网格型32122"/>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11">
    <w:name w:val="竖列型 321"/>
    <w:basedOn w:val="88"/>
    <w:qFormat/>
    <w:uiPriority w:val="0"/>
    <w:pPr>
      <w:widowControl w:val="0"/>
      <w:spacing w:line="560" w:lineRule="exact"/>
      <w:ind w:firstLine="200" w:firstLineChars="200"/>
      <w:jc w:val="both"/>
    </w:pPr>
    <w:rPr>
      <w:rFonts w:ascii="Calibri" w:hAnsi="Calibri"/>
      <w:b/>
      <w:bCs/>
    </w:rPr>
    <w:tblPr>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cPr>
        <w:tcBorders>
          <w:top w:val="nil"/>
          <w:left w:val="nil"/>
          <w:bottom w:val="nil"/>
          <w:right w:val="nil"/>
          <w:insideH w:val="nil"/>
          <w:insideV w:val="nil"/>
          <w:tl2br w:val="nil"/>
          <w:tr2bl w:val="nil"/>
        </w:tcBorders>
        <w:shd w:val="solid" w:color="000080" w:fill="FFFFFF"/>
      </w:tcPr>
    </w:tblStylePr>
    <w:tblStylePr w:type="lastRow">
      <w:rPr>
        <w:b w:val="0"/>
        <w:bCs w:val="0"/>
      </w:rPr>
      <w:tcPr>
        <w:tcBorders>
          <w:top w:val="single" w:color="000080" w:sz="6" w:space="0"/>
          <w:left w:val="nil"/>
          <w:bottom w:val="nil"/>
          <w:right w:val="nil"/>
          <w:insideH w:val="nil"/>
          <w:insideV w:val="nil"/>
          <w:tl2br w:val="nil"/>
          <w:tr2bl w:val="nil"/>
        </w:tcBorders>
      </w:tcPr>
    </w:tblStylePr>
    <w:tblStylePr w:type="firstCol">
      <w:rPr>
        <w:b w:val="0"/>
        <w:bCs w:val="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band1Vert">
      <w:rPr>
        <w:color w:val="auto"/>
      </w:rPr>
      <w:tcPr>
        <w:shd w:val="solid" w:color="C0C0C0" w:fill="FFFFFF"/>
      </w:tcPr>
    </w:tblStylePr>
    <w:tblStylePr w:type="band2Vert">
      <w:rPr>
        <w:color w:val="auto"/>
      </w:rPr>
      <w:tcPr>
        <w:shd w:val="pct10" w:color="000000" w:fill="FFFFFF"/>
      </w:tcPr>
    </w:tblStylePr>
    <w:tblStylePr w:type="neCell">
      <w:rPr>
        <w:b/>
        <w:bCs/>
      </w:rPr>
      <w:tcPr>
        <w:tcBorders>
          <w:top w:val="nil"/>
          <w:left w:val="nil"/>
          <w:bottom w:val="nil"/>
          <w:right w:val="nil"/>
          <w:insideH w:val="nil"/>
          <w:insideV w:val="nil"/>
          <w:tl2br w:val="nil"/>
          <w:tr2bl w:val="nil"/>
        </w:tcBorders>
      </w:tcPr>
    </w:tblStylePr>
  </w:style>
  <w:style w:type="table" w:customStyle="1" w:styleId="3312">
    <w:name w:val="网格型3221"/>
    <w:basedOn w:val="88"/>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13">
    <w:name w:val="流行型2"/>
    <w:basedOn w:val="88"/>
    <w:qFormat/>
    <w:uiPriority w:val="0"/>
    <w:pPr>
      <w:widowControl w:val="0"/>
      <w:spacing w:line="560" w:lineRule="exact"/>
      <w:ind w:firstLine="200" w:firstLineChars="200"/>
      <w:jc w:val="both"/>
    </w:pPr>
    <w:rPr>
      <w:rFonts w:ascii="Calibri" w:hAnsi="Calibri"/>
    </w:r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314">
    <w:name w:val="列表型 73"/>
    <w:basedOn w:val="88"/>
    <w:qFormat/>
    <w:uiPriority w:val="0"/>
    <w:pPr>
      <w:widowControl w:val="0"/>
      <w:spacing w:line="560" w:lineRule="exact"/>
      <w:ind w:firstLine="200" w:firstLineChars="200"/>
      <w:jc w:val="both"/>
    </w:pPr>
    <w:rPr>
      <w:rFonts w:ascii="Calibri" w:hAnsi="Calibri"/>
    </w:r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315">
    <w:name w:val="网格型122"/>
    <w:basedOn w:val="88"/>
    <w:qFormat/>
    <w:uiPriority w:val="59"/>
    <w:rPr>
      <w:rFonts w:ascii="Calibri" w:hAnsi="Calibri"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16">
    <w:name w:val="列表型 32"/>
    <w:basedOn w:val="88"/>
    <w:qFormat/>
    <w:uiPriority w:val="0"/>
    <w:pPr>
      <w:widowControl w:val="0"/>
      <w:spacing w:line="560" w:lineRule="exact"/>
      <w:ind w:firstLine="200" w:firstLineChars="200"/>
      <w:jc w:val="both"/>
    </w:pPr>
    <w:rPr>
      <w:rFonts w:ascii="Calibri" w:hAnsi="Calibri"/>
    </w:rPr>
    <w:tblPr>
      <w:tblBorders>
        <w:top w:val="single" w:color="000000" w:sz="12" w:space="0"/>
        <w:bottom w:val="single" w:color="000000" w:sz="12" w:space="0"/>
        <w:insideH w:val="single" w:color="000000" w:sz="6" w:space="0"/>
      </w:tblBorders>
    </w:tblPr>
    <w:tcPr>
      <w:shd w:val="clear" w:color="auto" w:fill="auto"/>
    </w:tcPr>
    <w:tblStylePr w:type="firstRow">
      <w:rPr>
        <w:b/>
        <w:bCs/>
        <w:color w:val="000080"/>
      </w:rPr>
      <w:tcPr>
        <w:tcBorders>
          <w:top w:val="nil"/>
          <w:left w:val="single" w:color="000000" w:sz="12" w:space="0"/>
          <w:bottom w:val="nil"/>
          <w:right w:val="nil"/>
          <w:insideH w:val="nil"/>
          <w:insideV w:val="nil"/>
          <w:tl2br w:val="nil"/>
          <w:tr2bl w:val="nil"/>
        </w:tcBorders>
      </w:tcPr>
    </w:tblStylePr>
    <w:tblStylePr w:type="lastRow">
      <w:tcPr>
        <w:tcBorders>
          <w:top w:val="single" w:color="000000" w:sz="12" w:space="0"/>
          <w:left w:val="nil"/>
          <w:bottom w:val="nil"/>
          <w:right w:val="nil"/>
          <w:insideH w:val="nil"/>
          <w:insideV w:val="nil"/>
          <w:tl2br w:val="nil"/>
          <w:tr2bl w:val="nil"/>
        </w:tcBorders>
      </w:tcPr>
    </w:tblStylePr>
    <w:tblStylePr w:type="swCell">
      <w:rPr>
        <w:i/>
        <w:iCs/>
        <w:color w:val="000080"/>
      </w:rPr>
      <w:tcPr>
        <w:tcBorders>
          <w:top w:val="nil"/>
          <w:left w:val="nil"/>
          <w:bottom w:val="nil"/>
          <w:right w:val="nil"/>
          <w:insideH w:val="nil"/>
          <w:insideV w:val="nil"/>
          <w:tl2br w:val="nil"/>
          <w:tr2bl w:val="nil"/>
        </w:tcBorders>
      </w:tcPr>
    </w:tblStylePr>
  </w:style>
  <w:style w:type="table" w:customStyle="1" w:styleId="3317">
    <w:name w:val="网页型 311"/>
    <w:basedOn w:val="88"/>
    <w:semiHidden/>
    <w:qFormat/>
    <w:uiPriority w:val="0"/>
    <w:pPr>
      <w:widowControl w:val="0"/>
      <w:jc w:val="both"/>
    </w:pPr>
    <w:rPr>
      <w:rFonts w:ascii="Calibri" w:hAnsi="Calibri"/>
    </w:rPr>
    <w:tblPr>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cPr>
      <w:shd w:val="clear" w:color="auto" w:fill="auto"/>
    </w:tcPr>
    <w:tblStylePr w:type="firstRow">
      <w:rPr>
        <w:color w:val="auto"/>
      </w:rPr>
      <w:tcPr>
        <w:tcBorders>
          <w:top w:val="nil"/>
          <w:left w:val="nil"/>
          <w:bottom w:val="nil"/>
          <w:right w:val="nil"/>
          <w:insideH w:val="nil"/>
          <w:insideV w:val="nil"/>
          <w:tl2br w:val="nil"/>
          <w:tr2bl w:val="nil"/>
        </w:tcBorders>
      </w:tcPr>
    </w:tblStylePr>
  </w:style>
  <w:style w:type="table" w:customStyle="1" w:styleId="3318">
    <w:name w:val="网格型 411"/>
    <w:basedOn w:val="88"/>
    <w:semiHidden/>
    <w:qFormat/>
    <w:uiPriority w:val="0"/>
    <w:pPr>
      <w:widowControl w:val="0"/>
      <w:jc w:val="both"/>
    </w:pPr>
    <w:rPr>
      <w:rFonts w:ascii="Calibri" w:hAnsi="Calibri"/>
    </w:rPr>
    <w:tblPr>
      <w:tblBorders>
        <w:left w:val="single" w:color="000000" w:sz="12" w:space="0"/>
        <w:right w:val="single" w:color="000000" w:sz="12" w:space="0"/>
        <w:insideH w:val="single" w:color="000000" w:sz="6" w:space="0"/>
        <w:insideV w:val="single" w:color="000000" w:sz="6" w:space="0"/>
      </w:tblBorders>
    </w:tblPr>
    <w:tcPr>
      <w:shd w:val="clear" w:color="auto" w:fill="auto"/>
    </w:tcPr>
    <w:tblStylePr w:type="firstRow">
      <w:rPr>
        <w:color w:val="auto"/>
      </w:rPr>
      <w:tcPr>
        <w:tcBorders>
          <w:top w:val="nil"/>
          <w:left w:val="single" w:color="000000" w:sz="6" w:space="0"/>
          <w:bottom w:val="nil"/>
          <w:right w:val="nil"/>
          <w:insideH w:val="nil"/>
          <w:insideV w:val="nil"/>
          <w:tl2br w:val="nil"/>
          <w:tr2bl w:val="nil"/>
        </w:tcBorders>
        <w:shd w:val="pct30" w:color="FFFF00" w:fill="FFFFFF"/>
      </w:tcPr>
    </w:tblStylePr>
    <w:tblStylePr w:type="lastRow">
      <w:rPr>
        <w:b/>
        <w:bCs/>
        <w:color w:val="auto"/>
      </w:rPr>
      <w:tcPr>
        <w:tcBorders>
          <w:top w:val="single" w:color="000000" w:sz="6" w:space="0"/>
          <w:left w:val="nil"/>
          <w:bottom w:val="nil"/>
          <w:right w:val="nil"/>
          <w:insideH w:val="nil"/>
          <w:insideV w:val="nil"/>
          <w:tl2br w:val="nil"/>
          <w:tr2bl w:val="nil"/>
        </w:tcBorders>
        <w:shd w:val="pct30" w:color="FFFF00" w:fill="FFFFFF"/>
      </w:tcPr>
    </w:tblStylePr>
    <w:tblStylePr w:type="lastCol">
      <w:rPr>
        <w:b/>
        <w:bCs/>
        <w:color w:val="auto"/>
      </w:rPr>
      <w:tcPr>
        <w:tcBorders>
          <w:top w:val="nil"/>
          <w:left w:val="nil"/>
          <w:bottom w:val="nil"/>
          <w:right w:val="nil"/>
          <w:insideH w:val="nil"/>
          <w:insideV w:val="nil"/>
          <w:tl2br w:val="nil"/>
          <w:tr2bl w:val="nil"/>
        </w:tcBorders>
      </w:tcPr>
    </w:tblStylePr>
  </w:style>
  <w:style w:type="table" w:customStyle="1" w:styleId="3319">
    <w:name w:val="精巧型 212"/>
    <w:basedOn w:val="88"/>
    <w:semiHidden/>
    <w:qFormat/>
    <w:uiPriority w:val="0"/>
    <w:pPr>
      <w:widowControl w:val="0"/>
      <w:jc w:val="both"/>
    </w:pPr>
    <w:rPr>
      <w:rFonts w:ascii="Calibri" w:hAnsi="Calibri"/>
    </w:rPr>
    <w:tblPr>
      <w:tblBorders>
        <w:left w:val="single" w:color="000000" w:sz="6" w:space="0"/>
        <w:right w:val="single" w:color="000000" w:sz="6" w:space="0"/>
      </w:tblBorders>
    </w:tblPr>
    <w:tblStylePr w:type="firstRow">
      <w:tcPr>
        <w:tcBorders>
          <w:top w:val="nil"/>
          <w:left w:val="single" w:color="000000" w:sz="12" w:space="0"/>
          <w:bottom w:val="nil"/>
          <w:right w:val="nil"/>
          <w:insideH w:val="nil"/>
          <w:insideV w:val="nil"/>
          <w:tl2br w:val="nil"/>
          <w:tr2bl w:val="nil"/>
        </w:tcBorders>
      </w:tcPr>
    </w:tblStylePr>
    <w:tblStylePr w:type="lastRow">
      <w:tcPr>
        <w:tcBorders>
          <w:top w:val="single" w:color="000000" w:sz="12" w:space="0"/>
          <w:left w:val="nil"/>
          <w:bottom w:val="nil"/>
          <w:right w:val="nil"/>
          <w:insideH w:val="nil"/>
          <w:insideV w:val="nil"/>
          <w:tl2br w:val="nil"/>
          <w:tr2bl w:val="nil"/>
        </w:tcBorders>
      </w:tcPr>
    </w:tblStylePr>
    <w:tblStylePr w:type="firstCol">
      <w:tcPr>
        <w:tcBorders>
          <w:top w:val="nil"/>
          <w:left w:val="nil"/>
          <w:bottom w:val="nil"/>
          <w:right w:val="single" w:color="000000" w:sz="12" w:space="0"/>
          <w:insideH w:val="nil"/>
          <w:insideV w:val="nil"/>
          <w:tl2br w:val="nil"/>
          <w:tr2bl w:val="nil"/>
        </w:tcBorders>
        <w:shd w:val="pct25" w:color="008000" w:fill="FFFFFF"/>
      </w:tcPr>
    </w:tblStylePr>
    <w:tblStylePr w:type="lastCol">
      <w:tcPr>
        <w:tcBorders>
          <w:top w:val="nil"/>
          <w:left w:val="nil"/>
          <w:bottom w:val="single" w:color="000000" w:sz="12" w:space="0"/>
          <w:right w:val="nil"/>
          <w:insideH w:val="nil"/>
          <w:insideV w:val="nil"/>
          <w:tl2br w:val="nil"/>
          <w:tr2bl w:val="nil"/>
        </w:tcBorders>
        <w:shd w:val="pct25" w:color="808000" w:fill="FFFFFF"/>
      </w:tcPr>
    </w:tblStylePr>
    <w:tblStylePr w:type="neCell">
      <w:rPr>
        <w:b/>
        <w:bCs/>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320">
    <w:name w:val="网格型111"/>
    <w:basedOn w:val="88"/>
    <w:qFormat/>
    <w:uiPriority w:val="0"/>
    <w:rPr>
      <w:rFonts w:ascii="Calibri" w:hAnsi="Calibri"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21">
    <w:name w:val="网页型 321"/>
    <w:basedOn w:val="88"/>
    <w:qFormat/>
    <w:uiPriority w:val="0"/>
    <w:pPr>
      <w:widowControl w:val="0"/>
      <w:spacing w:line="560" w:lineRule="exact"/>
      <w:ind w:firstLine="200" w:firstLineChars="200"/>
      <w:jc w:val="both"/>
    </w:pPr>
    <w:rPr>
      <w:rFonts w:ascii="Calibri" w:hAnsi="Calibri"/>
    </w:rPr>
    <w:tblPr>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cPr>
      <w:shd w:val="clear" w:color="auto" w:fill="auto"/>
    </w:tcPr>
    <w:tblStylePr w:type="firstRow">
      <w:rPr>
        <w:color w:val="auto"/>
      </w:rPr>
      <w:tcPr>
        <w:tcBorders>
          <w:top w:val="nil"/>
          <w:left w:val="nil"/>
          <w:bottom w:val="nil"/>
          <w:right w:val="nil"/>
          <w:insideH w:val="nil"/>
          <w:insideV w:val="nil"/>
          <w:tl2br w:val="nil"/>
          <w:tr2bl w:val="nil"/>
        </w:tcBorders>
      </w:tcPr>
    </w:tblStylePr>
  </w:style>
  <w:style w:type="table" w:customStyle="1" w:styleId="3322">
    <w:name w:val="网格型 41"/>
    <w:basedOn w:val="88"/>
    <w:semiHidden/>
    <w:qFormat/>
    <w:uiPriority w:val="0"/>
    <w:pPr>
      <w:widowControl w:val="0"/>
      <w:jc w:val="both"/>
    </w:pPr>
    <w:tblPr>
      <w:tblBorders>
        <w:left w:val="single" w:color="000000" w:sz="12" w:space="0"/>
        <w:right w:val="single" w:color="000000" w:sz="12" w:space="0"/>
        <w:insideH w:val="single" w:color="000000" w:sz="6" w:space="0"/>
        <w:insideV w:val="single" w:color="000000" w:sz="6" w:space="0"/>
      </w:tblBorders>
    </w:tblPr>
    <w:tcPr>
      <w:shd w:val="clear" w:color="auto" w:fill="auto"/>
    </w:tcPr>
    <w:tblStylePr w:type="firstRow">
      <w:rPr>
        <w:color w:val="auto"/>
      </w:rPr>
      <w:tcPr>
        <w:tcBorders>
          <w:top w:val="nil"/>
          <w:left w:val="single" w:color="000000" w:sz="6" w:space="0"/>
          <w:bottom w:val="nil"/>
          <w:right w:val="nil"/>
          <w:insideH w:val="nil"/>
          <w:insideV w:val="nil"/>
          <w:tl2br w:val="nil"/>
          <w:tr2bl w:val="nil"/>
        </w:tcBorders>
        <w:shd w:val="pct30" w:color="FFFF00" w:fill="FFFFFF"/>
      </w:tcPr>
    </w:tblStylePr>
    <w:tblStylePr w:type="lastRow">
      <w:rPr>
        <w:b/>
        <w:bCs/>
        <w:color w:val="auto"/>
      </w:rPr>
      <w:tcPr>
        <w:tcBorders>
          <w:top w:val="single" w:color="000000" w:sz="6" w:space="0"/>
          <w:left w:val="nil"/>
          <w:bottom w:val="nil"/>
          <w:right w:val="nil"/>
          <w:insideH w:val="nil"/>
          <w:insideV w:val="nil"/>
          <w:tl2br w:val="nil"/>
          <w:tr2bl w:val="nil"/>
        </w:tcBorders>
        <w:shd w:val="pct30" w:color="FFFF00" w:fill="FFFFFF"/>
      </w:tcPr>
    </w:tblStylePr>
    <w:tblStylePr w:type="lastCol">
      <w:rPr>
        <w:b/>
        <w:bCs/>
        <w:color w:val="auto"/>
      </w:rPr>
      <w:tcPr>
        <w:tcBorders>
          <w:top w:val="nil"/>
          <w:left w:val="nil"/>
          <w:bottom w:val="nil"/>
          <w:right w:val="nil"/>
          <w:insideH w:val="nil"/>
          <w:insideV w:val="nil"/>
          <w:tl2br w:val="nil"/>
          <w:tr2bl w:val="nil"/>
        </w:tcBorders>
      </w:tcPr>
    </w:tblStylePr>
  </w:style>
  <w:style w:type="table" w:customStyle="1" w:styleId="3323">
    <w:name w:val="网格型1211"/>
    <w:basedOn w:val="88"/>
    <w:qFormat/>
    <w:uiPriority w:val="59"/>
    <w:rPr>
      <w:rFonts w:ascii="Calibri" w:hAnsi="Calibri"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24">
    <w:name w:val="网格型91"/>
    <w:basedOn w:val="88"/>
    <w:qFormat/>
    <w:uiPriority w:val="59"/>
    <w:pPr>
      <w:widowControl w:val="0"/>
      <w:spacing w:line="300" w:lineRule="exact"/>
      <w:jc w:val="both"/>
      <w:textAlignment w:val="baseline"/>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25">
    <w:name w:val="网格型331"/>
    <w:basedOn w:val="88"/>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26">
    <w:name w:val="网格型3111121"/>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27">
    <w:name w:val="网格型161"/>
    <w:basedOn w:val="88"/>
    <w:qFormat/>
    <w:uiPriority w:val="59"/>
    <w:rPr>
      <w:rFonts w:ascii="Calibri" w:hAnsi="Calibri" w:eastAsia="Times New Roman"/>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28">
    <w:name w:val="网格型52"/>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29">
    <w:name w:val="网格型 612"/>
    <w:basedOn w:val="88"/>
    <w:semiHidden/>
    <w:qFormat/>
    <w:uiPriority w:val="0"/>
    <w:pPr>
      <w:widowControl w:val="0"/>
      <w:jc w:val="both"/>
    </w:pPr>
    <w:rPr>
      <w:rFonts w:ascii="Calibri" w:hAnsi="Calibri"/>
    </w:rPr>
    <w:tblPr>
      <w:tblBorders>
        <w:top w:val="single" w:color="000000" w:sz="12" w:space="0"/>
        <w:left w:val="single" w:color="000000" w:sz="12" w:space="0"/>
        <w:bottom w:val="single" w:color="000000" w:sz="12" w:space="0"/>
        <w:right w:val="single" w:color="000000" w:sz="12" w:space="0"/>
        <w:insideV w:val="single" w:color="000000" w:sz="6" w:space="0"/>
      </w:tblBorders>
    </w:tblPr>
    <w:tcPr>
      <w:shd w:val="clear" w:color="auto" w:fill="auto"/>
    </w:tcPr>
    <w:tblStylePr w:type="firstRow">
      <w:rPr>
        <w:b/>
        <w:b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330">
    <w:name w:val="精巧型 22"/>
    <w:basedOn w:val="88"/>
    <w:qFormat/>
    <w:uiPriority w:val="0"/>
    <w:pPr>
      <w:widowControl w:val="0"/>
      <w:spacing w:line="560" w:lineRule="exact"/>
      <w:ind w:firstLine="200" w:firstLineChars="200"/>
      <w:jc w:val="both"/>
    </w:pPr>
    <w:rPr>
      <w:rFonts w:ascii="Calibri" w:hAnsi="Calibri"/>
    </w:rPr>
    <w:tblPr>
      <w:tblBorders>
        <w:left w:val="single" w:color="000000" w:sz="6" w:space="0"/>
        <w:right w:val="single" w:color="000000" w:sz="6" w:space="0"/>
      </w:tblBorders>
    </w:tblPr>
    <w:tblStylePr w:type="firstRow">
      <w:tcPr>
        <w:tcBorders>
          <w:top w:val="nil"/>
          <w:left w:val="single" w:color="000000" w:sz="12" w:space="0"/>
          <w:bottom w:val="nil"/>
          <w:right w:val="nil"/>
          <w:insideH w:val="nil"/>
          <w:insideV w:val="nil"/>
          <w:tl2br w:val="nil"/>
          <w:tr2bl w:val="nil"/>
        </w:tcBorders>
      </w:tcPr>
    </w:tblStylePr>
    <w:tblStylePr w:type="lastRow">
      <w:tcPr>
        <w:tcBorders>
          <w:top w:val="single" w:color="000000" w:sz="12" w:space="0"/>
          <w:left w:val="nil"/>
          <w:bottom w:val="nil"/>
          <w:right w:val="nil"/>
          <w:insideH w:val="nil"/>
          <w:insideV w:val="nil"/>
          <w:tl2br w:val="nil"/>
          <w:tr2bl w:val="nil"/>
        </w:tcBorders>
      </w:tcPr>
    </w:tblStylePr>
    <w:tblStylePr w:type="firstCol">
      <w:tcPr>
        <w:tcBorders>
          <w:top w:val="nil"/>
          <w:left w:val="nil"/>
          <w:bottom w:val="nil"/>
          <w:right w:val="single" w:color="000000" w:sz="12" w:space="0"/>
          <w:insideH w:val="nil"/>
          <w:insideV w:val="nil"/>
          <w:tl2br w:val="nil"/>
          <w:tr2bl w:val="nil"/>
        </w:tcBorders>
        <w:shd w:val="pct25" w:color="008000" w:fill="FFFFFF"/>
      </w:tcPr>
    </w:tblStylePr>
    <w:tblStylePr w:type="lastCol">
      <w:tcPr>
        <w:tcBorders>
          <w:top w:val="nil"/>
          <w:left w:val="nil"/>
          <w:bottom w:val="single" w:color="000000" w:sz="12" w:space="0"/>
          <w:right w:val="nil"/>
          <w:insideH w:val="nil"/>
          <w:insideV w:val="nil"/>
          <w:tl2br w:val="nil"/>
          <w:tr2bl w:val="nil"/>
        </w:tcBorders>
        <w:shd w:val="pct25" w:color="808000" w:fill="FFFFFF"/>
      </w:tcPr>
    </w:tblStylePr>
    <w:tblStylePr w:type="neCell">
      <w:rPr>
        <w:b/>
        <w:bCs/>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331">
    <w:name w:val="列表型 513"/>
    <w:basedOn w:val="88"/>
    <w:semiHidden/>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tblBorders>
    </w:tblPr>
    <w:tcPr>
      <w:shd w:val="clear" w:color="auto" w:fill="auto"/>
    </w:tcPr>
    <w:tblStylePr w:type="firstRow">
      <w:rPr>
        <w:b/>
        <w:bCs/>
      </w:rPr>
      <w:tcPr>
        <w:tcBorders>
          <w:top w:val="nil"/>
          <w:left w:val="single" w:color="000000" w:sz="12" w:space="0"/>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style>
  <w:style w:type="table" w:customStyle="1" w:styleId="3332">
    <w:name w:val="网格型171"/>
    <w:basedOn w:val="88"/>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33">
    <w:name w:val="网格型33"/>
    <w:basedOn w:val="88"/>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34">
    <w:name w:val="表三维效果 311"/>
    <w:basedOn w:val="88"/>
    <w:qFormat/>
    <w:uiPriority w:val="0"/>
    <w:pPr>
      <w:widowControl w:val="0"/>
      <w:spacing w:line="560" w:lineRule="exact"/>
      <w:ind w:firstLine="200" w:firstLineChars="200"/>
      <w:jc w:val="both"/>
    </w:pPr>
    <w:rPr>
      <w:rFonts w:ascii="Calibri" w:hAnsi="Calibri"/>
    </w:rPr>
    <w:tblStylePr w:type="firstRow">
      <w:rPr>
        <w:b/>
        <w:bCs/>
      </w:rPr>
      <w:tcPr>
        <w:tcBorders>
          <w:top w:val="nil"/>
          <w:left w:val="nil"/>
          <w:bottom w:val="nil"/>
          <w:right w:val="nil"/>
          <w:insideH w:val="nil"/>
          <w:insideV w:val="nil"/>
          <w:tl2br w:val="nil"/>
          <w:tr2bl w:val="nil"/>
        </w:tcBorders>
      </w:tcPr>
    </w:tblStylePr>
    <w:tblStylePr w:type="firstCol">
      <w:tcPr>
        <w:tcBorders>
          <w:top w:val="nil"/>
          <w:left w:val="nil"/>
          <w:bottom w:val="nil"/>
          <w:right w:val="single" w:color="808080" w:sz="6" w:space="0"/>
          <w:insideH w:val="nil"/>
          <w:insideV w:val="nil"/>
          <w:tl2br w:val="nil"/>
          <w:tr2bl w:val="nil"/>
        </w:tcBorders>
      </w:tcPr>
    </w:tblStylePr>
    <w:tblStylePr w:type="lastCol">
      <w:tcPr>
        <w:tcBorders>
          <w:top w:val="nil"/>
          <w:left w:val="nil"/>
          <w:bottom w:val="nil"/>
          <w:right w:val="single" w:color="FFFFFF" w:sz="6" w:space="0"/>
          <w:insideH w:val="nil"/>
          <w:insideV w:val="nil"/>
          <w:tl2br w:val="nil"/>
          <w:tr2bl w:val="nil"/>
        </w:tcBorders>
      </w:tcPr>
    </w:tblStylePr>
    <w:tblStylePr w:type="band1Vert">
      <w:rPr>
        <w:color w:val="auto"/>
      </w:rPr>
      <w:tcPr>
        <w:shd w:val="solid" w:color="C0C0C0" w:fill="FFFFFF"/>
      </w:tcPr>
    </w:tblStylePr>
    <w:tblStylePr w:type="band2Vert">
      <w:rPr>
        <w:color w:val="auto"/>
      </w:rPr>
      <w:tcPr>
        <w:shd w:val="pct50" w:color="C0C0C0" w:fill="FFFFFF"/>
      </w:tcPr>
    </w:tblStylePr>
    <w:tblStylePr w:type="band1Horz">
      <w:tcPr>
        <w:tcBorders>
          <w:top w:val="single" w:color="808080" w:sz="6" w:space="0"/>
          <w:left w:val="single" w:color="FFFFFF" w:sz="6" w:space="0"/>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335">
    <w:name w:val="立体型 21"/>
    <w:basedOn w:val="88"/>
    <w:semiHidden/>
    <w:qFormat/>
    <w:uiPriority w:val="0"/>
    <w:pPr>
      <w:widowControl w:val="0"/>
      <w:jc w:val="both"/>
    </w:pPr>
    <w:tcPr>
      <w:shd w:val="solid" w:color="C0C0C0" w:fill="FFFFFF"/>
    </w:tcPr>
    <w:tblStylePr w:type="firstRow">
      <w:rPr>
        <w:b/>
        <w:bCs/>
      </w:rPr>
      <w:tcPr>
        <w:tcBorders>
          <w:top w:val="nil"/>
          <w:left w:val="nil"/>
          <w:bottom w:val="nil"/>
          <w:right w:val="nil"/>
          <w:insideH w:val="nil"/>
          <w:insideV w:val="nil"/>
          <w:tl2br w:val="nil"/>
          <w:tr2bl w:val="nil"/>
        </w:tcBorders>
      </w:tcPr>
    </w:tblStylePr>
    <w:tblStylePr w:type="firstCol">
      <w:tcPr>
        <w:tcBorders>
          <w:top w:val="nil"/>
          <w:left w:val="nil"/>
          <w:bottom w:val="nil"/>
          <w:right w:val="single" w:color="808080" w:sz="6" w:space="0"/>
          <w:insideH w:val="nil"/>
          <w:insideV w:val="nil"/>
          <w:tl2br w:val="nil"/>
          <w:tr2bl w:val="nil"/>
        </w:tcBorders>
      </w:tcPr>
    </w:tblStylePr>
    <w:tblStylePr w:type="lastCol">
      <w:tcPr>
        <w:tcBorders>
          <w:top w:val="nil"/>
          <w:left w:val="nil"/>
          <w:bottom w:val="nil"/>
          <w:right w:val="single" w:color="FFFFFF" w:sz="6" w:space="0"/>
          <w:insideH w:val="nil"/>
          <w:insideV w:val="nil"/>
          <w:tl2br w:val="nil"/>
          <w:tr2bl w:val="nil"/>
        </w:tcBorders>
      </w:tcPr>
    </w:tblStylePr>
    <w:tblStylePr w:type="band1Horz">
      <w:tcPr>
        <w:tcBorders>
          <w:top w:val="single" w:color="808080" w:sz="6" w:space="0"/>
          <w:left w:val="single" w:color="FFFFFF" w:sz="6" w:space="0"/>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336">
    <w:name w:val="列表型 34"/>
    <w:basedOn w:val="88"/>
    <w:qFormat/>
    <w:uiPriority w:val="0"/>
    <w:pPr>
      <w:widowControl w:val="0"/>
      <w:spacing w:line="560" w:lineRule="exact"/>
      <w:ind w:firstLine="200" w:firstLineChars="200"/>
      <w:jc w:val="both"/>
    </w:pPr>
    <w:rPr>
      <w:rFonts w:ascii="Calibri" w:hAnsi="Calibri"/>
    </w:rPr>
    <w:tblPr>
      <w:tblBorders>
        <w:top w:val="single" w:color="000000" w:sz="12" w:space="0"/>
        <w:bottom w:val="single" w:color="000000" w:sz="12" w:space="0"/>
        <w:insideH w:val="single" w:color="000000" w:sz="6" w:space="0"/>
      </w:tblBorders>
    </w:tblPr>
    <w:tcPr>
      <w:shd w:val="clear" w:color="auto" w:fill="auto"/>
    </w:tcPr>
    <w:tblStylePr w:type="firstRow">
      <w:rPr>
        <w:b/>
        <w:bCs/>
        <w:color w:val="000080"/>
      </w:rPr>
      <w:tcPr>
        <w:tcBorders>
          <w:top w:val="nil"/>
          <w:left w:val="single" w:color="000000" w:sz="12" w:space="0"/>
          <w:bottom w:val="nil"/>
          <w:right w:val="nil"/>
          <w:insideH w:val="nil"/>
          <w:insideV w:val="nil"/>
          <w:tl2br w:val="nil"/>
          <w:tr2bl w:val="nil"/>
        </w:tcBorders>
      </w:tcPr>
    </w:tblStylePr>
    <w:tblStylePr w:type="lastRow">
      <w:tcPr>
        <w:tcBorders>
          <w:top w:val="single" w:color="000000" w:sz="12" w:space="0"/>
          <w:left w:val="nil"/>
          <w:bottom w:val="nil"/>
          <w:right w:val="nil"/>
          <w:insideH w:val="nil"/>
          <w:insideV w:val="nil"/>
          <w:tl2br w:val="nil"/>
          <w:tr2bl w:val="nil"/>
        </w:tcBorders>
      </w:tcPr>
    </w:tblStylePr>
    <w:tblStylePr w:type="swCell">
      <w:rPr>
        <w:i/>
        <w:iCs/>
        <w:color w:val="000080"/>
      </w:rPr>
      <w:tcPr>
        <w:tcBorders>
          <w:top w:val="nil"/>
          <w:left w:val="nil"/>
          <w:bottom w:val="nil"/>
          <w:right w:val="nil"/>
          <w:insideH w:val="nil"/>
          <w:insideV w:val="nil"/>
          <w:tl2br w:val="nil"/>
          <w:tr2bl w:val="nil"/>
        </w:tcBorders>
      </w:tcPr>
    </w:tblStylePr>
  </w:style>
  <w:style w:type="table" w:customStyle="1" w:styleId="3337">
    <w:name w:val="网格型 611"/>
    <w:basedOn w:val="88"/>
    <w:semiHidden/>
    <w:qFormat/>
    <w:uiPriority w:val="0"/>
    <w:pPr>
      <w:widowControl w:val="0"/>
      <w:jc w:val="both"/>
    </w:pPr>
    <w:rPr>
      <w:rFonts w:ascii="Calibri" w:hAnsi="Calibri"/>
    </w:rPr>
    <w:tblPr>
      <w:tblBorders>
        <w:top w:val="single" w:color="000000" w:sz="12" w:space="0"/>
        <w:left w:val="single" w:color="000000" w:sz="12" w:space="0"/>
        <w:bottom w:val="single" w:color="000000" w:sz="12" w:space="0"/>
        <w:right w:val="single" w:color="000000" w:sz="12" w:space="0"/>
        <w:insideV w:val="single" w:color="000000" w:sz="6" w:space="0"/>
      </w:tblBorders>
    </w:tblPr>
    <w:tcPr>
      <w:shd w:val="clear" w:color="auto" w:fill="auto"/>
    </w:tcPr>
    <w:tblStylePr w:type="firstRow">
      <w:rPr>
        <w:b/>
        <w:b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338">
    <w:name w:val="网格型 413"/>
    <w:basedOn w:val="88"/>
    <w:semiHidden/>
    <w:qFormat/>
    <w:uiPriority w:val="0"/>
    <w:pPr>
      <w:widowControl w:val="0"/>
      <w:jc w:val="both"/>
    </w:pPr>
    <w:tblPr>
      <w:tblBorders>
        <w:left w:val="single" w:color="000000" w:sz="12" w:space="0"/>
        <w:right w:val="single" w:color="000000" w:sz="12" w:space="0"/>
        <w:insideH w:val="single" w:color="000000" w:sz="6" w:space="0"/>
        <w:insideV w:val="single" w:color="000000" w:sz="6" w:space="0"/>
      </w:tblBorders>
    </w:tblPr>
    <w:tcPr>
      <w:shd w:val="clear" w:color="auto" w:fill="auto"/>
    </w:tcPr>
    <w:tblStylePr w:type="firstRow">
      <w:rPr>
        <w:color w:val="auto"/>
      </w:rPr>
      <w:tcPr>
        <w:tcBorders>
          <w:top w:val="nil"/>
          <w:left w:val="single" w:color="000000" w:sz="6" w:space="0"/>
          <w:bottom w:val="nil"/>
          <w:right w:val="nil"/>
          <w:insideH w:val="nil"/>
          <w:insideV w:val="nil"/>
          <w:tl2br w:val="nil"/>
          <w:tr2bl w:val="nil"/>
        </w:tcBorders>
        <w:shd w:val="pct30" w:color="FFFF00" w:fill="FFFFFF"/>
      </w:tcPr>
    </w:tblStylePr>
    <w:tblStylePr w:type="lastRow">
      <w:rPr>
        <w:b/>
        <w:bCs/>
        <w:color w:val="auto"/>
      </w:rPr>
      <w:tcPr>
        <w:tcBorders>
          <w:top w:val="single" w:color="000000" w:sz="6" w:space="0"/>
          <w:left w:val="nil"/>
          <w:bottom w:val="nil"/>
          <w:right w:val="nil"/>
          <w:insideH w:val="nil"/>
          <w:insideV w:val="nil"/>
          <w:tl2br w:val="nil"/>
          <w:tr2bl w:val="nil"/>
        </w:tcBorders>
        <w:shd w:val="pct30" w:color="FFFF00" w:fill="FFFFFF"/>
      </w:tcPr>
    </w:tblStylePr>
    <w:tblStylePr w:type="lastCol">
      <w:rPr>
        <w:b/>
        <w:bCs/>
        <w:color w:val="auto"/>
      </w:rPr>
      <w:tcPr>
        <w:tcBorders>
          <w:top w:val="nil"/>
          <w:left w:val="nil"/>
          <w:bottom w:val="nil"/>
          <w:right w:val="nil"/>
          <w:insideH w:val="nil"/>
          <w:insideV w:val="nil"/>
          <w:tl2br w:val="nil"/>
          <w:tr2bl w:val="nil"/>
        </w:tcBorders>
      </w:tcPr>
    </w:tblStylePr>
  </w:style>
  <w:style w:type="table" w:customStyle="1" w:styleId="3339">
    <w:name w:val="网格型3212"/>
    <w:basedOn w:val="88"/>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40">
    <w:name w:val="网格型41"/>
    <w:basedOn w:val="88"/>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41">
    <w:name w:val="网页型 113"/>
    <w:basedOn w:val="88"/>
    <w:semiHidden/>
    <w:qFormat/>
    <w:uiPriority w:val="0"/>
    <w:pPr>
      <w:widowControl w:val="0"/>
      <w:jc w:val="both"/>
    </w:pPr>
    <w:tblPr>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cPr>
      <w:shd w:val="clear" w:color="auto" w:fill="auto"/>
    </w:tcPr>
    <w:tblStylePr w:type="firstRow">
      <w:rPr>
        <w:color w:val="auto"/>
      </w:rPr>
      <w:tcPr>
        <w:tcBorders>
          <w:top w:val="nil"/>
          <w:left w:val="nil"/>
          <w:bottom w:val="nil"/>
          <w:right w:val="nil"/>
          <w:insideH w:val="nil"/>
          <w:insideV w:val="nil"/>
          <w:tl2br w:val="nil"/>
          <w:tr2bl w:val="nil"/>
        </w:tcBorders>
      </w:tcPr>
    </w:tblStylePr>
  </w:style>
  <w:style w:type="table" w:customStyle="1" w:styleId="3342">
    <w:name w:val="典雅型11"/>
    <w:basedOn w:val="88"/>
    <w:semiHidden/>
    <w:qFormat/>
    <w:uiPriority w:val="0"/>
    <w:pPr>
      <w:widowControl w:val="0"/>
      <w:jc w:val="both"/>
    </w:pPr>
    <w:rPr>
      <w:rFonts w:ascii="Calibri" w:hAnsi="Calibri"/>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343">
    <w:name w:val="网格型3231"/>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44">
    <w:name w:val="立体型 112"/>
    <w:basedOn w:val="88"/>
    <w:semiHidden/>
    <w:qFormat/>
    <w:uiPriority w:val="0"/>
    <w:pPr>
      <w:widowControl w:val="0"/>
      <w:jc w:val="both"/>
    </w:pPr>
    <w:rPr>
      <w:rFonts w:ascii="Calibri" w:hAnsi="Calibri"/>
    </w:rPr>
    <w:tcPr>
      <w:shd w:val="solid" w:color="C0C0C0" w:fill="FFFFFF"/>
    </w:tcPr>
    <w:tblStylePr w:type="firstRow">
      <w:rPr>
        <w:b/>
        <w:bCs/>
        <w:color w:val="800080"/>
      </w:rPr>
      <w:tcPr>
        <w:tcBorders>
          <w:top w:val="nil"/>
          <w:left w:val="single" w:color="808080" w:sz="6" w:space="0"/>
          <w:bottom w:val="nil"/>
          <w:right w:val="nil"/>
          <w:insideH w:val="nil"/>
          <w:insideV w:val="nil"/>
          <w:tl2br w:val="nil"/>
          <w:tr2bl w:val="nil"/>
        </w:tcBorders>
      </w:tcPr>
    </w:tblStylePr>
    <w:tblStylePr w:type="lastRow">
      <w:tcPr>
        <w:tcBorders>
          <w:top w:val="single" w:color="FFFFFF" w:sz="6" w:space="0"/>
          <w:left w:val="nil"/>
          <w:bottom w:val="nil"/>
          <w:right w:val="nil"/>
          <w:insideH w:val="nil"/>
          <w:insideV w:val="nil"/>
          <w:tl2br w:val="nil"/>
          <w:tr2bl w:val="nil"/>
        </w:tcBorders>
      </w:tcPr>
    </w:tblStylePr>
    <w:tblStylePr w:type="firstCol">
      <w:rPr>
        <w:b/>
        <w:bCs/>
      </w:rPr>
      <w:tcPr>
        <w:tcBorders>
          <w:top w:val="nil"/>
          <w:left w:val="nil"/>
          <w:bottom w:val="nil"/>
          <w:right w:val="single" w:color="808080" w:sz="6" w:space="0"/>
          <w:insideH w:val="nil"/>
          <w:insideV w:val="nil"/>
          <w:tl2br w:val="nil"/>
          <w:tr2bl w:val="nil"/>
        </w:tcBorders>
      </w:tcPr>
    </w:tblStylePr>
    <w:tblStylePr w:type="lastCol">
      <w:tcPr>
        <w:tcBorders>
          <w:top w:val="nil"/>
          <w:left w:val="nil"/>
          <w:bottom w:val="single" w:color="FFFFFF" w:sz="6" w:space="0"/>
          <w:right w:val="nil"/>
          <w:insideH w:val="nil"/>
          <w:insideV w:val="nil"/>
          <w:tl2br w:val="nil"/>
          <w:tr2bl w:val="nil"/>
        </w:tcBorders>
      </w:tcPr>
    </w:tblStylePr>
    <w:tblStylePr w:type="neCell">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nil"/>
          <w:tr2bl w:val="nil"/>
        </w:tcBorders>
      </w:tcPr>
    </w:tblStylePr>
    <w:tblStylePr w:type="seCell">
      <w:tcPr>
        <w:tcBorders>
          <w:top w:val="nil"/>
          <w:left w:val="nil"/>
          <w:bottom w:val="nil"/>
          <w:right w:val="nil"/>
          <w:insideH w:val="nil"/>
          <w:insideV w:val="nil"/>
          <w:tl2br w:val="nil"/>
          <w:tr2bl w:val="nil"/>
        </w:tcBorders>
      </w:tcPr>
    </w:tblStylePr>
    <w:tblStylePr w:type="swCell">
      <w:rPr>
        <w:color w:val="000080"/>
      </w:rPr>
      <w:tcPr>
        <w:tcBorders>
          <w:top w:val="nil"/>
          <w:left w:val="nil"/>
          <w:bottom w:val="nil"/>
          <w:right w:val="nil"/>
          <w:insideH w:val="nil"/>
          <w:insideV w:val="nil"/>
          <w:tl2br w:val="nil"/>
          <w:tr2bl w:val="nil"/>
        </w:tcBorders>
      </w:tcPr>
    </w:tblStylePr>
  </w:style>
  <w:style w:type="table" w:customStyle="1" w:styleId="3345">
    <w:name w:val="列表型 41"/>
    <w:basedOn w:val="88"/>
    <w:semiHidden/>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tblBorders>
    </w:tblPr>
    <w:tcPr>
      <w:shd w:val="clear" w:color="auto" w:fill="auto"/>
    </w:tcPr>
    <w:tblStylePr w:type="firstRow">
      <w:rPr>
        <w:b/>
        <w:bCs/>
        <w:color w:val="FFFFFF"/>
      </w:rPr>
      <w:tcPr>
        <w:tcBorders>
          <w:top w:val="nil"/>
          <w:left w:val="single" w:color="000000" w:sz="12" w:space="0"/>
          <w:bottom w:val="nil"/>
          <w:right w:val="nil"/>
          <w:insideH w:val="nil"/>
          <w:insideV w:val="nil"/>
          <w:tl2br w:val="nil"/>
          <w:tr2bl w:val="nil"/>
        </w:tcBorders>
        <w:shd w:val="solid" w:color="808080" w:fill="FFFFFF"/>
      </w:tcPr>
    </w:tblStylePr>
  </w:style>
  <w:style w:type="table" w:customStyle="1" w:styleId="3346">
    <w:name w:val="网格型321112"/>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47">
    <w:name w:val="网格型141"/>
    <w:basedOn w:val="88"/>
    <w:qFormat/>
    <w:uiPriority w:val="0"/>
    <w:rPr>
      <w:rFonts w:ascii="Calibri" w:hAnsi="Calibri"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48">
    <w:name w:val="网格型 13"/>
    <w:basedOn w:val="88"/>
    <w:qFormat/>
    <w:uiPriority w:val="0"/>
    <w:pPr>
      <w:widowControl w:val="0"/>
      <w:jc w:val="both"/>
    </w:pPr>
    <w:rPr>
      <w:rFonts w:ascii="Calibri" w:hAnsi="Calibri"/>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349">
    <w:name w:val="网格型191"/>
    <w:basedOn w:val="88"/>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50">
    <w:name w:val="网格型17"/>
    <w:basedOn w:val="88"/>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51">
    <w:name w:val="网格型3111111"/>
    <w:basedOn w:val="88"/>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52">
    <w:name w:val="网格型311114"/>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53">
    <w:name w:val="专业型13"/>
    <w:basedOn w:val="88"/>
    <w:semiHidden/>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354">
    <w:name w:val="专业型11"/>
    <w:basedOn w:val="88"/>
    <w:semiHidden/>
    <w:qFormat/>
    <w:uiPriority w:val="0"/>
    <w:pPr>
      <w:widowControl w:val="0"/>
      <w:jc w:val="both"/>
    </w:pPr>
    <w:rPr>
      <w:rFonts w:ascii="Calibri" w:hAnsi="Calibri"/>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355">
    <w:name w:val="列表型 811"/>
    <w:basedOn w:val="88"/>
    <w:semiHidden/>
    <w:qFormat/>
    <w:uiPriority w:val="0"/>
    <w:pPr>
      <w:widowControl w:val="0"/>
      <w:jc w:val="both"/>
    </w:pPr>
    <w:rPr>
      <w:rFonts w:ascii="Calibri" w:hAnsi="Calibri"/>
    </w:rPr>
    <w:tblPr>
      <w:tblBorders>
        <w:top w:val="single" w:color="000000" w:sz="6" w:space="0"/>
        <w:left w:val="single" w:color="000000" w:sz="6" w:space="0"/>
        <w:bottom w:val="single" w:color="000000" w:sz="6" w:space="0"/>
        <w:right w:val="single" w:color="000000" w:sz="6" w:space="0"/>
        <w:insideV w:val="single" w:color="000000" w:sz="6" w:space="0"/>
      </w:tblBorders>
    </w:tblPr>
    <w:tblStylePr w:type="firstRow">
      <w:rPr>
        <w:b/>
        <w:bCs/>
        <w:i/>
        <w:iCs/>
      </w:rPr>
      <w:tcPr>
        <w:tcBorders>
          <w:top w:val="nil"/>
          <w:left w:val="single" w:color="000000" w:sz="6" w:space="0"/>
          <w:bottom w:val="nil"/>
          <w:right w:val="nil"/>
          <w:insideH w:val="nil"/>
          <w:insideV w:val="nil"/>
          <w:tl2br w:val="nil"/>
          <w:tr2bl w:val="nil"/>
        </w:tcBorders>
        <w:shd w:val="solid" w:color="FFFF00" w:fill="FFFFFF"/>
      </w:tcPr>
    </w:tblStylePr>
    <w:tblStylePr w:type="lastRow">
      <w:rPr>
        <w:b/>
        <w:bCs/>
      </w:rPr>
      <w:tcPr>
        <w:tcBorders>
          <w:top w:val="single" w:color="000000" w:sz="6"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5" w:color="FFFF00" w:fill="FFFFFF"/>
      </w:tcPr>
    </w:tblStylePr>
    <w:tblStylePr w:type="band2Horz">
      <w:tcPr>
        <w:tcBorders>
          <w:top w:val="nil"/>
          <w:left w:val="nil"/>
          <w:bottom w:val="nil"/>
          <w:right w:val="nil"/>
          <w:insideH w:val="nil"/>
          <w:insideV w:val="nil"/>
          <w:tl2br w:val="nil"/>
          <w:tr2bl w:val="nil"/>
        </w:tcBorders>
        <w:shd w:val="pct50" w:color="FF0000" w:fill="FFFFFF"/>
      </w:tcPr>
    </w:tblStylePr>
    <w:tblStylePr w:type="nwCell">
      <w:tcPr>
        <w:tcBorders>
          <w:top w:val="nil"/>
          <w:left w:val="nil"/>
          <w:bottom w:val="nil"/>
          <w:right w:val="nil"/>
          <w:insideH w:val="nil"/>
          <w:insideV w:val="nil"/>
          <w:tl2br w:val="single" w:color="auto" w:sz="6" w:space="0"/>
          <w:tr2bl w:val="nil"/>
        </w:tcBorders>
      </w:tcPr>
    </w:tblStylePr>
  </w:style>
  <w:style w:type="table" w:customStyle="1" w:styleId="3356">
    <w:name w:val="表三维效果 32"/>
    <w:basedOn w:val="88"/>
    <w:qFormat/>
    <w:uiPriority w:val="0"/>
    <w:pPr>
      <w:widowControl w:val="0"/>
      <w:spacing w:line="560" w:lineRule="exact"/>
      <w:ind w:firstLine="200" w:firstLineChars="200"/>
      <w:jc w:val="both"/>
    </w:pPr>
    <w:rPr>
      <w:rFonts w:ascii="Calibri" w:hAnsi="Calibri"/>
    </w:rPr>
    <w:tblStylePr w:type="firstRow">
      <w:rPr>
        <w:b/>
        <w:bCs/>
      </w:rPr>
      <w:tcPr>
        <w:tcBorders>
          <w:top w:val="nil"/>
          <w:left w:val="nil"/>
          <w:bottom w:val="nil"/>
          <w:right w:val="nil"/>
          <w:insideH w:val="nil"/>
          <w:insideV w:val="nil"/>
          <w:tl2br w:val="nil"/>
          <w:tr2bl w:val="nil"/>
        </w:tcBorders>
      </w:tcPr>
    </w:tblStylePr>
    <w:tblStylePr w:type="firstCol">
      <w:tcPr>
        <w:tcBorders>
          <w:top w:val="nil"/>
          <w:left w:val="nil"/>
          <w:bottom w:val="nil"/>
          <w:right w:val="single" w:color="808080" w:sz="6" w:space="0"/>
          <w:insideH w:val="nil"/>
          <w:insideV w:val="nil"/>
          <w:tl2br w:val="nil"/>
          <w:tr2bl w:val="nil"/>
        </w:tcBorders>
      </w:tcPr>
    </w:tblStylePr>
    <w:tblStylePr w:type="lastCol">
      <w:tcPr>
        <w:tcBorders>
          <w:top w:val="nil"/>
          <w:left w:val="nil"/>
          <w:bottom w:val="nil"/>
          <w:right w:val="single" w:color="FFFFFF" w:sz="6" w:space="0"/>
          <w:insideH w:val="nil"/>
          <w:insideV w:val="nil"/>
          <w:tl2br w:val="nil"/>
          <w:tr2bl w:val="nil"/>
        </w:tcBorders>
      </w:tcPr>
    </w:tblStylePr>
    <w:tblStylePr w:type="band1Vert">
      <w:rPr>
        <w:color w:val="auto"/>
      </w:rPr>
      <w:tcPr>
        <w:shd w:val="solid" w:color="C0C0C0" w:fill="FFFFFF"/>
      </w:tcPr>
    </w:tblStylePr>
    <w:tblStylePr w:type="band2Vert">
      <w:rPr>
        <w:color w:val="auto"/>
      </w:rPr>
      <w:tcPr>
        <w:shd w:val="pct50" w:color="C0C0C0" w:fill="FFFFFF"/>
      </w:tcPr>
    </w:tblStylePr>
    <w:tblStylePr w:type="band1Horz">
      <w:tcPr>
        <w:tcBorders>
          <w:top w:val="single" w:color="808080" w:sz="6" w:space="0"/>
          <w:left w:val="single" w:color="FFFFFF" w:sz="6" w:space="0"/>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357">
    <w:name w:val="网格型314"/>
    <w:basedOn w:val="88"/>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58">
    <w:name w:val="典雅型3"/>
    <w:basedOn w:val="88"/>
    <w:qFormat/>
    <w:uiPriority w:val="0"/>
    <w:pPr>
      <w:widowControl w:val="0"/>
      <w:spacing w:line="560" w:lineRule="exact"/>
      <w:ind w:firstLine="200" w:firstLineChars="200"/>
      <w:jc w:val="both"/>
    </w:pPr>
    <w:rPr>
      <w:rFonts w:ascii="Calibri" w:hAnsi="Calibri"/>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359">
    <w:name w:val="网格型31113"/>
    <w:basedOn w:val="88"/>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60">
    <w:name w:val="竖列型 22"/>
    <w:basedOn w:val="88"/>
    <w:qFormat/>
    <w:uiPriority w:val="0"/>
    <w:pPr>
      <w:widowControl w:val="0"/>
      <w:spacing w:line="560" w:lineRule="exact"/>
      <w:ind w:firstLine="200" w:firstLineChars="200"/>
      <w:jc w:val="both"/>
    </w:pPr>
    <w:rPr>
      <w:rFonts w:ascii="Calibri" w:hAnsi="Calibri"/>
      <w:b/>
      <w:bCs/>
    </w:rPr>
    <w:tblStylePr w:type="firstRow">
      <w:rPr>
        <w:color w:val="FFFFFF"/>
      </w:rPr>
      <w:tcPr>
        <w:tcBorders>
          <w:top w:val="nil"/>
          <w:left w:val="nil"/>
          <w:bottom w:val="nil"/>
          <w:right w:val="nil"/>
          <w:insideH w:val="nil"/>
          <w:insideV w:val="nil"/>
          <w:tl2br w:val="nil"/>
          <w:tr2bl w:val="nil"/>
        </w:tcBorders>
        <w:shd w:val="solid" w:color="000080" w:fill="FFFFFF"/>
      </w:tcPr>
    </w:tblStylePr>
    <w:tblStylePr w:type="lastRow">
      <w:rPr>
        <w:b w:val="0"/>
        <w:bCs w:val="0"/>
      </w:rPr>
      <w:tcPr>
        <w:tcBorders>
          <w:top w:val="nil"/>
          <w:left w:val="nil"/>
          <w:bottom w:val="nil"/>
          <w:right w:val="nil"/>
          <w:insideH w:val="nil"/>
          <w:insideV w:val="nil"/>
          <w:tl2br w:val="nil"/>
          <w:tr2bl w:val="nil"/>
        </w:tcBorders>
      </w:tcPr>
    </w:tblStylePr>
    <w:tblStylePr w:type="firstCol">
      <w:rPr>
        <w:b w:val="0"/>
        <w:bCs w:val="0"/>
        <w:color w:val="00000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band1Vert">
      <w:rPr>
        <w:color w:val="auto"/>
      </w:rPr>
      <w:tcPr>
        <w:shd w:val="pct30" w:color="000000" w:fill="FFFFFF"/>
      </w:tcPr>
    </w:tblStylePr>
    <w:tblStylePr w:type="band2Vert">
      <w:rPr>
        <w:color w:val="auto"/>
      </w:rPr>
      <w:tcPr>
        <w:shd w:val="pct25" w:color="00FF00" w:fill="FFFFFF"/>
      </w:tcPr>
    </w:tblStylePr>
    <w:tblStylePr w:type="neCell">
      <w:rPr>
        <w:b/>
        <w:bCs/>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361">
    <w:name w:val="古典型 13"/>
    <w:basedOn w:val="88"/>
    <w:qFormat/>
    <w:uiPriority w:val="0"/>
    <w:pPr>
      <w:widowControl w:val="0"/>
      <w:spacing w:line="560" w:lineRule="exact"/>
      <w:ind w:firstLine="200" w:firstLineChars="200"/>
      <w:jc w:val="both"/>
    </w:pPr>
    <w:rPr>
      <w:rFonts w:ascii="Calibri" w:hAnsi="Calibri"/>
    </w:r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362">
    <w:name w:val="网格型 42"/>
    <w:basedOn w:val="88"/>
    <w:qFormat/>
    <w:uiPriority w:val="0"/>
    <w:pPr>
      <w:widowControl w:val="0"/>
      <w:spacing w:line="560" w:lineRule="exact"/>
      <w:ind w:firstLine="200" w:firstLineChars="200"/>
      <w:jc w:val="both"/>
    </w:pPr>
    <w:rPr>
      <w:rFonts w:ascii="Calibri" w:hAnsi="Calibri"/>
    </w:rPr>
    <w:tblPr>
      <w:tblBorders>
        <w:left w:val="single" w:color="000000" w:sz="12" w:space="0"/>
        <w:right w:val="single" w:color="000000" w:sz="12" w:space="0"/>
        <w:insideH w:val="single" w:color="000000" w:sz="6" w:space="0"/>
        <w:insideV w:val="single" w:color="000000" w:sz="6" w:space="0"/>
      </w:tblBorders>
    </w:tblPr>
    <w:tcPr>
      <w:shd w:val="clear" w:color="auto" w:fill="auto"/>
    </w:tcPr>
    <w:tblStylePr w:type="firstRow">
      <w:rPr>
        <w:color w:val="auto"/>
      </w:rPr>
      <w:tcPr>
        <w:tcBorders>
          <w:top w:val="nil"/>
          <w:left w:val="single" w:color="000000" w:sz="6" w:space="0"/>
          <w:bottom w:val="nil"/>
          <w:right w:val="nil"/>
          <w:insideH w:val="nil"/>
          <w:insideV w:val="nil"/>
          <w:tl2br w:val="nil"/>
          <w:tr2bl w:val="nil"/>
        </w:tcBorders>
        <w:shd w:val="pct30" w:color="FFFF00" w:fill="FFFFFF"/>
      </w:tcPr>
    </w:tblStylePr>
    <w:tblStylePr w:type="lastRow">
      <w:rPr>
        <w:b/>
        <w:bCs/>
        <w:color w:val="auto"/>
      </w:rPr>
      <w:tcPr>
        <w:tcBorders>
          <w:top w:val="single" w:color="000000" w:sz="6" w:space="0"/>
          <w:left w:val="nil"/>
          <w:bottom w:val="nil"/>
          <w:right w:val="nil"/>
          <w:insideH w:val="nil"/>
          <w:insideV w:val="nil"/>
          <w:tl2br w:val="nil"/>
          <w:tr2bl w:val="nil"/>
        </w:tcBorders>
        <w:shd w:val="pct30" w:color="FFFF00" w:fill="FFFFFF"/>
      </w:tcPr>
    </w:tblStylePr>
    <w:tblStylePr w:type="lastCol">
      <w:rPr>
        <w:b/>
        <w:bCs/>
        <w:color w:val="auto"/>
      </w:rPr>
      <w:tcPr>
        <w:tcBorders>
          <w:top w:val="nil"/>
          <w:left w:val="nil"/>
          <w:bottom w:val="nil"/>
          <w:right w:val="nil"/>
          <w:insideH w:val="nil"/>
          <w:insideV w:val="nil"/>
          <w:tl2br w:val="nil"/>
          <w:tr2bl w:val="nil"/>
        </w:tcBorders>
      </w:tcPr>
    </w:tblStylePr>
  </w:style>
  <w:style w:type="table" w:customStyle="1" w:styleId="3363">
    <w:name w:val="彩色型 24"/>
    <w:basedOn w:val="88"/>
    <w:qFormat/>
    <w:uiPriority w:val="0"/>
    <w:pPr>
      <w:widowControl w:val="0"/>
      <w:spacing w:line="560" w:lineRule="exact"/>
      <w:ind w:firstLine="200" w:firstLineChars="200"/>
      <w:jc w:val="both"/>
    </w:pPr>
    <w:rPr>
      <w:rFonts w:ascii="Calibri" w:hAnsi="Calibri"/>
    </w:rPr>
    <w:tblPr>
      <w:tblBorders>
        <w:bottom w:val="single" w:color="000000" w:sz="12" w:space="0"/>
      </w:tblBorders>
    </w:tblPr>
    <w:tcPr>
      <w:shd w:val="pct20" w:color="FFFF00" w:fill="FFFFFF"/>
    </w:tcPr>
    <w:tblStylePr w:type="firstRow">
      <w:rPr>
        <w:b/>
        <w:bCs/>
        <w:i/>
        <w:iCs/>
        <w:color w:val="FFFFFF"/>
      </w:rPr>
      <w:tcPr>
        <w:tcBorders>
          <w:top w:val="nil"/>
          <w:left w:val="single" w:color="000000" w:sz="12" w:space="0"/>
          <w:bottom w:val="nil"/>
          <w:right w:val="nil"/>
          <w:insideH w:val="nil"/>
          <w:insideV w:val="nil"/>
          <w:tl2br w:val="nil"/>
          <w:tr2bl w:val="nil"/>
        </w:tcBorders>
        <w:shd w:val="solid" w:color="800000" w:fill="FFFFFF"/>
      </w:tcPr>
    </w:tblStylePr>
    <w:tblStylePr w:type="firstCol">
      <w:rPr>
        <w:b/>
        <w:bCs/>
        <w:i/>
        <w:iCs/>
      </w:rPr>
      <w:tcPr>
        <w:tcBorders>
          <w:top w:val="nil"/>
          <w:left w:val="nil"/>
          <w:bottom w:val="nil"/>
          <w:right w:val="nil"/>
          <w:insideH w:val="nil"/>
          <w:insideV w:val="nil"/>
          <w:tl2br w:val="nil"/>
          <w:tr2bl w:val="nil"/>
        </w:tcBorders>
      </w:tcPr>
    </w:tblStylePr>
    <w:tblStylePr w:type="lastCol">
      <w:tcPr>
        <w:tcBorders>
          <w:top w:val="nil"/>
          <w:left w:val="nil"/>
          <w:bottom w:val="nil"/>
          <w:right w:val="nil"/>
          <w:insideH w:val="nil"/>
          <w:insideV w:val="nil"/>
          <w:tl2br w:val="nil"/>
          <w:tr2bl w:val="nil"/>
        </w:tcBorders>
        <w:shd w:val="solid" w:color="C0C0C0" w:fill="FFFFFF"/>
      </w:tcPr>
    </w:tblStylePr>
    <w:tblStylePr w:type="swCell">
      <w:rPr>
        <w:b/>
        <w:bCs/>
        <w:i w:val="0"/>
        <w:iCs w:val="0"/>
      </w:rPr>
      <w:tcPr>
        <w:tcBorders>
          <w:top w:val="nil"/>
          <w:left w:val="nil"/>
          <w:bottom w:val="nil"/>
          <w:right w:val="nil"/>
          <w:insideH w:val="nil"/>
          <w:insideV w:val="nil"/>
          <w:tl2br w:val="nil"/>
          <w:tr2bl w:val="nil"/>
        </w:tcBorders>
      </w:tcPr>
    </w:tblStylePr>
  </w:style>
  <w:style w:type="table" w:customStyle="1" w:styleId="3364">
    <w:name w:val="彩色型 33"/>
    <w:basedOn w:val="88"/>
    <w:qFormat/>
    <w:uiPriority w:val="0"/>
    <w:pPr>
      <w:widowControl w:val="0"/>
      <w:spacing w:line="560" w:lineRule="exact"/>
      <w:ind w:firstLine="200" w:firstLineChars="200"/>
      <w:jc w:val="both"/>
    </w:pPr>
    <w:rPr>
      <w:rFonts w:ascii="Calibri" w:hAnsi="Calibri"/>
    </w:rPr>
    <w:tblPr>
      <w:tblBorders>
        <w:top w:val="single" w:color="000000" w:sz="18" w:space="0"/>
        <w:left w:val="single" w:color="000000" w:sz="18" w:space="0"/>
        <w:bottom w:val="single" w:color="000000" w:sz="18" w:space="0"/>
        <w:right w:val="single" w:color="000000" w:sz="18" w:space="0"/>
        <w:insideH w:val="single" w:color="C0C0C0" w:sz="6" w:space="0"/>
      </w:tblBorders>
    </w:tblPr>
    <w:tcPr>
      <w:shd w:val="pct25" w:color="008080" w:fill="FFFFFF"/>
    </w:tcPr>
    <w:tblStylePr w:type="firstRow">
      <w:tcPr>
        <w:tcBorders>
          <w:top w:val="nil"/>
          <w:left w:val="single" w:color="000000" w:sz="6" w:space="0"/>
          <w:bottom w:val="nil"/>
          <w:right w:val="nil"/>
          <w:insideH w:val="nil"/>
          <w:insideV w:val="nil"/>
          <w:tl2br w:val="nil"/>
          <w:tr2bl w:val="nil"/>
        </w:tcBorders>
        <w:shd w:val="solid" w:color="008080" w:fill="FFFFFF"/>
      </w:tcPr>
    </w:tblStylePr>
    <w:tblStylePr w:type="firstCol">
      <w:tcPr>
        <w:tcBorders>
          <w:top w:val="nil"/>
          <w:left w:val="nil"/>
          <w:bottom w:val="single" w:color="000000" w:sz="36" w:space="0"/>
          <w:right w:val="single" w:color="000000" w:sz="6" w:space="0"/>
          <w:insideH w:val="nil"/>
          <w:insideV w:val="nil"/>
          <w:tl2br w:val="nil"/>
          <w:tr2bl w:val="nil"/>
        </w:tcBorders>
        <w:shd w:val="solid" w:color="008080" w:fill="FFFFFF"/>
      </w:tcPr>
    </w:tblStylePr>
    <w:tblStylePr w:type="nwCell">
      <w:rPr>
        <w:b/>
        <w:bCs/>
        <w:color w:val="FFFFFF"/>
      </w:rPr>
      <w:tcPr>
        <w:tcBorders>
          <w:top w:val="nil"/>
          <w:left w:val="nil"/>
          <w:bottom w:val="nil"/>
          <w:right w:val="nil"/>
          <w:insideH w:val="nil"/>
          <w:insideV w:val="nil"/>
          <w:tl2br w:val="nil"/>
          <w:tr2bl w:val="nil"/>
        </w:tcBorders>
        <w:shd w:val="solid" w:color="000000" w:fill="FFFFFF"/>
      </w:tcPr>
    </w:tblStylePr>
  </w:style>
  <w:style w:type="table" w:customStyle="1" w:styleId="3365">
    <w:name w:val="竖列型 32"/>
    <w:basedOn w:val="88"/>
    <w:qFormat/>
    <w:uiPriority w:val="0"/>
    <w:pPr>
      <w:widowControl w:val="0"/>
      <w:spacing w:line="560" w:lineRule="exact"/>
      <w:ind w:firstLine="200" w:firstLineChars="200"/>
      <w:jc w:val="both"/>
    </w:pPr>
    <w:rPr>
      <w:rFonts w:ascii="Calibri" w:hAnsi="Calibri"/>
      <w:b/>
      <w:bCs/>
    </w:rPr>
    <w:tblPr>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cPr>
        <w:tcBorders>
          <w:top w:val="nil"/>
          <w:left w:val="nil"/>
          <w:bottom w:val="nil"/>
          <w:right w:val="nil"/>
          <w:insideH w:val="nil"/>
          <w:insideV w:val="nil"/>
          <w:tl2br w:val="nil"/>
          <w:tr2bl w:val="nil"/>
        </w:tcBorders>
        <w:shd w:val="solid" w:color="000080" w:fill="FFFFFF"/>
      </w:tcPr>
    </w:tblStylePr>
    <w:tblStylePr w:type="lastRow">
      <w:rPr>
        <w:b w:val="0"/>
        <w:bCs w:val="0"/>
      </w:rPr>
      <w:tcPr>
        <w:tcBorders>
          <w:top w:val="single" w:color="000080" w:sz="6" w:space="0"/>
          <w:left w:val="nil"/>
          <w:bottom w:val="nil"/>
          <w:right w:val="nil"/>
          <w:insideH w:val="nil"/>
          <w:insideV w:val="nil"/>
          <w:tl2br w:val="nil"/>
          <w:tr2bl w:val="nil"/>
        </w:tcBorders>
      </w:tcPr>
    </w:tblStylePr>
    <w:tblStylePr w:type="firstCol">
      <w:rPr>
        <w:b w:val="0"/>
        <w:bCs w:val="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band1Vert">
      <w:rPr>
        <w:color w:val="auto"/>
      </w:rPr>
      <w:tcPr>
        <w:shd w:val="solid" w:color="C0C0C0" w:fill="FFFFFF"/>
      </w:tcPr>
    </w:tblStylePr>
    <w:tblStylePr w:type="band2Vert">
      <w:rPr>
        <w:color w:val="auto"/>
      </w:rPr>
      <w:tcPr>
        <w:shd w:val="pct10" w:color="000000" w:fill="FFFFFF"/>
      </w:tcPr>
    </w:tblStylePr>
    <w:tblStylePr w:type="neCell">
      <w:rPr>
        <w:b/>
        <w:bCs/>
      </w:rPr>
      <w:tcPr>
        <w:tcBorders>
          <w:top w:val="nil"/>
          <w:left w:val="nil"/>
          <w:bottom w:val="nil"/>
          <w:right w:val="nil"/>
          <w:insideH w:val="nil"/>
          <w:insideV w:val="nil"/>
          <w:tl2br w:val="nil"/>
          <w:tr2bl w:val="nil"/>
        </w:tcBorders>
      </w:tcPr>
    </w:tblStylePr>
  </w:style>
  <w:style w:type="table" w:customStyle="1" w:styleId="3366">
    <w:name w:val="网格型113"/>
    <w:basedOn w:val="88"/>
    <w:qFormat/>
    <w:uiPriority w:val="59"/>
    <w:rPr>
      <w:rFonts w:ascii="Calibri" w:hAnsi="Calibri"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67">
    <w:name w:val="网格型61"/>
    <w:basedOn w:val="88"/>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68">
    <w:name w:val="网格型3213"/>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69">
    <w:name w:val="网格型4"/>
    <w:basedOn w:val="88"/>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70">
    <w:name w:val="列表型 13"/>
    <w:basedOn w:val="88"/>
    <w:qFormat/>
    <w:uiPriority w:val="0"/>
    <w:pPr>
      <w:widowControl w:val="0"/>
      <w:spacing w:line="560" w:lineRule="exact"/>
      <w:ind w:firstLine="200" w:firstLineChars="200"/>
      <w:jc w:val="both"/>
    </w:pPr>
    <w:rPr>
      <w:rFonts w:ascii="Calibri" w:hAnsi="Calibri"/>
    </w:rPr>
    <w:tblPr>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cPr>
        <w:tcBorders>
          <w:top w:val="nil"/>
          <w:left w:val="single" w:color="000000" w:sz="6" w:space="0"/>
          <w:bottom w:val="nil"/>
          <w:right w:val="nil"/>
          <w:insideH w:val="nil"/>
          <w:insideV w:val="nil"/>
          <w:tl2br w:val="nil"/>
          <w:tr2bl w:val="nil"/>
        </w:tcBorders>
        <w:shd w:val="solid" w:color="C0C0C0" w:fill="FFFFFF"/>
      </w:tcPr>
    </w:tblStylePr>
    <w:tblStylePr w:type="lastRow">
      <w:tcPr>
        <w:tcBorders>
          <w:top w:val="single" w:color="000000" w:sz="6" w:space="0"/>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solid" w:color="C0C0C0" w:fill="FFFFFF"/>
      </w:tcPr>
    </w:tblStylePr>
    <w:tblStylePr w:type="band2Horz">
      <w:rPr>
        <w:color w:val="auto"/>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371">
    <w:name w:val="列表型 612"/>
    <w:basedOn w:val="88"/>
    <w:semiHidden/>
    <w:qFormat/>
    <w:uiPriority w:val="0"/>
    <w:pPr>
      <w:widowControl w:val="0"/>
      <w:jc w:val="both"/>
    </w:pPr>
    <w:rPr>
      <w:rFonts w:ascii="Calibri" w:hAnsi="Calibri"/>
    </w:rPr>
    <w:tblPr>
      <w:tblBorders>
        <w:top w:val="single" w:color="000000" w:sz="6" w:space="0"/>
        <w:left w:val="single" w:color="000000" w:sz="6" w:space="0"/>
        <w:bottom w:val="single" w:color="000000" w:sz="6" w:space="0"/>
        <w:right w:val="single" w:color="000000" w:sz="6" w:space="0"/>
      </w:tblBorders>
    </w:tblPr>
    <w:tcPr>
      <w:shd w:val="pct50" w:color="000000" w:fill="FFFFFF"/>
    </w:tcPr>
    <w:tblStylePr w:type="firstRow">
      <w:rPr>
        <w:b/>
        <w:bCs/>
      </w:rPr>
      <w:tcPr>
        <w:tcBorders>
          <w:top w:val="nil"/>
          <w:left w:val="single" w:color="000000" w:sz="12" w:space="0"/>
          <w:bottom w:val="nil"/>
          <w:right w:val="nil"/>
          <w:insideH w:val="nil"/>
          <w:insideV w:val="nil"/>
          <w:tl2br w:val="nil"/>
          <w:tr2bl w:val="nil"/>
        </w:tcBorders>
      </w:tcPr>
    </w:tblStylePr>
    <w:tblStylePr w:type="firstCol">
      <w:rPr>
        <w:b/>
        <w:bCs/>
      </w:rPr>
      <w:tcPr>
        <w:tcBorders>
          <w:top w:val="nil"/>
          <w:left w:val="nil"/>
          <w:bottom w:val="nil"/>
          <w:right w:val="single" w:color="000000" w:sz="12" w:space="0"/>
          <w:insideH w:val="nil"/>
          <w:insideV w:val="nil"/>
          <w:tl2br w:val="nil"/>
          <w:tr2bl w:val="nil"/>
        </w:tcBorders>
      </w:tcPr>
    </w:tblStylePr>
    <w:tblStylePr w:type="band1Horz">
      <w:tcPr>
        <w:tcBorders>
          <w:top w:val="nil"/>
          <w:left w:val="nil"/>
          <w:bottom w:val="nil"/>
          <w:right w:val="nil"/>
          <w:insideH w:val="nil"/>
          <w:insideV w:val="nil"/>
          <w:tl2br w:val="nil"/>
          <w:tr2bl w:val="nil"/>
        </w:tcBorders>
        <w:shd w:val="pct25" w:color="000000" w:fill="FFFFFF"/>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372">
    <w:name w:val="网格型 821"/>
    <w:basedOn w:val="88"/>
    <w:qFormat/>
    <w:uiPriority w:val="0"/>
    <w:pPr>
      <w:widowControl w:val="0"/>
      <w:spacing w:line="560" w:lineRule="exact"/>
      <w:ind w:firstLine="200" w:firstLineChars="200"/>
      <w:jc w:val="both"/>
    </w:pPr>
    <w:rPr>
      <w:rFonts w:ascii="Calibri" w:hAnsi="Calibri"/>
    </w:r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color w:val="FFFFFF"/>
      </w:rPr>
      <w:tcPr>
        <w:tcBorders>
          <w:top w:val="nil"/>
          <w:left w:val="nil"/>
          <w:bottom w:val="nil"/>
          <w:right w:val="nil"/>
          <w:insideH w:val="nil"/>
          <w:insideV w:val="nil"/>
          <w:tl2br w:val="nil"/>
          <w:tr2bl w:val="nil"/>
        </w:tcBorders>
        <w:shd w:val="solid" w:color="000080" w:fill="FFFFFF"/>
      </w:tcPr>
    </w:tblStylePr>
    <w:tblStylePr w:type="lastRow">
      <w:rPr>
        <w:b/>
        <w:bCs/>
        <w:color w:val="auto"/>
      </w:rPr>
      <w:tcPr>
        <w:tcBorders>
          <w:top w:val="nil"/>
          <w:left w:val="nil"/>
          <w:bottom w:val="nil"/>
          <w:right w:val="nil"/>
          <w:insideH w:val="nil"/>
          <w:insideV w:val="nil"/>
          <w:tl2br w:val="nil"/>
          <w:tr2bl w:val="nil"/>
        </w:tcBorders>
      </w:tcPr>
    </w:tblStylePr>
    <w:tblStylePr w:type="lastCol">
      <w:rPr>
        <w:b/>
        <w:bCs/>
        <w:color w:val="auto"/>
      </w:rPr>
      <w:tcPr>
        <w:tcBorders>
          <w:top w:val="nil"/>
          <w:left w:val="nil"/>
          <w:bottom w:val="nil"/>
          <w:right w:val="nil"/>
          <w:insideH w:val="nil"/>
          <w:insideV w:val="nil"/>
          <w:tl2br w:val="nil"/>
          <w:tr2bl w:val="nil"/>
        </w:tcBorders>
      </w:tcPr>
    </w:tblStylePr>
  </w:style>
  <w:style w:type="table" w:customStyle="1" w:styleId="3373">
    <w:name w:val="古典型 33"/>
    <w:basedOn w:val="88"/>
    <w:qFormat/>
    <w:uiPriority w:val="0"/>
    <w:pPr>
      <w:widowControl w:val="0"/>
      <w:spacing w:line="560" w:lineRule="exact"/>
      <w:ind w:firstLine="200" w:firstLineChars="200"/>
      <w:jc w:val="both"/>
    </w:pPr>
    <w:rPr>
      <w:rFonts w:ascii="Calibri" w:hAnsi="Calibri"/>
      <w:color w:val="000080"/>
    </w:rPr>
    <w:tblPr>
      <w:tblBorders>
        <w:top w:val="single" w:color="000000" w:sz="12" w:space="0"/>
        <w:left w:val="single" w:color="000000" w:sz="12" w:space="0"/>
        <w:bottom w:val="single" w:color="000000" w:sz="12" w:space="0"/>
        <w:right w:val="single" w:color="000000" w:sz="12" w:space="0"/>
      </w:tblBorders>
    </w:tblPr>
    <w:tcPr>
      <w:shd w:val="solid" w:color="C0C0C0" w:fill="FFFFFF"/>
    </w:tcPr>
    <w:tblStylePr w:type="firstRow">
      <w:rPr>
        <w:b/>
        <w:bCs/>
        <w:i/>
        <w:iCs/>
        <w:color w:val="FFFFFF"/>
      </w:rPr>
      <w:tcPr>
        <w:tcBorders>
          <w:top w:val="nil"/>
          <w:left w:val="single" w:color="000000" w:sz="6" w:space="0"/>
          <w:bottom w:val="nil"/>
          <w:right w:val="nil"/>
          <w:insideH w:val="nil"/>
          <w:insideV w:val="nil"/>
          <w:tl2br w:val="nil"/>
          <w:tr2bl w:val="nil"/>
        </w:tcBorders>
        <w:shd w:val="solid" w:color="000080" w:fill="FFFFFF"/>
      </w:tcPr>
    </w:tblStylePr>
    <w:tblStylePr w:type="lastRow">
      <w:rPr>
        <w:color w:val="000080"/>
      </w:rPr>
      <w:tcPr>
        <w:tcBorders>
          <w:top w:val="single" w:color="000000" w:sz="12" w:space="0"/>
          <w:left w:val="nil"/>
          <w:bottom w:val="nil"/>
          <w:right w:val="nil"/>
          <w:insideH w:val="nil"/>
          <w:insideV w:val="nil"/>
          <w:tl2br w:val="nil"/>
          <w:tr2bl w:val="nil"/>
        </w:tcBorders>
        <w:shd w:val="solid" w:color="FFFFFF" w:fill="FFFFFF"/>
      </w:tcPr>
    </w:tblStylePr>
    <w:tblStylePr w:type="firstCol">
      <w:rPr>
        <w:b/>
        <w:bCs/>
        <w:color w:val="000000"/>
      </w:rPr>
      <w:tcPr>
        <w:tcBorders>
          <w:top w:val="nil"/>
          <w:left w:val="nil"/>
          <w:bottom w:val="nil"/>
          <w:right w:val="nil"/>
          <w:insideH w:val="nil"/>
          <w:insideV w:val="nil"/>
          <w:tl2br w:val="nil"/>
          <w:tr2bl w:val="nil"/>
        </w:tcBorders>
      </w:tcPr>
    </w:tblStylePr>
  </w:style>
  <w:style w:type="table" w:customStyle="1" w:styleId="3374">
    <w:name w:val="网格型1312"/>
    <w:basedOn w:val="88"/>
    <w:qFormat/>
    <w:uiPriority w:val="59"/>
    <w:rPr>
      <w:rFonts w:ascii="Calibri" w:hAnsi="Calibri"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75">
    <w:name w:val="网格型315"/>
    <w:basedOn w:val="88"/>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76">
    <w:name w:val="列表型 221"/>
    <w:basedOn w:val="88"/>
    <w:qFormat/>
    <w:uiPriority w:val="0"/>
    <w:pPr>
      <w:widowControl w:val="0"/>
      <w:spacing w:line="560" w:lineRule="exact"/>
      <w:ind w:firstLine="200" w:firstLineChars="200"/>
      <w:jc w:val="both"/>
    </w:pPr>
    <w:rPr>
      <w:rFonts w:ascii="Calibri" w:hAnsi="Calibri"/>
    </w:rPr>
    <w:tblPr>
      <w:tblBorders>
        <w:bottom w:val="single" w:color="808080" w:sz="12" w:space="0"/>
      </w:tblBorders>
    </w:tblPr>
    <w:tblStylePr w:type="firstRow">
      <w:rPr>
        <w:b/>
        <w:bCs/>
        <w:color w:val="FFFFFF"/>
      </w:rPr>
      <w:tcPr>
        <w:tcBorders>
          <w:top w:val="nil"/>
          <w:left w:val="single" w:color="000000" w:sz="6" w:space="0"/>
          <w:bottom w:val="nil"/>
          <w:right w:val="nil"/>
          <w:insideH w:val="nil"/>
          <w:insideV w:val="nil"/>
          <w:tl2br w:val="nil"/>
          <w:tr2bl w:val="nil"/>
        </w:tcBorders>
        <w:shd w:val="pct75" w:color="008080" w:fill="008000"/>
      </w:tcPr>
    </w:tblStylePr>
    <w:tblStylePr w:type="lastRow">
      <w:tcPr>
        <w:tcBorders>
          <w:top w:val="single" w:color="000000" w:sz="6" w:space="0"/>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FF00" w:fill="FFFFFF"/>
      </w:tcPr>
    </w:tblStylePr>
    <w:tblStylePr w:type="band2Horz">
      <w:rPr>
        <w:color w:val="auto"/>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377">
    <w:name w:val="表三维效果 13"/>
    <w:basedOn w:val="88"/>
    <w:qFormat/>
    <w:uiPriority w:val="0"/>
    <w:pPr>
      <w:widowControl w:val="0"/>
      <w:spacing w:line="560" w:lineRule="exact"/>
      <w:ind w:firstLine="200" w:firstLineChars="200"/>
      <w:jc w:val="both"/>
    </w:pPr>
    <w:rPr>
      <w:rFonts w:ascii="Calibri" w:hAnsi="Calibri"/>
    </w:rPr>
    <w:tcPr>
      <w:shd w:val="solid" w:color="C0C0C0" w:fill="FFFFFF"/>
    </w:tcPr>
    <w:tblStylePr w:type="firstRow">
      <w:rPr>
        <w:b/>
        <w:bCs/>
        <w:color w:val="800080"/>
      </w:rPr>
      <w:tcPr>
        <w:tcBorders>
          <w:top w:val="nil"/>
          <w:left w:val="single" w:color="808080" w:sz="6" w:space="0"/>
          <w:bottom w:val="nil"/>
          <w:right w:val="nil"/>
          <w:insideH w:val="nil"/>
          <w:insideV w:val="nil"/>
          <w:tl2br w:val="nil"/>
          <w:tr2bl w:val="nil"/>
        </w:tcBorders>
      </w:tcPr>
    </w:tblStylePr>
    <w:tblStylePr w:type="lastRow">
      <w:tcPr>
        <w:tcBorders>
          <w:top w:val="single" w:color="FFFFFF" w:sz="6" w:space="0"/>
          <w:left w:val="nil"/>
          <w:bottom w:val="nil"/>
          <w:right w:val="nil"/>
          <w:insideH w:val="nil"/>
          <w:insideV w:val="nil"/>
          <w:tl2br w:val="nil"/>
          <w:tr2bl w:val="nil"/>
        </w:tcBorders>
      </w:tcPr>
    </w:tblStylePr>
    <w:tblStylePr w:type="firstCol">
      <w:rPr>
        <w:b/>
        <w:bCs/>
      </w:rPr>
      <w:tcPr>
        <w:tcBorders>
          <w:top w:val="nil"/>
          <w:left w:val="nil"/>
          <w:bottom w:val="nil"/>
          <w:right w:val="single" w:color="808080" w:sz="6" w:space="0"/>
          <w:insideH w:val="nil"/>
          <w:insideV w:val="nil"/>
          <w:tl2br w:val="nil"/>
          <w:tr2bl w:val="nil"/>
        </w:tcBorders>
      </w:tcPr>
    </w:tblStylePr>
    <w:tblStylePr w:type="lastCol">
      <w:tcPr>
        <w:tcBorders>
          <w:top w:val="nil"/>
          <w:left w:val="nil"/>
          <w:bottom w:val="single" w:color="FFFFFF" w:sz="6" w:space="0"/>
          <w:right w:val="nil"/>
          <w:insideH w:val="nil"/>
          <w:insideV w:val="nil"/>
          <w:tl2br w:val="nil"/>
          <w:tr2bl w:val="nil"/>
        </w:tcBorders>
      </w:tcPr>
    </w:tblStylePr>
    <w:tblStylePr w:type="neCell">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nil"/>
          <w:tr2bl w:val="nil"/>
        </w:tcBorders>
      </w:tcPr>
    </w:tblStylePr>
    <w:tblStylePr w:type="seCell">
      <w:tcPr>
        <w:tcBorders>
          <w:top w:val="nil"/>
          <w:left w:val="nil"/>
          <w:bottom w:val="nil"/>
          <w:right w:val="nil"/>
          <w:insideH w:val="nil"/>
          <w:insideV w:val="nil"/>
          <w:tl2br w:val="nil"/>
          <w:tr2bl w:val="nil"/>
        </w:tcBorders>
      </w:tcPr>
    </w:tblStylePr>
    <w:tblStylePr w:type="swCell">
      <w:rPr>
        <w:color w:val="000080"/>
      </w:rPr>
      <w:tcPr>
        <w:tcBorders>
          <w:top w:val="nil"/>
          <w:left w:val="nil"/>
          <w:bottom w:val="nil"/>
          <w:right w:val="nil"/>
          <w:insideH w:val="nil"/>
          <w:insideV w:val="nil"/>
          <w:tl2br w:val="nil"/>
          <w:tr2bl w:val="nil"/>
        </w:tcBorders>
      </w:tcPr>
    </w:tblStylePr>
  </w:style>
  <w:style w:type="table" w:customStyle="1" w:styleId="3378">
    <w:name w:val="网格型 51"/>
    <w:basedOn w:val="88"/>
    <w:semiHidden/>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top w:val="nil"/>
          <w:left w:val="single" w:color="000000" w:sz="12" w:space="0"/>
          <w:bottom w:val="nil"/>
          <w:right w:val="nil"/>
          <w:insideH w:val="nil"/>
          <w:insideV w:val="nil"/>
          <w:tl2br w:val="nil"/>
          <w:tr2bl w:val="nil"/>
        </w:tcBorders>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379">
    <w:name w:val="彩色型 21"/>
    <w:basedOn w:val="88"/>
    <w:semiHidden/>
    <w:qFormat/>
    <w:uiPriority w:val="0"/>
    <w:pPr>
      <w:widowControl w:val="0"/>
      <w:jc w:val="both"/>
    </w:pPr>
    <w:tblPr>
      <w:tblBorders>
        <w:bottom w:val="single" w:color="000000" w:sz="12" w:space="0"/>
      </w:tblBorders>
    </w:tblPr>
    <w:tcPr>
      <w:shd w:val="pct20" w:color="FFFF00" w:fill="FFFFFF"/>
    </w:tcPr>
    <w:tblStylePr w:type="firstRow">
      <w:rPr>
        <w:b/>
        <w:bCs/>
        <w:i/>
        <w:iCs/>
        <w:color w:val="FFFFFF"/>
      </w:rPr>
      <w:tcPr>
        <w:tcBorders>
          <w:top w:val="nil"/>
          <w:left w:val="single" w:color="000000" w:sz="12" w:space="0"/>
          <w:bottom w:val="nil"/>
          <w:right w:val="nil"/>
          <w:insideH w:val="nil"/>
          <w:insideV w:val="nil"/>
          <w:tl2br w:val="nil"/>
          <w:tr2bl w:val="nil"/>
        </w:tcBorders>
        <w:shd w:val="solid" w:color="800000" w:fill="FFFFFF"/>
      </w:tcPr>
    </w:tblStylePr>
    <w:tblStylePr w:type="firstCol">
      <w:rPr>
        <w:b/>
        <w:bCs/>
        <w:i/>
        <w:iCs/>
      </w:rPr>
      <w:tcPr>
        <w:tcBorders>
          <w:top w:val="nil"/>
          <w:left w:val="nil"/>
          <w:bottom w:val="nil"/>
          <w:right w:val="nil"/>
          <w:insideH w:val="nil"/>
          <w:insideV w:val="nil"/>
          <w:tl2br w:val="nil"/>
          <w:tr2bl w:val="nil"/>
        </w:tcBorders>
      </w:tcPr>
    </w:tblStylePr>
    <w:tblStylePr w:type="lastCol">
      <w:tcPr>
        <w:tcBorders>
          <w:top w:val="nil"/>
          <w:left w:val="nil"/>
          <w:bottom w:val="nil"/>
          <w:right w:val="nil"/>
          <w:insideH w:val="nil"/>
          <w:insideV w:val="nil"/>
          <w:tl2br w:val="nil"/>
          <w:tr2bl w:val="nil"/>
        </w:tcBorders>
        <w:shd w:val="solid" w:color="C0C0C0" w:fill="FFFFFF"/>
      </w:tcPr>
    </w:tblStylePr>
    <w:tblStylePr w:type="swCell">
      <w:rPr>
        <w:b/>
        <w:bCs/>
        <w:i w:val="0"/>
        <w:iCs w:val="0"/>
      </w:rPr>
      <w:tcPr>
        <w:tcBorders>
          <w:top w:val="nil"/>
          <w:left w:val="nil"/>
          <w:bottom w:val="nil"/>
          <w:right w:val="nil"/>
          <w:insideH w:val="nil"/>
          <w:insideV w:val="nil"/>
          <w:tl2br w:val="nil"/>
          <w:tr2bl w:val="nil"/>
        </w:tcBorders>
      </w:tcPr>
    </w:tblStylePr>
  </w:style>
  <w:style w:type="table" w:customStyle="1" w:styleId="3380">
    <w:name w:val="古典型 23"/>
    <w:basedOn w:val="88"/>
    <w:qFormat/>
    <w:uiPriority w:val="0"/>
    <w:pPr>
      <w:widowControl w:val="0"/>
      <w:spacing w:line="560" w:lineRule="exact"/>
      <w:ind w:firstLine="200" w:firstLineChars="200"/>
      <w:jc w:val="both"/>
    </w:pPr>
    <w:rPr>
      <w:rFonts w:ascii="Calibri" w:hAnsi="Calibri"/>
    </w:rPr>
    <w:tblPr>
      <w:tblBorders>
        <w:top w:val="single" w:color="000000" w:sz="12" w:space="0"/>
        <w:bottom w:val="single" w:color="000000" w:sz="12" w:space="0"/>
      </w:tblBorders>
    </w:tblPr>
    <w:tcPr>
      <w:shd w:val="clear" w:color="auto" w:fill="auto"/>
    </w:tcPr>
    <w:tblStylePr w:type="firstRow">
      <w:rPr>
        <w:color w:val="FFFFFF"/>
      </w:rPr>
      <w:tcPr>
        <w:tcBorders>
          <w:top w:val="nil"/>
          <w:left w:val="single" w:color="000000" w:sz="6" w:space="0"/>
          <w:bottom w:val="nil"/>
          <w:right w:val="nil"/>
          <w:insideH w:val="nil"/>
          <w:insideV w:val="nil"/>
          <w:tl2br w:val="nil"/>
          <w:tr2bl w:val="nil"/>
        </w:tcBorders>
        <w:shd w:val="solid" w:color="800080" w:fill="FFFFFF"/>
      </w:tcPr>
    </w:tblStylePr>
    <w:tblStylePr w:type="lastRow">
      <w:tcPr>
        <w:tcBorders>
          <w:top w:val="single" w:color="000000" w:sz="6"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shd w:val="solid" w:color="C0C0C0" w:fill="FFFFFF"/>
      </w:tcPr>
    </w:tblStylePr>
    <w:tblStylePr w:type="neCel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nil"/>
          <w:tr2bl w:val="nil"/>
        </w:tcBorders>
        <w:shd w:val="solid" w:color="800080" w:fill="FFFFFF"/>
      </w:tcPr>
    </w:tblStylePr>
    <w:tblStylePr w:type="swCell">
      <w:rPr>
        <w:color w:val="000080"/>
      </w:rPr>
      <w:tcPr>
        <w:tcBorders>
          <w:top w:val="nil"/>
          <w:left w:val="nil"/>
          <w:bottom w:val="nil"/>
          <w:right w:val="nil"/>
          <w:insideH w:val="nil"/>
          <w:insideV w:val="nil"/>
          <w:tl2br w:val="nil"/>
          <w:tr2bl w:val="nil"/>
        </w:tcBorders>
      </w:tcPr>
    </w:tblStylePr>
  </w:style>
  <w:style w:type="table" w:customStyle="1" w:styleId="3381">
    <w:name w:val="表格主题414"/>
    <w:basedOn w:val="88"/>
    <w:qFormat/>
    <w:uiPriority w:val="0"/>
    <w:pPr>
      <w:widowControl w:val="0"/>
      <w:adjustRightInd w:val="0"/>
      <w:snapToGrid w:val="0"/>
      <w:jc w:val="center"/>
    </w:pPr>
    <w:rPr>
      <w:sz w:val="24"/>
      <w:szCs w:val="24"/>
    </w:rPr>
    <w:tblPr>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rPr>
      <w:jc w:val="center"/>
    </w:trPr>
    <w:tcPr>
      <w:tcMar>
        <w:left w:w="28" w:type="dxa"/>
        <w:right w:w="28" w:type="dxa"/>
      </w:tcMar>
      <w:vAlign w:val="center"/>
    </w:tcPr>
    <w:tblStylePr w:type="firstRow">
      <w:pPr>
        <w:wordWrap/>
        <w:spacing w:beforeLines="0" w:beforeAutospacing="0" w:afterLines="0" w:afterAutospacing="0" w:line="240" w:lineRule="auto"/>
        <w:ind w:left="0" w:leftChars="0" w:right="0" w:rightChars="0"/>
      </w:pPr>
      <w:rPr>
        <w:rFonts w:ascii="Times New Roman" w:hAnsi="Times New Roman" w:eastAsia="Tahoma"/>
        <w:sz w:val="21"/>
      </w:rPr>
      <w:tcPr>
        <w:tcBorders>
          <w:top w:val="single" w:color="auto" w:sz="12" w:space="0"/>
          <w:left w:val="single" w:color="auto" w:sz="4" w:space="0"/>
          <w:bottom w:val="single" w:color="auto" w:sz="12" w:space="0"/>
          <w:right w:val="single" w:color="auto" w:sz="12" w:space="0"/>
          <w:insideH w:val="single" w:sz="4" w:space="0"/>
          <w:insideV w:val="single" w:sz="4" w:space="0"/>
          <w:tl2br w:val="nil"/>
          <w:tr2bl w:val="nil"/>
        </w:tcBorders>
      </w:tcPr>
    </w:tblStylePr>
    <w:tblStylePr w:type="firstCol">
      <w:pPr>
        <w:keepNext w:val="0"/>
        <w:keepLines w:val="0"/>
        <w:pageBreakBefore w:val="0"/>
        <w:widowControl w:val="0"/>
        <w:suppressLineNumbers w:val="0"/>
        <w:suppressAutoHyphens w:val="0"/>
        <w:wordWrap/>
        <w:spacing w:beforeLines="0" w:beforeAutospacing="0" w:afterLines="0" w:afterAutospacing="0" w:line="240" w:lineRule="auto"/>
        <w:ind w:left="0" w:leftChars="0" w:right="0" w:rightChars="0"/>
      </w:pPr>
      <w:rPr>
        <w:rFonts w:ascii="Times New Roman" w:hAnsi="Times New Roman" w:eastAsia="Tahoma"/>
        <w:b w:val="0"/>
        <w:sz w:val="21"/>
      </w:rPr>
    </w:tblStylePr>
  </w:style>
  <w:style w:type="table" w:customStyle="1" w:styleId="3382">
    <w:name w:val="网格型31312"/>
    <w:basedOn w:val="88"/>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83">
    <w:name w:val="网格型1111"/>
    <w:basedOn w:val="88"/>
    <w:qFormat/>
    <w:uiPriority w:val="59"/>
    <w:rPr>
      <w:rFonts w:ascii="Calibri" w:hAnsi="Calibri"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84">
    <w:name w:val="网页型 212"/>
    <w:basedOn w:val="88"/>
    <w:semiHidden/>
    <w:qFormat/>
    <w:uiPriority w:val="0"/>
    <w:pPr>
      <w:widowControl w:val="0"/>
      <w:jc w:val="both"/>
    </w:pPr>
    <w:rPr>
      <w:rFonts w:ascii="Calibri" w:hAnsi="Calibri"/>
    </w:rPr>
    <w:tblPr>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cPr>
      <w:shd w:val="clear" w:color="auto" w:fill="auto"/>
    </w:tcPr>
    <w:tblStylePr w:type="firstRow">
      <w:rPr>
        <w:color w:val="auto"/>
      </w:rPr>
      <w:tcPr>
        <w:tcBorders>
          <w:top w:val="nil"/>
          <w:left w:val="nil"/>
          <w:bottom w:val="nil"/>
          <w:right w:val="nil"/>
          <w:insideH w:val="nil"/>
          <w:insideV w:val="nil"/>
          <w:tl2br w:val="nil"/>
          <w:tr2bl w:val="nil"/>
        </w:tcBorders>
      </w:tcPr>
    </w:tblStylePr>
  </w:style>
  <w:style w:type="table" w:customStyle="1" w:styleId="3385">
    <w:name w:val="彩色型 11"/>
    <w:basedOn w:val="88"/>
    <w:semiHidden/>
    <w:qFormat/>
    <w:uiPriority w:val="0"/>
    <w:pPr>
      <w:widowControl w:val="0"/>
      <w:jc w:val="both"/>
    </w:pPr>
    <w:rPr>
      <w:color w:val="FFFFFF"/>
    </w:rPr>
    <w:tblPr>
      <w:tblBorders>
        <w:top w:val="single" w:color="008080" w:sz="12" w:space="0"/>
        <w:left w:val="single" w:color="008080" w:sz="12" w:space="0"/>
        <w:bottom w:val="single" w:color="008080" w:sz="12" w:space="0"/>
        <w:right w:val="single" w:color="008080" w:sz="12" w:space="0"/>
        <w:insideH w:val="single" w:color="00FFFF" w:sz="6" w:space="0"/>
      </w:tblBorders>
    </w:tblPr>
    <w:tcPr>
      <w:shd w:val="solid" w:color="008080" w:fill="FFFFFF"/>
    </w:tcPr>
    <w:tblStylePr w:type="firstRow">
      <w:rPr>
        <w:b/>
        <w:bCs/>
        <w:i/>
        <w:iCs/>
      </w:rPr>
      <w:tcPr>
        <w:tcBorders>
          <w:top w:val="nil"/>
          <w:left w:val="nil"/>
          <w:bottom w:val="nil"/>
          <w:right w:val="nil"/>
          <w:insideH w:val="nil"/>
          <w:insideV w:val="nil"/>
          <w:tl2br w:val="nil"/>
          <w:tr2bl w:val="nil"/>
        </w:tcBorders>
        <w:shd w:val="solid" w:color="000000" w:fill="FFFFFF"/>
      </w:tcPr>
    </w:tblStylePr>
    <w:tblStylePr w:type="firstCol">
      <w:rPr>
        <w:b/>
        <w:bCs/>
        <w:i/>
        <w:iCs/>
      </w:rPr>
      <w:tcPr>
        <w:tcBorders>
          <w:top w:val="nil"/>
          <w:left w:val="nil"/>
          <w:bottom w:val="nil"/>
          <w:right w:val="nil"/>
          <w:insideH w:val="nil"/>
          <w:insideV w:val="nil"/>
          <w:tl2br w:val="nil"/>
          <w:tr2bl w:val="nil"/>
        </w:tcBorders>
        <w:shd w:val="solid" w:color="000080" w:fill="FFFFFF"/>
      </w:tcPr>
    </w:tblStylePr>
    <w:tblStylePr w:type="nwCell">
      <w:tcPr>
        <w:tcBorders>
          <w:top w:val="nil"/>
          <w:left w:val="nil"/>
          <w:bottom w:val="nil"/>
          <w:right w:val="nil"/>
          <w:insideH w:val="nil"/>
          <w:insideV w:val="nil"/>
          <w:tl2br w:val="nil"/>
          <w:tr2bl w:val="nil"/>
        </w:tcBorders>
        <w:shd w:val="solid" w:color="000000" w:fill="FFFFFF"/>
      </w:tcPr>
    </w:tblStylePr>
    <w:tblStylePr w:type="swCell">
      <w:rPr>
        <w:b/>
        <w:bCs/>
        <w:i w:val="0"/>
        <w:iCs w:val="0"/>
      </w:rPr>
      <w:tcPr>
        <w:tcBorders>
          <w:top w:val="nil"/>
          <w:left w:val="nil"/>
          <w:bottom w:val="nil"/>
          <w:right w:val="nil"/>
          <w:insideH w:val="nil"/>
          <w:insideV w:val="nil"/>
          <w:tl2br w:val="nil"/>
          <w:tr2bl w:val="nil"/>
        </w:tcBorders>
      </w:tcPr>
    </w:tblStylePr>
  </w:style>
  <w:style w:type="table" w:customStyle="1" w:styleId="3386">
    <w:name w:val="网格型131"/>
    <w:basedOn w:val="88"/>
    <w:qFormat/>
    <w:uiPriority w:val="0"/>
    <w:rPr>
      <w:rFonts w:ascii="Calibri" w:hAnsi="Calibri"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87">
    <w:name w:val="彩色型 13"/>
    <w:basedOn w:val="88"/>
    <w:qFormat/>
    <w:uiPriority w:val="0"/>
    <w:pPr>
      <w:widowControl w:val="0"/>
      <w:spacing w:line="560" w:lineRule="exact"/>
      <w:ind w:firstLine="200" w:firstLineChars="200"/>
      <w:jc w:val="both"/>
    </w:pPr>
    <w:rPr>
      <w:rFonts w:ascii="Calibri" w:hAnsi="Calibri"/>
      <w:color w:val="FFFFFF"/>
    </w:rPr>
    <w:tblPr>
      <w:tblBorders>
        <w:top w:val="single" w:color="008080" w:sz="12" w:space="0"/>
        <w:left w:val="single" w:color="008080" w:sz="12" w:space="0"/>
        <w:bottom w:val="single" w:color="008080" w:sz="12" w:space="0"/>
        <w:right w:val="single" w:color="008080" w:sz="12" w:space="0"/>
        <w:insideH w:val="single" w:color="00FFFF" w:sz="6" w:space="0"/>
      </w:tblBorders>
    </w:tblPr>
    <w:tcPr>
      <w:shd w:val="solid" w:color="008080" w:fill="FFFFFF"/>
    </w:tcPr>
    <w:tblStylePr w:type="firstRow">
      <w:rPr>
        <w:b/>
        <w:bCs/>
        <w:i/>
        <w:iCs/>
      </w:rPr>
      <w:tcPr>
        <w:tcBorders>
          <w:top w:val="nil"/>
          <w:left w:val="nil"/>
          <w:bottom w:val="nil"/>
          <w:right w:val="nil"/>
          <w:insideH w:val="nil"/>
          <w:insideV w:val="nil"/>
          <w:tl2br w:val="nil"/>
          <w:tr2bl w:val="nil"/>
        </w:tcBorders>
        <w:shd w:val="solid" w:color="000000" w:fill="FFFFFF"/>
      </w:tcPr>
    </w:tblStylePr>
    <w:tblStylePr w:type="firstCol">
      <w:rPr>
        <w:b/>
        <w:bCs/>
        <w:i/>
        <w:iCs/>
      </w:rPr>
      <w:tcPr>
        <w:tcBorders>
          <w:top w:val="nil"/>
          <w:left w:val="nil"/>
          <w:bottom w:val="nil"/>
          <w:right w:val="nil"/>
          <w:insideH w:val="nil"/>
          <w:insideV w:val="nil"/>
          <w:tl2br w:val="nil"/>
          <w:tr2bl w:val="nil"/>
        </w:tcBorders>
        <w:shd w:val="solid" w:color="000080" w:fill="FFFFFF"/>
      </w:tcPr>
    </w:tblStylePr>
    <w:tblStylePr w:type="nwCell">
      <w:tcPr>
        <w:tcBorders>
          <w:top w:val="nil"/>
          <w:left w:val="nil"/>
          <w:bottom w:val="nil"/>
          <w:right w:val="nil"/>
          <w:insideH w:val="nil"/>
          <w:insideV w:val="nil"/>
          <w:tl2br w:val="nil"/>
          <w:tr2bl w:val="nil"/>
        </w:tcBorders>
        <w:shd w:val="solid" w:color="000000" w:fill="FFFFFF"/>
      </w:tcPr>
    </w:tblStylePr>
    <w:tblStylePr w:type="swCell">
      <w:rPr>
        <w:b/>
        <w:bCs/>
        <w:i w:val="0"/>
        <w:iCs w:val="0"/>
      </w:rPr>
      <w:tcPr>
        <w:tcBorders>
          <w:top w:val="nil"/>
          <w:left w:val="nil"/>
          <w:bottom w:val="nil"/>
          <w:right w:val="nil"/>
          <w:insideH w:val="nil"/>
          <w:insideV w:val="nil"/>
          <w:tl2br w:val="nil"/>
          <w:tr2bl w:val="nil"/>
        </w:tcBorders>
      </w:tcPr>
    </w:tblStylePr>
  </w:style>
  <w:style w:type="table" w:customStyle="1" w:styleId="3388">
    <w:name w:val="简明型 11"/>
    <w:basedOn w:val="88"/>
    <w:semiHidden/>
    <w:qFormat/>
    <w:uiPriority w:val="0"/>
    <w:pPr>
      <w:widowControl w:val="0"/>
      <w:jc w:val="both"/>
    </w:pPr>
    <w:tblPr>
      <w:tblBorders>
        <w:top w:val="single" w:color="008000" w:sz="12" w:space="0"/>
        <w:bottom w:val="single" w:color="008000" w:sz="12" w:space="0"/>
      </w:tblBorders>
    </w:tblPr>
    <w:tcPr>
      <w:shd w:val="clear" w:color="auto" w:fill="auto"/>
    </w:tcPr>
    <w:tblStylePr w:type="firstRow">
      <w:tcPr>
        <w:tcBorders>
          <w:top w:val="nil"/>
          <w:left w:val="single" w:color="008000" w:sz="6" w:space="0"/>
          <w:bottom w:val="nil"/>
          <w:right w:val="nil"/>
          <w:insideH w:val="nil"/>
          <w:insideV w:val="nil"/>
          <w:tl2br w:val="nil"/>
          <w:tr2bl w:val="nil"/>
        </w:tcBorders>
      </w:tcPr>
    </w:tblStylePr>
    <w:tblStylePr w:type="lastRow">
      <w:tcPr>
        <w:tcBorders>
          <w:top w:val="single" w:color="008000" w:sz="6" w:space="0"/>
          <w:left w:val="nil"/>
          <w:bottom w:val="nil"/>
          <w:right w:val="nil"/>
          <w:insideH w:val="nil"/>
          <w:insideV w:val="nil"/>
          <w:tl2br w:val="nil"/>
          <w:tr2bl w:val="nil"/>
        </w:tcBorders>
      </w:tcPr>
    </w:tblStylePr>
  </w:style>
  <w:style w:type="table" w:customStyle="1" w:styleId="3389">
    <w:name w:val="网格型31111112"/>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90">
    <w:name w:val="精巧型 112"/>
    <w:basedOn w:val="88"/>
    <w:semiHidden/>
    <w:qFormat/>
    <w:uiPriority w:val="0"/>
    <w:pPr>
      <w:widowControl w:val="0"/>
      <w:jc w:val="both"/>
    </w:pPr>
    <w:rPr>
      <w:rFonts w:ascii="Calibri" w:hAnsi="Calibri"/>
    </w:rPr>
    <w:tblStylePr w:type="firstRow">
      <w:tcPr>
        <w:tcBorders>
          <w:top w:val="single" w:color="000000" w:sz="6" w:space="0"/>
          <w:left w:val="single" w:color="000000" w:sz="12" w:space="0"/>
          <w:bottom w:val="nil"/>
          <w:right w:val="nil"/>
          <w:insideH w:val="nil"/>
          <w:insideV w:val="nil"/>
          <w:tl2br w:val="nil"/>
          <w:tr2bl w:val="nil"/>
        </w:tcBorders>
      </w:tcPr>
    </w:tblStylePr>
    <w:tblStylePr w:type="lastRow">
      <w:tcPr>
        <w:tcBorders>
          <w:top w:val="single" w:color="000000" w:sz="12" w:space="0"/>
          <w:left w:val="nil"/>
          <w:bottom w:val="nil"/>
          <w:right w:val="nil"/>
          <w:insideH w:val="nil"/>
          <w:insideV w:val="nil"/>
          <w:tl2br w:val="nil"/>
          <w:tr2bl w:val="nil"/>
        </w:tcBorders>
        <w:shd w:val="pct25" w:color="800080" w:fill="FFFFFF"/>
      </w:tcPr>
    </w:tblStylePr>
    <w:tblStylePr w:type="firstCol">
      <w:tcPr>
        <w:tcBorders>
          <w:top w:val="nil"/>
          <w:left w:val="nil"/>
          <w:bottom w:val="nil"/>
          <w:right w:val="single" w:color="000000" w:sz="12" w:space="0"/>
          <w:insideH w:val="nil"/>
          <w:insideV w:val="nil"/>
          <w:tl2br w:val="nil"/>
          <w:tr2bl w:val="nil"/>
        </w:tcBorders>
      </w:tcPr>
    </w:tblStylePr>
    <w:tblStylePr w:type="lastCol">
      <w:tcPr>
        <w:tcBorders>
          <w:top w:val="nil"/>
          <w:left w:val="nil"/>
          <w:bottom w:val="single" w:color="000000" w:sz="12" w:space="0"/>
          <w:right w:val="nil"/>
          <w:insideH w:val="nil"/>
          <w:insideV w:val="nil"/>
          <w:tl2br w:val="nil"/>
          <w:tr2bl w:val="nil"/>
        </w:tcBorders>
      </w:tcPr>
    </w:tblStylePr>
    <w:tblStylePr w:type="band1Horz">
      <w:tcPr>
        <w:tcBorders>
          <w:top w:val="nil"/>
          <w:left w:val="single" w:color="000000" w:sz="6" w:space="0"/>
          <w:bottom w:val="nil"/>
          <w:right w:val="nil"/>
          <w:insideH w:val="nil"/>
          <w:insideV w:val="nil"/>
          <w:tl2br w:val="nil"/>
          <w:tr2bl w:val="nil"/>
        </w:tcBorders>
        <w:shd w:val="pct25" w:color="808000" w:fill="FFFFFF"/>
      </w:tcPr>
    </w:tblStylePr>
    <w:tblStylePr w:type="neCell">
      <w:rPr>
        <w:b/>
        <w:bCs/>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391">
    <w:name w:val="网格型 74"/>
    <w:basedOn w:val="88"/>
    <w:qFormat/>
    <w:uiPriority w:val="0"/>
    <w:pPr>
      <w:widowControl w:val="0"/>
      <w:spacing w:line="560" w:lineRule="exact"/>
      <w:ind w:firstLine="200" w:firstLineChars="200"/>
      <w:jc w:val="both"/>
    </w:pPr>
    <w:rPr>
      <w:rFonts w:ascii="Calibri" w:hAnsi="Calibri"/>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cPr>
        <w:tcBorders>
          <w:top w:val="nil"/>
          <w:left w:val="single" w:color="000000" w:sz="12" w:space="0"/>
          <w:bottom w:val="nil"/>
          <w:right w:val="nil"/>
          <w:insideH w:val="nil"/>
          <w:insideV w:val="nil"/>
          <w:tl2br w:val="nil"/>
          <w:tr2bl w:val="nil"/>
        </w:tcBorders>
      </w:tcPr>
    </w:tblStylePr>
    <w:tblStylePr w:type="lastRow">
      <w:rPr>
        <w:b w:val="0"/>
        <w:bCs w:val="0"/>
      </w:rPr>
      <w:tcPr>
        <w:tcBorders>
          <w:top w:val="single" w:color="000000" w:sz="6" w:space="0"/>
          <w:left w:val="nil"/>
          <w:bottom w:val="nil"/>
          <w:right w:val="nil"/>
          <w:insideH w:val="nil"/>
          <w:insideV w:val="nil"/>
          <w:tl2br w:val="nil"/>
          <w:tr2bl w:val="nil"/>
        </w:tcBorders>
      </w:tcPr>
    </w:tblStylePr>
    <w:tblStylePr w:type="firstCol">
      <w:rPr>
        <w:b w:val="0"/>
        <w:bCs w:val="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392">
    <w:name w:val="列表型 611"/>
    <w:basedOn w:val="88"/>
    <w:semiHidden/>
    <w:qFormat/>
    <w:uiPriority w:val="0"/>
    <w:pPr>
      <w:widowControl w:val="0"/>
      <w:jc w:val="both"/>
    </w:pPr>
    <w:rPr>
      <w:rFonts w:ascii="Calibri" w:hAnsi="Calibri"/>
    </w:rPr>
    <w:tblPr>
      <w:tblBorders>
        <w:top w:val="single" w:color="000000" w:sz="6" w:space="0"/>
        <w:left w:val="single" w:color="000000" w:sz="6" w:space="0"/>
        <w:bottom w:val="single" w:color="000000" w:sz="6" w:space="0"/>
        <w:right w:val="single" w:color="000000" w:sz="6" w:space="0"/>
      </w:tblBorders>
    </w:tblPr>
    <w:tcPr>
      <w:shd w:val="pct50" w:color="000000" w:fill="FFFFFF"/>
    </w:tcPr>
    <w:tblStylePr w:type="firstRow">
      <w:rPr>
        <w:b/>
        <w:bCs/>
      </w:rPr>
      <w:tcPr>
        <w:tcBorders>
          <w:top w:val="nil"/>
          <w:left w:val="single" w:color="000000" w:sz="12" w:space="0"/>
          <w:bottom w:val="nil"/>
          <w:right w:val="nil"/>
          <w:insideH w:val="nil"/>
          <w:insideV w:val="nil"/>
          <w:tl2br w:val="nil"/>
          <w:tr2bl w:val="nil"/>
        </w:tcBorders>
      </w:tcPr>
    </w:tblStylePr>
    <w:tblStylePr w:type="firstCol">
      <w:rPr>
        <w:b/>
        <w:bCs/>
      </w:rPr>
      <w:tcPr>
        <w:tcBorders>
          <w:top w:val="nil"/>
          <w:left w:val="nil"/>
          <w:bottom w:val="nil"/>
          <w:right w:val="single" w:color="000000" w:sz="12" w:space="0"/>
          <w:insideH w:val="nil"/>
          <w:insideV w:val="nil"/>
          <w:tl2br w:val="nil"/>
          <w:tr2bl w:val="nil"/>
        </w:tcBorders>
      </w:tcPr>
    </w:tblStylePr>
    <w:tblStylePr w:type="band1Horz">
      <w:tcPr>
        <w:tcBorders>
          <w:top w:val="nil"/>
          <w:left w:val="nil"/>
          <w:bottom w:val="nil"/>
          <w:right w:val="nil"/>
          <w:insideH w:val="nil"/>
          <w:insideV w:val="nil"/>
          <w:tl2br w:val="nil"/>
          <w:tr2bl w:val="nil"/>
        </w:tcBorders>
        <w:shd w:val="pct25" w:color="000000" w:fill="FFFFFF"/>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393">
    <w:name w:val="古典型 43"/>
    <w:basedOn w:val="88"/>
    <w:qFormat/>
    <w:uiPriority w:val="0"/>
    <w:pPr>
      <w:widowControl w:val="0"/>
      <w:spacing w:line="560" w:lineRule="exact"/>
      <w:ind w:firstLine="200" w:firstLineChars="200"/>
      <w:jc w:val="both"/>
    </w:pPr>
    <w:rPr>
      <w:rFonts w:ascii="Calibri" w:hAnsi="Calibri"/>
    </w:rPr>
    <w:tblPr>
      <w:tblBorders>
        <w:top w:val="single" w:color="000000" w:sz="12" w:space="0"/>
        <w:left w:val="single" w:color="000000" w:sz="6" w:space="0"/>
        <w:bottom w:val="single" w:color="000000" w:sz="12" w:space="0"/>
        <w:right w:val="single" w:color="000000" w:sz="6" w:space="0"/>
      </w:tblBorders>
    </w:tblPr>
    <w:tcPr>
      <w:shd w:val="clear" w:color="auto" w:fill="auto"/>
    </w:tcPr>
    <w:tblStylePr w:type="firstRow">
      <w:rPr>
        <w:b/>
        <w:bCs/>
        <w:i/>
        <w:iCs/>
        <w:color w:val="FFFFFF"/>
      </w:rPr>
      <w:tcPr>
        <w:tcBorders>
          <w:top w:val="nil"/>
          <w:left w:val="single" w:color="000000" w:sz="6" w:space="0"/>
          <w:bottom w:val="nil"/>
          <w:right w:val="nil"/>
          <w:insideH w:val="nil"/>
          <w:insideV w:val="nil"/>
          <w:tl2br w:val="nil"/>
          <w:tr2bl w:val="nil"/>
        </w:tcBorders>
        <w:shd w:val="pct50" w:color="000080" w:fill="FFFFFF"/>
      </w:tcPr>
    </w:tblStylePr>
    <w:tblStylePr w:type="lastRow">
      <w:rPr>
        <w:color w:val="000080"/>
      </w:rPr>
      <w:tcPr>
        <w:tcBorders>
          <w:top w:val="nil"/>
          <w:left w:val="single" w:color="000000" w:sz="6" w:space="0"/>
          <w:bottom w:val="nil"/>
          <w:right w:val="nil"/>
          <w:insideH w:val="nil"/>
          <w:insideV w:val="nil"/>
          <w:tl2br w:val="nil"/>
          <w:tr2bl w:val="nil"/>
        </w:tcBorders>
        <w:shd w:val="pct50" w:color="000000" w:fill="FFFFFF"/>
      </w:tcPr>
    </w:tblStylePr>
    <w:tblStylePr w:type="firstCol">
      <w:rPr>
        <w:b/>
        <w:bCs/>
      </w:rPr>
      <w:tcPr>
        <w:tcBorders>
          <w:top w:val="nil"/>
          <w:left w:val="nil"/>
          <w:bottom w:val="nil"/>
          <w:right w:val="nil"/>
          <w:insideH w:val="nil"/>
          <w:insideV w:val="nil"/>
          <w:tl2br w:val="nil"/>
          <w:tr2bl w:val="nil"/>
        </w:tcBorders>
      </w:tcPr>
    </w:tblStylePr>
    <w:tblStylePr w:type="nwCell">
      <w:rPr>
        <w:b/>
        <w:bCs/>
      </w:rPr>
      <w:tcPr>
        <w:tcBorders>
          <w:top w:val="nil"/>
          <w:left w:val="nil"/>
          <w:bottom w:val="nil"/>
          <w:right w:val="nil"/>
          <w:insideH w:val="nil"/>
          <w:insideV w:val="nil"/>
          <w:tl2br w:val="nil"/>
          <w:tr2bl w:val="nil"/>
        </w:tcBorders>
      </w:tcPr>
    </w:tblStylePr>
    <w:tblStylePr w:type="swCell">
      <w:rPr>
        <w:color w:val="000080"/>
      </w:rPr>
      <w:tcPr>
        <w:tcBorders>
          <w:top w:val="nil"/>
          <w:left w:val="nil"/>
          <w:bottom w:val="nil"/>
          <w:right w:val="nil"/>
          <w:insideH w:val="nil"/>
          <w:insideV w:val="nil"/>
          <w:tl2br w:val="nil"/>
          <w:tr2bl w:val="nil"/>
        </w:tcBorders>
      </w:tcPr>
    </w:tblStylePr>
  </w:style>
  <w:style w:type="table" w:customStyle="1" w:styleId="3394">
    <w:name w:val="表格主题12"/>
    <w:basedOn w:val="88"/>
    <w:qFormat/>
    <w:uiPriority w:val="0"/>
    <w:pPr>
      <w:widowControl w:val="0"/>
      <w:adjustRightInd w:val="0"/>
      <w:snapToGrid w:val="0"/>
      <w:jc w:val="center"/>
    </w:pPr>
    <w:rPr>
      <w:rFonts w:ascii="Calibri" w:hAnsi="Calibri"/>
      <w:sz w:val="24"/>
      <w:szCs w:val="24"/>
    </w:rPr>
    <w:tblPr>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rPr>
      <w:jc w:val="center"/>
    </w:trPr>
    <w:tcPr>
      <w:tcMar>
        <w:left w:w="28" w:type="dxa"/>
        <w:right w:w="28" w:type="dxa"/>
      </w:tcMar>
      <w:vAlign w:val="center"/>
    </w:tcPr>
    <w:tblStylePr w:type="firstRow">
      <w:pPr>
        <w:wordWrap/>
        <w:spacing w:beforeLines="0" w:beforeAutospacing="0" w:afterLines="0" w:afterAutospacing="0" w:line="240" w:lineRule="auto"/>
        <w:ind w:left="0" w:leftChars="0" w:right="0" w:rightChars="0"/>
      </w:pPr>
      <w:rPr>
        <w:rFonts w:ascii="Times New Roman" w:hAnsi="Times New Roman" w:eastAsia="Arial Unicode MS"/>
        <w:sz w:val="21"/>
      </w:rPr>
      <w:tcPr>
        <w:tcBorders>
          <w:top w:val="single" w:color="auto" w:sz="12" w:space="0"/>
          <w:left w:val="single" w:color="auto" w:sz="4" w:space="0"/>
          <w:bottom w:val="single" w:color="auto" w:sz="12" w:space="0"/>
          <w:right w:val="single" w:color="auto" w:sz="12" w:space="0"/>
          <w:insideH w:val="single" w:sz="4" w:space="0"/>
          <w:insideV w:val="single" w:sz="4" w:space="0"/>
          <w:tl2br w:val="nil"/>
          <w:tr2bl w:val="nil"/>
        </w:tcBorders>
      </w:tcPr>
    </w:tblStylePr>
    <w:tblStylePr w:type="firstCol">
      <w:pPr>
        <w:keepNext w:val="0"/>
        <w:keepLines w:val="0"/>
        <w:pageBreakBefore w:val="0"/>
        <w:widowControl w:val="0"/>
        <w:suppressLineNumbers w:val="0"/>
        <w:suppressAutoHyphens w:val="0"/>
        <w:wordWrap/>
        <w:spacing w:beforeLines="0" w:beforeAutospacing="0" w:afterLines="0" w:afterAutospacing="0" w:line="240" w:lineRule="auto"/>
        <w:ind w:left="0" w:leftChars="0" w:right="0" w:rightChars="0"/>
      </w:pPr>
      <w:rPr>
        <w:rFonts w:ascii="Times New Roman" w:hAnsi="Times New Roman" w:eastAsia="Arial Unicode MS"/>
        <w:b w:val="0"/>
        <w:sz w:val="21"/>
      </w:rPr>
    </w:tblStylePr>
  </w:style>
  <w:style w:type="table" w:customStyle="1" w:styleId="3395">
    <w:name w:val="列表型 33"/>
    <w:basedOn w:val="88"/>
    <w:qFormat/>
    <w:uiPriority w:val="0"/>
    <w:pPr>
      <w:widowControl w:val="0"/>
      <w:spacing w:line="560" w:lineRule="exact"/>
      <w:ind w:firstLine="200" w:firstLineChars="200"/>
      <w:jc w:val="both"/>
    </w:pPr>
    <w:rPr>
      <w:rFonts w:ascii="Calibri" w:hAnsi="Calibri"/>
    </w:rPr>
    <w:tblPr>
      <w:tblBorders>
        <w:top w:val="single" w:color="000000" w:sz="12" w:space="0"/>
        <w:bottom w:val="single" w:color="000000" w:sz="12" w:space="0"/>
        <w:insideH w:val="single" w:color="000000" w:sz="6" w:space="0"/>
      </w:tblBorders>
    </w:tblPr>
    <w:tcPr>
      <w:shd w:val="clear" w:color="auto" w:fill="auto"/>
    </w:tcPr>
    <w:tblStylePr w:type="firstRow">
      <w:rPr>
        <w:b/>
        <w:bCs/>
        <w:color w:val="000080"/>
      </w:rPr>
      <w:tcPr>
        <w:tcBorders>
          <w:top w:val="nil"/>
          <w:left w:val="single" w:color="000000" w:sz="12" w:space="0"/>
          <w:bottom w:val="nil"/>
          <w:right w:val="nil"/>
          <w:insideH w:val="nil"/>
          <w:insideV w:val="nil"/>
          <w:tl2br w:val="nil"/>
          <w:tr2bl w:val="nil"/>
        </w:tcBorders>
      </w:tcPr>
    </w:tblStylePr>
    <w:tblStylePr w:type="lastRow">
      <w:tcPr>
        <w:tcBorders>
          <w:top w:val="single" w:color="000000" w:sz="12" w:space="0"/>
          <w:left w:val="nil"/>
          <w:bottom w:val="nil"/>
          <w:right w:val="nil"/>
          <w:insideH w:val="nil"/>
          <w:insideV w:val="nil"/>
          <w:tl2br w:val="nil"/>
          <w:tr2bl w:val="nil"/>
        </w:tcBorders>
      </w:tcPr>
    </w:tblStylePr>
    <w:tblStylePr w:type="swCell">
      <w:rPr>
        <w:i/>
        <w:iCs/>
        <w:color w:val="000080"/>
      </w:rPr>
      <w:tcPr>
        <w:tcBorders>
          <w:top w:val="nil"/>
          <w:left w:val="nil"/>
          <w:bottom w:val="nil"/>
          <w:right w:val="nil"/>
          <w:insideH w:val="nil"/>
          <w:insideV w:val="nil"/>
          <w:tl2br w:val="nil"/>
          <w:tr2bl w:val="nil"/>
        </w:tcBorders>
      </w:tcPr>
    </w:tblStylePr>
  </w:style>
  <w:style w:type="table" w:customStyle="1" w:styleId="3396">
    <w:name w:val="网格型34"/>
    <w:basedOn w:val="88"/>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97">
    <w:name w:val="网格型311"/>
    <w:basedOn w:val="88"/>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98">
    <w:name w:val="网页型 33"/>
    <w:basedOn w:val="88"/>
    <w:qFormat/>
    <w:uiPriority w:val="0"/>
    <w:pPr>
      <w:widowControl w:val="0"/>
      <w:spacing w:line="560" w:lineRule="exact"/>
      <w:ind w:firstLine="200" w:firstLineChars="200"/>
      <w:jc w:val="both"/>
    </w:pPr>
    <w:rPr>
      <w:rFonts w:ascii="Calibri" w:hAnsi="Calibri"/>
    </w:rPr>
    <w:tblPr>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cPr>
      <w:shd w:val="clear" w:color="auto" w:fill="auto"/>
    </w:tcPr>
    <w:tblStylePr w:type="firstRow">
      <w:rPr>
        <w:color w:val="auto"/>
      </w:rPr>
      <w:tcPr>
        <w:tcBorders>
          <w:top w:val="nil"/>
          <w:left w:val="nil"/>
          <w:bottom w:val="nil"/>
          <w:right w:val="nil"/>
          <w:insideH w:val="nil"/>
          <w:insideV w:val="nil"/>
          <w:tl2br w:val="nil"/>
          <w:tr2bl w:val="nil"/>
        </w:tcBorders>
      </w:tcPr>
    </w:tblStylePr>
  </w:style>
  <w:style w:type="table" w:customStyle="1" w:styleId="3399">
    <w:name w:val="网页型 22"/>
    <w:basedOn w:val="88"/>
    <w:qFormat/>
    <w:uiPriority w:val="0"/>
    <w:pPr>
      <w:widowControl w:val="0"/>
      <w:spacing w:line="560" w:lineRule="exact"/>
      <w:ind w:firstLine="200" w:firstLineChars="200"/>
      <w:jc w:val="both"/>
    </w:pPr>
    <w:rPr>
      <w:rFonts w:ascii="Calibri" w:hAnsi="Calibri"/>
    </w:rPr>
    <w:tblPr>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cPr>
      <w:shd w:val="clear" w:color="auto" w:fill="auto"/>
    </w:tcPr>
    <w:tblStylePr w:type="firstRow">
      <w:rPr>
        <w:color w:val="auto"/>
      </w:rPr>
      <w:tcPr>
        <w:tcBorders>
          <w:top w:val="nil"/>
          <w:left w:val="nil"/>
          <w:bottom w:val="nil"/>
          <w:right w:val="nil"/>
          <w:insideH w:val="nil"/>
          <w:insideV w:val="nil"/>
          <w:tl2br w:val="nil"/>
          <w:tr2bl w:val="nil"/>
        </w:tcBorders>
      </w:tcPr>
    </w:tblStylePr>
  </w:style>
  <w:style w:type="table" w:customStyle="1" w:styleId="3400">
    <w:name w:val="专业型12"/>
    <w:basedOn w:val="88"/>
    <w:semiHidden/>
    <w:qFormat/>
    <w:uiPriority w:val="0"/>
    <w:pPr>
      <w:widowControl w:val="0"/>
      <w:jc w:val="both"/>
    </w:pPr>
    <w:rPr>
      <w:rFonts w:ascii="Calibri" w:hAnsi="Calibri"/>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401">
    <w:name w:val="网格型3223"/>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02">
    <w:name w:val="网格型 713"/>
    <w:basedOn w:val="88"/>
    <w:semiHidden/>
    <w:qFormat/>
    <w:uiPriority w:val="0"/>
    <w:pPr>
      <w:widowControl w:val="0"/>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cPr>
        <w:tcBorders>
          <w:top w:val="nil"/>
          <w:left w:val="single" w:color="000000" w:sz="12" w:space="0"/>
          <w:bottom w:val="nil"/>
          <w:right w:val="nil"/>
          <w:insideH w:val="nil"/>
          <w:insideV w:val="nil"/>
          <w:tl2br w:val="nil"/>
          <w:tr2bl w:val="nil"/>
        </w:tcBorders>
      </w:tcPr>
    </w:tblStylePr>
    <w:tblStylePr w:type="lastRow">
      <w:rPr>
        <w:b w:val="0"/>
        <w:bCs w:val="0"/>
      </w:rPr>
      <w:tcPr>
        <w:tcBorders>
          <w:top w:val="single" w:color="000000" w:sz="6" w:space="0"/>
          <w:left w:val="nil"/>
          <w:bottom w:val="nil"/>
          <w:right w:val="nil"/>
          <w:insideH w:val="nil"/>
          <w:insideV w:val="nil"/>
          <w:tl2br w:val="nil"/>
          <w:tr2bl w:val="nil"/>
        </w:tcBorders>
      </w:tcPr>
    </w:tblStylePr>
    <w:tblStylePr w:type="firstCol">
      <w:rPr>
        <w:b w:val="0"/>
        <w:bCs w:val="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403">
    <w:name w:val="古典型 412"/>
    <w:basedOn w:val="88"/>
    <w:semiHidden/>
    <w:qFormat/>
    <w:uiPriority w:val="0"/>
    <w:pPr>
      <w:widowControl w:val="0"/>
      <w:jc w:val="both"/>
    </w:pPr>
    <w:rPr>
      <w:rFonts w:ascii="Calibri" w:hAnsi="Calibri"/>
    </w:rPr>
    <w:tblPr>
      <w:tblBorders>
        <w:top w:val="single" w:color="000000" w:sz="12" w:space="0"/>
        <w:left w:val="single" w:color="000000" w:sz="6" w:space="0"/>
        <w:bottom w:val="single" w:color="000000" w:sz="12" w:space="0"/>
        <w:right w:val="single" w:color="000000" w:sz="6" w:space="0"/>
      </w:tblBorders>
    </w:tblPr>
    <w:tcPr>
      <w:shd w:val="clear" w:color="auto" w:fill="auto"/>
    </w:tcPr>
    <w:tblStylePr w:type="firstRow">
      <w:rPr>
        <w:b/>
        <w:bCs/>
        <w:i/>
        <w:iCs/>
        <w:color w:val="FFFFFF"/>
      </w:rPr>
      <w:tcPr>
        <w:tcBorders>
          <w:top w:val="nil"/>
          <w:left w:val="single" w:color="000000" w:sz="6" w:space="0"/>
          <w:bottom w:val="nil"/>
          <w:right w:val="nil"/>
          <w:insideH w:val="nil"/>
          <w:insideV w:val="nil"/>
          <w:tl2br w:val="nil"/>
          <w:tr2bl w:val="nil"/>
        </w:tcBorders>
        <w:shd w:val="pct50" w:color="000080" w:fill="FFFFFF"/>
      </w:tcPr>
    </w:tblStylePr>
    <w:tblStylePr w:type="lastRow">
      <w:rPr>
        <w:color w:val="000080"/>
      </w:rPr>
      <w:tcPr>
        <w:tcBorders>
          <w:top w:val="nil"/>
          <w:left w:val="single" w:color="000000" w:sz="6" w:space="0"/>
          <w:bottom w:val="nil"/>
          <w:right w:val="nil"/>
          <w:insideH w:val="nil"/>
          <w:insideV w:val="nil"/>
          <w:tl2br w:val="nil"/>
          <w:tr2bl w:val="nil"/>
        </w:tcBorders>
        <w:shd w:val="pct50" w:color="000000" w:fill="FFFFFF"/>
      </w:tcPr>
    </w:tblStylePr>
    <w:tblStylePr w:type="firstCol">
      <w:rPr>
        <w:b/>
        <w:bCs/>
      </w:rPr>
      <w:tcPr>
        <w:tcBorders>
          <w:top w:val="nil"/>
          <w:left w:val="nil"/>
          <w:bottom w:val="nil"/>
          <w:right w:val="nil"/>
          <w:insideH w:val="nil"/>
          <w:insideV w:val="nil"/>
          <w:tl2br w:val="nil"/>
          <w:tr2bl w:val="nil"/>
        </w:tcBorders>
      </w:tcPr>
    </w:tblStylePr>
    <w:tblStylePr w:type="nwCell">
      <w:rPr>
        <w:b/>
        <w:bCs/>
      </w:rPr>
      <w:tcPr>
        <w:tcBorders>
          <w:top w:val="nil"/>
          <w:left w:val="nil"/>
          <w:bottom w:val="nil"/>
          <w:right w:val="nil"/>
          <w:insideH w:val="nil"/>
          <w:insideV w:val="nil"/>
          <w:tl2br w:val="nil"/>
          <w:tr2bl w:val="nil"/>
        </w:tcBorders>
      </w:tcPr>
    </w:tblStylePr>
    <w:tblStylePr w:type="swCell">
      <w:rPr>
        <w:color w:val="000080"/>
      </w:rPr>
      <w:tcPr>
        <w:tcBorders>
          <w:top w:val="nil"/>
          <w:left w:val="nil"/>
          <w:bottom w:val="nil"/>
          <w:right w:val="nil"/>
          <w:insideH w:val="nil"/>
          <w:insideV w:val="nil"/>
          <w:tl2br w:val="nil"/>
          <w:tr2bl w:val="nil"/>
        </w:tcBorders>
      </w:tcPr>
    </w:tblStylePr>
  </w:style>
  <w:style w:type="table" w:customStyle="1" w:styleId="3404">
    <w:name w:val="表格网格型62"/>
    <w:basedOn w:val="88"/>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05">
    <w:name w:val="网格型 513"/>
    <w:basedOn w:val="88"/>
    <w:semiHidden/>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top w:val="nil"/>
          <w:left w:val="single" w:color="000000" w:sz="12" w:space="0"/>
          <w:bottom w:val="nil"/>
          <w:right w:val="nil"/>
          <w:insideH w:val="nil"/>
          <w:insideV w:val="nil"/>
          <w:tl2br w:val="nil"/>
          <w:tr2bl w:val="nil"/>
        </w:tcBorders>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406">
    <w:name w:val="网格型14"/>
    <w:basedOn w:val="88"/>
    <w:qFormat/>
    <w:uiPriority w:val="0"/>
    <w:rPr>
      <w:rFonts w:ascii="Calibri" w:hAnsi="Calibri"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07">
    <w:name w:val="彩色型 112"/>
    <w:basedOn w:val="88"/>
    <w:semiHidden/>
    <w:qFormat/>
    <w:uiPriority w:val="0"/>
    <w:pPr>
      <w:widowControl w:val="0"/>
      <w:jc w:val="both"/>
    </w:pPr>
    <w:rPr>
      <w:rFonts w:ascii="Calibri" w:hAnsi="Calibri"/>
      <w:color w:val="FFFFFF"/>
    </w:rPr>
    <w:tblPr>
      <w:tblBorders>
        <w:top w:val="single" w:color="008080" w:sz="12" w:space="0"/>
        <w:left w:val="single" w:color="008080" w:sz="12" w:space="0"/>
        <w:bottom w:val="single" w:color="008080" w:sz="12" w:space="0"/>
        <w:right w:val="single" w:color="008080" w:sz="12" w:space="0"/>
        <w:insideH w:val="single" w:color="00FFFF" w:sz="6" w:space="0"/>
      </w:tblBorders>
    </w:tblPr>
    <w:tcPr>
      <w:shd w:val="solid" w:color="008080" w:fill="FFFFFF"/>
    </w:tcPr>
    <w:tblStylePr w:type="firstRow">
      <w:rPr>
        <w:b/>
        <w:bCs/>
        <w:i/>
        <w:iCs/>
      </w:rPr>
      <w:tcPr>
        <w:tcBorders>
          <w:top w:val="nil"/>
          <w:left w:val="nil"/>
          <w:bottom w:val="nil"/>
          <w:right w:val="nil"/>
          <w:insideH w:val="nil"/>
          <w:insideV w:val="nil"/>
          <w:tl2br w:val="nil"/>
          <w:tr2bl w:val="nil"/>
        </w:tcBorders>
        <w:shd w:val="solid" w:color="000000" w:fill="FFFFFF"/>
      </w:tcPr>
    </w:tblStylePr>
    <w:tblStylePr w:type="firstCol">
      <w:rPr>
        <w:b/>
        <w:bCs/>
        <w:i/>
        <w:iCs/>
      </w:rPr>
      <w:tcPr>
        <w:tcBorders>
          <w:top w:val="nil"/>
          <w:left w:val="nil"/>
          <w:bottom w:val="nil"/>
          <w:right w:val="nil"/>
          <w:insideH w:val="nil"/>
          <w:insideV w:val="nil"/>
          <w:tl2br w:val="nil"/>
          <w:tr2bl w:val="nil"/>
        </w:tcBorders>
        <w:shd w:val="solid" w:color="000080" w:fill="FFFFFF"/>
      </w:tcPr>
    </w:tblStylePr>
    <w:tblStylePr w:type="nwCell">
      <w:tcPr>
        <w:tcBorders>
          <w:top w:val="nil"/>
          <w:left w:val="nil"/>
          <w:bottom w:val="nil"/>
          <w:right w:val="nil"/>
          <w:insideH w:val="nil"/>
          <w:insideV w:val="nil"/>
          <w:tl2br w:val="nil"/>
          <w:tr2bl w:val="nil"/>
        </w:tcBorders>
        <w:shd w:val="solid" w:color="000000" w:fill="FFFFFF"/>
      </w:tcPr>
    </w:tblStylePr>
    <w:tblStylePr w:type="swCell">
      <w:rPr>
        <w:b/>
        <w:bCs/>
        <w:i w:val="0"/>
        <w:iCs w:val="0"/>
      </w:rPr>
      <w:tcPr>
        <w:tcBorders>
          <w:top w:val="nil"/>
          <w:left w:val="nil"/>
          <w:bottom w:val="nil"/>
          <w:right w:val="nil"/>
          <w:insideH w:val="nil"/>
          <w:insideV w:val="nil"/>
          <w:tl2br w:val="nil"/>
          <w:tr2bl w:val="nil"/>
        </w:tcBorders>
      </w:tcPr>
    </w:tblStylePr>
  </w:style>
  <w:style w:type="table" w:customStyle="1" w:styleId="3408">
    <w:name w:val="列表型 621"/>
    <w:basedOn w:val="88"/>
    <w:qFormat/>
    <w:uiPriority w:val="0"/>
    <w:pPr>
      <w:widowControl w:val="0"/>
      <w:spacing w:line="560" w:lineRule="exact"/>
      <w:ind w:firstLine="200" w:firstLineChars="200"/>
      <w:jc w:val="both"/>
    </w:pPr>
    <w:rPr>
      <w:rFonts w:ascii="Calibri" w:hAnsi="Calibri"/>
    </w:rPr>
    <w:tblPr>
      <w:tblBorders>
        <w:top w:val="single" w:color="000000" w:sz="6" w:space="0"/>
        <w:left w:val="single" w:color="000000" w:sz="6" w:space="0"/>
        <w:bottom w:val="single" w:color="000000" w:sz="6" w:space="0"/>
        <w:right w:val="single" w:color="000000" w:sz="6" w:space="0"/>
      </w:tblBorders>
    </w:tblPr>
    <w:tcPr>
      <w:shd w:val="pct50" w:color="000000" w:fill="FFFFFF"/>
    </w:tcPr>
    <w:tblStylePr w:type="firstRow">
      <w:rPr>
        <w:b/>
        <w:bCs/>
      </w:rPr>
      <w:tcPr>
        <w:tcBorders>
          <w:top w:val="nil"/>
          <w:left w:val="single" w:color="000000" w:sz="12" w:space="0"/>
          <w:bottom w:val="nil"/>
          <w:right w:val="nil"/>
          <w:insideH w:val="nil"/>
          <w:insideV w:val="nil"/>
          <w:tl2br w:val="nil"/>
          <w:tr2bl w:val="nil"/>
        </w:tcBorders>
      </w:tcPr>
    </w:tblStylePr>
    <w:tblStylePr w:type="firstCol">
      <w:rPr>
        <w:b/>
        <w:bCs/>
      </w:rPr>
      <w:tcPr>
        <w:tcBorders>
          <w:top w:val="nil"/>
          <w:left w:val="nil"/>
          <w:bottom w:val="nil"/>
          <w:right w:val="single" w:color="000000" w:sz="12" w:space="0"/>
          <w:insideH w:val="nil"/>
          <w:insideV w:val="nil"/>
          <w:tl2br w:val="nil"/>
          <w:tr2bl w:val="nil"/>
        </w:tcBorders>
      </w:tcPr>
    </w:tblStylePr>
    <w:tblStylePr w:type="band1Horz">
      <w:tcPr>
        <w:tcBorders>
          <w:top w:val="nil"/>
          <w:left w:val="nil"/>
          <w:bottom w:val="nil"/>
          <w:right w:val="nil"/>
          <w:insideH w:val="nil"/>
          <w:insideV w:val="nil"/>
          <w:tl2br w:val="nil"/>
          <w:tr2bl w:val="nil"/>
        </w:tcBorders>
        <w:shd w:val="pct25" w:color="000000" w:fill="FFFFFF"/>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409">
    <w:name w:val="竖列型 411"/>
    <w:basedOn w:val="88"/>
    <w:semiHidden/>
    <w:qFormat/>
    <w:uiPriority w:val="0"/>
    <w:pPr>
      <w:widowControl w:val="0"/>
      <w:jc w:val="both"/>
    </w:pPr>
    <w:rPr>
      <w:rFonts w:ascii="Calibri" w:hAnsi="Calibri"/>
    </w:rPr>
    <w:tblStylePr w:type="firstRow">
      <w:rPr>
        <w:color w:val="FFFFFF"/>
      </w:rPr>
      <w:tcPr>
        <w:tcBorders>
          <w:top w:val="nil"/>
          <w:left w:val="nil"/>
          <w:bottom w:val="nil"/>
          <w:right w:val="nil"/>
          <w:insideH w:val="nil"/>
          <w:insideV w:val="nil"/>
          <w:tl2br w:val="nil"/>
          <w:tr2bl w:val="nil"/>
        </w:tcBorders>
        <w:shd w:val="solid" w:color="000000" w:fill="FFFFFF"/>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Vert">
      <w:rPr>
        <w:color w:val="auto"/>
      </w:rPr>
      <w:tcPr>
        <w:shd w:val="pct50" w:color="008080" w:fill="FFFFFF"/>
      </w:tcPr>
    </w:tblStylePr>
    <w:tblStylePr w:type="band2Vert">
      <w:rPr>
        <w:color w:val="auto"/>
      </w:rPr>
      <w:tcPr>
        <w:shd w:val="pct10" w:color="000000" w:fill="FFFFFF"/>
      </w:tcPr>
    </w:tblStylePr>
  </w:style>
  <w:style w:type="table" w:customStyle="1" w:styleId="3410">
    <w:name w:val="列表型 211"/>
    <w:basedOn w:val="88"/>
    <w:semiHidden/>
    <w:qFormat/>
    <w:uiPriority w:val="0"/>
    <w:pPr>
      <w:widowControl w:val="0"/>
      <w:jc w:val="both"/>
    </w:pPr>
    <w:rPr>
      <w:rFonts w:ascii="Calibri" w:hAnsi="Calibri"/>
    </w:rPr>
    <w:tblPr>
      <w:tblBorders>
        <w:bottom w:val="single" w:color="808080" w:sz="12" w:space="0"/>
      </w:tblBorders>
    </w:tblPr>
    <w:tblStylePr w:type="firstRow">
      <w:rPr>
        <w:b/>
        <w:bCs/>
        <w:color w:val="FFFFFF"/>
      </w:rPr>
      <w:tcPr>
        <w:tcBorders>
          <w:top w:val="nil"/>
          <w:left w:val="single" w:color="000000" w:sz="6" w:space="0"/>
          <w:bottom w:val="nil"/>
          <w:right w:val="nil"/>
          <w:insideH w:val="nil"/>
          <w:insideV w:val="nil"/>
          <w:tl2br w:val="nil"/>
          <w:tr2bl w:val="nil"/>
        </w:tcBorders>
        <w:shd w:val="pct75" w:color="008080" w:fill="008000"/>
      </w:tcPr>
    </w:tblStylePr>
    <w:tblStylePr w:type="lastRow">
      <w:tcPr>
        <w:tcBorders>
          <w:top w:val="single" w:color="000000" w:sz="6" w:space="0"/>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FF00" w:fill="FFFFFF"/>
      </w:tcPr>
    </w:tblStylePr>
    <w:tblStylePr w:type="band2Horz">
      <w:rPr>
        <w:color w:val="auto"/>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411">
    <w:name w:val="简明型 212"/>
    <w:basedOn w:val="88"/>
    <w:semiHidden/>
    <w:qFormat/>
    <w:uiPriority w:val="0"/>
    <w:pPr>
      <w:widowControl w:val="0"/>
      <w:jc w:val="both"/>
    </w:pPr>
    <w:rPr>
      <w:rFonts w:ascii="Calibri" w:hAnsi="Calibri"/>
    </w:rPr>
    <w:tblStylePr w:type="firstRow">
      <w:rPr>
        <w:b/>
        <w:bCs/>
      </w:rPr>
      <w:tcPr>
        <w:tcBorders>
          <w:top w:val="nil"/>
          <w:left w:val="single" w:color="000000" w:sz="12" w:space="0"/>
          <w:bottom w:val="nil"/>
          <w:right w:val="nil"/>
          <w:insideH w:val="nil"/>
          <w:insideV w:val="nil"/>
          <w:tl2br w:val="nil"/>
          <w:tr2bl w:val="nil"/>
        </w:tcBorders>
      </w:tcPr>
    </w:tblStylePr>
    <w:tblStylePr w:type="lastRow">
      <w:rPr>
        <w:b/>
        <w:bCs/>
        <w:color w:val="auto"/>
      </w:rPr>
      <w:tcPr>
        <w:tcBorders>
          <w:top w:val="single" w:color="000000" w:sz="6" w:space="0"/>
          <w:left w:val="nil"/>
          <w:bottom w:val="nil"/>
          <w:right w:val="nil"/>
          <w:insideH w:val="nil"/>
          <w:insideV w:val="nil"/>
          <w:tl2br w:val="nil"/>
          <w:tr2bl w:val="nil"/>
        </w:tcBorders>
      </w:tcPr>
    </w:tblStylePr>
    <w:tblStylePr w:type="firstCol">
      <w:rPr>
        <w:b/>
        <w:bCs/>
      </w:rPr>
      <w:tcPr>
        <w:tcBorders>
          <w:top w:val="nil"/>
          <w:left w:val="nil"/>
          <w:bottom w:val="nil"/>
          <w:right w:val="single" w:color="000000" w:sz="12" w:space="0"/>
          <w:insideH w:val="nil"/>
          <w:insideV w:val="nil"/>
          <w:tl2br w:val="nil"/>
          <w:tr2bl w:val="nil"/>
        </w:tcBorders>
      </w:tcPr>
    </w:tblStylePr>
    <w:tblStylePr w:type="lastCol">
      <w:rPr>
        <w:b/>
        <w:bCs/>
      </w:rPr>
      <w:tcPr>
        <w:tcBorders>
          <w:top w:val="nil"/>
          <w:left w:val="nil"/>
          <w:bottom w:val="single" w:color="000000" w:sz="6" w:space="0"/>
          <w:right w:val="nil"/>
          <w:insideH w:val="nil"/>
          <w:insideV w:val="nil"/>
          <w:tl2br w:val="nil"/>
          <w:tr2bl w:val="nil"/>
        </w:tcBorders>
      </w:tcPr>
    </w:tblStylePr>
    <w:tblStylePr w:type="neCell">
      <w:rPr>
        <w:b/>
        <w:bCs/>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412">
    <w:name w:val="表格主题412"/>
    <w:basedOn w:val="88"/>
    <w:qFormat/>
    <w:uiPriority w:val="0"/>
    <w:pPr>
      <w:widowControl w:val="0"/>
      <w:adjustRightInd w:val="0"/>
      <w:snapToGrid w:val="0"/>
      <w:jc w:val="center"/>
    </w:pPr>
    <w:rPr>
      <w:rFonts w:ascii="Calibri" w:hAnsi="Calibri"/>
      <w:sz w:val="24"/>
      <w:szCs w:val="24"/>
    </w:rPr>
    <w:tblPr>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rPr>
      <w:jc w:val="center"/>
    </w:trPr>
    <w:tcPr>
      <w:tcMar>
        <w:left w:w="28" w:type="dxa"/>
        <w:right w:w="28" w:type="dxa"/>
      </w:tcMar>
      <w:vAlign w:val="center"/>
    </w:tcPr>
    <w:tblStylePr w:type="firstRow">
      <w:pPr>
        <w:wordWrap/>
        <w:spacing w:beforeLines="0" w:beforeAutospacing="0" w:afterLines="0" w:afterAutospacing="0" w:line="240" w:lineRule="auto"/>
        <w:ind w:left="0" w:leftChars="0" w:right="0" w:rightChars="0"/>
      </w:pPr>
      <w:rPr>
        <w:rFonts w:ascii="Times New Roman" w:hAnsi="Times New Roman" w:eastAsia="Arial Unicode MS"/>
        <w:sz w:val="21"/>
      </w:rPr>
      <w:tcPr>
        <w:tcBorders>
          <w:top w:val="single" w:color="auto" w:sz="12" w:space="0"/>
          <w:left w:val="single" w:color="auto" w:sz="4" w:space="0"/>
          <w:bottom w:val="single" w:color="auto" w:sz="12" w:space="0"/>
          <w:right w:val="single" w:color="auto" w:sz="12" w:space="0"/>
          <w:insideH w:val="single" w:sz="4" w:space="0"/>
          <w:insideV w:val="single" w:sz="4" w:space="0"/>
          <w:tl2br w:val="nil"/>
          <w:tr2bl w:val="nil"/>
        </w:tcBorders>
      </w:tcPr>
    </w:tblStylePr>
    <w:tblStylePr w:type="firstCol">
      <w:pPr>
        <w:keepNext w:val="0"/>
        <w:keepLines w:val="0"/>
        <w:pageBreakBefore w:val="0"/>
        <w:widowControl w:val="0"/>
        <w:suppressLineNumbers w:val="0"/>
        <w:suppressAutoHyphens w:val="0"/>
        <w:wordWrap/>
        <w:spacing w:beforeLines="0" w:beforeAutospacing="0" w:afterLines="0" w:afterAutospacing="0" w:line="240" w:lineRule="auto"/>
        <w:ind w:left="0" w:leftChars="0" w:right="0" w:rightChars="0"/>
      </w:pPr>
      <w:rPr>
        <w:rFonts w:ascii="Times New Roman" w:hAnsi="Times New Roman" w:eastAsia="Arial Unicode MS"/>
        <w:b w:val="0"/>
        <w:sz w:val="21"/>
      </w:rPr>
    </w:tblStylePr>
  </w:style>
  <w:style w:type="table" w:customStyle="1" w:styleId="3413">
    <w:name w:val="竖列型 42"/>
    <w:basedOn w:val="88"/>
    <w:qFormat/>
    <w:uiPriority w:val="0"/>
    <w:pPr>
      <w:widowControl w:val="0"/>
      <w:spacing w:line="560" w:lineRule="exact"/>
      <w:ind w:firstLine="200" w:firstLineChars="200"/>
      <w:jc w:val="both"/>
    </w:pPr>
    <w:rPr>
      <w:rFonts w:ascii="Calibri" w:hAnsi="Calibri"/>
    </w:rPr>
    <w:tblStylePr w:type="firstRow">
      <w:rPr>
        <w:color w:val="FFFFFF"/>
      </w:rPr>
      <w:tcPr>
        <w:tcBorders>
          <w:top w:val="nil"/>
          <w:left w:val="nil"/>
          <w:bottom w:val="nil"/>
          <w:right w:val="nil"/>
          <w:insideH w:val="nil"/>
          <w:insideV w:val="nil"/>
          <w:tl2br w:val="nil"/>
          <w:tr2bl w:val="nil"/>
        </w:tcBorders>
        <w:shd w:val="solid" w:color="000000" w:fill="FFFFFF"/>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Vert">
      <w:rPr>
        <w:color w:val="auto"/>
      </w:rPr>
      <w:tcPr>
        <w:shd w:val="pct50" w:color="008080" w:fill="FFFFFF"/>
      </w:tcPr>
    </w:tblStylePr>
    <w:tblStylePr w:type="band2Vert">
      <w:rPr>
        <w:color w:val="auto"/>
      </w:rPr>
      <w:tcPr>
        <w:shd w:val="pct10" w:color="000000" w:fill="FFFFFF"/>
      </w:tcPr>
    </w:tblStylePr>
  </w:style>
  <w:style w:type="table" w:customStyle="1" w:styleId="3414">
    <w:name w:val="列表型 111"/>
    <w:basedOn w:val="88"/>
    <w:semiHidden/>
    <w:qFormat/>
    <w:uiPriority w:val="0"/>
    <w:pPr>
      <w:widowControl w:val="0"/>
      <w:jc w:val="both"/>
    </w:pPr>
    <w:rPr>
      <w:rFonts w:ascii="Calibri" w:hAnsi="Calibri"/>
    </w:rPr>
    <w:tblPr>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cPr>
        <w:tcBorders>
          <w:top w:val="nil"/>
          <w:left w:val="single" w:color="000000" w:sz="6" w:space="0"/>
          <w:bottom w:val="nil"/>
          <w:right w:val="nil"/>
          <w:insideH w:val="nil"/>
          <w:insideV w:val="nil"/>
          <w:tl2br w:val="nil"/>
          <w:tr2bl w:val="nil"/>
        </w:tcBorders>
        <w:shd w:val="solid" w:color="C0C0C0" w:fill="FFFFFF"/>
      </w:tcPr>
    </w:tblStylePr>
    <w:tblStylePr w:type="lastRow">
      <w:tcPr>
        <w:tcBorders>
          <w:top w:val="single" w:color="000000" w:sz="6" w:space="0"/>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solid" w:color="C0C0C0" w:fill="FFFFFF"/>
      </w:tcPr>
    </w:tblStylePr>
    <w:tblStylePr w:type="band2Horz">
      <w:rPr>
        <w:color w:val="auto"/>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415">
    <w:name w:val="网格型3111211"/>
    <w:basedOn w:val="88"/>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16">
    <w:name w:val="网页型 31"/>
    <w:basedOn w:val="88"/>
    <w:semiHidden/>
    <w:qFormat/>
    <w:uiPriority w:val="0"/>
    <w:pPr>
      <w:widowControl w:val="0"/>
      <w:jc w:val="both"/>
    </w:pPr>
    <w:tblPr>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cPr>
      <w:shd w:val="clear" w:color="auto" w:fill="auto"/>
    </w:tcPr>
    <w:tblStylePr w:type="firstRow">
      <w:rPr>
        <w:color w:val="auto"/>
      </w:rPr>
      <w:tcPr>
        <w:tcBorders>
          <w:top w:val="nil"/>
          <w:left w:val="nil"/>
          <w:bottom w:val="nil"/>
          <w:right w:val="nil"/>
          <w:insideH w:val="nil"/>
          <w:insideV w:val="nil"/>
          <w:tl2br w:val="nil"/>
          <w:tr2bl w:val="nil"/>
        </w:tcBorders>
      </w:tcPr>
    </w:tblStylePr>
  </w:style>
  <w:style w:type="table" w:customStyle="1" w:styleId="3417">
    <w:name w:val="网页型 112"/>
    <w:basedOn w:val="88"/>
    <w:semiHidden/>
    <w:qFormat/>
    <w:uiPriority w:val="0"/>
    <w:pPr>
      <w:widowControl w:val="0"/>
      <w:jc w:val="both"/>
    </w:pPr>
    <w:rPr>
      <w:rFonts w:ascii="Calibri" w:hAnsi="Calibri"/>
    </w:rPr>
    <w:tblPr>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cPr>
      <w:shd w:val="clear" w:color="auto" w:fill="auto"/>
    </w:tcPr>
    <w:tblStylePr w:type="firstRow">
      <w:rPr>
        <w:color w:val="auto"/>
      </w:rPr>
      <w:tcPr>
        <w:tcBorders>
          <w:top w:val="nil"/>
          <w:left w:val="nil"/>
          <w:bottom w:val="nil"/>
          <w:right w:val="nil"/>
          <w:insideH w:val="nil"/>
          <w:insideV w:val="nil"/>
          <w:tl2br w:val="nil"/>
          <w:tr2bl w:val="nil"/>
        </w:tcBorders>
      </w:tcPr>
    </w:tblStylePr>
  </w:style>
  <w:style w:type="table" w:customStyle="1" w:styleId="3418">
    <w:name w:val="网格型183"/>
    <w:basedOn w:val="88"/>
    <w:qFormat/>
    <w:uiPriority w:val="59"/>
    <w:pPr>
      <w:widowControl w:val="0"/>
      <w:spacing w:line="300" w:lineRule="exact"/>
      <w:jc w:val="both"/>
      <w:textAlignment w:val="baseline"/>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19">
    <w:name w:val="竖列型 121"/>
    <w:basedOn w:val="88"/>
    <w:qFormat/>
    <w:uiPriority w:val="0"/>
    <w:pPr>
      <w:widowControl w:val="0"/>
      <w:spacing w:line="560" w:lineRule="exact"/>
      <w:ind w:firstLine="200" w:firstLineChars="200"/>
      <w:jc w:val="both"/>
    </w:pPr>
    <w:rPr>
      <w:rFonts w:ascii="Calibri" w:hAnsi="Calibri"/>
      <w:b/>
      <w:bCs/>
    </w:rPr>
    <w:tblPr>
      <w:tblBorders>
        <w:top w:val="single" w:color="000000" w:sz="12" w:space="0"/>
        <w:left w:val="single" w:color="000000" w:sz="12" w:space="0"/>
        <w:bottom w:val="single" w:color="000000" w:sz="12" w:space="0"/>
        <w:right w:val="single" w:color="000000" w:sz="12" w:space="0"/>
      </w:tblBorders>
    </w:tblPr>
    <w:tblStylePr w:type="firstRow">
      <w:rPr>
        <w:b w:val="0"/>
        <w:bCs w:val="0"/>
      </w:rPr>
      <w:tcPr>
        <w:tcBorders>
          <w:top w:val="nil"/>
          <w:left w:val="double" w:color="000000" w:sz="6" w:space="0"/>
          <w:bottom w:val="nil"/>
          <w:right w:val="nil"/>
          <w:insideH w:val="nil"/>
          <w:insideV w:val="nil"/>
          <w:tl2br w:val="nil"/>
          <w:tr2bl w:val="nil"/>
        </w:tcBorders>
      </w:tcPr>
    </w:tblStylePr>
    <w:tblStylePr w:type="lastRow">
      <w:rPr>
        <w:b w:val="0"/>
        <w:bCs w:val="0"/>
      </w:rPr>
      <w:tcPr>
        <w:tcBorders>
          <w:top w:val="nil"/>
          <w:left w:val="nil"/>
          <w:bottom w:val="nil"/>
          <w:right w:val="nil"/>
          <w:insideH w:val="nil"/>
          <w:insideV w:val="nil"/>
          <w:tl2br w:val="nil"/>
          <w:tr2bl w:val="nil"/>
        </w:tcBorders>
      </w:tcPr>
    </w:tblStylePr>
    <w:tblStylePr w:type="firstCol">
      <w:rPr>
        <w:b w:val="0"/>
        <w:bCs w:val="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band1Vert">
      <w:rPr>
        <w:color w:val="auto"/>
      </w:rPr>
      <w:tcPr>
        <w:shd w:val="pct25" w:color="000000" w:fill="FFFFFF"/>
      </w:tcPr>
    </w:tblStylePr>
    <w:tblStylePr w:type="band2Vert">
      <w:rPr>
        <w:color w:val="auto"/>
      </w:rPr>
      <w:tcPr>
        <w:shd w:val="pct25" w:color="FFFF00" w:fill="FFFFFF"/>
      </w:tcPr>
    </w:tblStylePr>
    <w:tblStylePr w:type="neCell">
      <w:rPr>
        <w:b/>
        <w:bCs/>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420">
    <w:name w:val="古典型 121"/>
    <w:basedOn w:val="88"/>
    <w:qFormat/>
    <w:uiPriority w:val="0"/>
    <w:pPr>
      <w:widowControl w:val="0"/>
      <w:spacing w:line="560" w:lineRule="exact"/>
      <w:ind w:firstLine="200" w:firstLineChars="200"/>
      <w:jc w:val="both"/>
    </w:pPr>
    <w:rPr>
      <w:rFonts w:ascii="Calibri" w:hAnsi="Calibri"/>
    </w:r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421">
    <w:name w:val="网格型1212"/>
    <w:basedOn w:val="88"/>
    <w:qFormat/>
    <w:uiPriority w:val="59"/>
    <w:rPr>
      <w:rFonts w:ascii="Calibri" w:hAnsi="Calibri"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22">
    <w:name w:val="网格型 73"/>
    <w:basedOn w:val="88"/>
    <w:qFormat/>
    <w:uiPriority w:val="0"/>
    <w:pPr>
      <w:widowControl w:val="0"/>
      <w:spacing w:line="560" w:lineRule="exact"/>
      <w:ind w:firstLine="200" w:firstLineChars="200"/>
      <w:jc w:val="both"/>
    </w:pPr>
    <w:rPr>
      <w:rFonts w:ascii="Calibri" w:hAnsi="Calibri"/>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cPr>
        <w:tcBorders>
          <w:top w:val="nil"/>
          <w:left w:val="single" w:color="000000" w:sz="12" w:space="0"/>
          <w:bottom w:val="nil"/>
          <w:right w:val="nil"/>
          <w:insideH w:val="nil"/>
          <w:insideV w:val="nil"/>
          <w:tl2br w:val="nil"/>
          <w:tr2bl w:val="nil"/>
        </w:tcBorders>
      </w:tcPr>
    </w:tblStylePr>
    <w:tblStylePr w:type="lastRow">
      <w:rPr>
        <w:b w:val="0"/>
        <w:bCs w:val="0"/>
      </w:rPr>
      <w:tcPr>
        <w:tcBorders>
          <w:top w:val="single" w:color="000000" w:sz="6" w:space="0"/>
          <w:left w:val="nil"/>
          <w:bottom w:val="nil"/>
          <w:right w:val="nil"/>
          <w:insideH w:val="nil"/>
          <w:insideV w:val="nil"/>
          <w:tl2br w:val="nil"/>
          <w:tr2bl w:val="nil"/>
        </w:tcBorders>
      </w:tcPr>
    </w:tblStylePr>
    <w:tblStylePr w:type="firstCol">
      <w:rPr>
        <w:b w:val="0"/>
        <w:bCs w:val="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423">
    <w:name w:val="网格型 711"/>
    <w:basedOn w:val="88"/>
    <w:qFormat/>
    <w:uiPriority w:val="0"/>
    <w:pPr>
      <w:widowControl w:val="0"/>
      <w:jc w:val="both"/>
    </w:pPr>
    <w:rPr>
      <w:rFonts w:ascii="Calibri" w:hAnsi="Calibri"/>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cPr>
        <w:tcBorders>
          <w:top w:val="nil"/>
          <w:left w:val="single" w:color="000000" w:sz="12" w:space="0"/>
          <w:bottom w:val="nil"/>
          <w:right w:val="nil"/>
          <w:insideH w:val="nil"/>
          <w:insideV w:val="nil"/>
          <w:tl2br w:val="nil"/>
          <w:tr2bl w:val="nil"/>
        </w:tcBorders>
      </w:tcPr>
    </w:tblStylePr>
    <w:tblStylePr w:type="lastRow">
      <w:rPr>
        <w:b w:val="0"/>
        <w:bCs w:val="0"/>
      </w:rPr>
      <w:tcPr>
        <w:tcBorders>
          <w:top w:val="single" w:color="000000" w:sz="6" w:space="0"/>
          <w:left w:val="nil"/>
          <w:bottom w:val="nil"/>
          <w:right w:val="nil"/>
          <w:insideH w:val="nil"/>
          <w:insideV w:val="nil"/>
          <w:tl2br w:val="nil"/>
          <w:tr2bl w:val="nil"/>
        </w:tcBorders>
      </w:tcPr>
    </w:tblStylePr>
    <w:tblStylePr w:type="firstCol">
      <w:rPr>
        <w:b w:val="0"/>
        <w:bCs w:val="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424">
    <w:name w:val="网格型1812"/>
    <w:basedOn w:val="88"/>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25">
    <w:name w:val="竖列型 313"/>
    <w:basedOn w:val="88"/>
    <w:semiHidden/>
    <w:qFormat/>
    <w:uiPriority w:val="0"/>
    <w:pPr>
      <w:widowControl w:val="0"/>
      <w:jc w:val="both"/>
    </w:pPr>
    <w:rPr>
      <w:b/>
      <w:bCs/>
    </w:rPr>
    <w:tblPr>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cPr>
        <w:tcBorders>
          <w:top w:val="nil"/>
          <w:left w:val="nil"/>
          <w:bottom w:val="nil"/>
          <w:right w:val="nil"/>
          <w:insideH w:val="nil"/>
          <w:insideV w:val="nil"/>
          <w:tl2br w:val="nil"/>
          <w:tr2bl w:val="nil"/>
        </w:tcBorders>
        <w:shd w:val="solid" w:color="000080" w:fill="FFFFFF"/>
      </w:tcPr>
    </w:tblStylePr>
    <w:tblStylePr w:type="lastRow">
      <w:rPr>
        <w:b w:val="0"/>
        <w:bCs w:val="0"/>
      </w:rPr>
      <w:tcPr>
        <w:tcBorders>
          <w:top w:val="single" w:color="000080" w:sz="6" w:space="0"/>
          <w:left w:val="nil"/>
          <w:bottom w:val="nil"/>
          <w:right w:val="nil"/>
          <w:insideH w:val="nil"/>
          <w:insideV w:val="nil"/>
          <w:tl2br w:val="nil"/>
          <w:tr2bl w:val="nil"/>
        </w:tcBorders>
      </w:tcPr>
    </w:tblStylePr>
    <w:tblStylePr w:type="firstCol">
      <w:rPr>
        <w:b w:val="0"/>
        <w:bCs w:val="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band1Vert">
      <w:rPr>
        <w:color w:val="auto"/>
      </w:rPr>
      <w:tcPr>
        <w:shd w:val="solid" w:color="C0C0C0" w:fill="FFFFFF"/>
      </w:tcPr>
    </w:tblStylePr>
    <w:tblStylePr w:type="band2Vert">
      <w:rPr>
        <w:color w:val="auto"/>
      </w:rPr>
      <w:tcPr>
        <w:shd w:val="pct10" w:color="000000" w:fill="FFFFFF"/>
      </w:tcPr>
    </w:tblStylePr>
    <w:tblStylePr w:type="neCell">
      <w:rPr>
        <w:b/>
        <w:bCs/>
      </w:rPr>
      <w:tcPr>
        <w:tcBorders>
          <w:top w:val="nil"/>
          <w:left w:val="nil"/>
          <w:bottom w:val="nil"/>
          <w:right w:val="nil"/>
          <w:insideH w:val="nil"/>
          <w:insideV w:val="nil"/>
          <w:tl2br w:val="nil"/>
          <w:tr2bl w:val="nil"/>
        </w:tcBorders>
      </w:tcPr>
    </w:tblStylePr>
  </w:style>
  <w:style w:type="table" w:customStyle="1" w:styleId="3426">
    <w:name w:val="网页型 34"/>
    <w:basedOn w:val="88"/>
    <w:qFormat/>
    <w:uiPriority w:val="0"/>
    <w:pPr>
      <w:widowControl w:val="0"/>
      <w:spacing w:line="560" w:lineRule="exact"/>
      <w:ind w:firstLine="200" w:firstLineChars="200"/>
      <w:jc w:val="both"/>
    </w:pPr>
    <w:rPr>
      <w:rFonts w:ascii="Calibri" w:hAnsi="Calibri"/>
    </w:rPr>
    <w:tblPr>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cPr>
      <w:shd w:val="clear" w:color="auto" w:fill="auto"/>
    </w:tcPr>
    <w:tblStylePr w:type="firstRow">
      <w:rPr>
        <w:color w:val="auto"/>
      </w:rPr>
      <w:tcPr>
        <w:tcBorders>
          <w:top w:val="nil"/>
          <w:left w:val="nil"/>
          <w:bottom w:val="nil"/>
          <w:right w:val="nil"/>
          <w:insideH w:val="nil"/>
          <w:insideV w:val="nil"/>
          <w:tl2br w:val="nil"/>
          <w:tr2bl w:val="nil"/>
        </w:tcBorders>
      </w:tcPr>
    </w:tblStylePr>
  </w:style>
  <w:style w:type="table" w:customStyle="1" w:styleId="3427">
    <w:name w:val="表三维效果 111"/>
    <w:basedOn w:val="88"/>
    <w:qFormat/>
    <w:uiPriority w:val="0"/>
    <w:pPr>
      <w:widowControl w:val="0"/>
      <w:spacing w:line="560" w:lineRule="exact"/>
      <w:ind w:firstLine="200" w:firstLineChars="200"/>
      <w:jc w:val="both"/>
    </w:pPr>
    <w:rPr>
      <w:rFonts w:ascii="Calibri" w:hAnsi="Calibri"/>
    </w:rPr>
    <w:tcPr>
      <w:shd w:val="solid" w:color="C0C0C0" w:fill="FFFFFF"/>
    </w:tcPr>
    <w:tblStylePr w:type="firstRow">
      <w:rPr>
        <w:b/>
        <w:bCs/>
        <w:color w:val="800080"/>
      </w:rPr>
      <w:tcPr>
        <w:tcBorders>
          <w:top w:val="nil"/>
          <w:left w:val="single" w:color="808080" w:sz="6" w:space="0"/>
          <w:bottom w:val="nil"/>
          <w:right w:val="nil"/>
          <w:insideH w:val="nil"/>
          <w:insideV w:val="nil"/>
          <w:tl2br w:val="nil"/>
          <w:tr2bl w:val="nil"/>
        </w:tcBorders>
      </w:tcPr>
    </w:tblStylePr>
    <w:tblStylePr w:type="lastRow">
      <w:tcPr>
        <w:tcBorders>
          <w:top w:val="single" w:color="FFFFFF" w:sz="6" w:space="0"/>
          <w:left w:val="nil"/>
          <w:bottom w:val="nil"/>
          <w:right w:val="nil"/>
          <w:insideH w:val="nil"/>
          <w:insideV w:val="nil"/>
          <w:tl2br w:val="nil"/>
          <w:tr2bl w:val="nil"/>
        </w:tcBorders>
      </w:tcPr>
    </w:tblStylePr>
    <w:tblStylePr w:type="firstCol">
      <w:rPr>
        <w:b/>
        <w:bCs/>
      </w:rPr>
      <w:tcPr>
        <w:tcBorders>
          <w:top w:val="nil"/>
          <w:left w:val="nil"/>
          <w:bottom w:val="nil"/>
          <w:right w:val="single" w:color="808080" w:sz="6" w:space="0"/>
          <w:insideH w:val="nil"/>
          <w:insideV w:val="nil"/>
          <w:tl2br w:val="nil"/>
          <w:tr2bl w:val="nil"/>
        </w:tcBorders>
      </w:tcPr>
    </w:tblStylePr>
    <w:tblStylePr w:type="lastCol">
      <w:tcPr>
        <w:tcBorders>
          <w:top w:val="nil"/>
          <w:left w:val="nil"/>
          <w:bottom w:val="single" w:color="FFFFFF" w:sz="6" w:space="0"/>
          <w:right w:val="nil"/>
          <w:insideH w:val="nil"/>
          <w:insideV w:val="nil"/>
          <w:tl2br w:val="nil"/>
          <w:tr2bl w:val="nil"/>
        </w:tcBorders>
      </w:tcPr>
    </w:tblStylePr>
    <w:tblStylePr w:type="neCell">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nil"/>
          <w:tr2bl w:val="nil"/>
        </w:tcBorders>
      </w:tcPr>
    </w:tblStylePr>
    <w:tblStylePr w:type="seCell">
      <w:tcPr>
        <w:tcBorders>
          <w:top w:val="nil"/>
          <w:left w:val="nil"/>
          <w:bottom w:val="nil"/>
          <w:right w:val="nil"/>
          <w:insideH w:val="nil"/>
          <w:insideV w:val="nil"/>
          <w:tl2br w:val="nil"/>
          <w:tr2bl w:val="nil"/>
        </w:tcBorders>
      </w:tcPr>
    </w:tblStylePr>
    <w:tblStylePr w:type="swCell">
      <w:rPr>
        <w:color w:val="000080"/>
      </w:rPr>
      <w:tcPr>
        <w:tcBorders>
          <w:top w:val="nil"/>
          <w:left w:val="nil"/>
          <w:bottom w:val="nil"/>
          <w:right w:val="nil"/>
          <w:insideH w:val="nil"/>
          <w:insideV w:val="nil"/>
          <w:tl2br w:val="nil"/>
          <w:tr2bl w:val="nil"/>
        </w:tcBorders>
      </w:tcPr>
    </w:tblStylePr>
  </w:style>
  <w:style w:type="table" w:customStyle="1" w:styleId="3428">
    <w:name w:val="古典型 113"/>
    <w:basedOn w:val="88"/>
    <w:semiHidden/>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429">
    <w:name w:val="网格型 211"/>
    <w:basedOn w:val="88"/>
    <w:semiHidden/>
    <w:qFormat/>
    <w:uiPriority w:val="0"/>
    <w:pPr>
      <w:widowControl w:val="0"/>
      <w:jc w:val="both"/>
    </w:pPr>
    <w:rPr>
      <w:rFonts w:ascii="Calibri" w:hAnsi="Calibri"/>
    </w:rPr>
    <w:tblPr>
      <w:tblBorders>
        <w:insideH w:val="single" w:color="000000" w:sz="6" w:space="0"/>
        <w:insideV w:val="single" w:color="000000" w:sz="6" w:space="0"/>
      </w:tblBorders>
    </w:tblPr>
    <w:tcPr>
      <w:shd w:val="clear" w:color="auto" w:fill="auto"/>
    </w:tcPr>
    <w:tblStylePr w:type="firstRow">
      <w:rPr>
        <w:b/>
        <w:bCs/>
      </w:rPr>
      <w:tcPr>
        <w:tcBorders>
          <w:top w:val="nil"/>
          <w:left w:val="nil"/>
          <w:bottom w:val="nil"/>
          <w:right w:val="nil"/>
          <w:insideH w:val="nil"/>
          <w:insideV w:val="nil"/>
          <w:tl2br w:val="nil"/>
          <w:tr2bl w:val="nil"/>
        </w:tcBorders>
      </w:tcPr>
    </w:tblStylePr>
    <w:tblStylePr w:type="lastRow">
      <w:rPr>
        <w:b/>
        <w:bCs/>
      </w:rPr>
      <w:tcPr>
        <w:tcBorders>
          <w:top w:val="single" w:color="000000" w:sz="6"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style>
  <w:style w:type="table" w:customStyle="1" w:styleId="3430">
    <w:name w:val="精巧型 213"/>
    <w:basedOn w:val="88"/>
    <w:semiHidden/>
    <w:qFormat/>
    <w:uiPriority w:val="0"/>
    <w:pPr>
      <w:widowControl w:val="0"/>
      <w:jc w:val="both"/>
    </w:pPr>
    <w:tblPr>
      <w:tblBorders>
        <w:left w:val="single" w:color="000000" w:sz="6" w:space="0"/>
        <w:right w:val="single" w:color="000000" w:sz="6" w:space="0"/>
      </w:tblBorders>
    </w:tblPr>
    <w:tblStylePr w:type="firstRow">
      <w:tcPr>
        <w:tcBorders>
          <w:top w:val="nil"/>
          <w:left w:val="single" w:color="000000" w:sz="12" w:space="0"/>
          <w:bottom w:val="nil"/>
          <w:right w:val="nil"/>
          <w:insideH w:val="nil"/>
          <w:insideV w:val="nil"/>
          <w:tl2br w:val="nil"/>
          <w:tr2bl w:val="nil"/>
        </w:tcBorders>
      </w:tcPr>
    </w:tblStylePr>
    <w:tblStylePr w:type="lastRow">
      <w:tcPr>
        <w:tcBorders>
          <w:top w:val="single" w:color="000000" w:sz="12" w:space="0"/>
          <w:left w:val="nil"/>
          <w:bottom w:val="nil"/>
          <w:right w:val="nil"/>
          <w:insideH w:val="nil"/>
          <w:insideV w:val="nil"/>
          <w:tl2br w:val="nil"/>
          <w:tr2bl w:val="nil"/>
        </w:tcBorders>
      </w:tcPr>
    </w:tblStylePr>
    <w:tblStylePr w:type="firstCol">
      <w:tcPr>
        <w:tcBorders>
          <w:top w:val="nil"/>
          <w:left w:val="nil"/>
          <w:bottom w:val="nil"/>
          <w:right w:val="single" w:color="000000" w:sz="12" w:space="0"/>
          <w:insideH w:val="nil"/>
          <w:insideV w:val="nil"/>
          <w:tl2br w:val="nil"/>
          <w:tr2bl w:val="nil"/>
        </w:tcBorders>
        <w:shd w:val="pct25" w:color="008000" w:fill="FFFFFF"/>
      </w:tcPr>
    </w:tblStylePr>
    <w:tblStylePr w:type="lastCol">
      <w:tcPr>
        <w:tcBorders>
          <w:top w:val="nil"/>
          <w:left w:val="nil"/>
          <w:bottom w:val="single" w:color="000000" w:sz="12" w:space="0"/>
          <w:right w:val="nil"/>
          <w:insideH w:val="nil"/>
          <w:insideV w:val="nil"/>
          <w:tl2br w:val="nil"/>
          <w:tr2bl w:val="nil"/>
        </w:tcBorders>
        <w:shd w:val="pct25" w:color="808000" w:fill="FFFFFF"/>
      </w:tcPr>
    </w:tblStylePr>
    <w:tblStylePr w:type="neCell">
      <w:rPr>
        <w:b/>
        <w:bCs/>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431">
    <w:name w:val="网格型1911"/>
    <w:basedOn w:val="88"/>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32">
    <w:name w:val="网格型12"/>
    <w:basedOn w:val="88"/>
    <w:qFormat/>
    <w:uiPriority w:val="0"/>
    <w:rPr>
      <w:rFonts w:ascii="Calibri" w:hAnsi="Calibri"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33">
    <w:name w:val="网格型18112"/>
    <w:basedOn w:val="88"/>
    <w:qFormat/>
    <w:uiPriority w:val="59"/>
    <w:pPr>
      <w:widowControl w:val="0"/>
      <w:spacing w:line="300" w:lineRule="exact"/>
      <w:jc w:val="both"/>
      <w:textAlignment w:val="baseline"/>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34">
    <w:name w:val="立体型 313"/>
    <w:basedOn w:val="88"/>
    <w:semiHidden/>
    <w:qFormat/>
    <w:uiPriority w:val="0"/>
    <w:pPr>
      <w:widowControl w:val="0"/>
      <w:jc w:val="both"/>
    </w:pPr>
    <w:tblStylePr w:type="firstRow">
      <w:rPr>
        <w:b/>
        <w:bCs/>
      </w:rPr>
      <w:tcPr>
        <w:tcBorders>
          <w:top w:val="nil"/>
          <w:left w:val="nil"/>
          <w:bottom w:val="nil"/>
          <w:right w:val="nil"/>
          <w:insideH w:val="nil"/>
          <w:insideV w:val="nil"/>
          <w:tl2br w:val="nil"/>
          <w:tr2bl w:val="nil"/>
        </w:tcBorders>
      </w:tcPr>
    </w:tblStylePr>
    <w:tblStylePr w:type="firstCol">
      <w:tcPr>
        <w:tcBorders>
          <w:top w:val="nil"/>
          <w:left w:val="nil"/>
          <w:bottom w:val="nil"/>
          <w:right w:val="single" w:color="808080" w:sz="6" w:space="0"/>
          <w:insideH w:val="nil"/>
          <w:insideV w:val="nil"/>
          <w:tl2br w:val="nil"/>
          <w:tr2bl w:val="nil"/>
        </w:tcBorders>
      </w:tcPr>
    </w:tblStylePr>
    <w:tblStylePr w:type="lastCol">
      <w:tcPr>
        <w:tcBorders>
          <w:top w:val="nil"/>
          <w:left w:val="nil"/>
          <w:bottom w:val="nil"/>
          <w:right w:val="single" w:color="FFFFFF" w:sz="6" w:space="0"/>
          <w:insideH w:val="nil"/>
          <w:insideV w:val="nil"/>
          <w:tl2br w:val="nil"/>
          <w:tr2bl w:val="nil"/>
        </w:tcBorders>
      </w:tcPr>
    </w:tblStylePr>
    <w:tblStylePr w:type="band1Vert">
      <w:rPr>
        <w:color w:val="auto"/>
      </w:rPr>
      <w:tcPr>
        <w:shd w:val="solid" w:color="C0C0C0" w:fill="FFFFFF"/>
      </w:tcPr>
    </w:tblStylePr>
    <w:tblStylePr w:type="band2Vert">
      <w:rPr>
        <w:color w:val="auto"/>
      </w:rPr>
      <w:tcPr>
        <w:shd w:val="pct50" w:color="C0C0C0" w:fill="FFFFFF"/>
      </w:tcPr>
    </w:tblStylePr>
    <w:tblStylePr w:type="band1Horz">
      <w:tcPr>
        <w:tcBorders>
          <w:top w:val="single" w:color="808080" w:sz="6" w:space="0"/>
          <w:left w:val="single" w:color="FFFFFF" w:sz="6" w:space="0"/>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435">
    <w:name w:val="表格网格型3"/>
    <w:basedOn w:val="88"/>
    <w:qFormat/>
    <w:uiPriority w:val="0"/>
    <w:pPr>
      <w:widowControl w:val="0"/>
      <w:ind w:firstLine="56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36">
    <w:name w:val="网格型 44"/>
    <w:basedOn w:val="88"/>
    <w:qFormat/>
    <w:uiPriority w:val="0"/>
    <w:pPr>
      <w:widowControl w:val="0"/>
      <w:spacing w:line="560" w:lineRule="exact"/>
      <w:ind w:firstLine="200" w:firstLineChars="200"/>
      <w:jc w:val="both"/>
    </w:pPr>
    <w:rPr>
      <w:rFonts w:ascii="Calibri" w:hAnsi="Calibri"/>
    </w:rPr>
    <w:tblPr>
      <w:tblBorders>
        <w:left w:val="single" w:color="000000" w:sz="12" w:space="0"/>
        <w:right w:val="single" w:color="000000" w:sz="12" w:space="0"/>
        <w:insideH w:val="single" w:color="000000" w:sz="6" w:space="0"/>
        <w:insideV w:val="single" w:color="000000" w:sz="6" w:space="0"/>
      </w:tblBorders>
    </w:tblPr>
    <w:tcPr>
      <w:shd w:val="clear" w:color="auto" w:fill="auto"/>
    </w:tcPr>
    <w:tblStylePr w:type="firstRow">
      <w:rPr>
        <w:color w:val="auto"/>
      </w:rPr>
      <w:tcPr>
        <w:tcBorders>
          <w:top w:val="nil"/>
          <w:left w:val="single" w:color="000000" w:sz="6" w:space="0"/>
          <w:bottom w:val="nil"/>
          <w:right w:val="nil"/>
          <w:insideH w:val="nil"/>
          <w:insideV w:val="nil"/>
          <w:tl2br w:val="nil"/>
          <w:tr2bl w:val="nil"/>
        </w:tcBorders>
        <w:shd w:val="pct30" w:color="FFFF00" w:fill="FFFFFF"/>
      </w:tcPr>
    </w:tblStylePr>
    <w:tblStylePr w:type="lastRow">
      <w:rPr>
        <w:b/>
        <w:bCs/>
        <w:color w:val="auto"/>
      </w:rPr>
      <w:tcPr>
        <w:tcBorders>
          <w:top w:val="single" w:color="000000" w:sz="6" w:space="0"/>
          <w:left w:val="nil"/>
          <w:bottom w:val="nil"/>
          <w:right w:val="nil"/>
          <w:insideH w:val="nil"/>
          <w:insideV w:val="nil"/>
          <w:tl2br w:val="nil"/>
          <w:tr2bl w:val="nil"/>
        </w:tcBorders>
        <w:shd w:val="pct30" w:color="FFFF00" w:fill="FFFFFF"/>
      </w:tcPr>
    </w:tblStylePr>
    <w:tblStylePr w:type="lastCol">
      <w:rPr>
        <w:b/>
        <w:bCs/>
        <w:color w:val="auto"/>
      </w:rPr>
      <w:tcPr>
        <w:tcBorders>
          <w:top w:val="nil"/>
          <w:left w:val="nil"/>
          <w:bottom w:val="nil"/>
          <w:right w:val="nil"/>
          <w:insideH w:val="nil"/>
          <w:insideV w:val="nil"/>
          <w:tl2br w:val="nil"/>
          <w:tr2bl w:val="nil"/>
        </w:tcBorders>
      </w:tcPr>
    </w:tblStylePr>
  </w:style>
  <w:style w:type="table" w:customStyle="1" w:styleId="3437">
    <w:name w:val="列表型 613"/>
    <w:basedOn w:val="88"/>
    <w:semiHidden/>
    <w:qFormat/>
    <w:uiPriority w:val="0"/>
    <w:pPr>
      <w:widowControl w:val="0"/>
      <w:jc w:val="both"/>
    </w:pPr>
    <w:tblPr>
      <w:tblBorders>
        <w:top w:val="single" w:color="000000" w:sz="6" w:space="0"/>
        <w:left w:val="single" w:color="000000" w:sz="6" w:space="0"/>
        <w:bottom w:val="single" w:color="000000" w:sz="6" w:space="0"/>
        <w:right w:val="single" w:color="000000" w:sz="6" w:space="0"/>
      </w:tblBorders>
    </w:tblPr>
    <w:tcPr>
      <w:shd w:val="pct50" w:color="000000" w:fill="FFFFFF"/>
    </w:tcPr>
    <w:tblStylePr w:type="firstRow">
      <w:rPr>
        <w:b/>
        <w:bCs/>
      </w:rPr>
      <w:tcPr>
        <w:tcBorders>
          <w:top w:val="nil"/>
          <w:left w:val="single" w:color="000000" w:sz="12" w:space="0"/>
          <w:bottom w:val="nil"/>
          <w:right w:val="nil"/>
          <w:insideH w:val="nil"/>
          <w:insideV w:val="nil"/>
          <w:tl2br w:val="nil"/>
          <w:tr2bl w:val="nil"/>
        </w:tcBorders>
      </w:tcPr>
    </w:tblStylePr>
    <w:tblStylePr w:type="firstCol">
      <w:rPr>
        <w:b/>
        <w:bCs/>
      </w:rPr>
      <w:tcPr>
        <w:tcBorders>
          <w:top w:val="nil"/>
          <w:left w:val="nil"/>
          <w:bottom w:val="nil"/>
          <w:right w:val="single" w:color="000000" w:sz="12" w:space="0"/>
          <w:insideH w:val="nil"/>
          <w:insideV w:val="nil"/>
          <w:tl2br w:val="nil"/>
          <w:tr2bl w:val="nil"/>
        </w:tcBorders>
      </w:tcPr>
    </w:tblStylePr>
    <w:tblStylePr w:type="band1Horz">
      <w:tcPr>
        <w:tcBorders>
          <w:top w:val="nil"/>
          <w:left w:val="nil"/>
          <w:bottom w:val="nil"/>
          <w:right w:val="nil"/>
          <w:insideH w:val="nil"/>
          <w:insideV w:val="nil"/>
          <w:tl2br w:val="nil"/>
          <w:tr2bl w:val="nil"/>
        </w:tcBorders>
        <w:shd w:val="pct25" w:color="000000" w:fill="FFFFFF"/>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438">
    <w:name w:val="网格型15"/>
    <w:basedOn w:val="88"/>
    <w:qFormat/>
    <w:uiPriority w:val="0"/>
    <w:rPr>
      <w:rFonts w:ascii="Calibri" w:hAnsi="Calibri" w:eastAsia="Times New Roman"/>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39">
    <w:name w:val="简明型 14"/>
    <w:basedOn w:val="88"/>
    <w:qFormat/>
    <w:uiPriority w:val="0"/>
    <w:pPr>
      <w:widowControl w:val="0"/>
      <w:spacing w:line="560" w:lineRule="exact"/>
      <w:ind w:firstLine="200" w:firstLineChars="200"/>
      <w:jc w:val="both"/>
    </w:pPr>
    <w:rPr>
      <w:rFonts w:ascii="Calibri" w:hAnsi="Calibri"/>
    </w:rPr>
    <w:tblPr>
      <w:tblBorders>
        <w:top w:val="single" w:color="008000" w:sz="12" w:space="0"/>
        <w:bottom w:val="single" w:color="008000" w:sz="12" w:space="0"/>
      </w:tblBorders>
    </w:tblPr>
    <w:tcPr>
      <w:shd w:val="clear" w:color="auto" w:fill="auto"/>
    </w:tcPr>
    <w:tblStylePr w:type="firstRow">
      <w:tcPr>
        <w:tcBorders>
          <w:top w:val="nil"/>
          <w:left w:val="single" w:color="008000" w:sz="6" w:space="0"/>
          <w:bottom w:val="nil"/>
          <w:right w:val="nil"/>
          <w:insideH w:val="nil"/>
          <w:insideV w:val="nil"/>
          <w:tl2br w:val="nil"/>
          <w:tr2bl w:val="nil"/>
        </w:tcBorders>
      </w:tcPr>
    </w:tblStylePr>
    <w:tblStylePr w:type="lastRow">
      <w:tcPr>
        <w:tcBorders>
          <w:top w:val="single" w:color="008000" w:sz="6" w:space="0"/>
          <w:left w:val="nil"/>
          <w:bottom w:val="nil"/>
          <w:right w:val="nil"/>
          <w:insideH w:val="nil"/>
          <w:insideV w:val="nil"/>
          <w:tl2br w:val="nil"/>
          <w:tr2bl w:val="nil"/>
        </w:tcBorders>
      </w:tcPr>
    </w:tblStylePr>
  </w:style>
  <w:style w:type="table" w:customStyle="1" w:styleId="3440">
    <w:name w:val="网格型3211"/>
    <w:basedOn w:val="88"/>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41">
    <w:name w:val="网格型16"/>
    <w:basedOn w:val="88"/>
    <w:qFormat/>
    <w:uiPriority w:val="0"/>
    <w:rPr>
      <w:rFonts w:ascii="Calibri" w:hAnsi="Calibri" w:eastAsia="Times New Roman"/>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42">
    <w:name w:val="网格型20"/>
    <w:basedOn w:val="88"/>
    <w:qFormat/>
    <w:uiPriority w:val="0"/>
    <w:pPr>
      <w:widowControl w:val="0"/>
      <w:spacing w:line="300" w:lineRule="exact"/>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43">
    <w:name w:val="表格网格型42"/>
    <w:basedOn w:val="88"/>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44">
    <w:name w:val="表三维效果 31"/>
    <w:basedOn w:val="88"/>
    <w:qFormat/>
    <w:uiPriority w:val="0"/>
    <w:pPr>
      <w:widowControl w:val="0"/>
      <w:spacing w:line="560" w:lineRule="exact"/>
      <w:ind w:firstLine="200" w:firstLineChars="200"/>
      <w:jc w:val="both"/>
    </w:pPr>
    <w:rPr>
      <w:rFonts w:ascii="Calibri" w:hAnsi="Calibri"/>
    </w:rPr>
    <w:tblStylePr w:type="firstRow">
      <w:rPr>
        <w:b/>
        <w:bCs/>
      </w:rPr>
      <w:tcPr>
        <w:tcBorders>
          <w:top w:val="nil"/>
          <w:left w:val="nil"/>
          <w:bottom w:val="nil"/>
          <w:right w:val="nil"/>
          <w:insideH w:val="nil"/>
          <w:insideV w:val="nil"/>
          <w:tl2br w:val="nil"/>
          <w:tr2bl w:val="nil"/>
        </w:tcBorders>
      </w:tcPr>
    </w:tblStylePr>
    <w:tblStylePr w:type="firstCol">
      <w:tcPr>
        <w:tcBorders>
          <w:top w:val="nil"/>
          <w:left w:val="nil"/>
          <w:bottom w:val="nil"/>
          <w:right w:val="single" w:color="808080" w:sz="6" w:space="0"/>
          <w:insideH w:val="nil"/>
          <w:insideV w:val="nil"/>
          <w:tl2br w:val="nil"/>
          <w:tr2bl w:val="nil"/>
        </w:tcBorders>
      </w:tcPr>
    </w:tblStylePr>
    <w:tblStylePr w:type="lastCol">
      <w:tcPr>
        <w:tcBorders>
          <w:top w:val="nil"/>
          <w:left w:val="nil"/>
          <w:bottom w:val="nil"/>
          <w:right w:val="single" w:color="FFFFFF" w:sz="6" w:space="0"/>
          <w:insideH w:val="nil"/>
          <w:insideV w:val="nil"/>
          <w:tl2br w:val="nil"/>
          <w:tr2bl w:val="nil"/>
        </w:tcBorders>
      </w:tcPr>
    </w:tblStylePr>
    <w:tblStylePr w:type="band1Vert">
      <w:rPr>
        <w:color w:val="auto"/>
      </w:rPr>
      <w:tcPr>
        <w:shd w:val="solid" w:color="C0C0C0" w:fill="FFFFFF"/>
      </w:tcPr>
    </w:tblStylePr>
    <w:tblStylePr w:type="band2Vert">
      <w:rPr>
        <w:color w:val="auto"/>
      </w:rPr>
      <w:tcPr>
        <w:shd w:val="pct50" w:color="C0C0C0" w:fill="FFFFFF"/>
      </w:tcPr>
    </w:tblStylePr>
    <w:tblStylePr w:type="band1Horz">
      <w:tcPr>
        <w:tcBorders>
          <w:top w:val="single" w:color="808080" w:sz="6" w:space="0"/>
          <w:left w:val="single" w:color="FFFFFF" w:sz="6" w:space="0"/>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445">
    <w:name w:val="网格型 23"/>
    <w:basedOn w:val="88"/>
    <w:qFormat/>
    <w:uiPriority w:val="0"/>
    <w:pPr>
      <w:widowControl w:val="0"/>
      <w:spacing w:line="560" w:lineRule="exact"/>
      <w:ind w:firstLine="200" w:firstLineChars="200"/>
      <w:jc w:val="both"/>
    </w:pPr>
    <w:rPr>
      <w:rFonts w:ascii="Calibri" w:hAnsi="Calibri"/>
    </w:rPr>
    <w:tblPr>
      <w:tblBorders>
        <w:insideH w:val="single" w:color="000000" w:sz="6" w:space="0"/>
        <w:insideV w:val="single" w:color="000000" w:sz="6" w:space="0"/>
      </w:tblBorders>
    </w:tblPr>
    <w:tcPr>
      <w:shd w:val="clear" w:color="auto" w:fill="auto"/>
    </w:tcPr>
    <w:tblStylePr w:type="firstRow">
      <w:rPr>
        <w:b/>
        <w:bCs/>
      </w:rPr>
      <w:tcPr>
        <w:tcBorders>
          <w:top w:val="nil"/>
          <w:left w:val="nil"/>
          <w:bottom w:val="nil"/>
          <w:right w:val="nil"/>
          <w:insideH w:val="nil"/>
          <w:insideV w:val="nil"/>
          <w:tl2br w:val="nil"/>
          <w:tr2bl w:val="nil"/>
        </w:tcBorders>
      </w:tcPr>
    </w:tblStylePr>
    <w:tblStylePr w:type="lastRow">
      <w:rPr>
        <w:b/>
        <w:bCs/>
      </w:rPr>
      <w:tcPr>
        <w:tcBorders>
          <w:top w:val="single" w:color="000000" w:sz="6"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style>
  <w:style w:type="table" w:customStyle="1" w:styleId="3446">
    <w:name w:val="列表型 112"/>
    <w:basedOn w:val="88"/>
    <w:qFormat/>
    <w:uiPriority w:val="0"/>
    <w:pPr>
      <w:widowControl w:val="0"/>
      <w:jc w:val="both"/>
    </w:pPr>
    <w:rPr>
      <w:rFonts w:ascii="Calibri" w:hAnsi="Calibri"/>
    </w:rPr>
    <w:tblPr>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cPr>
        <w:tcBorders>
          <w:top w:val="nil"/>
          <w:left w:val="single" w:color="000000" w:sz="6" w:space="0"/>
          <w:bottom w:val="nil"/>
          <w:right w:val="nil"/>
          <w:insideH w:val="nil"/>
          <w:insideV w:val="nil"/>
          <w:tl2br w:val="nil"/>
          <w:tr2bl w:val="nil"/>
        </w:tcBorders>
        <w:shd w:val="solid" w:color="C0C0C0" w:fill="FFFFFF"/>
      </w:tcPr>
    </w:tblStylePr>
    <w:tblStylePr w:type="lastRow">
      <w:tcPr>
        <w:tcBorders>
          <w:top w:val="single" w:color="000000" w:sz="6" w:space="0"/>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solid" w:color="C0C0C0" w:fill="FFFFFF"/>
      </w:tcPr>
    </w:tblStylePr>
    <w:tblStylePr w:type="band2Horz">
      <w:rPr>
        <w:color w:val="auto"/>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447">
    <w:name w:val="网格型62"/>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48">
    <w:name w:val="网格型3123"/>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49">
    <w:name w:val="网页型 313"/>
    <w:basedOn w:val="88"/>
    <w:semiHidden/>
    <w:qFormat/>
    <w:uiPriority w:val="0"/>
    <w:pPr>
      <w:widowControl w:val="0"/>
      <w:jc w:val="both"/>
    </w:pPr>
    <w:tblPr>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cPr>
      <w:shd w:val="clear" w:color="auto" w:fill="auto"/>
    </w:tcPr>
    <w:tblStylePr w:type="firstRow">
      <w:rPr>
        <w:color w:val="auto"/>
      </w:rPr>
      <w:tcPr>
        <w:tcBorders>
          <w:top w:val="nil"/>
          <w:left w:val="nil"/>
          <w:bottom w:val="nil"/>
          <w:right w:val="nil"/>
          <w:insideH w:val="nil"/>
          <w:insideV w:val="nil"/>
          <w:tl2br w:val="nil"/>
          <w:tr2bl w:val="nil"/>
        </w:tcBorders>
      </w:tcPr>
    </w:tblStylePr>
  </w:style>
  <w:style w:type="table" w:customStyle="1" w:styleId="3450">
    <w:name w:val="网格型412"/>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51">
    <w:name w:val="表格主题4112"/>
    <w:basedOn w:val="88"/>
    <w:qFormat/>
    <w:uiPriority w:val="0"/>
    <w:pPr>
      <w:widowControl w:val="0"/>
      <w:adjustRightInd w:val="0"/>
      <w:snapToGrid w:val="0"/>
      <w:jc w:val="center"/>
    </w:pPr>
    <w:rPr>
      <w:rFonts w:ascii="Calibri" w:hAnsi="Calibri"/>
      <w:sz w:val="24"/>
      <w:szCs w:val="24"/>
    </w:rPr>
    <w:tblPr>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rPr>
      <w:jc w:val="center"/>
    </w:trPr>
    <w:tcPr>
      <w:tcMar>
        <w:left w:w="28" w:type="dxa"/>
        <w:right w:w="28" w:type="dxa"/>
      </w:tcMar>
      <w:vAlign w:val="center"/>
    </w:tcPr>
    <w:tblStylePr w:type="firstRow">
      <w:pPr>
        <w:wordWrap/>
        <w:spacing w:beforeLines="0" w:beforeAutospacing="0" w:afterLines="0" w:afterAutospacing="0" w:line="240" w:lineRule="auto"/>
        <w:ind w:left="0" w:leftChars="0" w:right="0" w:rightChars="0"/>
      </w:pPr>
      <w:rPr>
        <w:rFonts w:ascii="Times New Roman" w:hAnsi="Times New Roman" w:eastAsia="Swis721 BT"/>
        <w:sz w:val="21"/>
      </w:rPr>
      <w:tcPr>
        <w:tcBorders>
          <w:top w:val="single" w:color="auto" w:sz="12" w:space="0"/>
          <w:left w:val="single" w:color="auto" w:sz="4" w:space="0"/>
          <w:bottom w:val="single" w:color="auto" w:sz="12" w:space="0"/>
          <w:right w:val="single" w:color="auto" w:sz="12" w:space="0"/>
          <w:insideH w:val="single" w:sz="4" w:space="0"/>
          <w:insideV w:val="single" w:sz="4" w:space="0"/>
          <w:tl2br w:val="nil"/>
          <w:tr2bl w:val="nil"/>
        </w:tcBorders>
      </w:tcPr>
    </w:tblStylePr>
    <w:tblStylePr w:type="firstCol">
      <w:pPr>
        <w:keepNext w:val="0"/>
        <w:keepLines w:val="0"/>
        <w:pageBreakBefore w:val="0"/>
        <w:widowControl w:val="0"/>
        <w:suppressLineNumbers w:val="0"/>
        <w:suppressAutoHyphens w:val="0"/>
        <w:wordWrap/>
        <w:spacing w:beforeLines="0" w:beforeAutospacing="0" w:afterLines="0" w:afterAutospacing="0" w:line="240" w:lineRule="auto"/>
        <w:ind w:left="0" w:leftChars="0" w:right="0" w:rightChars="0"/>
      </w:pPr>
      <w:rPr>
        <w:rFonts w:ascii="Times New Roman" w:hAnsi="Times New Roman" w:eastAsia="Swis721 BT"/>
        <w:b w:val="0"/>
        <w:sz w:val="21"/>
      </w:rPr>
    </w:tblStylePr>
  </w:style>
  <w:style w:type="table" w:customStyle="1" w:styleId="3452">
    <w:name w:val="网格型1411"/>
    <w:basedOn w:val="88"/>
    <w:qFormat/>
    <w:uiPriority w:val="59"/>
    <w:rPr>
      <w:rFonts w:ascii="Calibri" w:hAnsi="Calibri"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53">
    <w:name w:val="网格型342"/>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54">
    <w:name w:val="网格型311122"/>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55">
    <w:name w:val="网格型232"/>
    <w:basedOn w:val="88"/>
    <w:qFormat/>
    <w:uiPriority w:val="0"/>
    <w:pPr>
      <w:widowControl w:val="0"/>
      <w:jc w:val="both"/>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56">
    <w:name w:val="竖列型 113"/>
    <w:basedOn w:val="88"/>
    <w:semiHidden/>
    <w:qFormat/>
    <w:uiPriority w:val="0"/>
    <w:pPr>
      <w:widowControl w:val="0"/>
      <w:jc w:val="both"/>
    </w:pPr>
    <w:rPr>
      <w:b/>
      <w:bCs/>
    </w:rPr>
    <w:tblPr>
      <w:tblBorders>
        <w:top w:val="single" w:color="000000" w:sz="12" w:space="0"/>
        <w:left w:val="single" w:color="000000" w:sz="12" w:space="0"/>
        <w:bottom w:val="single" w:color="000000" w:sz="12" w:space="0"/>
        <w:right w:val="single" w:color="000000" w:sz="12" w:space="0"/>
      </w:tblBorders>
    </w:tblPr>
    <w:tblStylePr w:type="firstRow">
      <w:rPr>
        <w:b w:val="0"/>
        <w:bCs w:val="0"/>
      </w:rPr>
      <w:tcPr>
        <w:tcBorders>
          <w:top w:val="nil"/>
          <w:left w:val="double" w:color="000000" w:sz="6" w:space="0"/>
          <w:bottom w:val="nil"/>
          <w:right w:val="nil"/>
          <w:insideH w:val="nil"/>
          <w:insideV w:val="nil"/>
          <w:tl2br w:val="nil"/>
          <w:tr2bl w:val="nil"/>
        </w:tcBorders>
      </w:tcPr>
    </w:tblStylePr>
    <w:tblStylePr w:type="lastRow">
      <w:rPr>
        <w:b w:val="0"/>
        <w:bCs w:val="0"/>
      </w:rPr>
      <w:tcPr>
        <w:tcBorders>
          <w:top w:val="nil"/>
          <w:left w:val="nil"/>
          <w:bottom w:val="nil"/>
          <w:right w:val="nil"/>
          <w:insideH w:val="nil"/>
          <w:insideV w:val="nil"/>
          <w:tl2br w:val="nil"/>
          <w:tr2bl w:val="nil"/>
        </w:tcBorders>
      </w:tcPr>
    </w:tblStylePr>
    <w:tblStylePr w:type="firstCol">
      <w:rPr>
        <w:b w:val="0"/>
        <w:bCs w:val="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band1Vert">
      <w:rPr>
        <w:color w:val="auto"/>
      </w:rPr>
      <w:tcPr>
        <w:shd w:val="pct25" w:color="000000" w:fill="FFFFFF"/>
      </w:tcPr>
    </w:tblStylePr>
    <w:tblStylePr w:type="band2Vert">
      <w:rPr>
        <w:color w:val="auto"/>
      </w:rPr>
      <w:tcPr>
        <w:shd w:val="pct25" w:color="FFFF00" w:fill="FFFFFF"/>
      </w:tcPr>
    </w:tblStylePr>
    <w:tblStylePr w:type="neCell">
      <w:rPr>
        <w:b/>
        <w:bCs/>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457">
    <w:name w:val="竖列型 413"/>
    <w:basedOn w:val="88"/>
    <w:semiHidden/>
    <w:qFormat/>
    <w:uiPriority w:val="0"/>
    <w:pPr>
      <w:widowControl w:val="0"/>
      <w:jc w:val="both"/>
    </w:pPr>
    <w:tblStylePr w:type="firstRow">
      <w:rPr>
        <w:color w:val="FFFFFF"/>
      </w:rPr>
      <w:tcPr>
        <w:tcBorders>
          <w:top w:val="nil"/>
          <w:left w:val="nil"/>
          <w:bottom w:val="nil"/>
          <w:right w:val="nil"/>
          <w:insideH w:val="nil"/>
          <w:insideV w:val="nil"/>
          <w:tl2br w:val="nil"/>
          <w:tr2bl w:val="nil"/>
        </w:tcBorders>
        <w:shd w:val="solid" w:color="000000" w:fill="FFFFFF"/>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Vert">
      <w:rPr>
        <w:color w:val="auto"/>
      </w:rPr>
      <w:tcPr>
        <w:shd w:val="pct50" w:color="008080" w:fill="FFFFFF"/>
      </w:tcPr>
    </w:tblStylePr>
    <w:tblStylePr w:type="band2Vert">
      <w:rPr>
        <w:color w:val="auto"/>
      </w:rPr>
      <w:tcPr>
        <w:shd w:val="pct10" w:color="000000" w:fill="FFFFFF"/>
      </w:tcPr>
    </w:tblStylePr>
  </w:style>
  <w:style w:type="table" w:customStyle="1" w:styleId="3458">
    <w:name w:val="网格型112"/>
    <w:basedOn w:val="88"/>
    <w:qFormat/>
    <w:uiPriority w:val="59"/>
    <w:rPr>
      <w:rFonts w:ascii="Calibri" w:hAnsi="Calibri"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59">
    <w:name w:val="网格型19"/>
    <w:basedOn w:val="88"/>
    <w:qFormat/>
    <w:uiPriority w:val="0"/>
    <w:pPr>
      <w:widowControl w:val="0"/>
      <w:spacing w:line="300" w:lineRule="exact"/>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60">
    <w:name w:val="网格型 61"/>
    <w:basedOn w:val="88"/>
    <w:semiHidden/>
    <w:qFormat/>
    <w:uiPriority w:val="0"/>
    <w:pPr>
      <w:widowControl w:val="0"/>
      <w:jc w:val="both"/>
    </w:pPr>
    <w:tblPr>
      <w:tblBorders>
        <w:top w:val="single" w:color="000000" w:sz="12" w:space="0"/>
        <w:left w:val="single" w:color="000000" w:sz="12" w:space="0"/>
        <w:bottom w:val="single" w:color="000000" w:sz="12" w:space="0"/>
        <w:right w:val="single" w:color="000000" w:sz="12" w:space="0"/>
        <w:insideV w:val="single" w:color="000000" w:sz="6" w:space="0"/>
      </w:tblBorders>
    </w:tblPr>
    <w:tcPr>
      <w:shd w:val="clear" w:color="auto" w:fill="auto"/>
    </w:tcPr>
    <w:tblStylePr w:type="firstRow">
      <w:rPr>
        <w:b/>
        <w:b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461">
    <w:name w:val="古典型 421"/>
    <w:basedOn w:val="88"/>
    <w:qFormat/>
    <w:uiPriority w:val="0"/>
    <w:pPr>
      <w:widowControl w:val="0"/>
      <w:spacing w:line="560" w:lineRule="exact"/>
      <w:ind w:firstLine="200" w:firstLineChars="200"/>
      <w:jc w:val="both"/>
    </w:pPr>
    <w:rPr>
      <w:rFonts w:ascii="Calibri" w:hAnsi="Calibri"/>
    </w:rPr>
    <w:tblPr>
      <w:tblBorders>
        <w:top w:val="single" w:color="000000" w:sz="12" w:space="0"/>
        <w:left w:val="single" w:color="000000" w:sz="6" w:space="0"/>
        <w:bottom w:val="single" w:color="000000" w:sz="12" w:space="0"/>
        <w:right w:val="single" w:color="000000" w:sz="6" w:space="0"/>
      </w:tblBorders>
    </w:tblPr>
    <w:tcPr>
      <w:shd w:val="clear" w:color="auto" w:fill="auto"/>
    </w:tcPr>
    <w:tblStylePr w:type="firstRow">
      <w:rPr>
        <w:b/>
        <w:bCs/>
        <w:i/>
        <w:iCs/>
        <w:color w:val="FFFFFF"/>
      </w:rPr>
      <w:tcPr>
        <w:tcBorders>
          <w:top w:val="nil"/>
          <w:left w:val="single" w:color="000000" w:sz="6" w:space="0"/>
          <w:bottom w:val="nil"/>
          <w:right w:val="nil"/>
          <w:insideH w:val="nil"/>
          <w:insideV w:val="nil"/>
          <w:tl2br w:val="nil"/>
          <w:tr2bl w:val="nil"/>
        </w:tcBorders>
        <w:shd w:val="pct50" w:color="000080" w:fill="FFFFFF"/>
      </w:tcPr>
    </w:tblStylePr>
    <w:tblStylePr w:type="lastRow">
      <w:rPr>
        <w:color w:val="000080"/>
      </w:rPr>
      <w:tcPr>
        <w:tcBorders>
          <w:top w:val="nil"/>
          <w:left w:val="single" w:color="000000" w:sz="6" w:space="0"/>
          <w:bottom w:val="nil"/>
          <w:right w:val="nil"/>
          <w:insideH w:val="nil"/>
          <w:insideV w:val="nil"/>
          <w:tl2br w:val="nil"/>
          <w:tr2bl w:val="nil"/>
        </w:tcBorders>
        <w:shd w:val="pct50" w:color="000000" w:fill="FFFFFF"/>
      </w:tcPr>
    </w:tblStylePr>
    <w:tblStylePr w:type="firstCol">
      <w:rPr>
        <w:b/>
        <w:bCs/>
      </w:rPr>
      <w:tcPr>
        <w:tcBorders>
          <w:top w:val="nil"/>
          <w:left w:val="nil"/>
          <w:bottom w:val="nil"/>
          <w:right w:val="nil"/>
          <w:insideH w:val="nil"/>
          <w:insideV w:val="nil"/>
          <w:tl2br w:val="nil"/>
          <w:tr2bl w:val="nil"/>
        </w:tcBorders>
      </w:tcPr>
    </w:tblStylePr>
    <w:tblStylePr w:type="nwCell">
      <w:rPr>
        <w:b/>
        <w:bCs/>
      </w:rPr>
      <w:tcPr>
        <w:tcBorders>
          <w:top w:val="nil"/>
          <w:left w:val="nil"/>
          <w:bottom w:val="nil"/>
          <w:right w:val="nil"/>
          <w:insideH w:val="nil"/>
          <w:insideV w:val="nil"/>
          <w:tl2br w:val="nil"/>
          <w:tr2bl w:val="nil"/>
        </w:tcBorders>
      </w:tcPr>
    </w:tblStylePr>
    <w:tblStylePr w:type="swCell">
      <w:rPr>
        <w:color w:val="000080"/>
      </w:rPr>
      <w:tcPr>
        <w:tcBorders>
          <w:top w:val="nil"/>
          <w:left w:val="nil"/>
          <w:bottom w:val="nil"/>
          <w:right w:val="nil"/>
          <w:insideH w:val="nil"/>
          <w:insideV w:val="nil"/>
          <w:tl2br w:val="nil"/>
          <w:tr2bl w:val="nil"/>
        </w:tcBorders>
      </w:tcPr>
    </w:tblStylePr>
  </w:style>
  <w:style w:type="table" w:customStyle="1" w:styleId="3462">
    <w:name w:val="网格型 63"/>
    <w:basedOn w:val="88"/>
    <w:qFormat/>
    <w:uiPriority w:val="0"/>
    <w:pPr>
      <w:widowControl w:val="0"/>
      <w:spacing w:line="560" w:lineRule="exact"/>
      <w:ind w:firstLine="200" w:firstLineChars="200"/>
      <w:jc w:val="both"/>
    </w:pPr>
    <w:rPr>
      <w:rFonts w:ascii="Calibri" w:hAnsi="Calibri"/>
    </w:rPr>
    <w:tblPr>
      <w:tblBorders>
        <w:top w:val="single" w:color="000000" w:sz="12" w:space="0"/>
        <w:left w:val="single" w:color="000000" w:sz="12" w:space="0"/>
        <w:bottom w:val="single" w:color="000000" w:sz="12" w:space="0"/>
        <w:right w:val="single" w:color="000000" w:sz="12" w:space="0"/>
        <w:insideV w:val="single" w:color="000000" w:sz="6" w:space="0"/>
      </w:tblBorders>
    </w:tblPr>
    <w:tcPr>
      <w:shd w:val="clear" w:color="auto" w:fill="auto"/>
    </w:tcPr>
    <w:tblStylePr w:type="firstRow">
      <w:rPr>
        <w:b/>
        <w:b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463">
    <w:name w:val="网格型211"/>
    <w:basedOn w:val="88"/>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64">
    <w:name w:val="网格型 421"/>
    <w:basedOn w:val="88"/>
    <w:qFormat/>
    <w:uiPriority w:val="0"/>
    <w:pPr>
      <w:widowControl w:val="0"/>
      <w:spacing w:line="560" w:lineRule="exact"/>
      <w:ind w:firstLine="200" w:firstLineChars="200"/>
      <w:jc w:val="both"/>
    </w:pPr>
    <w:rPr>
      <w:rFonts w:ascii="Calibri" w:hAnsi="Calibri"/>
    </w:rPr>
    <w:tblPr>
      <w:tblBorders>
        <w:left w:val="single" w:color="000000" w:sz="12" w:space="0"/>
        <w:right w:val="single" w:color="000000" w:sz="12" w:space="0"/>
        <w:insideH w:val="single" w:color="000000" w:sz="6" w:space="0"/>
        <w:insideV w:val="single" w:color="000000" w:sz="6" w:space="0"/>
      </w:tblBorders>
    </w:tblPr>
    <w:tcPr>
      <w:shd w:val="clear" w:color="auto" w:fill="auto"/>
    </w:tcPr>
    <w:tblStylePr w:type="firstRow">
      <w:rPr>
        <w:color w:val="auto"/>
      </w:rPr>
      <w:tcPr>
        <w:tcBorders>
          <w:top w:val="nil"/>
          <w:left w:val="single" w:color="000000" w:sz="6" w:space="0"/>
          <w:bottom w:val="nil"/>
          <w:right w:val="nil"/>
          <w:insideH w:val="nil"/>
          <w:insideV w:val="nil"/>
          <w:tl2br w:val="nil"/>
          <w:tr2bl w:val="nil"/>
        </w:tcBorders>
        <w:shd w:val="pct30" w:color="FFFF00" w:fill="FFFFFF"/>
      </w:tcPr>
    </w:tblStylePr>
    <w:tblStylePr w:type="lastRow">
      <w:rPr>
        <w:b/>
        <w:bCs/>
        <w:color w:val="auto"/>
      </w:rPr>
      <w:tcPr>
        <w:tcBorders>
          <w:top w:val="single" w:color="000000" w:sz="6" w:space="0"/>
          <w:left w:val="nil"/>
          <w:bottom w:val="nil"/>
          <w:right w:val="nil"/>
          <w:insideH w:val="nil"/>
          <w:insideV w:val="nil"/>
          <w:tl2br w:val="nil"/>
          <w:tr2bl w:val="nil"/>
        </w:tcBorders>
        <w:shd w:val="pct30" w:color="FFFF00" w:fill="FFFFFF"/>
      </w:tcPr>
    </w:tblStylePr>
    <w:tblStylePr w:type="lastCol">
      <w:rPr>
        <w:b/>
        <w:bCs/>
        <w:color w:val="auto"/>
      </w:rPr>
      <w:tcPr>
        <w:tcBorders>
          <w:top w:val="nil"/>
          <w:left w:val="nil"/>
          <w:bottom w:val="nil"/>
          <w:right w:val="nil"/>
          <w:insideH w:val="nil"/>
          <w:insideV w:val="nil"/>
          <w:tl2br w:val="nil"/>
          <w:tr2bl w:val="nil"/>
        </w:tcBorders>
      </w:tcPr>
    </w:tblStylePr>
  </w:style>
  <w:style w:type="table" w:customStyle="1" w:styleId="3465">
    <w:name w:val="网格型 64"/>
    <w:basedOn w:val="88"/>
    <w:qFormat/>
    <w:uiPriority w:val="0"/>
    <w:pPr>
      <w:widowControl w:val="0"/>
      <w:spacing w:line="560" w:lineRule="exact"/>
      <w:ind w:firstLine="200" w:firstLineChars="200"/>
      <w:jc w:val="both"/>
    </w:pPr>
    <w:rPr>
      <w:rFonts w:ascii="Calibri" w:hAnsi="Calibri"/>
    </w:rPr>
    <w:tblPr>
      <w:tblBorders>
        <w:top w:val="single" w:color="000000" w:sz="12" w:space="0"/>
        <w:left w:val="single" w:color="000000" w:sz="12" w:space="0"/>
        <w:bottom w:val="single" w:color="000000" w:sz="12" w:space="0"/>
        <w:right w:val="single" w:color="000000" w:sz="12" w:space="0"/>
        <w:insideV w:val="single" w:color="000000" w:sz="6" w:space="0"/>
      </w:tblBorders>
    </w:tblPr>
    <w:tcPr>
      <w:shd w:val="clear" w:color="auto" w:fill="auto"/>
    </w:tcPr>
    <w:tblStylePr w:type="firstRow">
      <w:rPr>
        <w:b/>
        <w:b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466">
    <w:name w:val="简明型 13"/>
    <w:basedOn w:val="88"/>
    <w:qFormat/>
    <w:uiPriority w:val="0"/>
    <w:pPr>
      <w:widowControl w:val="0"/>
      <w:spacing w:line="560" w:lineRule="exact"/>
      <w:ind w:firstLine="200" w:firstLineChars="200"/>
      <w:jc w:val="both"/>
    </w:pPr>
    <w:rPr>
      <w:rFonts w:ascii="Calibri" w:hAnsi="Calibri"/>
    </w:rPr>
    <w:tblPr>
      <w:tblBorders>
        <w:top w:val="single" w:color="008000" w:sz="12" w:space="0"/>
        <w:bottom w:val="single" w:color="008000" w:sz="12" w:space="0"/>
      </w:tblBorders>
    </w:tblPr>
    <w:tcPr>
      <w:shd w:val="clear" w:color="auto" w:fill="auto"/>
    </w:tcPr>
    <w:tblStylePr w:type="firstRow">
      <w:tcPr>
        <w:tcBorders>
          <w:top w:val="nil"/>
          <w:left w:val="single" w:color="008000" w:sz="6" w:space="0"/>
          <w:bottom w:val="nil"/>
          <w:right w:val="nil"/>
          <w:insideH w:val="nil"/>
          <w:insideV w:val="nil"/>
          <w:tl2br w:val="nil"/>
          <w:tr2bl w:val="nil"/>
        </w:tcBorders>
      </w:tcPr>
    </w:tblStylePr>
    <w:tblStylePr w:type="lastRow">
      <w:tcPr>
        <w:tcBorders>
          <w:top w:val="single" w:color="008000" w:sz="6" w:space="0"/>
          <w:left w:val="nil"/>
          <w:bottom w:val="nil"/>
          <w:right w:val="nil"/>
          <w:insideH w:val="nil"/>
          <w:insideV w:val="nil"/>
          <w:tl2br w:val="nil"/>
          <w:tr2bl w:val="nil"/>
        </w:tcBorders>
      </w:tcPr>
    </w:tblStylePr>
  </w:style>
  <w:style w:type="table" w:customStyle="1" w:styleId="3467">
    <w:name w:val="列表型 312"/>
    <w:basedOn w:val="88"/>
    <w:semiHidden/>
    <w:qFormat/>
    <w:uiPriority w:val="0"/>
    <w:pPr>
      <w:widowControl w:val="0"/>
      <w:jc w:val="both"/>
    </w:pPr>
    <w:rPr>
      <w:rFonts w:ascii="Calibri" w:hAnsi="Calibri"/>
    </w:rPr>
    <w:tblPr>
      <w:tblBorders>
        <w:top w:val="single" w:color="000000" w:sz="12" w:space="0"/>
        <w:bottom w:val="single" w:color="000000" w:sz="12" w:space="0"/>
        <w:insideH w:val="single" w:color="000000" w:sz="6" w:space="0"/>
      </w:tblBorders>
    </w:tblPr>
    <w:tcPr>
      <w:shd w:val="clear" w:color="auto" w:fill="auto"/>
    </w:tcPr>
    <w:tblStylePr w:type="firstRow">
      <w:rPr>
        <w:b/>
        <w:bCs/>
        <w:color w:val="000080"/>
      </w:rPr>
      <w:tcPr>
        <w:tcBorders>
          <w:top w:val="nil"/>
          <w:left w:val="single" w:color="000000" w:sz="12" w:space="0"/>
          <w:bottom w:val="nil"/>
          <w:right w:val="nil"/>
          <w:insideH w:val="nil"/>
          <w:insideV w:val="nil"/>
          <w:tl2br w:val="nil"/>
          <w:tr2bl w:val="nil"/>
        </w:tcBorders>
      </w:tcPr>
    </w:tblStylePr>
    <w:tblStylePr w:type="lastRow">
      <w:tcPr>
        <w:tcBorders>
          <w:top w:val="single" w:color="000000" w:sz="12" w:space="0"/>
          <w:left w:val="nil"/>
          <w:bottom w:val="nil"/>
          <w:right w:val="nil"/>
          <w:insideH w:val="nil"/>
          <w:insideV w:val="nil"/>
          <w:tl2br w:val="nil"/>
          <w:tr2bl w:val="nil"/>
        </w:tcBorders>
      </w:tcPr>
    </w:tblStylePr>
    <w:tblStylePr w:type="swCell">
      <w:rPr>
        <w:i/>
        <w:iCs/>
        <w:color w:val="000080"/>
      </w:rPr>
      <w:tcPr>
        <w:tcBorders>
          <w:top w:val="nil"/>
          <w:left w:val="nil"/>
          <w:bottom w:val="nil"/>
          <w:right w:val="nil"/>
          <w:insideH w:val="nil"/>
          <w:insideV w:val="nil"/>
          <w:tl2br w:val="nil"/>
          <w:tr2bl w:val="nil"/>
        </w:tcBorders>
      </w:tcPr>
    </w:tblStylePr>
  </w:style>
  <w:style w:type="table" w:customStyle="1" w:styleId="3468">
    <w:name w:val="网页型 24"/>
    <w:basedOn w:val="88"/>
    <w:qFormat/>
    <w:uiPriority w:val="0"/>
    <w:pPr>
      <w:widowControl w:val="0"/>
      <w:spacing w:line="560" w:lineRule="exact"/>
      <w:ind w:firstLine="200" w:firstLineChars="200"/>
      <w:jc w:val="both"/>
    </w:pPr>
    <w:rPr>
      <w:rFonts w:ascii="Calibri" w:hAnsi="Calibri"/>
    </w:rPr>
    <w:tblPr>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cPr>
      <w:shd w:val="clear" w:color="auto" w:fill="auto"/>
    </w:tcPr>
    <w:tblStylePr w:type="firstRow">
      <w:rPr>
        <w:color w:val="auto"/>
      </w:rPr>
      <w:tcPr>
        <w:tcBorders>
          <w:top w:val="nil"/>
          <w:left w:val="nil"/>
          <w:bottom w:val="nil"/>
          <w:right w:val="nil"/>
          <w:insideH w:val="nil"/>
          <w:insideV w:val="nil"/>
          <w:tl2br w:val="nil"/>
          <w:tr2bl w:val="nil"/>
        </w:tcBorders>
      </w:tcPr>
    </w:tblStylePr>
  </w:style>
  <w:style w:type="table" w:customStyle="1" w:styleId="3469">
    <w:name w:val="竖列型 13"/>
    <w:basedOn w:val="88"/>
    <w:qFormat/>
    <w:uiPriority w:val="0"/>
    <w:pPr>
      <w:widowControl w:val="0"/>
      <w:spacing w:line="560" w:lineRule="exact"/>
      <w:ind w:firstLine="200" w:firstLineChars="200"/>
      <w:jc w:val="both"/>
    </w:pPr>
    <w:rPr>
      <w:rFonts w:ascii="Calibri" w:hAnsi="Calibri"/>
      <w:b/>
      <w:bCs/>
    </w:rPr>
    <w:tblPr>
      <w:tblBorders>
        <w:top w:val="single" w:color="000000" w:sz="12" w:space="0"/>
        <w:left w:val="single" w:color="000000" w:sz="12" w:space="0"/>
        <w:bottom w:val="single" w:color="000000" w:sz="12" w:space="0"/>
        <w:right w:val="single" w:color="000000" w:sz="12" w:space="0"/>
      </w:tblBorders>
    </w:tblPr>
    <w:tblStylePr w:type="firstRow">
      <w:rPr>
        <w:b w:val="0"/>
        <w:bCs w:val="0"/>
      </w:rPr>
      <w:tcPr>
        <w:tcBorders>
          <w:top w:val="nil"/>
          <w:left w:val="double" w:color="000000" w:sz="6" w:space="0"/>
          <w:bottom w:val="nil"/>
          <w:right w:val="nil"/>
          <w:insideH w:val="nil"/>
          <w:insideV w:val="nil"/>
          <w:tl2br w:val="nil"/>
          <w:tr2bl w:val="nil"/>
        </w:tcBorders>
      </w:tcPr>
    </w:tblStylePr>
    <w:tblStylePr w:type="lastRow">
      <w:rPr>
        <w:b w:val="0"/>
        <w:bCs w:val="0"/>
      </w:rPr>
      <w:tcPr>
        <w:tcBorders>
          <w:top w:val="nil"/>
          <w:left w:val="nil"/>
          <w:bottom w:val="nil"/>
          <w:right w:val="nil"/>
          <w:insideH w:val="nil"/>
          <w:insideV w:val="nil"/>
          <w:tl2br w:val="nil"/>
          <w:tr2bl w:val="nil"/>
        </w:tcBorders>
      </w:tcPr>
    </w:tblStylePr>
    <w:tblStylePr w:type="firstCol">
      <w:rPr>
        <w:b w:val="0"/>
        <w:bCs w:val="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band1Vert">
      <w:rPr>
        <w:color w:val="auto"/>
      </w:rPr>
      <w:tcPr>
        <w:shd w:val="pct25" w:color="000000" w:fill="FFFFFF"/>
      </w:tcPr>
    </w:tblStylePr>
    <w:tblStylePr w:type="band2Vert">
      <w:rPr>
        <w:color w:val="auto"/>
      </w:rPr>
      <w:tcPr>
        <w:shd w:val="pct25" w:color="FFFF00" w:fill="FFFFFF"/>
      </w:tcPr>
    </w:tblStylePr>
    <w:tblStylePr w:type="neCell">
      <w:rPr>
        <w:b/>
        <w:bCs/>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470">
    <w:name w:val="表格主题13"/>
    <w:basedOn w:val="88"/>
    <w:qFormat/>
    <w:uiPriority w:val="0"/>
    <w:pPr>
      <w:widowControl w:val="0"/>
      <w:adjustRightInd w:val="0"/>
      <w:snapToGrid w:val="0"/>
      <w:jc w:val="center"/>
    </w:pPr>
    <w:rPr>
      <w:sz w:val="24"/>
      <w:szCs w:val="24"/>
    </w:rPr>
    <w:tblPr>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rPr>
      <w:jc w:val="center"/>
    </w:trPr>
    <w:tcPr>
      <w:tcMar>
        <w:left w:w="28" w:type="dxa"/>
        <w:right w:w="28" w:type="dxa"/>
      </w:tcMar>
      <w:vAlign w:val="center"/>
    </w:tcPr>
    <w:tblStylePr w:type="firstRow">
      <w:pPr>
        <w:wordWrap/>
        <w:spacing w:beforeLines="0" w:beforeAutospacing="0" w:afterLines="0" w:afterAutospacing="0" w:line="240" w:lineRule="auto"/>
        <w:ind w:left="0" w:leftChars="0" w:right="0" w:rightChars="0"/>
      </w:pPr>
      <w:rPr>
        <w:rFonts w:ascii="Times New Roman" w:hAnsi="Times New Roman" w:eastAsia="Candara"/>
        <w:sz w:val="21"/>
      </w:rPr>
      <w:tcPr>
        <w:tcBorders>
          <w:top w:val="single" w:color="auto" w:sz="12" w:space="0"/>
          <w:left w:val="single" w:color="auto" w:sz="4" w:space="0"/>
          <w:bottom w:val="single" w:color="auto" w:sz="12" w:space="0"/>
          <w:right w:val="single" w:color="auto" w:sz="12" w:space="0"/>
          <w:insideH w:val="single" w:sz="4" w:space="0"/>
          <w:insideV w:val="single" w:sz="4" w:space="0"/>
          <w:tl2br w:val="nil"/>
          <w:tr2bl w:val="nil"/>
        </w:tcBorders>
      </w:tcPr>
    </w:tblStylePr>
    <w:tblStylePr w:type="firstCol">
      <w:pPr>
        <w:keepNext w:val="0"/>
        <w:keepLines w:val="0"/>
        <w:pageBreakBefore w:val="0"/>
        <w:widowControl w:val="0"/>
        <w:suppressLineNumbers w:val="0"/>
        <w:suppressAutoHyphens w:val="0"/>
        <w:wordWrap/>
        <w:spacing w:beforeLines="0" w:beforeAutospacing="0" w:afterLines="0" w:afterAutospacing="0" w:line="240" w:lineRule="auto"/>
        <w:ind w:left="0" w:leftChars="0" w:right="0" w:rightChars="0"/>
      </w:pPr>
      <w:rPr>
        <w:rFonts w:ascii="Times New Roman" w:hAnsi="Times New Roman" w:eastAsia="Candara"/>
        <w:b w:val="0"/>
        <w:sz w:val="21"/>
      </w:rPr>
    </w:tblStylePr>
  </w:style>
  <w:style w:type="table" w:customStyle="1" w:styleId="3471">
    <w:name w:val="网格型1912"/>
    <w:basedOn w:val="88"/>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72">
    <w:name w:val="网格型9"/>
    <w:basedOn w:val="88"/>
    <w:qFormat/>
    <w:uiPriority w:val="0"/>
    <w:pPr>
      <w:widowControl w:val="0"/>
      <w:spacing w:line="300" w:lineRule="exact"/>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73">
    <w:name w:val="网格型 412"/>
    <w:basedOn w:val="88"/>
    <w:semiHidden/>
    <w:qFormat/>
    <w:uiPriority w:val="0"/>
    <w:pPr>
      <w:widowControl w:val="0"/>
      <w:jc w:val="both"/>
    </w:pPr>
    <w:rPr>
      <w:rFonts w:ascii="Calibri" w:hAnsi="Calibri"/>
    </w:rPr>
    <w:tblPr>
      <w:tblBorders>
        <w:left w:val="single" w:color="000000" w:sz="12" w:space="0"/>
        <w:right w:val="single" w:color="000000" w:sz="12" w:space="0"/>
        <w:insideH w:val="single" w:color="000000" w:sz="6" w:space="0"/>
        <w:insideV w:val="single" w:color="000000" w:sz="6" w:space="0"/>
      </w:tblBorders>
    </w:tblPr>
    <w:tcPr>
      <w:shd w:val="clear" w:color="auto" w:fill="auto"/>
    </w:tcPr>
    <w:tblStylePr w:type="firstRow">
      <w:rPr>
        <w:color w:val="auto"/>
      </w:rPr>
      <w:tcPr>
        <w:tcBorders>
          <w:top w:val="nil"/>
          <w:left w:val="single" w:color="000000" w:sz="6" w:space="0"/>
          <w:bottom w:val="nil"/>
          <w:right w:val="nil"/>
          <w:insideH w:val="nil"/>
          <w:insideV w:val="nil"/>
          <w:tl2br w:val="nil"/>
          <w:tr2bl w:val="nil"/>
        </w:tcBorders>
        <w:shd w:val="pct30" w:color="FFFF00" w:fill="FFFFFF"/>
      </w:tcPr>
    </w:tblStylePr>
    <w:tblStylePr w:type="lastRow">
      <w:rPr>
        <w:b/>
        <w:bCs/>
        <w:color w:val="auto"/>
      </w:rPr>
      <w:tcPr>
        <w:tcBorders>
          <w:top w:val="single" w:color="000000" w:sz="6" w:space="0"/>
          <w:left w:val="nil"/>
          <w:bottom w:val="nil"/>
          <w:right w:val="nil"/>
          <w:insideH w:val="nil"/>
          <w:insideV w:val="nil"/>
          <w:tl2br w:val="nil"/>
          <w:tr2bl w:val="nil"/>
        </w:tcBorders>
        <w:shd w:val="pct30" w:color="FFFF00" w:fill="FFFFFF"/>
      </w:tcPr>
    </w:tblStylePr>
    <w:tblStylePr w:type="lastCol">
      <w:rPr>
        <w:b/>
        <w:bCs/>
        <w:color w:val="auto"/>
      </w:rPr>
      <w:tcPr>
        <w:tcBorders>
          <w:top w:val="nil"/>
          <w:left w:val="nil"/>
          <w:bottom w:val="nil"/>
          <w:right w:val="nil"/>
          <w:insideH w:val="nil"/>
          <w:insideV w:val="nil"/>
          <w:tl2br w:val="nil"/>
          <w:tr2bl w:val="nil"/>
        </w:tcBorders>
      </w:tcPr>
    </w:tblStylePr>
  </w:style>
  <w:style w:type="table" w:customStyle="1" w:styleId="3474">
    <w:name w:val="古典型 211"/>
    <w:basedOn w:val="88"/>
    <w:semiHidden/>
    <w:qFormat/>
    <w:uiPriority w:val="0"/>
    <w:pPr>
      <w:widowControl w:val="0"/>
      <w:jc w:val="both"/>
    </w:pPr>
    <w:rPr>
      <w:rFonts w:ascii="Calibri" w:hAnsi="Calibri"/>
    </w:rPr>
    <w:tblPr>
      <w:tblBorders>
        <w:top w:val="single" w:color="000000" w:sz="12" w:space="0"/>
        <w:bottom w:val="single" w:color="000000" w:sz="12" w:space="0"/>
      </w:tblBorders>
    </w:tblPr>
    <w:tcPr>
      <w:shd w:val="clear" w:color="auto" w:fill="auto"/>
    </w:tcPr>
    <w:tblStylePr w:type="firstRow">
      <w:rPr>
        <w:color w:val="FFFFFF"/>
      </w:rPr>
      <w:tcPr>
        <w:tcBorders>
          <w:top w:val="nil"/>
          <w:left w:val="single" w:color="000000" w:sz="6" w:space="0"/>
          <w:bottom w:val="nil"/>
          <w:right w:val="nil"/>
          <w:insideH w:val="nil"/>
          <w:insideV w:val="nil"/>
          <w:tl2br w:val="nil"/>
          <w:tr2bl w:val="nil"/>
        </w:tcBorders>
        <w:shd w:val="solid" w:color="800080" w:fill="FFFFFF"/>
      </w:tcPr>
    </w:tblStylePr>
    <w:tblStylePr w:type="lastRow">
      <w:tcPr>
        <w:tcBorders>
          <w:top w:val="single" w:color="000000" w:sz="6"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shd w:val="solid" w:color="C0C0C0" w:fill="FFFFFF"/>
      </w:tcPr>
    </w:tblStylePr>
    <w:tblStylePr w:type="neCel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nil"/>
          <w:tr2bl w:val="nil"/>
        </w:tcBorders>
        <w:shd w:val="solid" w:color="800080" w:fill="FFFFFF"/>
      </w:tcPr>
    </w:tblStylePr>
    <w:tblStylePr w:type="swCell">
      <w:rPr>
        <w:color w:val="000080"/>
      </w:rPr>
      <w:tcPr>
        <w:tcBorders>
          <w:top w:val="nil"/>
          <w:left w:val="nil"/>
          <w:bottom w:val="nil"/>
          <w:right w:val="nil"/>
          <w:insideH w:val="nil"/>
          <w:insideV w:val="nil"/>
          <w:tl2br w:val="nil"/>
          <w:tr2bl w:val="nil"/>
        </w:tcBorders>
      </w:tcPr>
    </w:tblStylePr>
  </w:style>
  <w:style w:type="table" w:customStyle="1" w:styleId="3475">
    <w:name w:val="网格型192"/>
    <w:basedOn w:val="88"/>
    <w:qFormat/>
    <w:uiPriority w:val="0"/>
    <w:pPr>
      <w:widowControl w:val="0"/>
      <w:spacing w:line="300" w:lineRule="exact"/>
      <w:jc w:val="both"/>
      <w:textAlignment w:val="baseline"/>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76">
    <w:name w:val="表格网格型1"/>
    <w:basedOn w:val="88"/>
    <w:qFormat/>
    <w:uiPriority w:val="0"/>
    <w:rPr>
      <w:rFonts w:ascii="Calibri" w:hAnsi="Calibri" w:eastAsia="宋体" w:cs="Times New Roman"/>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77">
    <w:name w:val="网格型35"/>
    <w:basedOn w:val="88"/>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78">
    <w:name w:val="列表型 511"/>
    <w:basedOn w:val="88"/>
    <w:semiHidden/>
    <w:qFormat/>
    <w:uiPriority w:val="0"/>
    <w:pPr>
      <w:widowControl w:val="0"/>
      <w:jc w:val="both"/>
    </w:pPr>
    <w:rPr>
      <w:rFonts w:ascii="Calibri" w:hAnsi="Calibri"/>
    </w:rPr>
    <w:tblPr>
      <w:tblBorders>
        <w:top w:val="single" w:color="000000" w:sz="6" w:space="0"/>
        <w:left w:val="single" w:color="000000" w:sz="6" w:space="0"/>
        <w:bottom w:val="single" w:color="000000" w:sz="6" w:space="0"/>
        <w:right w:val="single" w:color="000000" w:sz="6" w:space="0"/>
        <w:insideH w:val="single" w:color="000000" w:sz="6" w:space="0"/>
      </w:tblBorders>
    </w:tblPr>
    <w:tcPr>
      <w:shd w:val="clear" w:color="auto" w:fill="auto"/>
    </w:tcPr>
    <w:tblStylePr w:type="firstRow">
      <w:rPr>
        <w:b/>
        <w:bCs/>
      </w:rPr>
      <w:tcPr>
        <w:tcBorders>
          <w:top w:val="nil"/>
          <w:left w:val="single" w:color="000000" w:sz="12" w:space="0"/>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style>
  <w:style w:type="table" w:customStyle="1" w:styleId="3479">
    <w:name w:val="古典型 11"/>
    <w:basedOn w:val="88"/>
    <w:semiHidden/>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480">
    <w:name w:val="Table Normal"/>
    <w:unhideWhenUsed/>
    <w:qFormat/>
    <w:uiPriority w:val="0"/>
    <w:pPr>
      <w:widowControl w:val="0"/>
    </w:pPr>
    <w:rPr>
      <w:rFonts w:ascii="Calibri" w:hAnsi="Calibri"/>
      <w:sz w:val="22"/>
      <w:szCs w:val="22"/>
      <w:lang w:val="en-US" w:eastAsia="en-US" w:bidi="ar-SA"/>
    </w:rPr>
    <w:tblPr>
      <w:tblCellMar>
        <w:top w:w="0" w:type="dxa"/>
        <w:left w:w="0" w:type="dxa"/>
        <w:bottom w:w="0" w:type="dxa"/>
        <w:right w:w="0" w:type="dxa"/>
      </w:tblCellMar>
    </w:tblPr>
  </w:style>
  <w:style w:type="table" w:customStyle="1" w:styleId="3481">
    <w:name w:val="表格主题1111"/>
    <w:basedOn w:val="88"/>
    <w:qFormat/>
    <w:uiPriority w:val="0"/>
    <w:pPr>
      <w:widowControl w:val="0"/>
      <w:adjustRightInd w:val="0"/>
      <w:snapToGrid w:val="0"/>
      <w:jc w:val="center"/>
    </w:pPr>
    <w:rPr>
      <w:rFonts w:ascii="Calibri" w:hAnsi="Calibri"/>
      <w:sz w:val="24"/>
      <w:szCs w:val="24"/>
    </w:rPr>
    <w:tblPr>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rPr>
      <w:jc w:val="center"/>
    </w:trPr>
    <w:tcPr>
      <w:tcMar>
        <w:left w:w="28" w:type="dxa"/>
        <w:right w:w="28" w:type="dxa"/>
      </w:tcMar>
      <w:vAlign w:val="center"/>
    </w:tcPr>
    <w:tblStylePr w:type="firstRow">
      <w:pPr>
        <w:wordWrap/>
        <w:spacing w:beforeLines="0" w:beforeAutospacing="0" w:afterLines="0" w:afterAutospacing="0" w:line="240" w:lineRule="auto"/>
        <w:ind w:left="0" w:leftChars="0" w:right="0" w:rightChars="0"/>
      </w:pPr>
      <w:rPr>
        <w:rFonts w:ascii="Times New Roman" w:hAnsi="Times New Roman" w:eastAsia="Cambria"/>
        <w:sz w:val="21"/>
      </w:rPr>
      <w:tcPr>
        <w:tcBorders>
          <w:top w:val="single" w:color="auto" w:sz="12" w:space="0"/>
          <w:left w:val="single" w:color="auto" w:sz="4" w:space="0"/>
          <w:bottom w:val="single" w:color="auto" w:sz="12" w:space="0"/>
          <w:right w:val="single" w:color="auto" w:sz="12" w:space="0"/>
          <w:insideH w:val="single" w:sz="4" w:space="0"/>
          <w:insideV w:val="single" w:sz="4" w:space="0"/>
          <w:tl2br w:val="nil"/>
          <w:tr2bl w:val="nil"/>
        </w:tcBorders>
      </w:tcPr>
    </w:tblStylePr>
    <w:tblStylePr w:type="firstCol">
      <w:pPr>
        <w:keepNext w:val="0"/>
        <w:keepLines w:val="0"/>
        <w:pageBreakBefore w:val="0"/>
        <w:widowControl w:val="0"/>
        <w:suppressLineNumbers w:val="0"/>
        <w:suppressAutoHyphens w:val="0"/>
        <w:wordWrap/>
        <w:spacing w:beforeLines="0" w:beforeAutospacing="0" w:afterLines="0" w:afterAutospacing="0" w:line="240" w:lineRule="auto"/>
        <w:ind w:left="0" w:leftChars="0" w:right="0" w:rightChars="0"/>
      </w:pPr>
      <w:rPr>
        <w:rFonts w:ascii="Times New Roman" w:hAnsi="Times New Roman" w:eastAsia="Cambria"/>
        <w:b w:val="0"/>
        <w:sz w:val="21"/>
      </w:rPr>
    </w:tblStylePr>
  </w:style>
  <w:style w:type="table" w:customStyle="1" w:styleId="3482">
    <w:name w:val="网格型23"/>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83">
    <w:name w:val="网格型351"/>
    <w:basedOn w:val="88"/>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84">
    <w:name w:val="网格型 12"/>
    <w:basedOn w:val="88"/>
    <w:qFormat/>
    <w:uiPriority w:val="0"/>
    <w:pPr>
      <w:widowControl w:val="0"/>
      <w:jc w:val="both"/>
    </w:pPr>
    <w:rPr>
      <w:rFonts w:ascii="Calibri" w:hAnsi="Calibri"/>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485">
    <w:name w:val="网格型1311"/>
    <w:basedOn w:val="88"/>
    <w:qFormat/>
    <w:uiPriority w:val="59"/>
    <w:rPr>
      <w:rFonts w:ascii="Calibri" w:hAnsi="Calibri"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86">
    <w:name w:val="竖列型 41"/>
    <w:basedOn w:val="88"/>
    <w:semiHidden/>
    <w:qFormat/>
    <w:uiPriority w:val="0"/>
    <w:pPr>
      <w:widowControl w:val="0"/>
      <w:jc w:val="both"/>
    </w:pPr>
    <w:tblStylePr w:type="firstRow">
      <w:rPr>
        <w:color w:val="FFFFFF"/>
      </w:rPr>
      <w:tcPr>
        <w:tcBorders>
          <w:top w:val="nil"/>
          <w:left w:val="nil"/>
          <w:bottom w:val="nil"/>
          <w:right w:val="nil"/>
          <w:insideH w:val="nil"/>
          <w:insideV w:val="nil"/>
          <w:tl2br w:val="nil"/>
          <w:tr2bl w:val="nil"/>
        </w:tcBorders>
        <w:shd w:val="solid" w:color="000000" w:fill="FFFFFF"/>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Vert">
      <w:rPr>
        <w:color w:val="auto"/>
      </w:rPr>
      <w:tcPr>
        <w:shd w:val="pct50" w:color="008080" w:fill="FFFFFF"/>
      </w:tcPr>
    </w:tblStylePr>
    <w:tblStylePr w:type="band2Vert">
      <w:rPr>
        <w:color w:val="auto"/>
      </w:rPr>
      <w:tcPr>
        <w:shd w:val="pct10" w:color="000000" w:fill="FFFFFF"/>
      </w:tcPr>
    </w:tblStylePr>
  </w:style>
  <w:style w:type="table" w:customStyle="1" w:styleId="3487">
    <w:name w:val="立体型 113"/>
    <w:basedOn w:val="88"/>
    <w:semiHidden/>
    <w:qFormat/>
    <w:uiPriority w:val="0"/>
    <w:pPr>
      <w:widowControl w:val="0"/>
      <w:jc w:val="both"/>
    </w:pPr>
    <w:tcPr>
      <w:shd w:val="solid" w:color="C0C0C0" w:fill="FFFFFF"/>
    </w:tcPr>
    <w:tblStylePr w:type="firstRow">
      <w:rPr>
        <w:b/>
        <w:bCs/>
        <w:color w:val="800080"/>
      </w:rPr>
      <w:tcPr>
        <w:tcBorders>
          <w:top w:val="nil"/>
          <w:left w:val="single" w:color="808080" w:sz="6" w:space="0"/>
          <w:bottom w:val="nil"/>
          <w:right w:val="nil"/>
          <w:insideH w:val="nil"/>
          <w:insideV w:val="nil"/>
          <w:tl2br w:val="nil"/>
          <w:tr2bl w:val="nil"/>
        </w:tcBorders>
      </w:tcPr>
    </w:tblStylePr>
    <w:tblStylePr w:type="lastRow">
      <w:tcPr>
        <w:tcBorders>
          <w:top w:val="single" w:color="FFFFFF" w:sz="6" w:space="0"/>
          <w:left w:val="nil"/>
          <w:bottom w:val="nil"/>
          <w:right w:val="nil"/>
          <w:insideH w:val="nil"/>
          <w:insideV w:val="nil"/>
          <w:tl2br w:val="nil"/>
          <w:tr2bl w:val="nil"/>
        </w:tcBorders>
      </w:tcPr>
    </w:tblStylePr>
    <w:tblStylePr w:type="firstCol">
      <w:rPr>
        <w:b/>
        <w:bCs/>
      </w:rPr>
      <w:tcPr>
        <w:tcBorders>
          <w:top w:val="nil"/>
          <w:left w:val="nil"/>
          <w:bottom w:val="nil"/>
          <w:right w:val="single" w:color="808080" w:sz="6" w:space="0"/>
          <w:insideH w:val="nil"/>
          <w:insideV w:val="nil"/>
          <w:tl2br w:val="nil"/>
          <w:tr2bl w:val="nil"/>
        </w:tcBorders>
      </w:tcPr>
    </w:tblStylePr>
    <w:tblStylePr w:type="lastCol">
      <w:tcPr>
        <w:tcBorders>
          <w:top w:val="nil"/>
          <w:left w:val="nil"/>
          <w:bottom w:val="single" w:color="FFFFFF" w:sz="6" w:space="0"/>
          <w:right w:val="nil"/>
          <w:insideH w:val="nil"/>
          <w:insideV w:val="nil"/>
          <w:tl2br w:val="nil"/>
          <w:tr2bl w:val="nil"/>
        </w:tcBorders>
      </w:tcPr>
    </w:tblStylePr>
    <w:tblStylePr w:type="neCell">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nil"/>
          <w:tr2bl w:val="nil"/>
        </w:tcBorders>
      </w:tcPr>
    </w:tblStylePr>
    <w:tblStylePr w:type="seCell">
      <w:tcPr>
        <w:tcBorders>
          <w:top w:val="nil"/>
          <w:left w:val="nil"/>
          <w:bottom w:val="nil"/>
          <w:right w:val="nil"/>
          <w:insideH w:val="nil"/>
          <w:insideV w:val="nil"/>
          <w:tl2br w:val="nil"/>
          <w:tr2bl w:val="nil"/>
        </w:tcBorders>
      </w:tcPr>
    </w:tblStylePr>
    <w:tblStylePr w:type="swCell">
      <w:rPr>
        <w:color w:val="000080"/>
      </w:rPr>
      <w:tcPr>
        <w:tcBorders>
          <w:top w:val="nil"/>
          <w:left w:val="nil"/>
          <w:bottom w:val="nil"/>
          <w:right w:val="nil"/>
          <w:insideH w:val="nil"/>
          <w:insideV w:val="nil"/>
          <w:tl2br w:val="nil"/>
          <w:tr2bl w:val="nil"/>
        </w:tcBorders>
      </w:tcPr>
    </w:tblStylePr>
  </w:style>
  <w:style w:type="table" w:customStyle="1" w:styleId="3488">
    <w:name w:val="表格网格型12"/>
    <w:basedOn w:val="88"/>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89">
    <w:name w:val="网格型201"/>
    <w:basedOn w:val="88"/>
    <w:qFormat/>
    <w:uiPriority w:val="59"/>
    <w:pPr>
      <w:widowControl w:val="0"/>
      <w:spacing w:line="300" w:lineRule="exact"/>
      <w:jc w:val="both"/>
      <w:textAlignment w:val="baseline"/>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90">
    <w:name w:val="网页型 14"/>
    <w:basedOn w:val="88"/>
    <w:qFormat/>
    <w:uiPriority w:val="0"/>
    <w:pPr>
      <w:widowControl w:val="0"/>
      <w:spacing w:line="560" w:lineRule="exact"/>
      <w:ind w:firstLine="200" w:firstLineChars="200"/>
      <w:jc w:val="both"/>
    </w:pPr>
    <w:rPr>
      <w:rFonts w:ascii="Calibri" w:hAnsi="Calibri"/>
    </w:rPr>
    <w:tblPr>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cPr>
      <w:shd w:val="clear" w:color="auto" w:fill="auto"/>
    </w:tcPr>
    <w:tblStylePr w:type="firstRow">
      <w:rPr>
        <w:color w:val="auto"/>
      </w:rPr>
      <w:tcPr>
        <w:tcBorders>
          <w:top w:val="nil"/>
          <w:left w:val="nil"/>
          <w:bottom w:val="nil"/>
          <w:right w:val="nil"/>
          <w:insideH w:val="nil"/>
          <w:insideV w:val="nil"/>
          <w:tl2br w:val="nil"/>
          <w:tr2bl w:val="nil"/>
        </w:tcBorders>
      </w:tcPr>
    </w:tblStylePr>
  </w:style>
  <w:style w:type="table" w:customStyle="1" w:styleId="3491">
    <w:name w:val="竖列型 34"/>
    <w:basedOn w:val="88"/>
    <w:qFormat/>
    <w:uiPriority w:val="0"/>
    <w:pPr>
      <w:widowControl w:val="0"/>
      <w:spacing w:line="560" w:lineRule="exact"/>
      <w:ind w:firstLine="200" w:firstLineChars="200"/>
      <w:jc w:val="both"/>
    </w:pPr>
    <w:rPr>
      <w:rFonts w:ascii="Calibri" w:hAnsi="Calibri"/>
      <w:b/>
      <w:bCs/>
    </w:rPr>
    <w:tblPr>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cPr>
        <w:tcBorders>
          <w:top w:val="nil"/>
          <w:left w:val="nil"/>
          <w:bottom w:val="nil"/>
          <w:right w:val="nil"/>
          <w:insideH w:val="nil"/>
          <w:insideV w:val="nil"/>
          <w:tl2br w:val="nil"/>
          <w:tr2bl w:val="nil"/>
        </w:tcBorders>
        <w:shd w:val="solid" w:color="000080" w:fill="FFFFFF"/>
      </w:tcPr>
    </w:tblStylePr>
    <w:tblStylePr w:type="lastRow">
      <w:rPr>
        <w:b w:val="0"/>
        <w:bCs w:val="0"/>
      </w:rPr>
      <w:tcPr>
        <w:tcBorders>
          <w:top w:val="single" w:color="000080" w:sz="6" w:space="0"/>
          <w:left w:val="nil"/>
          <w:bottom w:val="nil"/>
          <w:right w:val="nil"/>
          <w:insideH w:val="nil"/>
          <w:insideV w:val="nil"/>
          <w:tl2br w:val="nil"/>
          <w:tr2bl w:val="nil"/>
        </w:tcBorders>
      </w:tcPr>
    </w:tblStylePr>
    <w:tblStylePr w:type="firstCol">
      <w:rPr>
        <w:b w:val="0"/>
        <w:bCs w:val="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band1Vert">
      <w:rPr>
        <w:color w:val="auto"/>
      </w:rPr>
      <w:tcPr>
        <w:shd w:val="solid" w:color="C0C0C0" w:fill="FFFFFF"/>
      </w:tcPr>
    </w:tblStylePr>
    <w:tblStylePr w:type="band2Vert">
      <w:rPr>
        <w:color w:val="auto"/>
      </w:rPr>
      <w:tcPr>
        <w:shd w:val="pct10" w:color="000000" w:fill="FFFFFF"/>
      </w:tcPr>
    </w:tblStylePr>
    <w:tblStylePr w:type="neCell">
      <w:rPr>
        <w:b/>
        <w:bCs/>
      </w:rPr>
      <w:tcPr>
        <w:tcBorders>
          <w:top w:val="nil"/>
          <w:left w:val="nil"/>
          <w:bottom w:val="nil"/>
          <w:right w:val="nil"/>
          <w:insideH w:val="nil"/>
          <w:insideV w:val="nil"/>
          <w:tl2br w:val="nil"/>
          <w:tr2bl w:val="nil"/>
        </w:tcBorders>
      </w:tcPr>
    </w:tblStylePr>
  </w:style>
  <w:style w:type="table" w:customStyle="1" w:styleId="3492">
    <w:name w:val="网格型3124"/>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93">
    <w:name w:val="简明型 321"/>
    <w:basedOn w:val="88"/>
    <w:qFormat/>
    <w:uiPriority w:val="0"/>
    <w:pPr>
      <w:widowControl w:val="0"/>
      <w:spacing w:line="560" w:lineRule="exact"/>
      <w:ind w:firstLine="200" w:firstLineChars="200"/>
      <w:jc w:val="both"/>
    </w:pPr>
    <w:rPr>
      <w:rFonts w:ascii="Calibri" w:hAnsi="Calibri"/>
    </w:rPr>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color w:val="FFFFFF"/>
      </w:rPr>
      <w:tcPr>
        <w:tcBorders>
          <w:top w:val="nil"/>
          <w:left w:val="nil"/>
          <w:bottom w:val="nil"/>
          <w:right w:val="nil"/>
          <w:insideH w:val="nil"/>
          <w:insideV w:val="nil"/>
          <w:tl2br w:val="nil"/>
          <w:tr2bl w:val="nil"/>
        </w:tcBorders>
        <w:shd w:val="solid" w:color="000000" w:fill="FFFFFF"/>
      </w:tcPr>
    </w:tblStylePr>
  </w:style>
  <w:style w:type="table" w:customStyle="1" w:styleId="3494">
    <w:name w:val="古典型 213"/>
    <w:basedOn w:val="88"/>
    <w:semiHidden/>
    <w:qFormat/>
    <w:uiPriority w:val="0"/>
    <w:pPr>
      <w:widowControl w:val="0"/>
      <w:jc w:val="both"/>
    </w:pPr>
    <w:tblPr>
      <w:tblBorders>
        <w:top w:val="single" w:color="000000" w:sz="12" w:space="0"/>
        <w:bottom w:val="single" w:color="000000" w:sz="12" w:space="0"/>
      </w:tblBorders>
    </w:tblPr>
    <w:tcPr>
      <w:shd w:val="clear" w:color="auto" w:fill="auto"/>
    </w:tcPr>
    <w:tblStylePr w:type="firstRow">
      <w:rPr>
        <w:color w:val="FFFFFF"/>
      </w:rPr>
      <w:tcPr>
        <w:tcBorders>
          <w:top w:val="nil"/>
          <w:left w:val="single" w:color="000000" w:sz="6" w:space="0"/>
          <w:bottom w:val="nil"/>
          <w:right w:val="nil"/>
          <w:insideH w:val="nil"/>
          <w:insideV w:val="nil"/>
          <w:tl2br w:val="nil"/>
          <w:tr2bl w:val="nil"/>
        </w:tcBorders>
        <w:shd w:val="solid" w:color="800080" w:fill="FFFFFF"/>
      </w:tcPr>
    </w:tblStylePr>
    <w:tblStylePr w:type="lastRow">
      <w:tcPr>
        <w:tcBorders>
          <w:top w:val="single" w:color="000000" w:sz="6"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shd w:val="solid" w:color="C0C0C0" w:fill="FFFFFF"/>
      </w:tcPr>
    </w:tblStylePr>
    <w:tblStylePr w:type="neCel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nil"/>
          <w:tr2bl w:val="nil"/>
        </w:tcBorders>
        <w:shd w:val="solid" w:color="800080" w:fill="FFFFFF"/>
      </w:tcPr>
    </w:tblStylePr>
    <w:tblStylePr w:type="swCell">
      <w:rPr>
        <w:color w:val="000080"/>
      </w:rPr>
      <w:tcPr>
        <w:tcBorders>
          <w:top w:val="nil"/>
          <w:left w:val="nil"/>
          <w:bottom w:val="nil"/>
          <w:right w:val="nil"/>
          <w:insideH w:val="nil"/>
          <w:insideV w:val="nil"/>
          <w:tl2br w:val="nil"/>
          <w:tr2bl w:val="nil"/>
        </w:tcBorders>
      </w:tcPr>
    </w:tblStylePr>
  </w:style>
  <w:style w:type="table" w:customStyle="1" w:styleId="3495">
    <w:name w:val="竖列型 212"/>
    <w:basedOn w:val="88"/>
    <w:semiHidden/>
    <w:qFormat/>
    <w:uiPriority w:val="0"/>
    <w:pPr>
      <w:widowControl w:val="0"/>
      <w:jc w:val="both"/>
    </w:pPr>
    <w:rPr>
      <w:rFonts w:ascii="Calibri" w:hAnsi="Calibri"/>
      <w:b/>
      <w:bCs/>
    </w:rPr>
    <w:tblStylePr w:type="firstRow">
      <w:rPr>
        <w:color w:val="FFFFFF"/>
      </w:rPr>
      <w:tcPr>
        <w:tcBorders>
          <w:top w:val="nil"/>
          <w:left w:val="nil"/>
          <w:bottom w:val="nil"/>
          <w:right w:val="nil"/>
          <w:insideH w:val="nil"/>
          <w:insideV w:val="nil"/>
          <w:tl2br w:val="nil"/>
          <w:tr2bl w:val="nil"/>
        </w:tcBorders>
        <w:shd w:val="solid" w:color="000080" w:fill="FFFFFF"/>
      </w:tcPr>
    </w:tblStylePr>
    <w:tblStylePr w:type="lastRow">
      <w:rPr>
        <w:b w:val="0"/>
        <w:bCs w:val="0"/>
      </w:rPr>
      <w:tcPr>
        <w:tcBorders>
          <w:top w:val="nil"/>
          <w:left w:val="nil"/>
          <w:bottom w:val="nil"/>
          <w:right w:val="nil"/>
          <w:insideH w:val="nil"/>
          <w:insideV w:val="nil"/>
          <w:tl2br w:val="nil"/>
          <w:tr2bl w:val="nil"/>
        </w:tcBorders>
      </w:tcPr>
    </w:tblStylePr>
    <w:tblStylePr w:type="firstCol">
      <w:rPr>
        <w:b w:val="0"/>
        <w:bCs w:val="0"/>
        <w:color w:val="00000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band1Vert">
      <w:rPr>
        <w:color w:val="auto"/>
      </w:rPr>
      <w:tcPr>
        <w:shd w:val="pct30" w:color="000000" w:fill="FFFFFF"/>
      </w:tcPr>
    </w:tblStylePr>
    <w:tblStylePr w:type="band2Vert">
      <w:rPr>
        <w:color w:val="auto"/>
      </w:rPr>
      <w:tcPr>
        <w:shd w:val="pct25" w:color="00FF00" w:fill="FFFFFF"/>
      </w:tcPr>
    </w:tblStylePr>
    <w:tblStylePr w:type="neCell">
      <w:rPr>
        <w:b/>
        <w:bCs/>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496">
    <w:name w:val="列表型 121"/>
    <w:basedOn w:val="88"/>
    <w:qFormat/>
    <w:uiPriority w:val="0"/>
    <w:pPr>
      <w:widowControl w:val="0"/>
      <w:spacing w:line="560" w:lineRule="exact"/>
      <w:ind w:firstLine="200" w:firstLineChars="200"/>
      <w:jc w:val="both"/>
    </w:pPr>
    <w:rPr>
      <w:rFonts w:ascii="Calibri" w:hAnsi="Calibri"/>
    </w:rPr>
    <w:tblPr>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cPr>
        <w:tcBorders>
          <w:top w:val="nil"/>
          <w:left w:val="single" w:color="000000" w:sz="6" w:space="0"/>
          <w:bottom w:val="nil"/>
          <w:right w:val="nil"/>
          <w:insideH w:val="nil"/>
          <w:insideV w:val="nil"/>
          <w:tl2br w:val="nil"/>
          <w:tr2bl w:val="nil"/>
        </w:tcBorders>
        <w:shd w:val="solid" w:color="C0C0C0" w:fill="FFFFFF"/>
      </w:tcPr>
    </w:tblStylePr>
    <w:tblStylePr w:type="lastRow">
      <w:tcPr>
        <w:tcBorders>
          <w:top w:val="single" w:color="000000" w:sz="6" w:space="0"/>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solid" w:color="C0C0C0" w:fill="FFFFFF"/>
      </w:tcPr>
    </w:tblStylePr>
    <w:tblStylePr w:type="band2Horz">
      <w:rPr>
        <w:color w:val="auto"/>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497">
    <w:name w:val="网格型 24"/>
    <w:basedOn w:val="88"/>
    <w:qFormat/>
    <w:uiPriority w:val="0"/>
    <w:pPr>
      <w:widowControl w:val="0"/>
      <w:spacing w:line="560" w:lineRule="exact"/>
      <w:ind w:firstLine="200" w:firstLineChars="200"/>
      <w:jc w:val="both"/>
    </w:pPr>
    <w:rPr>
      <w:rFonts w:ascii="Calibri" w:hAnsi="Calibri"/>
    </w:rPr>
    <w:tblPr>
      <w:tblBorders>
        <w:insideH w:val="single" w:color="000000" w:sz="6" w:space="0"/>
        <w:insideV w:val="single" w:color="000000" w:sz="6" w:space="0"/>
      </w:tblBorders>
    </w:tblPr>
    <w:tcPr>
      <w:shd w:val="clear" w:color="auto" w:fill="auto"/>
    </w:tcPr>
    <w:tblStylePr w:type="firstRow">
      <w:rPr>
        <w:b/>
        <w:bCs/>
      </w:rPr>
      <w:tcPr>
        <w:tcBorders>
          <w:top w:val="nil"/>
          <w:left w:val="nil"/>
          <w:bottom w:val="nil"/>
          <w:right w:val="nil"/>
          <w:insideH w:val="nil"/>
          <w:insideV w:val="nil"/>
          <w:tl2br w:val="nil"/>
          <w:tr2bl w:val="nil"/>
        </w:tcBorders>
      </w:tcPr>
    </w:tblStylePr>
    <w:tblStylePr w:type="lastRow">
      <w:rPr>
        <w:b/>
        <w:bCs/>
      </w:rPr>
      <w:tcPr>
        <w:tcBorders>
          <w:top w:val="single" w:color="000000" w:sz="6"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style>
  <w:style w:type="table" w:customStyle="1" w:styleId="3498">
    <w:name w:val="网格型 72"/>
    <w:basedOn w:val="88"/>
    <w:qFormat/>
    <w:uiPriority w:val="0"/>
    <w:pPr>
      <w:widowControl w:val="0"/>
      <w:spacing w:line="560" w:lineRule="exact"/>
      <w:ind w:firstLine="200" w:firstLineChars="200"/>
      <w:jc w:val="both"/>
    </w:pPr>
    <w:rPr>
      <w:rFonts w:ascii="Calibri" w:hAnsi="Calibri"/>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cPr>
        <w:tcBorders>
          <w:top w:val="nil"/>
          <w:left w:val="single" w:color="000000" w:sz="12" w:space="0"/>
          <w:bottom w:val="nil"/>
          <w:right w:val="nil"/>
          <w:insideH w:val="nil"/>
          <w:insideV w:val="nil"/>
          <w:tl2br w:val="nil"/>
          <w:tr2bl w:val="nil"/>
        </w:tcBorders>
      </w:tcPr>
    </w:tblStylePr>
    <w:tblStylePr w:type="lastRow">
      <w:rPr>
        <w:b w:val="0"/>
        <w:bCs w:val="0"/>
      </w:rPr>
      <w:tcPr>
        <w:tcBorders>
          <w:top w:val="single" w:color="000000" w:sz="6" w:space="0"/>
          <w:left w:val="nil"/>
          <w:bottom w:val="nil"/>
          <w:right w:val="nil"/>
          <w:insideH w:val="nil"/>
          <w:insideV w:val="nil"/>
          <w:tl2br w:val="nil"/>
          <w:tr2bl w:val="nil"/>
        </w:tcBorders>
      </w:tcPr>
    </w:tblStylePr>
    <w:tblStylePr w:type="firstCol">
      <w:rPr>
        <w:b w:val="0"/>
        <w:bCs w:val="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499">
    <w:name w:val="表格主题－E版11"/>
    <w:basedOn w:val="88"/>
    <w:semiHidden/>
    <w:qFormat/>
    <w:uiPriority w:val="0"/>
    <w:pPr>
      <w:widowControl w:val="0"/>
      <w:jc w:val="both"/>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00">
    <w:name w:val="简明型 211"/>
    <w:basedOn w:val="88"/>
    <w:semiHidden/>
    <w:qFormat/>
    <w:uiPriority w:val="0"/>
    <w:pPr>
      <w:widowControl w:val="0"/>
      <w:jc w:val="both"/>
    </w:pPr>
    <w:rPr>
      <w:rFonts w:ascii="Calibri" w:hAnsi="Calibri"/>
    </w:rPr>
    <w:tblStylePr w:type="firstRow">
      <w:rPr>
        <w:b/>
        <w:bCs/>
      </w:rPr>
      <w:tcPr>
        <w:tcBorders>
          <w:top w:val="nil"/>
          <w:left w:val="single" w:color="000000" w:sz="12" w:space="0"/>
          <w:bottom w:val="nil"/>
          <w:right w:val="nil"/>
          <w:insideH w:val="nil"/>
          <w:insideV w:val="nil"/>
          <w:tl2br w:val="nil"/>
          <w:tr2bl w:val="nil"/>
        </w:tcBorders>
      </w:tcPr>
    </w:tblStylePr>
    <w:tblStylePr w:type="lastRow">
      <w:rPr>
        <w:b/>
        <w:bCs/>
        <w:color w:val="auto"/>
      </w:rPr>
      <w:tcPr>
        <w:tcBorders>
          <w:top w:val="single" w:color="000000" w:sz="6" w:space="0"/>
          <w:left w:val="nil"/>
          <w:bottom w:val="nil"/>
          <w:right w:val="nil"/>
          <w:insideH w:val="nil"/>
          <w:insideV w:val="nil"/>
          <w:tl2br w:val="nil"/>
          <w:tr2bl w:val="nil"/>
        </w:tcBorders>
      </w:tcPr>
    </w:tblStylePr>
    <w:tblStylePr w:type="firstCol">
      <w:rPr>
        <w:b/>
        <w:bCs/>
      </w:rPr>
      <w:tcPr>
        <w:tcBorders>
          <w:top w:val="nil"/>
          <w:left w:val="nil"/>
          <w:bottom w:val="nil"/>
          <w:right w:val="single" w:color="000000" w:sz="12" w:space="0"/>
          <w:insideH w:val="nil"/>
          <w:insideV w:val="nil"/>
          <w:tl2br w:val="nil"/>
          <w:tr2bl w:val="nil"/>
        </w:tcBorders>
      </w:tcPr>
    </w:tblStylePr>
    <w:tblStylePr w:type="lastCol">
      <w:rPr>
        <w:b/>
        <w:bCs/>
      </w:rPr>
      <w:tcPr>
        <w:tcBorders>
          <w:top w:val="nil"/>
          <w:left w:val="nil"/>
          <w:bottom w:val="single" w:color="000000" w:sz="6" w:space="0"/>
          <w:right w:val="nil"/>
          <w:insideH w:val="nil"/>
          <w:insideV w:val="nil"/>
          <w:tl2br w:val="nil"/>
          <w:tr2bl w:val="nil"/>
        </w:tcBorders>
      </w:tcPr>
    </w:tblStylePr>
    <w:tblStylePr w:type="neCell">
      <w:rPr>
        <w:b/>
        <w:bCs/>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501">
    <w:name w:val="简明型 221"/>
    <w:basedOn w:val="88"/>
    <w:qFormat/>
    <w:uiPriority w:val="0"/>
    <w:pPr>
      <w:widowControl w:val="0"/>
      <w:spacing w:line="560" w:lineRule="exact"/>
      <w:ind w:firstLine="200" w:firstLineChars="200"/>
      <w:jc w:val="both"/>
    </w:pPr>
    <w:rPr>
      <w:rFonts w:ascii="Calibri" w:hAnsi="Calibri"/>
    </w:rPr>
    <w:tblStylePr w:type="firstRow">
      <w:rPr>
        <w:b/>
        <w:bCs/>
      </w:rPr>
      <w:tcPr>
        <w:tcBorders>
          <w:top w:val="nil"/>
          <w:left w:val="single" w:color="000000" w:sz="12" w:space="0"/>
          <w:bottom w:val="nil"/>
          <w:right w:val="nil"/>
          <w:insideH w:val="nil"/>
          <w:insideV w:val="nil"/>
          <w:tl2br w:val="nil"/>
          <w:tr2bl w:val="nil"/>
        </w:tcBorders>
      </w:tcPr>
    </w:tblStylePr>
    <w:tblStylePr w:type="lastRow">
      <w:rPr>
        <w:b/>
        <w:bCs/>
        <w:color w:val="auto"/>
      </w:rPr>
      <w:tcPr>
        <w:tcBorders>
          <w:top w:val="single" w:color="000000" w:sz="6" w:space="0"/>
          <w:left w:val="nil"/>
          <w:bottom w:val="nil"/>
          <w:right w:val="nil"/>
          <w:insideH w:val="nil"/>
          <w:insideV w:val="nil"/>
          <w:tl2br w:val="nil"/>
          <w:tr2bl w:val="nil"/>
        </w:tcBorders>
      </w:tcPr>
    </w:tblStylePr>
    <w:tblStylePr w:type="firstCol">
      <w:rPr>
        <w:b/>
        <w:bCs/>
      </w:rPr>
      <w:tcPr>
        <w:tcBorders>
          <w:top w:val="nil"/>
          <w:left w:val="nil"/>
          <w:bottom w:val="nil"/>
          <w:right w:val="single" w:color="000000" w:sz="12" w:space="0"/>
          <w:insideH w:val="nil"/>
          <w:insideV w:val="nil"/>
          <w:tl2br w:val="nil"/>
          <w:tr2bl w:val="nil"/>
        </w:tcBorders>
      </w:tcPr>
    </w:tblStylePr>
    <w:tblStylePr w:type="lastCol">
      <w:rPr>
        <w:b/>
        <w:bCs/>
      </w:rPr>
      <w:tcPr>
        <w:tcBorders>
          <w:top w:val="nil"/>
          <w:left w:val="nil"/>
          <w:bottom w:val="single" w:color="000000" w:sz="6" w:space="0"/>
          <w:right w:val="nil"/>
          <w:insideH w:val="nil"/>
          <w:insideV w:val="nil"/>
          <w:tl2br w:val="nil"/>
          <w:tr2bl w:val="nil"/>
        </w:tcBorders>
      </w:tcPr>
    </w:tblStylePr>
    <w:tblStylePr w:type="neCell">
      <w:rPr>
        <w:b/>
        <w:bCs/>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502">
    <w:name w:val="网格型143"/>
    <w:basedOn w:val="88"/>
    <w:qFormat/>
    <w:uiPriority w:val="59"/>
    <w:rPr>
      <w:rFonts w:ascii="Calibri" w:hAnsi="Calibri"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03">
    <w:name w:val="列表型 52"/>
    <w:basedOn w:val="88"/>
    <w:qFormat/>
    <w:uiPriority w:val="0"/>
    <w:pPr>
      <w:widowControl w:val="0"/>
      <w:spacing w:line="560" w:lineRule="exact"/>
      <w:ind w:firstLine="200" w:firstLineChars="200"/>
      <w:jc w:val="both"/>
    </w:pPr>
    <w:rPr>
      <w:rFonts w:ascii="Calibri" w:hAnsi="Calibri"/>
    </w:rPr>
    <w:tblPr>
      <w:tblBorders>
        <w:top w:val="single" w:color="000000" w:sz="6" w:space="0"/>
        <w:left w:val="single" w:color="000000" w:sz="6" w:space="0"/>
        <w:bottom w:val="single" w:color="000000" w:sz="6" w:space="0"/>
        <w:right w:val="single" w:color="000000" w:sz="6" w:space="0"/>
        <w:insideH w:val="single" w:color="000000" w:sz="6" w:space="0"/>
      </w:tblBorders>
    </w:tblPr>
    <w:tcPr>
      <w:shd w:val="clear" w:color="auto" w:fill="auto"/>
    </w:tcPr>
    <w:tblStylePr w:type="firstRow">
      <w:rPr>
        <w:b/>
        <w:bCs/>
      </w:rPr>
      <w:tcPr>
        <w:tcBorders>
          <w:top w:val="nil"/>
          <w:left w:val="single" w:color="000000" w:sz="12" w:space="0"/>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style>
  <w:style w:type="table" w:customStyle="1" w:styleId="3504">
    <w:name w:val="网格型511"/>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05">
    <w:name w:val="古典型 312"/>
    <w:basedOn w:val="88"/>
    <w:semiHidden/>
    <w:qFormat/>
    <w:uiPriority w:val="0"/>
    <w:pPr>
      <w:widowControl w:val="0"/>
      <w:jc w:val="both"/>
    </w:pPr>
    <w:rPr>
      <w:rFonts w:ascii="Calibri" w:hAnsi="Calibri"/>
      <w:color w:val="000080"/>
    </w:rPr>
    <w:tblPr>
      <w:tblBorders>
        <w:top w:val="single" w:color="000000" w:sz="12" w:space="0"/>
        <w:left w:val="single" w:color="000000" w:sz="12" w:space="0"/>
        <w:bottom w:val="single" w:color="000000" w:sz="12" w:space="0"/>
        <w:right w:val="single" w:color="000000" w:sz="12" w:space="0"/>
      </w:tblBorders>
    </w:tblPr>
    <w:tcPr>
      <w:shd w:val="solid" w:color="C0C0C0" w:fill="FFFFFF"/>
    </w:tcPr>
    <w:tblStylePr w:type="firstRow">
      <w:rPr>
        <w:b/>
        <w:bCs/>
        <w:i/>
        <w:iCs/>
        <w:color w:val="FFFFFF"/>
      </w:rPr>
      <w:tcPr>
        <w:tcBorders>
          <w:top w:val="nil"/>
          <w:left w:val="single" w:color="000000" w:sz="6" w:space="0"/>
          <w:bottom w:val="nil"/>
          <w:right w:val="nil"/>
          <w:insideH w:val="nil"/>
          <w:insideV w:val="nil"/>
          <w:tl2br w:val="nil"/>
          <w:tr2bl w:val="nil"/>
        </w:tcBorders>
        <w:shd w:val="solid" w:color="000080" w:fill="FFFFFF"/>
      </w:tcPr>
    </w:tblStylePr>
    <w:tblStylePr w:type="lastRow">
      <w:rPr>
        <w:color w:val="000080"/>
      </w:rPr>
      <w:tcPr>
        <w:tcBorders>
          <w:top w:val="single" w:color="000000" w:sz="12" w:space="0"/>
          <w:left w:val="nil"/>
          <w:bottom w:val="nil"/>
          <w:right w:val="nil"/>
          <w:insideH w:val="nil"/>
          <w:insideV w:val="nil"/>
          <w:tl2br w:val="nil"/>
          <w:tr2bl w:val="nil"/>
        </w:tcBorders>
        <w:shd w:val="solid" w:color="FFFFFF" w:fill="FFFFFF"/>
      </w:tcPr>
    </w:tblStylePr>
    <w:tblStylePr w:type="firstCol">
      <w:rPr>
        <w:b/>
        <w:bCs/>
        <w:color w:val="000000"/>
      </w:rPr>
      <w:tcPr>
        <w:tcBorders>
          <w:top w:val="nil"/>
          <w:left w:val="nil"/>
          <w:bottom w:val="nil"/>
          <w:right w:val="nil"/>
          <w:insideH w:val="nil"/>
          <w:insideV w:val="nil"/>
          <w:tl2br w:val="nil"/>
          <w:tr2bl w:val="nil"/>
        </w:tcBorders>
      </w:tcPr>
    </w:tblStylePr>
  </w:style>
  <w:style w:type="table" w:customStyle="1" w:styleId="3506">
    <w:name w:val="彩色型 113"/>
    <w:basedOn w:val="88"/>
    <w:semiHidden/>
    <w:qFormat/>
    <w:uiPriority w:val="0"/>
    <w:pPr>
      <w:widowControl w:val="0"/>
      <w:jc w:val="both"/>
    </w:pPr>
    <w:rPr>
      <w:color w:val="FFFFFF"/>
    </w:rPr>
    <w:tblPr>
      <w:tblBorders>
        <w:top w:val="single" w:color="008080" w:sz="12" w:space="0"/>
        <w:left w:val="single" w:color="008080" w:sz="12" w:space="0"/>
        <w:bottom w:val="single" w:color="008080" w:sz="12" w:space="0"/>
        <w:right w:val="single" w:color="008080" w:sz="12" w:space="0"/>
        <w:insideH w:val="single" w:color="00FFFF" w:sz="6" w:space="0"/>
      </w:tblBorders>
    </w:tblPr>
    <w:tcPr>
      <w:shd w:val="solid" w:color="008080" w:fill="FFFFFF"/>
    </w:tcPr>
    <w:tblStylePr w:type="firstRow">
      <w:rPr>
        <w:b/>
        <w:bCs/>
        <w:i/>
        <w:iCs/>
      </w:rPr>
      <w:tcPr>
        <w:tcBorders>
          <w:top w:val="nil"/>
          <w:left w:val="nil"/>
          <w:bottom w:val="nil"/>
          <w:right w:val="nil"/>
          <w:insideH w:val="nil"/>
          <w:insideV w:val="nil"/>
          <w:tl2br w:val="nil"/>
          <w:tr2bl w:val="nil"/>
        </w:tcBorders>
        <w:shd w:val="solid" w:color="000000" w:fill="FFFFFF"/>
      </w:tcPr>
    </w:tblStylePr>
    <w:tblStylePr w:type="firstCol">
      <w:rPr>
        <w:b/>
        <w:bCs/>
        <w:i/>
        <w:iCs/>
      </w:rPr>
      <w:tcPr>
        <w:tcBorders>
          <w:top w:val="nil"/>
          <w:left w:val="nil"/>
          <w:bottom w:val="nil"/>
          <w:right w:val="nil"/>
          <w:insideH w:val="nil"/>
          <w:insideV w:val="nil"/>
          <w:tl2br w:val="nil"/>
          <w:tr2bl w:val="nil"/>
        </w:tcBorders>
        <w:shd w:val="solid" w:color="000080" w:fill="FFFFFF"/>
      </w:tcPr>
    </w:tblStylePr>
    <w:tblStylePr w:type="nwCell">
      <w:tcPr>
        <w:tcBorders>
          <w:top w:val="nil"/>
          <w:left w:val="nil"/>
          <w:bottom w:val="nil"/>
          <w:right w:val="nil"/>
          <w:insideH w:val="nil"/>
          <w:insideV w:val="nil"/>
          <w:tl2br w:val="nil"/>
          <w:tr2bl w:val="nil"/>
        </w:tcBorders>
        <w:shd w:val="solid" w:color="000000" w:fill="FFFFFF"/>
      </w:tcPr>
    </w:tblStylePr>
    <w:tblStylePr w:type="swCell">
      <w:rPr>
        <w:b/>
        <w:bCs/>
        <w:i w:val="0"/>
        <w:iCs w:val="0"/>
      </w:rPr>
      <w:tcPr>
        <w:tcBorders>
          <w:top w:val="nil"/>
          <w:left w:val="nil"/>
          <w:bottom w:val="nil"/>
          <w:right w:val="nil"/>
          <w:insideH w:val="nil"/>
          <w:insideV w:val="nil"/>
          <w:tl2br w:val="nil"/>
          <w:tr2bl w:val="nil"/>
        </w:tcBorders>
      </w:tcPr>
    </w:tblStylePr>
  </w:style>
  <w:style w:type="table" w:customStyle="1" w:styleId="3507">
    <w:name w:val="表三维效果 23"/>
    <w:basedOn w:val="88"/>
    <w:qFormat/>
    <w:uiPriority w:val="0"/>
    <w:pPr>
      <w:widowControl w:val="0"/>
      <w:spacing w:line="560" w:lineRule="exact"/>
      <w:ind w:firstLine="200" w:firstLineChars="200"/>
      <w:jc w:val="both"/>
    </w:pPr>
    <w:rPr>
      <w:rFonts w:ascii="Calibri" w:hAnsi="Calibri"/>
    </w:rPr>
    <w:tcPr>
      <w:shd w:val="solid" w:color="C0C0C0" w:fill="FFFFFF"/>
    </w:tcPr>
    <w:tblStylePr w:type="firstRow">
      <w:rPr>
        <w:b/>
        <w:bCs/>
      </w:rPr>
      <w:tcPr>
        <w:tcBorders>
          <w:top w:val="nil"/>
          <w:left w:val="nil"/>
          <w:bottom w:val="nil"/>
          <w:right w:val="nil"/>
          <w:insideH w:val="nil"/>
          <w:insideV w:val="nil"/>
          <w:tl2br w:val="nil"/>
          <w:tr2bl w:val="nil"/>
        </w:tcBorders>
      </w:tcPr>
    </w:tblStylePr>
    <w:tblStylePr w:type="firstCol">
      <w:tcPr>
        <w:tcBorders>
          <w:top w:val="nil"/>
          <w:left w:val="nil"/>
          <w:bottom w:val="nil"/>
          <w:right w:val="single" w:color="808080" w:sz="6" w:space="0"/>
          <w:insideH w:val="nil"/>
          <w:insideV w:val="nil"/>
          <w:tl2br w:val="nil"/>
          <w:tr2bl w:val="nil"/>
        </w:tcBorders>
      </w:tcPr>
    </w:tblStylePr>
    <w:tblStylePr w:type="lastCol">
      <w:tcPr>
        <w:tcBorders>
          <w:top w:val="nil"/>
          <w:left w:val="nil"/>
          <w:bottom w:val="nil"/>
          <w:right w:val="single" w:color="FFFFFF" w:sz="6" w:space="0"/>
          <w:insideH w:val="nil"/>
          <w:insideV w:val="nil"/>
          <w:tl2br w:val="nil"/>
          <w:tr2bl w:val="nil"/>
        </w:tcBorders>
      </w:tcPr>
    </w:tblStylePr>
    <w:tblStylePr w:type="band1Horz">
      <w:tcPr>
        <w:tcBorders>
          <w:top w:val="single" w:color="808080" w:sz="6" w:space="0"/>
          <w:left w:val="single" w:color="FFFFFF" w:sz="6" w:space="0"/>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508">
    <w:name w:val="网格型222"/>
    <w:basedOn w:val="88"/>
    <w:qFormat/>
    <w:uiPriority w:val="0"/>
    <w:pPr>
      <w:widowControl w:val="0"/>
      <w:jc w:val="both"/>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09">
    <w:name w:val="彩色型 211"/>
    <w:basedOn w:val="88"/>
    <w:semiHidden/>
    <w:qFormat/>
    <w:uiPriority w:val="0"/>
    <w:pPr>
      <w:widowControl w:val="0"/>
      <w:jc w:val="both"/>
    </w:pPr>
    <w:rPr>
      <w:rFonts w:ascii="Calibri" w:hAnsi="Calibri"/>
    </w:rPr>
    <w:tblPr>
      <w:tblBorders>
        <w:bottom w:val="single" w:color="000000" w:sz="12" w:space="0"/>
      </w:tblBorders>
    </w:tblPr>
    <w:tcPr>
      <w:shd w:val="pct20" w:color="FFFF00" w:fill="FFFFFF"/>
    </w:tcPr>
    <w:tblStylePr w:type="firstRow">
      <w:rPr>
        <w:b/>
        <w:bCs/>
        <w:i/>
        <w:iCs/>
        <w:color w:val="FFFFFF"/>
      </w:rPr>
      <w:tcPr>
        <w:tcBorders>
          <w:top w:val="nil"/>
          <w:left w:val="single" w:color="000000" w:sz="12" w:space="0"/>
          <w:bottom w:val="nil"/>
          <w:right w:val="nil"/>
          <w:insideH w:val="nil"/>
          <w:insideV w:val="nil"/>
          <w:tl2br w:val="nil"/>
          <w:tr2bl w:val="nil"/>
        </w:tcBorders>
        <w:shd w:val="solid" w:color="800000" w:fill="FFFFFF"/>
      </w:tcPr>
    </w:tblStylePr>
    <w:tblStylePr w:type="firstCol">
      <w:rPr>
        <w:b/>
        <w:bCs/>
        <w:i/>
        <w:iCs/>
      </w:rPr>
      <w:tcPr>
        <w:tcBorders>
          <w:top w:val="nil"/>
          <w:left w:val="nil"/>
          <w:bottom w:val="nil"/>
          <w:right w:val="nil"/>
          <w:insideH w:val="nil"/>
          <w:insideV w:val="nil"/>
          <w:tl2br w:val="nil"/>
          <w:tr2bl w:val="nil"/>
        </w:tcBorders>
      </w:tcPr>
    </w:tblStylePr>
    <w:tblStylePr w:type="lastCol">
      <w:tcPr>
        <w:tcBorders>
          <w:top w:val="nil"/>
          <w:left w:val="nil"/>
          <w:bottom w:val="nil"/>
          <w:right w:val="nil"/>
          <w:insideH w:val="nil"/>
          <w:insideV w:val="nil"/>
          <w:tl2br w:val="nil"/>
          <w:tr2bl w:val="nil"/>
        </w:tcBorders>
        <w:shd w:val="solid" w:color="C0C0C0" w:fill="FFFFFF"/>
      </w:tcPr>
    </w:tblStylePr>
    <w:tblStylePr w:type="swCell">
      <w:rPr>
        <w:b/>
        <w:bCs/>
        <w:i w:val="0"/>
        <w:iCs w:val="0"/>
      </w:rPr>
      <w:tcPr>
        <w:tcBorders>
          <w:top w:val="nil"/>
          <w:left w:val="nil"/>
          <w:bottom w:val="nil"/>
          <w:right w:val="nil"/>
          <w:insideH w:val="nil"/>
          <w:insideV w:val="nil"/>
          <w:tl2br w:val="nil"/>
          <w:tr2bl w:val="nil"/>
        </w:tcBorders>
      </w:tcPr>
    </w:tblStylePr>
  </w:style>
  <w:style w:type="table" w:customStyle="1" w:styleId="3510">
    <w:name w:val="表格主题2"/>
    <w:basedOn w:val="88"/>
    <w:qFormat/>
    <w:uiPriority w:val="0"/>
    <w:pPr>
      <w:widowControl w:val="0"/>
      <w:spacing w:line="560" w:lineRule="exact"/>
      <w:ind w:firstLine="200" w:firstLineChars="200"/>
      <w:jc w:val="both"/>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11">
    <w:name w:val="列表型 51"/>
    <w:basedOn w:val="88"/>
    <w:semiHidden/>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tblBorders>
    </w:tblPr>
    <w:tcPr>
      <w:shd w:val="clear" w:color="auto" w:fill="auto"/>
    </w:tcPr>
    <w:tblStylePr w:type="firstRow">
      <w:rPr>
        <w:b/>
        <w:bCs/>
      </w:rPr>
      <w:tcPr>
        <w:tcBorders>
          <w:top w:val="nil"/>
          <w:left w:val="single" w:color="000000" w:sz="12" w:space="0"/>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style>
  <w:style w:type="table" w:customStyle="1" w:styleId="3512">
    <w:name w:val="网格型1813"/>
    <w:basedOn w:val="88"/>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13">
    <w:name w:val="网格型37"/>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14">
    <w:name w:val="表格网格型5"/>
    <w:basedOn w:val="88"/>
    <w:qFormat/>
    <w:uiPriority w:val="0"/>
    <w:pPr>
      <w:widowControl w:val="0"/>
      <w:ind w:firstLine="56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15">
    <w:name w:val="列表型 42"/>
    <w:basedOn w:val="88"/>
    <w:qFormat/>
    <w:uiPriority w:val="0"/>
    <w:pPr>
      <w:widowControl w:val="0"/>
      <w:spacing w:line="560" w:lineRule="exact"/>
      <w:ind w:firstLine="200" w:firstLineChars="200"/>
      <w:jc w:val="both"/>
    </w:pPr>
    <w:rPr>
      <w:rFonts w:ascii="Calibri" w:hAnsi="Calibri"/>
    </w:rPr>
    <w:tblPr>
      <w:tblBorders>
        <w:top w:val="single" w:color="000000" w:sz="12" w:space="0"/>
        <w:left w:val="single" w:color="000000" w:sz="12" w:space="0"/>
        <w:bottom w:val="single" w:color="000000" w:sz="12" w:space="0"/>
        <w:right w:val="single" w:color="000000" w:sz="12" w:space="0"/>
        <w:insideH w:val="single" w:color="000000" w:sz="6" w:space="0"/>
      </w:tblBorders>
    </w:tblPr>
    <w:tcPr>
      <w:shd w:val="clear" w:color="auto" w:fill="auto"/>
    </w:tcPr>
    <w:tblStylePr w:type="firstRow">
      <w:rPr>
        <w:b/>
        <w:bCs/>
        <w:color w:val="FFFFFF"/>
      </w:rPr>
      <w:tcPr>
        <w:tcBorders>
          <w:top w:val="nil"/>
          <w:left w:val="single" w:color="000000" w:sz="12" w:space="0"/>
          <w:bottom w:val="nil"/>
          <w:right w:val="nil"/>
          <w:insideH w:val="nil"/>
          <w:insideV w:val="nil"/>
          <w:tl2br w:val="nil"/>
          <w:tr2bl w:val="nil"/>
        </w:tcBorders>
        <w:shd w:val="solid" w:color="808080" w:fill="FFFFFF"/>
      </w:tcPr>
    </w:tblStylePr>
  </w:style>
  <w:style w:type="table" w:customStyle="1" w:styleId="3516">
    <w:name w:val="网格型29"/>
    <w:basedOn w:val="88"/>
    <w:qFormat/>
    <w:uiPriority w:val="39"/>
    <w:rPr>
      <w:rFonts w:ascii="Calibri" w:hAnsi="Calibri" w:eastAsia="宋体" w:cs="Times New Roman"/>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17">
    <w:name w:val="竖列型 511"/>
    <w:basedOn w:val="88"/>
    <w:semiHidden/>
    <w:qFormat/>
    <w:uiPriority w:val="0"/>
    <w:pPr>
      <w:widowControl w:val="0"/>
      <w:jc w:val="both"/>
    </w:pPr>
    <w:rPr>
      <w:rFonts w:ascii="Calibri" w:hAnsi="Calibri"/>
    </w:rPr>
    <w:tblPr>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cPr>
        <w:tcBorders>
          <w:top w:val="nil"/>
          <w:left w:val="single" w:color="808080" w:sz="6" w:space="0"/>
          <w:bottom w:val="nil"/>
          <w:right w:val="nil"/>
          <w:insideH w:val="nil"/>
          <w:insideV w:val="nil"/>
          <w:tl2br w:val="nil"/>
          <w:tr2bl w:val="nil"/>
        </w:tcBorders>
      </w:tcPr>
    </w:tblStylePr>
    <w:tblStylePr w:type="lastRow">
      <w:rPr>
        <w:b/>
        <w:bCs/>
      </w:rPr>
      <w:tcPr>
        <w:tcBorders>
          <w:top w:val="single" w:color="808080" w:sz="6"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Vert">
      <w:rPr>
        <w:color w:val="auto"/>
      </w:rPr>
      <w:tcPr>
        <w:shd w:val="solid" w:color="C0C0C0" w:fill="FFFFFF"/>
      </w:tcPr>
    </w:tblStylePr>
    <w:tblStylePr w:type="band2Vert">
      <w:rPr>
        <w:color w:val="auto"/>
      </w:rPr>
    </w:tblStylePr>
  </w:style>
  <w:style w:type="table" w:customStyle="1" w:styleId="3518">
    <w:name w:val="网格型411"/>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19">
    <w:name w:val="精巧型 113"/>
    <w:basedOn w:val="88"/>
    <w:semiHidden/>
    <w:qFormat/>
    <w:uiPriority w:val="0"/>
    <w:pPr>
      <w:widowControl w:val="0"/>
      <w:jc w:val="both"/>
    </w:pPr>
    <w:tblStylePr w:type="firstRow">
      <w:tcPr>
        <w:tcBorders>
          <w:top w:val="single" w:color="000000" w:sz="6" w:space="0"/>
          <w:left w:val="single" w:color="000000" w:sz="12" w:space="0"/>
          <w:bottom w:val="nil"/>
          <w:right w:val="nil"/>
          <w:insideH w:val="nil"/>
          <w:insideV w:val="nil"/>
          <w:tl2br w:val="nil"/>
          <w:tr2bl w:val="nil"/>
        </w:tcBorders>
      </w:tcPr>
    </w:tblStylePr>
    <w:tblStylePr w:type="lastRow">
      <w:tcPr>
        <w:tcBorders>
          <w:top w:val="single" w:color="000000" w:sz="12" w:space="0"/>
          <w:left w:val="nil"/>
          <w:bottom w:val="nil"/>
          <w:right w:val="nil"/>
          <w:insideH w:val="nil"/>
          <w:insideV w:val="nil"/>
          <w:tl2br w:val="nil"/>
          <w:tr2bl w:val="nil"/>
        </w:tcBorders>
        <w:shd w:val="pct25" w:color="800080" w:fill="FFFFFF"/>
      </w:tcPr>
    </w:tblStylePr>
    <w:tblStylePr w:type="firstCol">
      <w:tcPr>
        <w:tcBorders>
          <w:top w:val="nil"/>
          <w:left w:val="nil"/>
          <w:bottom w:val="nil"/>
          <w:right w:val="single" w:color="000000" w:sz="12" w:space="0"/>
          <w:insideH w:val="nil"/>
          <w:insideV w:val="nil"/>
          <w:tl2br w:val="nil"/>
          <w:tr2bl w:val="nil"/>
        </w:tcBorders>
      </w:tcPr>
    </w:tblStylePr>
    <w:tblStylePr w:type="lastCol">
      <w:tcPr>
        <w:tcBorders>
          <w:top w:val="nil"/>
          <w:left w:val="nil"/>
          <w:bottom w:val="single" w:color="000000" w:sz="12" w:space="0"/>
          <w:right w:val="nil"/>
          <w:insideH w:val="nil"/>
          <w:insideV w:val="nil"/>
          <w:tl2br w:val="nil"/>
          <w:tr2bl w:val="nil"/>
        </w:tcBorders>
      </w:tcPr>
    </w:tblStylePr>
    <w:tblStylePr w:type="band1Horz">
      <w:tcPr>
        <w:tcBorders>
          <w:top w:val="nil"/>
          <w:left w:val="single" w:color="000000" w:sz="6" w:space="0"/>
          <w:bottom w:val="nil"/>
          <w:right w:val="nil"/>
          <w:insideH w:val="nil"/>
          <w:insideV w:val="nil"/>
          <w:tl2br w:val="nil"/>
          <w:tr2bl w:val="nil"/>
        </w:tcBorders>
        <w:shd w:val="pct25" w:color="808000" w:fill="FFFFFF"/>
      </w:tcPr>
    </w:tblStylePr>
    <w:tblStylePr w:type="neCell">
      <w:rPr>
        <w:b/>
        <w:bCs/>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520">
    <w:name w:val="竖列型 211"/>
    <w:basedOn w:val="88"/>
    <w:semiHidden/>
    <w:qFormat/>
    <w:uiPriority w:val="0"/>
    <w:pPr>
      <w:widowControl w:val="0"/>
      <w:jc w:val="both"/>
    </w:pPr>
    <w:rPr>
      <w:rFonts w:ascii="Calibri" w:hAnsi="Calibri"/>
      <w:b/>
      <w:bCs/>
    </w:rPr>
    <w:tblStylePr w:type="firstRow">
      <w:rPr>
        <w:color w:val="FFFFFF"/>
      </w:rPr>
      <w:tcPr>
        <w:tcBorders>
          <w:top w:val="nil"/>
          <w:left w:val="nil"/>
          <w:bottom w:val="nil"/>
          <w:right w:val="nil"/>
          <w:insideH w:val="nil"/>
          <w:insideV w:val="nil"/>
          <w:tl2br w:val="nil"/>
          <w:tr2bl w:val="nil"/>
        </w:tcBorders>
        <w:shd w:val="solid" w:color="000080" w:fill="FFFFFF"/>
      </w:tcPr>
    </w:tblStylePr>
    <w:tblStylePr w:type="lastRow">
      <w:rPr>
        <w:b w:val="0"/>
        <w:bCs w:val="0"/>
      </w:rPr>
      <w:tcPr>
        <w:tcBorders>
          <w:top w:val="nil"/>
          <w:left w:val="nil"/>
          <w:bottom w:val="nil"/>
          <w:right w:val="nil"/>
          <w:insideH w:val="nil"/>
          <w:insideV w:val="nil"/>
          <w:tl2br w:val="nil"/>
          <w:tr2bl w:val="nil"/>
        </w:tcBorders>
      </w:tcPr>
    </w:tblStylePr>
    <w:tblStylePr w:type="firstCol">
      <w:rPr>
        <w:b w:val="0"/>
        <w:bCs w:val="0"/>
        <w:color w:val="00000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band1Vert">
      <w:rPr>
        <w:color w:val="auto"/>
      </w:rPr>
      <w:tcPr>
        <w:shd w:val="pct30" w:color="000000" w:fill="FFFFFF"/>
      </w:tcPr>
    </w:tblStylePr>
    <w:tblStylePr w:type="band2Vert">
      <w:rPr>
        <w:color w:val="auto"/>
      </w:rPr>
      <w:tcPr>
        <w:shd w:val="pct25" w:color="00FF00" w:fill="FFFFFF"/>
      </w:tcPr>
    </w:tblStylePr>
    <w:tblStylePr w:type="neCell">
      <w:rPr>
        <w:b/>
        <w:bCs/>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521">
    <w:name w:val="流行型21"/>
    <w:basedOn w:val="88"/>
    <w:qFormat/>
    <w:uiPriority w:val="0"/>
    <w:pPr>
      <w:widowControl w:val="0"/>
      <w:spacing w:line="560" w:lineRule="exact"/>
      <w:ind w:firstLine="200" w:firstLineChars="200"/>
      <w:jc w:val="both"/>
    </w:pPr>
    <w:rPr>
      <w:rFonts w:ascii="Calibri" w:hAnsi="Calibri"/>
    </w:r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522">
    <w:name w:val="简明型 312"/>
    <w:basedOn w:val="88"/>
    <w:semiHidden/>
    <w:qFormat/>
    <w:uiPriority w:val="0"/>
    <w:pPr>
      <w:widowControl w:val="0"/>
      <w:jc w:val="both"/>
    </w:pPr>
    <w:rPr>
      <w:rFonts w:ascii="Calibri" w:hAnsi="Calibri"/>
    </w:rPr>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color w:val="FFFFFF"/>
      </w:rPr>
      <w:tcPr>
        <w:tcBorders>
          <w:top w:val="nil"/>
          <w:left w:val="nil"/>
          <w:bottom w:val="nil"/>
          <w:right w:val="nil"/>
          <w:insideH w:val="nil"/>
          <w:insideV w:val="nil"/>
          <w:tl2br w:val="nil"/>
          <w:tr2bl w:val="nil"/>
        </w:tcBorders>
        <w:shd w:val="solid" w:color="000000" w:fill="FFFFFF"/>
      </w:tcPr>
    </w:tblStylePr>
  </w:style>
  <w:style w:type="table" w:customStyle="1" w:styleId="3523">
    <w:name w:val="表格网格型2"/>
    <w:basedOn w:val="88"/>
    <w:qFormat/>
    <w:uiPriority w:val="0"/>
    <w:rPr>
      <w:rFonts w:ascii="Calibri" w:hAnsi="Calibri" w:eastAsia="宋体" w:cs="Times New Roman"/>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24">
    <w:name w:val="网格型311112"/>
    <w:basedOn w:val="88"/>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25">
    <w:name w:val="专业型3"/>
    <w:basedOn w:val="88"/>
    <w:qFormat/>
    <w:uiPriority w:val="0"/>
    <w:pPr>
      <w:widowControl w:val="0"/>
      <w:spacing w:line="560" w:lineRule="exact"/>
      <w:ind w:firstLine="200" w:firstLineChars="200"/>
      <w:jc w:val="both"/>
    </w:pPr>
    <w:rPr>
      <w:rFonts w:ascii="Calibri" w:hAnsi="Calibri"/>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526">
    <w:name w:val="网格型 512"/>
    <w:basedOn w:val="88"/>
    <w:semiHidden/>
    <w:qFormat/>
    <w:uiPriority w:val="0"/>
    <w:pPr>
      <w:widowControl w:val="0"/>
      <w:jc w:val="both"/>
    </w:pPr>
    <w:rPr>
      <w:rFonts w:ascii="Calibri" w:hAnsi="Calibri"/>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top w:val="nil"/>
          <w:left w:val="single" w:color="000000" w:sz="12" w:space="0"/>
          <w:bottom w:val="nil"/>
          <w:right w:val="nil"/>
          <w:insideH w:val="nil"/>
          <w:insideV w:val="nil"/>
          <w:tl2br w:val="nil"/>
          <w:tr2bl w:val="nil"/>
        </w:tcBorders>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527">
    <w:name w:val="表格网格型31"/>
    <w:basedOn w:val="88"/>
    <w:qFormat/>
    <w:uiPriority w:val="0"/>
    <w:pPr>
      <w:widowControl w:val="0"/>
      <w:ind w:firstLine="560" w:firstLineChars="200"/>
      <w:jc w:val="both"/>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28">
    <w:name w:val="网格型53"/>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29">
    <w:name w:val="简明型 213"/>
    <w:basedOn w:val="88"/>
    <w:semiHidden/>
    <w:qFormat/>
    <w:uiPriority w:val="0"/>
    <w:pPr>
      <w:widowControl w:val="0"/>
      <w:jc w:val="both"/>
    </w:pPr>
    <w:tblStylePr w:type="firstRow">
      <w:rPr>
        <w:b/>
        <w:bCs/>
      </w:rPr>
      <w:tcPr>
        <w:tcBorders>
          <w:top w:val="nil"/>
          <w:left w:val="single" w:color="000000" w:sz="12" w:space="0"/>
          <w:bottom w:val="nil"/>
          <w:right w:val="nil"/>
          <w:insideH w:val="nil"/>
          <w:insideV w:val="nil"/>
          <w:tl2br w:val="nil"/>
          <w:tr2bl w:val="nil"/>
        </w:tcBorders>
      </w:tcPr>
    </w:tblStylePr>
    <w:tblStylePr w:type="lastRow">
      <w:rPr>
        <w:b/>
        <w:bCs/>
        <w:color w:val="auto"/>
      </w:rPr>
      <w:tcPr>
        <w:tcBorders>
          <w:top w:val="single" w:color="000000" w:sz="6" w:space="0"/>
          <w:left w:val="nil"/>
          <w:bottom w:val="nil"/>
          <w:right w:val="nil"/>
          <w:insideH w:val="nil"/>
          <w:insideV w:val="nil"/>
          <w:tl2br w:val="nil"/>
          <w:tr2bl w:val="nil"/>
        </w:tcBorders>
      </w:tcPr>
    </w:tblStylePr>
    <w:tblStylePr w:type="firstCol">
      <w:rPr>
        <w:b/>
        <w:bCs/>
      </w:rPr>
      <w:tcPr>
        <w:tcBorders>
          <w:top w:val="nil"/>
          <w:left w:val="nil"/>
          <w:bottom w:val="nil"/>
          <w:right w:val="single" w:color="000000" w:sz="12" w:space="0"/>
          <w:insideH w:val="nil"/>
          <w:insideV w:val="nil"/>
          <w:tl2br w:val="nil"/>
          <w:tr2bl w:val="nil"/>
        </w:tcBorders>
      </w:tcPr>
    </w:tblStylePr>
    <w:tblStylePr w:type="lastCol">
      <w:rPr>
        <w:b/>
        <w:bCs/>
      </w:rPr>
      <w:tcPr>
        <w:tcBorders>
          <w:top w:val="nil"/>
          <w:left w:val="nil"/>
          <w:bottom w:val="single" w:color="000000" w:sz="6" w:space="0"/>
          <w:right w:val="nil"/>
          <w:insideH w:val="nil"/>
          <w:insideV w:val="nil"/>
          <w:tl2br w:val="nil"/>
          <w:tr2bl w:val="nil"/>
        </w:tcBorders>
      </w:tcPr>
    </w:tblStylePr>
    <w:tblStylePr w:type="neCell">
      <w:rPr>
        <w:b/>
        <w:bCs/>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530">
    <w:name w:val="彩色型 212"/>
    <w:basedOn w:val="88"/>
    <w:semiHidden/>
    <w:qFormat/>
    <w:uiPriority w:val="0"/>
    <w:pPr>
      <w:widowControl w:val="0"/>
      <w:jc w:val="both"/>
    </w:pPr>
    <w:rPr>
      <w:rFonts w:ascii="Calibri" w:hAnsi="Calibri"/>
    </w:rPr>
    <w:tblPr>
      <w:tblBorders>
        <w:bottom w:val="single" w:color="000000" w:sz="12" w:space="0"/>
      </w:tblBorders>
    </w:tblPr>
    <w:tcPr>
      <w:shd w:val="pct20" w:color="FFFF00" w:fill="FFFFFF"/>
    </w:tcPr>
    <w:tblStylePr w:type="firstRow">
      <w:rPr>
        <w:b/>
        <w:bCs/>
        <w:i/>
        <w:iCs/>
        <w:color w:val="FFFFFF"/>
      </w:rPr>
      <w:tcPr>
        <w:tcBorders>
          <w:top w:val="nil"/>
          <w:left w:val="single" w:color="000000" w:sz="12" w:space="0"/>
          <w:bottom w:val="nil"/>
          <w:right w:val="nil"/>
          <w:insideH w:val="nil"/>
          <w:insideV w:val="nil"/>
          <w:tl2br w:val="nil"/>
          <w:tr2bl w:val="nil"/>
        </w:tcBorders>
        <w:shd w:val="solid" w:color="800000" w:fill="FFFFFF"/>
      </w:tcPr>
    </w:tblStylePr>
    <w:tblStylePr w:type="firstCol">
      <w:rPr>
        <w:b/>
        <w:bCs/>
        <w:i/>
        <w:iCs/>
      </w:rPr>
      <w:tcPr>
        <w:tcBorders>
          <w:top w:val="nil"/>
          <w:left w:val="nil"/>
          <w:bottom w:val="nil"/>
          <w:right w:val="nil"/>
          <w:insideH w:val="nil"/>
          <w:insideV w:val="nil"/>
          <w:tl2br w:val="nil"/>
          <w:tr2bl w:val="nil"/>
        </w:tcBorders>
      </w:tcPr>
    </w:tblStylePr>
    <w:tblStylePr w:type="lastCol">
      <w:tcPr>
        <w:tcBorders>
          <w:top w:val="nil"/>
          <w:left w:val="nil"/>
          <w:bottom w:val="nil"/>
          <w:right w:val="nil"/>
          <w:insideH w:val="nil"/>
          <w:insideV w:val="nil"/>
          <w:tl2br w:val="nil"/>
          <w:tr2bl w:val="nil"/>
        </w:tcBorders>
        <w:shd w:val="solid" w:color="C0C0C0" w:fill="FFFFFF"/>
      </w:tcPr>
    </w:tblStylePr>
    <w:tblStylePr w:type="swCell">
      <w:rPr>
        <w:b/>
        <w:bCs/>
        <w:i w:val="0"/>
        <w:iCs w:val="0"/>
      </w:rPr>
      <w:tcPr>
        <w:tcBorders>
          <w:top w:val="nil"/>
          <w:left w:val="nil"/>
          <w:bottom w:val="nil"/>
          <w:right w:val="nil"/>
          <w:insideH w:val="nil"/>
          <w:insideV w:val="nil"/>
          <w:tl2br w:val="nil"/>
          <w:tr2bl w:val="nil"/>
        </w:tcBorders>
      </w:tcPr>
    </w:tblStylePr>
  </w:style>
  <w:style w:type="table" w:customStyle="1" w:styleId="3531">
    <w:name w:val="彩色型 14"/>
    <w:basedOn w:val="88"/>
    <w:qFormat/>
    <w:uiPriority w:val="0"/>
    <w:pPr>
      <w:widowControl w:val="0"/>
      <w:spacing w:line="560" w:lineRule="exact"/>
      <w:ind w:firstLine="200" w:firstLineChars="200"/>
      <w:jc w:val="both"/>
    </w:pPr>
    <w:rPr>
      <w:rFonts w:ascii="Calibri" w:hAnsi="Calibri"/>
      <w:color w:val="FFFFFF"/>
    </w:rPr>
    <w:tblPr>
      <w:tblBorders>
        <w:top w:val="single" w:color="008080" w:sz="12" w:space="0"/>
        <w:left w:val="single" w:color="008080" w:sz="12" w:space="0"/>
        <w:bottom w:val="single" w:color="008080" w:sz="12" w:space="0"/>
        <w:right w:val="single" w:color="008080" w:sz="12" w:space="0"/>
        <w:insideH w:val="single" w:color="00FFFF" w:sz="6" w:space="0"/>
      </w:tblBorders>
    </w:tblPr>
    <w:tcPr>
      <w:shd w:val="solid" w:color="008080" w:fill="FFFFFF"/>
    </w:tcPr>
    <w:tblStylePr w:type="firstRow">
      <w:rPr>
        <w:b/>
        <w:bCs/>
        <w:i/>
        <w:iCs/>
      </w:rPr>
      <w:tcPr>
        <w:tcBorders>
          <w:top w:val="nil"/>
          <w:left w:val="nil"/>
          <w:bottom w:val="nil"/>
          <w:right w:val="nil"/>
          <w:insideH w:val="nil"/>
          <w:insideV w:val="nil"/>
          <w:tl2br w:val="nil"/>
          <w:tr2bl w:val="nil"/>
        </w:tcBorders>
        <w:shd w:val="solid" w:color="000000" w:fill="FFFFFF"/>
      </w:tcPr>
    </w:tblStylePr>
    <w:tblStylePr w:type="firstCol">
      <w:rPr>
        <w:b/>
        <w:bCs/>
        <w:i/>
        <w:iCs/>
      </w:rPr>
      <w:tcPr>
        <w:tcBorders>
          <w:top w:val="nil"/>
          <w:left w:val="nil"/>
          <w:bottom w:val="nil"/>
          <w:right w:val="nil"/>
          <w:insideH w:val="nil"/>
          <w:insideV w:val="nil"/>
          <w:tl2br w:val="nil"/>
          <w:tr2bl w:val="nil"/>
        </w:tcBorders>
        <w:shd w:val="solid" w:color="000080" w:fill="FFFFFF"/>
      </w:tcPr>
    </w:tblStylePr>
    <w:tblStylePr w:type="nwCell">
      <w:tcPr>
        <w:tcBorders>
          <w:top w:val="nil"/>
          <w:left w:val="nil"/>
          <w:bottom w:val="nil"/>
          <w:right w:val="nil"/>
          <w:insideH w:val="nil"/>
          <w:insideV w:val="nil"/>
          <w:tl2br w:val="nil"/>
          <w:tr2bl w:val="nil"/>
        </w:tcBorders>
        <w:shd w:val="solid" w:color="000000" w:fill="FFFFFF"/>
      </w:tcPr>
    </w:tblStylePr>
    <w:tblStylePr w:type="swCell">
      <w:rPr>
        <w:b/>
        <w:bCs/>
        <w:i w:val="0"/>
        <w:iCs w:val="0"/>
      </w:rPr>
      <w:tcPr>
        <w:tcBorders>
          <w:top w:val="nil"/>
          <w:left w:val="nil"/>
          <w:bottom w:val="nil"/>
          <w:right w:val="nil"/>
          <w:insideH w:val="nil"/>
          <w:insideV w:val="nil"/>
          <w:tl2br w:val="nil"/>
          <w:tr2bl w:val="nil"/>
        </w:tcBorders>
      </w:tcPr>
    </w:tblStylePr>
  </w:style>
  <w:style w:type="table" w:customStyle="1" w:styleId="3532">
    <w:name w:val="网格型312112"/>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33">
    <w:name w:val="网格型181"/>
    <w:basedOn w:val="88"/>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34">
    <w:name w:val="网格型31115"/>
    <w:basedOn w:val="88"/>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35">
    <w:name w:val="网格型 54"/>
    <w:basedOn w:val="88"/>
    <w:qFormat/>
    <w:uiPriority w:val="0"/>
    <w:pPr>
      <w:widowControl w:val="0"/>
      <w:spacing w:line="560" w:lineRule="exact"/>
      <w:ind w:firstLine="200" w:firstLineChars="200"/>
      <w:jc w:val="both"/>
    </w:pPr>
    <w:rPr>
      <w:rFonts w:ascii="Calibri" w:hAnsi="Calibri"/>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top w:val="nil"/>
          <w:left w:val="single" w:color="000000" w:sz="12" w:space="0"/>
          <w:bottom w:val="nil"/>
          <w:right w:val="nil"/>
          <w:insideH w:val="nil"/>
          <w:insideV w:val="nil"/>
          <w:tl2br w:val="nil"/>
          <w:tr2bl w:val="nil"/>
        </w:tcBorders>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536">
    <w:name w:val="网格型1811"/>
    <w:basedOn w:val="88"/>
    <w:qFormat/>
    <w:uiPriority w:val="0"/>
    <w:pPr>
      <w:widowControl w:val="0"/>
      <w:spacing w:line="300" w:lineRule="exact"/>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37">
    <w:name w:val="网格型3116"/>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38">
    <w:name w:val="网格型324"/>
    <w:basedOn w:val="88"/>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39">
    <w:name w:val="网格型182"/>
    <w:basedOn w:val="88"/>
    <w:qFormat/>
    <w:uiPriority w:val="0"/>
    <w:pPr>
      <w:widowControl w:val="0"/>
      <w:spacing w:line="300" w:lineRule="exact"/>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40">
    <w:name w:val="立体型 312"/>
    <w:basedOn w:val="88"/>
    <w:semiHidden/>
    <w:qFormat/>
    <w:uiPriority w:val="0"/>
    <w:pPr>
      <w:widowControl w:val="0"/>
      <w:jc w:val="both"/>
    </w:pPr>
    <w:rPr>
      <w:rFonts w:ascii="Calibri" w:hAnsi="Calibri"/>
    </w:rPr>
    <w:tblStylePr w:type="firstRow">
      <w:rPr>
        <w:b/>
        <w:bCs/>
      </w:rPr>
      <w:tcPr>
        <w:tcBorders>
          <w:top w:val="nil"/>
          <w:left w:val="nil"/>
          <w:bottom w:val="nil"/>
          <w:right w:val="nil"/>
          <w:insideH w:val="nil"/>
          <w:insideV w:val="nil"/>
          <w:tl2br w:val="nil"/>
          <w:tr2bl w:val="nil"/>
        </w:tcBorders>
      </w:tcPr>
    </w:tblStylePr>
    <w:tblStylePr w:type="firstCol">
      <w:tcPr>
        <w:tcBorders>
          <w:top w:val="nil"/>
          <w:left w:val="nil"/>
          <w:bottom w:val="nil"/>
          <w:right w:val="single" w:color="808080" w:sz="6" w:space="0"/>
          <w:insideH w:val="nil"/>
          <w:insideV w:val="nil"/>
          <w:tl2br w:val="nil"/>
          <w:tr2bl w:val="nil"/>
        </w:tcBorders>
      </w:tcPr>
    </w:tblStylePr>
    <w:tblStylePr w:type="lastCol">
      <w:tcPr>
        <w:tcBorders>
          <w:top w:val="nil"/>
          <w:left w:val="nil"/>
          <w:bottom w:val="nil"/>
          <w:right w:val="single" w:color="FFFFFF" w:sz="6" w:space="0"/>
          <w:insideH w:val="nil"/>
          <w:insideV w:val="nil"/>
          <w:tl2br w:val="nil"/>
          <w:tr2bl w:val="nil"/>
        </w:tcBorders>
      </w:tcPr>
    </w:tblStylePr>
    <w:tblStylePr w:type="band1Vert">
      <w:rPr>
        <w:color w:val="auto"/>
      </w:rPr>
      <w:tcPr>
        <w:shd w:val="solid" w:color="C0C0C0" w:fill="FFFFFF"/>
      </w:tcPr>
    </w:tblStylePr>
    <w:tblStylePr w:type="band2Vert">
      <w:rPr>
        <w:color w:val="auto"/>
      </w:rPr>
      <w:tcPr>
        <w:shd w:val="pct50" w:color="C0C0C0" w:fill="FFFFFF"/>
      </w:tcPr>
    </w:tblStylePr>
    <w:tblStylePr w:type="band1Horz">
      <w:tcPr>
        <w:tcBorders>
          <w:top w:val="single" w:color="808080" w:sz="6" w:space="0"/>
          <w:left w:val="single" w:color="FFFFFF" w:sz="6" w:space="0"/>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541">
    <w:name w:val="竖列型 54"/>
    <w:basedOn w:val="88"/>
    <w:qFormat/>
    <w:uiPriority w:val="0"/>
    <w:pPr>
      <w:widowControl w:val="0"/>
      <w:spacing w:line="560" w:lineRule="exact"/>
      <w:ind w:firstLine="200" w:firstLineChars="200"/>
      <w:jc w:val="both"/>
    </w:pPr>
    <w:rPr>
      <w:rFonts w:ascii="Calibri" w:hAnsi="Calibri"/>
    </w:rPr>
    <w:tblPr>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cPr>
        <w:tcBorders>
          <w:top w:val="nil"/>
          <w:left w:val="single" w:color="808080" w:sz="6" w:space="0"/>
          <w:bottom w:val="nil"/>
          <w:right w:val="nil"/>
          <w:insideH w:val="nil"/>
          <w:insideV w:val="nil"/>
          <w:tl2br w:val="nil"/>
          <w:tr2bl w:val="nil"/>
        </w:tcBorders>
      </w:tcPr>
    </w:tblStylePr>
    <w:tblStylePr w:type="lastRow">
      <w:rPr>
        <w:b/>
        <w:bCs/>
      </w:rPr>
      <w:tcPr>
        <w:tcBorders>
          <w:top w:val="single" w:color="808080" w:sz="6"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Vert">
      <w:rPr>
        <w:color w:val="auto"/>
      </w:rPr>
      <w:tcPr>
        <w:shd w:val="solid" w:color="C0C0C0" w:fill="FFFFFF"/>
      </w:tcPr>
    </w:tblStylePr>
    <w:tblStylePr w:type="band2Vert">
      <w:rPr>
        <w:color w:val="auto"/>
      </w:rPr>
    </w:tblStylePr>
  </w:style>
  <w:style w:type="table" w:customStyle="1" w:styleId="3542">
    <w:name w:val="列表型 21"/>
    <w:basedOn w:val="88"/>
    <w:semiHidden/>
    <w:qFormat/>
    <w:uiPriority w:val="0"/>
    <w:pPr>
      <w:widowControl w:val="0"/>
      <w:jc w:val="both"/>
    </w:pPr>
    <w:tblPr>
      <w:tblBorders>
        <w:bottom w:val="single" w:color="808080" w:sz="12" w:space="0"/>
      </w:tblBorders>
    </w:tblPr>
    <w:tblStylePr w:type="firstRow">
      <w:rPr>
        <w:b/>
        <w:bCs/>
        <w:color w:val="FFFFFF"/>
      </w:rPr>
      <w:tcPr>
        <w:tcBorders>
          <w:top w:val="nil"/>
          <w:left w:val="single" w:color="000000" w:sz="6" w:space="0"/>
          <w:bottom w:val="nil"/>
          <w:right w:val="nil"/>
          <w:insideH w:val="nil"/>
          <w:insideV w:val="nil"/>
          <w:tl2br w:val="nil"/>
          <w:tr2bl w:val="nil"/>
        </w:tcBorders>
        <w:shd w:val="pct75" w:color="008080" w:fill="008000"/>
      </w:tcPr>
    </w:tblStylePr>
    <w:tblStylePr w:type="lastRow">
      <w:tcPr>
        <w:tcBorders>
          <w:top w:val="single" w:color="000000" w:sz="6" w:space="0"/>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FF00" w:fill="FFFFFF"/>
      </w:tcPr>
    </w:tblStylePr>
    <w:tblStylePr w:type="band2Horz">
      <w:rPr>
        <w:color w:val="auto"/>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543">
    <w:name w:val="网格型312"/>
    <w:basedOn w:val="88"/>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44">
    <w:name w:val="列表型 812"/>
    <w:basedOn w:val="88"/>
    <w:semiHidden/>
    <w:qFormat/>
    <w:uiPriority w:val="0"/>
    <w:pPr>
      <w:widowControl w:val="0"/>
      <w:jc w:val="both"/>
    </w:pPr>
    <w:rPr>
      <w:rFonts w:ascii="Calibri" w:hAnsi="Calibri"/>
    </w:rPr>
    <w:tblPr>
      <w:tblBorders>
        <w:top w:val="single" w:color="000000" w:sz="6" w:space="0"/>
        <w:left w:val="single" w:color="000000" w:sz="6" w:space="0"/>
        <w:bottom w:val="single" w:color="000000" w:sz="6" w:space="0"/>
        <w:right w:val="single" w:color="000000" w:sz="6" w:space="0"/>
        <w:insideV w:val="single" w:color="000000" w:sz="6" w:space="0"/>
      </w:tblBorders>
    </w:tblPr>
    <w:tblStylePr w:type="firstRow">
      <w:rPr>
        <w:b/>
        <w:bCs/>
        <w:i/>
        <w:iCs/>
      </w:rPr>
      <w:tcPr>
        <w:tcBorders>
          <w:top w:val="nil"/>
          <w:left w:val="single" w:color="000000" w:sz="6" w:space="0"/>
          <w:bottom w:val="nil"/>
          <w:right w:val="nil"/>
          <w:insideH w:val="nil"/>
          <w:insideV w:val="nil"/>
          <w:tl2br w:val="nil"/>
          <w:tr2bl w:val="nil"/>
        </w:tcBorders>
        <w:shd w:val="solid" w:color="FFFF00" w:fill="FFFFFF"/>
      </w:tcPr>
    </w:tblStylePr>
    <w:tblStylePr w:type="lastRow">
      <w:rPr>
        <w:b/>
        <w:bCs/>
      </w:rPr>
      <w:tcPr>
        <w:tcBorders>
          <w:top w:val="single" w:color="000000" w:sz="6"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5" w:color="FFFF00" w:fill="FFFFFF"/>
      </w:tcPr>
    </w:tblStylePr>
    <w:tblStylePr w:type="band2Horz">
      <w:tcPr>
        <w:tcBorders>
          <w:top w:val="nil"/>
          <w:left w:val="nil"/>
          <w:bottom w:val="nil"/>
          <w:right w:val="nil"/>
          <w:insideH w:val="nil"/>
          <w:insideV w:val="nil"/>
          <w:tl2br w:val="nil"/>
          <w:tr2bl w:val="nil"/>
        </w:tcBorders>
        <w:shd w:val="pct50" w:color="FF0000" w:fill="FFFFFF"/>
      </w:tcPr>
    </w:tblStylePr>
    <w:tblStylePr w:type="nwCell">
      <w:tcPr>
        <w:tcBorders>
          <w:top w:val="nil"/>
          <w:left w:val="nil"/>
          <w:bottom w:val="nil"/>
          <w:right w:val="nil"/>
          <w:insideH w:val="nil"/>
          <w:insideV w:val="nil"/>
          <w:tl2br w:val="single" w:color="auto" w:sz="6" w:space="0"/>
          <w:tr2bl w:val="nil"/>
        </w:tcBorders>
      </w:tcPr>
    </w:tblStylePr>
  </w:style>
  <w:style w:type="table" w:customStyle="1" w:styleId="3545">
    <w:name w:val="网格型31213"/>
    <w:basedOn w:val="88"/>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46">
    <w:name w:val="网格型132"/>
    <w:basedOn w:val="88"/>
    <w:qFormat/>
    <w:uiPriority w:val="59"/>
    <w:rPr>
      <w:rFonts w:ascii="Calibri" w:hAnsi="Calibri"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47">
    <w:name w:val="列表型 821"/>
    <w:basedOn w:val="88"/>
    <w:qFormat/>
    <w:uiPriority w:val="0"/>
    <w:pPr>
      <w:widowControl w:val="0"/>
      <w:spacing w:line="560" w:lineRule="exact"/>
      <w:ind w:firstLine="200" w:firstLineChars="200"/>
      <w:jc w:val="both"/>
    </w:pPr>
    <w:rPr>
      <w:rFonts w:ascii="Calibri" w:hAnsi="Calibri"/>
    </w:rPr>
    <w:tblPr>
      <w:tblBorders>
        <w:top w:val="single" w:color="000000" w:sz="6" w:space="0"/>
        <w:left w:val="single" w:color="000000" w:sz="6" w:space="0"/>
        <w:bottom w:val="single" w:color="000000" w:sz="6" w:space="0"/>
        <w:right w:val="single" w:color="000000" w:sz="6" w:space="0"/>
        <w:insideV w:val="single" w:color="000000" w:sz="6" w:space="0"/>
      </w:tblBorders>
    </w:tblPr>
    <w:tblStylePr w:type="firstRow">
      <w:rPr>
        <w:b/>
        <w:bCs/>
        <w:i/>
        <w:iCs/>
      </w:rPr>
      <w:tcPr>
        <w:tcBorders>
          <w:top w:val="nil"/>
          <w:left w:val="single" w:color="000000" w:sz="6" w:space="0"/>
          <w:bottom w:val="nil"/>
          <w:right w:val="nil"/>
          <w:insideH w:val="nil"/>
          <w:insideV w:val="nil"/>
          <w:tl2br w:val="nil"/>
          <w:tr2bl w:val="nil"/>
        </w:tcBorders>
        <w:shd w:val="solid" w:color="FFFF00" w:fill="FFFFFF"/>
      </w:tcPr>
    </w:tblStylePr>
    <w:tblStylePr w:type="lastRow">
      <w:rPr>
        <w:b/>
        <w:bCs/>
      </w:rPr>
      <w:tcPr>
        <w:tcBorders>
          <w:top w:val="single" w:color="000000" w:sz="6"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5" w:color="FFFF00" w:fill="FFFFFF"/>
      </w:tcPr>
    </w:tblStylePr>
    <w:tblStylePr w:type="band2Horz">
      <w:tcPr>
        <w:tcBorders>
          <w:top w:val="nil"/>
          <w:left w:val="nil"/>
          <w:bottom w:val="nil"/>
          <w:right w:val="nil"/>
          <w:insideH w:val="nil"/>
          <w:insideV w:val="nil"/>
          <w:tl2br w:val="nil"/>
          <w:tr2bl w:val="nil"/>
        </w:tcBorders>
        <w:shd w:val="pct50" w:color="FF0000" w:fill="FFFFFF"/>
      </w:tcPr>
    </w:tblStylePr>
    <w:tblStylePr w:type="nwCell">
      <w:tcPr>
        <w:tcBorders>
          <w:top w:val="nil"/>
          <w:left w:val="nil"/>
          <w:bottom w:val="nil"/>
          <w:right w:val="nil"/>
          <w:insideH w:val="nil"/>
          <w:insideV w:val="nil"/>
          <w:tl2br w:val="single" w:color="auto" w:sz="6" w:space="0"/>
          <w:tr2bl w:val="nil"/>
        </w:tcBorders>
      </w:tcPr>
    </w:tblStylePr>
  </w:style>
  <w:style w:type="table" w:customStyle="1" w:styleId="3548">
    <w:name w:val="表三维效果 11"/>
    <w:basedOn w:val="88"/>
    <w:qFormat/>
    <w:uiPriority w:val="0"/>
    <w:pPr>
      <w:widowControl w:val="0"/>
      <w:spacing w:line="560" w:lineRule="exact"/>
      <w:ind w:firstLine="200" w:firstLineChars="200"/>
      <w:jc w:val="both"/>
    </w:pPr>
    <w:rPr>
      <w:rFonts w:ascii="Calibri" w:hAnsi="Calibri"/>
    </w:rPr>
    <w:tcPr>
      <w:shd w:val="solid" w:color="C0C0C0" w:fill="FFFFFF"/>
    </w:tcPr>
    <w:tblStylePr w:type="firstRow">
      <w:rPr>
        <w:b/>
        <w:bCs/>
        <w:color w:val="800080"/>
      </w:rPr>
      <w:tcPr>
        <w:tcBorders>
          <w:top w:val="nil"/>
          <w:left w:val="single" w:color="808080" w:sz="6" w:space="0"/>
          <w:bottom w:val="nil"/>
          <w:right w:val="nil"/>
          <w:insideH w:val="nil"/>
          <w:insideV w:val="nil"/>
          <w:tl2br w:val="nil"/>
          <w:tr2bl w:val="nil"/>
        </w:tcBorders>
      </w:tcPr>
    </w:tblStylePr>
    <w:tblStylePr w:type="lastRow">
      <w:tcPr>
        <w:tcBorders>
          <w:top w:val="single" w:color="FFFFFF" w:sz="6" w:space="0"/>
          <w:left w:val="nil"/>
          <w:bottom w:val="nil"/>
          <w:right w:val="nil"/>
          <w:insideH w:val="nil"/>
          <w:insideV w:val="nil"/>
          <w:tl2br w:val="nil"/>
          <w:tr2bl w:val="nil"/>
        </w:tcBorders>
      </w:tcPr>
    </w:tblStylePr>
    <w:tblStylePr w:type="firstCol">
      <w:rPr>
        <w:b/>
        <w:bCs/>
      </w:rPr>
      <w:tcPr>
        <w:tcBorders>
          <w:top w:val="nil"/>
          <w:left w:val="nil"/>
          <w:bottom w:val="nil"/>
          <w:right w:val="single" w:color="808080" w:sz="6" w:space="0"/>
          <w:insideH w:val="nil"/>
          <w:insideV w:val="nil"/>
          <w:tl2br w:val="nil"/>
          <w:tr2bl w:val="nil"/>
        </w:tcBorders>
      </w:tcPr>
    </w:tblStylePr>
    <w:tblStylePr w:type="lastCol">
      <w:tcPr>
        <w:tcBorders>
          <w:top w:val="nil"/>
          <w:left w:val="nil"/>
          <w:bottom w:val="single" w:color="FFFFFF" w:sz="6" w:space="0"/>
          <w:right w:val="nil"/>
          <w:insideH w:val="nil"/>
          <w:insideV w:val="nil"/>
          <w:tl2br w:val="nil"/>
          <w:tr2bl w:val="nil"/>
        </w:tcBorders>
      </w:tcPr>
    </w:tblStylePr>
    <w:tblStylePr w:type="neCell">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nil"/>
          <w:tr2bl w:val="nil"/>
        </w:tcBorders>
      </w:tcPr>
    </w:tblStylePr>
    <w:tblStylePr w:type="seCell">
      <w:tcPr>
        <w:tcBorders>
          <w:top w:val="nil"/>
          <w:left w:val="nil"/>
          <w:bottom w:val="nil"/>
          <w:right w:val="nil"/>
          <w:insideH w:val="nil"/>
          <w:insideV w:val="nil"/>
          <w:tl2br w:val="nil"/>
          <w:tr2bl w:val="nil"/>
        </w:tcBorders>
      </w:tcPr>
    </w:tblStylePr>
    <w:tblStylePr w:type="swCell">
      <w:rPr>
        <w:color w:val="000080"/>
      </w:rPr>
      <w:tcPr>
        <w:tcBorders>
          <w:top w:val="nil"/>
          <w:left w:val="nil"/>
          <w:bottom w:val="nil"/>
          <w:right w:val="nil"/>
          <w:insideH w:val="nil"/>
          <w:insideV w:val="nil"/>
          <w:tl2br w:val="nil"/>
          <w:tr2bl w:val="nil"/>
        </w:tcBorders>
      </w:tcPr>
    </w:tblStylePr>
  </w:style>
  <w:style w:type="table" w:customStyle="1" w:styleId="3549">
    <w:name w:val="网格型311113"/>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50">
    <w:name w:val="网格型3111212"/>
    <w:basedOn w:val="88"/>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51">
    <w:name w:val="古典型 321"/>
    <w:basedOn w:val="88"/>
    <w:qFormat/>
    <w:uiPriority w:val="0"/>
    <w:pPr>
      <w:widowControl w:val="0"/>
      <w:spacing w:line="560" w:lineRule="exact"/>
      <w:ind w:firstLine="200" w:firstLineChars="200"/>
      <w:jc w:val="both"/>
    </w:pPr>
    <w:rPr>
      <w:rFonts w:ascii="Calibri" w:hAnsi="Calibri"/>
      <w:color w:val="000080"/>
    </w:rPr>
    <w:tblPr>
      <w:tblBorders>
        <w:top w:val="single" w:color="000000" w:sz="12" w:space="0"/>
        <w:left w:val="single" w:color="000000" w:sz="12" w:space="0"/>
        <w:bottom w:val="single" w:color="000000" w:sz="12" w:space="0"/>
        <w:right w:val="single" w:color="000000" w:sz="12" w:space="0"/>
      </w:tblBorders>
    </w:tblPr>
    <w:tcPr>
      <w:shd w:val="solid" w:color="C0C0C0" w:fill="FFFFFF"/>
    </w:tcPr>
    <w:tblStylePr w:type="firstRow">
      <w:rPr>
        <w:b/>
        <w:bCs/>
        <w:i/>
        <w:iCs/>
        <w:color w:val="FFFFFF"/>
      </w:rPr>
      <w:tcPr>
        <w:tcBorders>
          <w:top w:val="nil"/>
          <w:left w:val="single" w:color="000000" w:sz="6" w:space="0"/>
          <w:bottom w:val="nil"/>
          <w:right w:val="nil"/>
          <w:insideH w:val="nil"/>
          <w:insideV w:val="nil"/>
          <w:tl2br w:val="nil"/>
          <w:tr2bl w:val="nil"/>
        </w:tcBorders>
        <w:shd w:val="solid" w:color="000080" w:fill="FFFFFF"/>
      </w:tcPr>
    </w:tblStylePr>
    <w:tblStylePr w:type="lastRow">
      <w:rPr>
        <w:color w:val="000080"/>
      </w:rPr>
      <w:tcPr>
        <w:tcBorders>
          <w:top w:val="single" w:color="000000" w:sz="12" w:space="0"/>
          <w:left w:val="nil"/>
          <w:bottom w:val="nil"/>
          <w:right w:val="nil"/>
          <w:insideH w:val="nil"/>
          <w:insideV w:val="nil"/>
          <w:tl2br w:val="nil"/>
          <w:tr2bl w:val="nil"/>
        </w:tcBorders>
        <w:shd w:val="solid" w:color="FFFFFF" w:fill="FFFFFF"/>
      </w:tcPr>
    </w:tblStylePr>
    <w:tblStylePr w:type="firstCol">
      <w:rPr>
        <w:b/>
        <w:bCs/>
        <w:color w:val="000000"/>
      </w:rPr>
      <w:tcPr>
        <w:tcBorders>
          <w:top w:val="nil"/>
          <w:left w:val="nil"/>
          <w:bottom w:val="nil"/>
          <w:right w:val="nil"/>
          <w:insideH w:val="nil"/>
          <w:insideV w:val="nil"/>
          <w:tl2br w:val="nil"/>
          <w:tr2bl w:val="nil"/>
        </w:tcBorders>
      </w:tcPr>
    </w:tblStylePr>
  </w:style>
  <w:style w:type="table" w:customStyle="1" w:styleId="3552">
    <w:name w:val="网格型311211"/>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53">
    <w:name w:val="古典型 21"/>
    <w:basedOn w:val="88"/>
    <w:semiHidden/>
    <w:qFormat/>
    <w:uiPriority w:val="0"/>
    <w:pPr>
      <w:widowControl w:val="0"/>
      <w:jc w:val="both"/>
    </w:pPr>
    <w:tblPr>
      <w:tblBorders>
        <w:top w:val="single" w:color="000000" w:sz="12" w:space="0"/>
        <w:bottom w:val="single" w:color="000000" w:sz="12" w:space="0"/>
      </w:tblBorders>
    </w:tblPr>
    <w:tcPr>
      <w:shd w:val="clear" w:color="auto" w:fill="auto"/>
    </w:tcPr>
    <w:tblStylePr w:type="firstRow">
      <w:rPr>
        <w:color w:val="FFFFFF"/>
      </w:rPr>
      <w:tcPr>
        <w:tcBorders>
          <w:top w:val="nil"/>
          <w:left w:val="single" w:color="000000" w:sz="6" w:space="0"/>
          <w:bottom w:val="nil"/>
          <w:right w:val="nil"/>
          <w:insideH w:val="nil"/>
          <w:insideV w:val="nil"/>
          <w:tl2br w:val="nil"/>
          <w:tr2bl w:val="nil"/>
        </w:tcBorders>
        <w:shd w:val="solid" w:color="800080" w:fill="FFFFFF"/>
      </w:tcPr>
    </w:tblStylePr>
    <w:tblStylePr w:type="lastRow">
      <w:tcPr>
        <w:tcBorders>
          <w:top w:val="single" w:color="000000" w:sz="6"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shd w:val="solid" w:color="C0C0C0" w:fill="FFFFFF"/>
      </w:tcPr>
    </w:tblStylePr>
    <w:tblStylePr w:type="neCel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nil"/>
          <w:tr2bl w:val="nil"/>
        </w:tcBorders>
        <w:shd w:val="solid" w:color="800080" w:fill="FFFFFF"/>
      </w:tcPr>
    </w:tblStylePr>
    <w:tblStylePr w:type="swCell">
      <w:rPr>
        <w:color w:val="000080"/>
      </w:rPr>
      <w:tcPr>
        <w:tcBorders>
          <w:top w:val="nil"/>
          <w:left w:val="nil"/>
          <w:bottom w:val="nil"/>
          <w:right w:val="nil"/>
          <w:insideH w:val="nil"/>
          <w:insideV w:val="nil"/>
          <w:tl2br w:val="nil"/>
          <w:tr2bl w:val="nil"/>
        </w:tcBorders>
      </w:tcPr>
    </w:tblStylePr>
  </w:style>
  <w:style w:type="table" w:customStyle="1" w:styleId="3554">
    <w:name w:val="表格主题413"/>
    <w:basedOn w:val="88"/>
    <w:qFormat/>
    <w:uiPriority w:val="0"/>
    <w:pPr>
      <w:widowControl w:val="0"/>
      <w:adjustRightInd w:val="0"/>
      <w:snapToGrid w:val="0"/>
      <w:jc w:val="center"/>
    </w:pPr>
    <w:rPr>
      <w:sz w:val="24"/>
      <w:szCs w:val="24"/>
    </w:rPr>
    <w:tblPr>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rPr>
      <w:jc w:val="center"/>
    </w:trPr>
    <w:tcPr>
      <w:tcMar>
        <w:left w:w="28" w:type="dxa"/>
        <w:right w:w="28" w:type="dxa"/>
      </w:tcMar>
      <w:vAlign w:val="center"/>
    </w:tcPr>
    <w:tblStylePr w:type="firstRow">
      <w:pPr>
        <w:wordWrap/>
        <w:spacing w:beforeLines="0" w:beforeAutospacing="0" w:afterLines="0" w:afterAutospacing="0" w:line="240" w:lineRule="auto"/>
        <w:ind w:left="0" w:leftChars="0" w:right="0" w:rightChars="0"/>
      </w:pPr>
      <w:rPr>
        <w:rFonts w:ascii="Times New Roman" w:hAnsi="Times New Roman" w:eastAsia="Candara"/>
        <w:sz w:val="21"/>
      </w:rPr>
      <w:tcPr>
        <w:tcBorders>
          <w:top w:val="single" w:color="auto" w:sz="12" w:space="0"/>
          <w:left w:val="single" w:color="auto" w:sz="4" w:space="0"/>
          <w:bottom w:val="single" w:color="auto" w:sz="12" w:space="0"/>
          <w:right w:val="single" w:color="auto" w:sz="12" w:space="0"/>
          <w:insideH w:val="single" w:sz="4" w:space="0"/>
          <w:insideV w:val="single" w:sz="4" w:space="0"/>
          <w:tl2br w:val="nil"/>
          <w:tr2bl w:val="nil"/>
        </w:tcBorders>
      </w:tcPr>
    </w:tblStylePr>
    <w:tblStylePr w:type="firstCol">
      <w:pPr>
        <w:keepNext w:val="0"/>
        <w:keepLines w:val="0"/>
        <w:pageBreakBefore w:val="0"/>
        <w:widowControl w:val="0"/>
        <w:suppressLineNumbers w:val="0"/>
        <w:suppressAutoHyphens w:val="0"/>
        <w:wordWrap/>
        <w:spacing w:beforeLines="0" w:beforeAutospacing="0" w:afterLines="0" w:afterAutospacing="0" w:line="240" w:lineRule="auto"/>
        <w:ind w:left="0" w:leftChars="0" w:right="0" w:rightChars="0"/>
      </w:pPr>
      <w:rPr>
        <w:rFonts w:ascii="Times New Roman" w:hAnsi="Times New Roman" w:eastAsia="Candara"/>
        <w:b w:val="0"/>
        <w:sz w:val="21"/>
      </w:rPr>
    </w:tblStylePr>
  </w:style>
  <w:style w:type="table" w:customStyle="1" w:styleId="3555">
    <w:name w:val="表格网格型51"/>
    <w:basedOn w:val="88"/>
    <w:qFormat/>
    <w:uiPriority w:val="0"/>
    <w:pPr>
      <w:widowControl w:val="0"/>
      <w:ind w:firstLine="560" w:firstLineChars="200"/>
      <w:jc w:val="both"/>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56">
    <w:name w:val="网格型 112"/>
    <w:basedOn w:val="88"/>
    <w:qFormat/>
    <w:uiPriority w:val="0"/>
    <w:pPr>
      <w:widowControl w:val="0"/>
      <w:jc w:val="both"/>
    </w:pPr>
    <w:rPr>
      <w:rFonts w:ascii="Calibri" w:hAnsi="Calibri"/>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557">
    <w:name w:val="网格型31141"/>
    <w:basedOn w:val="88"/>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58">
    <w:name w:val="Table Normal2"/>
    <w:unhideWhenUsed/>
    <w:qFormat/>
    <w:uiPriority w:val="2"/>
    <w:pPr>
      <w:widowControl w:val="0"/>
    </w:pPr>
    <w:rPr>
      <w:rFonts w:ascii="Calibri" w:hAnsi="Calibri"/>
      <w:sz w:val="22"/>
      <w:szCs w:val="22"/>
      <w:lang w:val="en-US" w:eastAsia="en-US" w:bidi="ar-SA"/>
    </w:rPr>
    <w:tblPr>
      <w:tblCellMar>
        <w:top w:w="0" w:type="dxa"/>
        <w:left w:w="0" w:type="dxa"/>
        <w:bottom w:w="0" w:type="dxa"/>
        <w:right w:w="0" w:type="dxa"/>
      </w:tblCellMar>
    </w:tblPr>
  </w:style>
  <w:style w:type="table" w:customStyle="1" w:styleId="3559">
    <w:name w:val="专业型4"/>
    <w:basedOn w:val="88"/>
    <w:qFormat/>
    <w:uiPriority w:val="0"/>
    <w:pPr>
      <w:widowControl w:val="0"/>
      <w:spacing w:line="560" w:lineRule="exact"/>
      <w:ind w:firstLine="200" w:firstLineChars="200"/>
      <w:jc w:val="both"/>
    </w:pPr>
    <w:rPr>
      <w:rFonts w:ascii="Calibri" w:hAnsi="Calibri"/>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560">
    <w:name w:val="列表型 84"/>
    <w:basedOn w:val="88"/>
    <w:qFormat/>
    <w:uiPriority w:val="0"/>
    <w:pPr>
      <w:widowControl w:val="0"/>
      <w:spacing w:line="560" w:lineRule="exact"/>
      <w:ind w:firstLine="200" w:firstLineChars="200"/>
      <w:jc w:val="both"/>
    </w:pPr>
    <w:rPr>
      <w:rFonts w:ascii="Calibri" w:hAnsi="Calibri"/>
    </w:rPr>
    <w:tblPr>
      <w:tblBorders>
        <w:top w:val="single" w:color="000000" w:sz="6" w:space="0"/>
        <w:left w:val="single" w:color="000000" w:sz="6" w:space="0"/>
        <w:bottom w:val="single" w:color="000000" w:sz="6" w:space="0"/>
        <w:right w:val="single" w:color="000000" w:sz="6" w:space="0"/>
        <w:insideV w:val="single" w:color="000000" w:sz="6" w:space="0"/>
      </w:tblBorders>
    </w:tblPr>
    <w:tblStylePr w:type="firstRow">
      <w:rPr>
        <w:b/>
        <w:bCs/>
        <w:i/>
        <w:iCs/>
      </w:rPr>
      <w:tcPr>
        <w:tcBorders>
          <w:top w:val="nil"/>
          <w:left w:val="single" w:color="000000" w:sz="6" w:space="0"/>
          <w:bottom w:val="nil"/>
          <w:right w:val="nil"/>
          <w:insideH w:val="nil"/>
          <w:insideV w:val="nil"/>
          <w:tl2br w:val="nil"/>
          <w:tr2bl w:val="nil"/>
        </w:tcBorders>
        <w:shd w:val="solid" w:color="FFFF00" w:fill="FFFFFF"/>
      </w:tcPr>
    </w:tblStylePr>
    <w:tblStylePr w:type="lastRow">
      <w:rPr>
        <w:b/>
        <w:bCs/>
      </w:rPr>
      <w:tcPr>
        <w:tcBorders>
          <w:top w:val="single" w:color="000000" w:sz="6"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5" w:color="FFFF00" w:fill="FFFFFF"/>
      </w:tcPr>
    </w:tblStylePr>
    <w:tblStylePr w:type="band2Horz">
      <w:tcPr>
        <w:tcBorders>
          <w:top w:val="nil"/>
          <w:left w:val="nil"/>
          <w:bottom w:val="nil"/>
          <w:right w:val="nil"/>
          <w:insideH w:val="nil"/>
          <w:insideV w:val="nil"/>
          <w:tl2br w:val="nil"/>
          <w:tr2bl w:val="nil"/>
        </w:tcBorders>
        <w:shd w:val="pct50" w:color="FF0000" w:fill="FFFFFF"/>
      </w:tcPr>
    </w:tblStylePr>
    <w:tblStylePr w:type="nwCell">
      <w:tcPr>
        <w:tcBorders>
          <w:top w:val="nil"/>
          <w:left w:val="nil"/>
          <w:bottom w:val="nil"/>
          <w:right w:val="nil"/>
          <w:insideH w:val="nil"/>
          <w:insideV w:val="nil"/>
          <w:tl2br w:val="single" w:color="auto" w:sz="6" w:space="0"/>
          <w:tr2bl w:val="nil"/>
        </w:tcBorders>
      </w:tcPr>
    </w:tblStylePr>
  </w:style>
  <w:style w:type="table" w:customStyle="1" w:styleId="3561">
    <w:name w:val="列表型 721"/>
    <w:basedOn w:val="88"/>
    <w:qFormat/>
    <w:uiPriority w:val="0"/>
    <w:pPr>
      <w:widowControl w:val="0"/>
      <w:spacing w:line="560" w:lineRule="exact"/>
      <w:ind w:firstLine="200" w:firstLineChars="200"/>
      <w:jc w:val="both"/>
    </w:pPr>
    <w:rPr>
      <w:rFonts w:ascii="Calibri" w:hAnsi="Calibri"/>
    </w:r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562">
    <w:name w:val="网格型40"/>
    <w:basedOn w:val="88"/>
    <w:qFormat/>
    <w:uiPriority w:val="0"/>
    <w:pPr>
      <w:widowControl w:val="0"/>
      <w:ind w:firstLine="20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63">
    <w:name w:val="网格型221"/>
    <w:basedOn w:val="88"/>
    <w:qFormat/>
    <w:uiPriority w:val="0"/>
    <w:pPr>
      <w:widowControl w:val="0"/>
      <w:jc w:val="both"/>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64">
    <w:name w:val="网格型82"/>
    <w:basedOn w:val="88"/>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65">
    <w:name w:val="网格型512"/>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66">
    <w:name w:val="竖列型 33"/>
    <w:basedOn w:val="88"/>
    <w:qFormat/>
    <w:uiPriority w:val="0"/>
    <w:pPr>
      <w:widowControl w:val="0"/>
      <w:spacing w:line="560" w:lineRule="exact"/>
      <w:ind w:firstLine="200" w:firstLineChars="200"/>
      <w:jc w:val="both"/>
    </w:pPr>
    <w:rPr>
      <w:rFonts w:ascii="Calibri" w:hAnsi="Calibri"/>
      <w:b/>
      <w:bCs/>
    </w:rPr>
    <w:tblPr>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cPr>
        <w:tcBorders>
          <w:top w:val="nil"/>
          <w:left w:val="nil"/>
          <w:bottom w:val="nil"/>
          <w:right w:val="nil"/>
          <w:insideH w:val="nil"/>
          <w:insideV w:val="nil"/>
          <w:tl2br w:val="nil"/>
          <w:tr2bl w:val="nil"/>
        </w:tcBorders>
        <w:shd w:val="solid" w:color="000080" w:fill="FFFFFF"/>
      </w:tcPr>
    </w:tblStylePr>
    <w:tblStylePr w:type="lastRow">
      <w:rPr>
        <w:b w:val="0"/>
        <w:bCs w:val="0"/>
      </w:rPr>
      <w:tcPr>
        <w:tcBorders>
          <w:top w:val="single" w:color="000080" w:sz="6" w:space="0"/>
          <w:left w:val="nil"/>
          <w:bottom w:val="nil"/>
          <w:right w:val="nil"/>
          <w:insideH w:val="nil"/>
          <w:insideV w:val="nil"/>
          <w:tl2br w:val="nil"/>
          <w:tr2bl w:val="nil"/>
        </w:tcBorders>
      </w:tcPr>
    </w:tblStylePr>
    <w:tblStylePr w:type="firstCol">
      <w:rPr>
        <w:b w:val="0"/>
        <w:bCs w:val="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band1Vert">
      <w:rPr>
        <w:color w:val="auto"/>
      </w:rPr>
      <w:tcPr>
        <w:shd w:val="solid" w:color="C0C0C0" w:fill="FFFFFF"/>
      </w:tcPr>
    </w:tblStylePr>
    <w:tblStylePr w:type="band2Vert">
      <w:rPr>
        <w:color w:val="auto"/>
      </w:rPr>
      <w:tcPr>
        <w:shd w:val="pct10" w:color="000000" w:fill="FFFFFF"/>
      </w:tcPr>
    </w:tblStylePr>
    <w:tblStylePr w:type="neCell">
      <w:rPr>
        <w:b/>
        <w:bCs/>
      </w:rPr>
      <w:tcPr>
        <w:tcBorders>
          <w:top w:val="nil"/>
          <w:left w:val="nil"/>
          <w:bottom w:val="nil"/>
          <w:right w:val="nil"/>
          <w:insideH w:val="nil"/>
          <w:insideV w:val="nil"/>
          <w:tl2br w:val="nil"/>
          <w:tr2bl w:val="nil"/>
        </w:tcBorders>
      </w:tcPr>
    </w:tblStylePr>
  </w:style>
  <w:style w:type="table" w:customStyle="1" w:styleId="3567">
    <w:name w:val="网格型3"/>
    <w:basedOn w:val="88"/>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68">
    <w:name w:val="网页型 121"/>
    <w:basedOn w:val="88"/>
    <w:qFormat/>
    <w:uiPriority w:val="0"/>
    <w:pPr>
      <w:widowControl w:val="0"/>
      <w:spacing w:line="560" w:lineRule="exact"/>
      <w:ind w:firstLine="200" w:firstLineChars="200"/>
      <w:jc w:val="both"/>
    </w:pPr>
    <w:rPr>
      <w:rFonts w:ascii="Calibri" w:hAnsi="Calibri"/>
    </w:rPr>
    <w:tblPr>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cPr>
      <w:shd w:val="clear" w:color="auto" w:fill="auto"/>
    </w:tcPr>
    <w:tblStylePr w:type="firstRow">
      <w:rPr>
        <w:color w:val="auto"/>
      </w:rPr>
      <w:tcPr>
        <w:tcBorders>
          <w:top w:val="nil"/>
          <w:left w:val="nil"/>
          <w:bottom w:val="nil"/>
          <w:right w:val="nil"/>
          <w:insideH w:val="nil"/>
          <w:insideV w:val="nil"/>
          <w:tl2br w:val="nil"/>
          <w:tr2bl w:val="nil"/>
        </w:tcBorders>
      </w:tcPr>
    </w:tblStylePr>
  </w:style>
  <w:style w:type="table" w:customStyle="1" w:styleId="3569">
    <w:name w:val="网格型24"/>
    <w:basedOn w:val="88"/>
    <w:qFormat/>
    <w:uiPriority w:val="0"/>
    <w:rPr>
      <w:rFonts w:ascii="Calibri" w:hAnsi="Calibri"/>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3570">
    <w:name w:val="专业型21"/>
    <w:basedOn w:val="88"/>
    <w:qFormat/>
    <w:uiPriority w:val="0"/>
    <w:pPr>
      <w:widowControl w:val="0"/>
      <w:spacing w:line="560" w:lineRule="exact"/>
      <w:ind w:firstLine="200" w:firstLineChars="200"/>
      <w:jc w:val="both"/>
    </w:pPr>
    <w:rPr>
      <w:rFonts w:ascii="Calibri" w:hAnsi="Calibri"/>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571">
    <w:name w:val="网页型 111"/>
    <w:basedOn w:val="88"/>
    <w:semiHidden/>
    <w:qFormat/>
    <w:uiPriority w:val="0"/>
    <w:pPr>
      <w:widowControl w:val="0"/>
      <w:jc w:val="both"/>
    </w:pPr>
    <w:rPr>
      <w:rFonts w:ascii="Calibri" w:hAnsi="Calibri"/>
    </w:rPr>
    <w:tblPr>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cPr>
      <w:shd w:val="clear" w:color="auto" w:fill="auto"/>
    </w:tcPr>
    <w:tblStylePr w:type="firstRow">
      <w:rPr>
        <w:color w:val="auto"/>
      </w:rPr>
      <w:tcPr>
        <w:tcBorders>
          <w:top w:val="nil"/>
          <w:left w:val="nil"/>
          <w:bottom w:val="nil"/>
          <w:right w:val="nil"/>
          <w:insideH w:val="nil"/>
          <w:insideV w:val="nil"/>
          <w:tl2br w:val="nil"/>
          <w:tr2bl w:val="nil"/>
        </w:tcBorders>
      </w:tcPr>
    </w:tblStylePr>
  </w:style>
  <w:style w:type="table" w:customStyle="1" w:styleId="3572">
    <w:name w:val="列表型 212"/>
    <w:basedOn w:val="88"/>
    <w:semiHidden/>
    <w:qFormat/>
    <w:uiPriority w:val="0"/>
    <w:pPr>
      <w:widowControl w:val="0"/>
      <w:jc w:val="both"/>
    </w:pPr>
    <w:rPr>
      <w:rFonts w:ascii="Calibri" w:hAnsi="Calibri"/>
    </w:rPr>
    <w:tblPr>
      <w:tblBorders>
        <w:bottom w:val="single" w:color="808080" w:sz="12" w:space="0"/>
      </w:tblBorders>
    </w:tblPr>
    <w:tblStylePr w:type="firstRow">
      <w:rPr>
        <w:b/>
        <w:bCs/>
        <w:color w:val="FFFFFF"/>
      </w:rPr>
      <w:tcPr>
        <w:tcBorders>
          <w:top w:val="nil"/>
          <w:left w:val="single" w:color="000000" w:sz="6" w:space="0"/>
          <w:bottom w:val="nil"/>
          <w:right w:val="nil"/>
          <w:insideH w:val="nil"/>
          <w:insideV w:val="nil"/>
          <w:tl2br w:val="nil"/>
          <w:tr2bl w:val="nil"/>
        </w:tcBorders>
        <w:shd w:val="pct75" w:color="008080" w:fill="008000"/>
      </w:tcPr>
    </w:tblStylePr>
    <w:tblStylePr w:type="lastRow">
      <w:tcPr>
        <w:tcBorders>
          <w:top w:val="single" w:color="000000" w:sz="6" w:space="0"/>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FF00" w:fill="FFFFFF"/>
      </w:tcPr>
    </w:tblStylePr>
    <w:tblStylePr w:type="band2Horz">
      <w:rPr>
        <w:color w:val="auto"/>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573">
    <w:name w:val="简明型 21"/>
    <w:basedOn w:val="88"/>
    <w:semiHidden/>
    <w:qFormat/>
    <w:uiPriority w:val="0"/>
    <w:pPr>
      <w:widowControl w:val="0"/>
      <w:jc w:val="both"/>
    </w:pPr>
    <w:tblStylePr w:type="firstRow">
      <w:rPr>
        <w:b/>
        <w:bCs/>
      </w:rPr>
      <w:tcPr>
        <w:tcBorders>
          <w:top w:val="nil"/>
          <w:left w:val="single" w:color="000000" w:sz="12" w:space="0"/>
          <w:bottom w:val="nil"/>
          <w:right w:val="nil"/>
          <w:insideH w:val="nil"/>
          <w:insideV w:val="nil"/>
          <w:tl2br w:val="nil"/>
          <w:tr2bl w:val="nil"/>
        </w:tcBorders>
      </w:tcPr>
    </w:tblStylePr>
    <w:tblStylePr w:type="lastRow">
      <w:rPr>
        <w:b/>
        <w:bCs/>
        <w:color w:val="auto"/>
      </w:rPr>
      <w:tcPr>
        <w:tcBorders>
          <w:top w:val="single" w:color="000000" w:sz="6" w:space="0"/>
          <w:left w:val="nil"/>
          <w:bottom w:val="nil"/>
          <w:right w:val="nil"/>
          <w:insideH w:val="nil"/>
          <w:insideV w:val="nil"/>
          <w:tl2br w:val="nil"/>
          <w:tr2bl w:val="nil"/>
        </w:tcBorders>
      </w:tcPr>
    </w:tblStylePr>
    <w:tblStylePr w:type="firstCol">
      <w:rPr>
        <w:b/>
        <w:bCs/>
      </w:rPr>
      <w:tcPr>
        <w:tcBorders>
          <w:top w:val="nil"/>
          <w:left w:val="nil"/>
          <w:bottom w:val="nil"/>
          <w:right w:val="single" w:color="000000" w:sz="12" w:space="0"/>
          <w:insideH w:val="nil"/>
          <w:insideV w:val="nil"/>
          <w:tl2br w:val="nil"/>
          <w:tr2bl w:val="nil"/>
        </w:tcBorders>
      </w:tcPr>
    </w:tblStylePr>
    <w:tblStylePr w:type="lastCol">
      <w:rPr>
        <w:b/>
        <w:bCs/>
      </w:rPr>
      <w:tcPr>
        <w:tcBorders>
          <w:top w:val="nil"/>
          <w:left w:val="nil"/>
          <w:bottom w:val="single" w:color="000000" w:sz="6" w:space="0"/>
          <w:right w:val="nil"/>
          <w:insideH w:val="nil"/>
          <w:insideV w:val="nil"/>
          <w:tl2br w:val="nil"/>
          <w:tr2bl w:val="nil"/>
        </w:tcBorders>
      </w:tcPr>
    </w:tblStylePr>
    <w:tblStylePr w:type="neCell">
      <w:rPr>
        <w:b/>
        <w:bCs/>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574">
    <w:name w:val="网格型31131"/>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75">
    <w:name w:val="网格型 32"/>
    <w:basedOn w:val="88"/>
    <w:qFormat/>
    <w:uiPriority w:val="0"/>
    <w:pPr>
      <w:widowControl w:val="0"/>
      <w:spacing w:line="560" w:lineRule="exact"/>
      <w:ind w:firstLine="200" w:firstLineChars="200"/>
      <w:jc w:val="both"/>
    </w:pPr>
    <w:rPr>
      <w:rFonts w:ascii="Calibri" w:hAnsi="Calibri"/>
    </w:rPr>
    <w:tblPr>
      <w:tblBorders>
        <w:top w:val="single" w:color="000000" w:sz="6" w:space="0"/>
        <w:left w:val="single" w:color="000000" w:sz="12" w:space="0"/>
        <w:bottom w:val="single" w:color="000000" w:sz="6" w:space="0"/>
        <w:right w:val="single" w:color="000000" w:sz="12" w:space="0"/>
        <w:insideV w:val="single" w:color="000000" w:sz="6" w:space="0"/>
      </w:tblBorders>
    </w:tblPr>
    <w:tcPr>
      <w:shd w:val="clear" w:color="auto" w:fill="auto"/>
    </w:tcPr>
    <w:tblStylePr w:type="firstRow">
      <w:tcPr>
        <w:tcBorders>
          <w:top w:val="nil"/>
          <w:left w:val="single" w:color="000000" w:sz="6" w:space="0"/>
          <w:bottom w:val="nil"/>
          <w:right w:val="nil"/>
          <w:insideH w:val="nil"/>
          <w:insideV w:val="nil"/>
          <w:tl2br w:val="nil"/>
          <w:tr2bl w:val="nil"/>
        </w:tcBorders>
        <w:shd w:val="pct30" w:color="FFFF00" w:fill="FFFFFF"/>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576">
    <w:name w:val="列表型 713"/>
    <w:basedOn w:val="88"/>
    <w:semiHidden/>
    <w:qFormat/>
    <w:uiPriority w:val="0"/>
    <w:pPr>
      <w:widowControl w:val="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577">
    <w:name w:val="网格型32212"/>
    <w:basedOn w:val="88"/>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78">
    <w:name w:val="网格型 721"/>
    <w:basedOn w:val="88"/>
    <w:qFormat/>
    <w:uiPriority w:val="0"/>
    <w:pPr>
      <w:widowControl w:val="0"/>
      <w:spacing w:line="560" w:lineRule="exact"/>
      <w:ind w:firstLine="200" w:firstLineChars="200"/>
      <w:jc w:val="both"/>
    </w:pPr>
    <w:rPr>
      <w:rFonts w:ascii="Calibri" w:hAnsi="Calibri"/>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cPr>
        <w:tcBorders>
          <w:top w:val="nil"/>
          <w:left w:val="single" w:color="000000" w:sz="12" w:space="0"/>
          <w:bottom w:val="nil"/>
          <w:right w:val="nil"/>
          <w:insideH w:val="nil"/>
          <w:insideV w:val="nil"/>
          <w:tl2br w:val="nil"/>
          <w:tr2bl w:val="nil"/>
        </w:tcBorders>
      </w:tcPr>
    </w:tblStylePr>
    <w:tblStylePr w:type="lastRow">
      <w:rPr>
        <w:b w:val="0"/>
        <w:bCs w:val="0"/>
      </w:rPr>
      <w:tcPr>
        <w:tcBorders>
          <w:top w:val="single" w:color="000000" w:sz="6" w:space="0"/>
          <w:left w:val="nil"/>
          <w:bottom w:val="nil"/>
          <w:right w:val="nil"/>
          <w:insideH w:val="nil"/>
          <w:insideV w:val="nil"/>
          <w:tl2br w:val="nil"/>
          <w:tr2bl w:val="nil"/>
        </w:tcBorders>
      </w:tcPr>
    </w:tblStylePr>
    <w:tblStylePr w:type="firstCol">
      <w:rPr>
        <w:b w:val="0"/>
        <w:bCs w:val="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579">
    <w:name w:val="网格型102"/>
    <w:basedOn w:val="88"/>
    <w:qFormat/>
    <w:uiPriority w:val="0"/>
    <w:pPr>
      <w:widowControl w:val="0"/>
      <w:jc w:val="both"/>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80">
    <w:name w:val="网格型63"/>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81">
    <w:name w:val="列表型 71"/>
    <w:basedOn w:val="88"/>
    <w:semiHidden/>
    <w:qFormat/>
    <w:uiPriority w:val="0"/>
    <w:pPr>
      <w:widowControl w:val="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582">
    <w:name w:val="典雅型21"/>
    <w:basedOn w:val="88"/>
    <w:qFormat/>
    <w:uiPriority w:val="0"/>
    <w:pPr>
      <w:widowControl w:val="0"/>
      <w:spacing w:line="560" w:lineRule="exact"/>
      <w:ind w:firstLine="200" w:firstLineChars="200"/>
      <w:jc w:val="both"/>
    </w:pPr>
    <w:rPr>
      <w:rFonts w:ascii="Calibri" w:hAnsi="Calibri"/>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583">
    <w:name w:val="网格型 812"/>
    <w:basedOn w:val="88"/>
    <w:semiHidden/>
    <w:qFormat/>
    <w:uiPriority w:val="0"/>
    <w:pPr>
      <w:widowControl w:val="0"/>
      <w:jc w:val="both"/>
    </w:pPr>
    <w:rPr>
      <w:rFonts w:ascii="Calibri" w:hAnsi="Calibri"/>
    </w:r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color w:val="FFFFFF"/>
      </w:rPr>
      <w:tcPr>
        <w:tcBorders>
          <w:top w:val="nil"/>
          <w:left w:val="nil"/>
          <w:bottom w:val="nil"/>
          <w:right w:val="nil"/>
          <w:insideH w:val="nil"/>
          <w:insideV w:val="nil"/>
          <w:tl2br w:val="nil"/>
          <w:tr2bl w:val="nil"/>
        </w:tcBorders>
        <w:shd w:val="solid" w:color="000080" w:fill="FFFFFF"/>
      </w:tcPr>
    </w:tblStylePr>
    <w:tblStylePr w:type="lastRow">
      <w:rPr>
        <w:b/>
        <w:bCs/>
        <w:color w:val="auto"/>
      </w:rPr>
      <w:tcPr>
        <w:tcBorders>
          <w:top w:val="nil"/>
          <w:left w:val="nil"/>
          <w:bottom w:val="nil"/>
          <w:right w:val="nil"/>
          <w:insideH w:val="nil"/>
          <w:insideV w:val="nil"/>
          <w:tl2br w:val="nil"/>
          <w:tr2bl w:val="nil"/>
        </w:tcBorders>
      </w:tcPr>
    </w:tblStylePr>
    <w:tblStylePr w:type="lastCol">
      <w:rPr>
        <w:b/>
        <w:bCs/>
        <w:color w:val="auto"/>
      </w:rPr>
      <w:tcPr>
        <w:tcBorders>
          <w:top w:val="nil"/>
          <w:left w:val="nil"/>
          <w:bottom w:val="nil"/>
          <w:right w:val="nil"/>
          <w:insideH w:val="nil"/>
          <w:insideV w:val="nil"/>
          <w:tl2br w:val="nil"/>
          <w:tr2bl w:val="nil"/>
        </w:tcBorders>
      </w:tcPr>
    </w:tblStylePr>
  </w:style>
  <w:style w:type="table" w:customStyle="1" w:styleId="3584">
    <w:name w:val="列表型 63"/>
    <w:basedOn w:val="88"/>
    <w:qFormat/>
    <w:uiPriority w:val="0"/>
    <w:pPr>
      <w:widowControl w:val="0"/>
      <w:spacing w:line="560" w:lineRule="exact"/>
      <w:ind w:firstLine="200" w:firstLineChars="200"/>
      <w:jc w:val="both"/>
    </w:pPr>
    <w:rPr>
      <w:rFonts w:ascii="Calibri" w:hAnsi="Calibri"/>
    </w:rPr>
    <w:tblPr>
      <w:tblBorders>
        <w:top w:val="single" w:color="000000" w:sz="6" w:space="0"/>
        <w:left w:val="single" w:color="000000" w:sz="6" w:space="0"/>
        <w:bottom w:val="single" w:color="000000" w:sz="6" w:space="0"/>
        <w:right w:val="single" w:color="000000" w:sz="6" w:space="0"/>
      </w:tblBorders>
    </w:tblPr>
    <w:tcPr>
      <w:shd w:val="pct50" w:color="000000" w:fill="FFFFFF"/>
    </w:tcPr>
    <w:tblStylePr w:type="firstRow">
      <w:rPr>
        <w:b/>
        <w:bCs/>
      </w:rPr>
      <w:tcPr>
        <w:tcBorders>
          <w:top w:val="nil"/>
          <w:left w:val="single" w:color="000000" w:sz="12" w:space="0"/>
          <w:bottom w:val="nil"/>
          <w:right w:val="nil"/>
          <w:insideH w:val="nil"/>
          <w:insideV w:val="nil"/>
          <w:tl2br w:val="nil"/>
          <w:tr2bl w:val="nil"/>
        </w:tcBorders>
      </w:tcPr>
    </w:tblStylePr>
    <w:tblStylePr w:type="firstCol">
      <w:rPr>
        <w:b/>
        <w:bCs/>
      </w:rPr>
      <w:tcPr>
        <w:tcBorders>
          <w:top w:val="nil"/>
          <w:left w:val="nil"/>
          <w:bottom w:val="nil"/>
          <w:right w:val="single" w:color="000000" w:sz="12" w:space="0"/>
          <w:insideH w:val="nil"/>
          <w:insideV w:val="nil"/>
          <w:tl2br w:val="nil"/>
          <w:tr2bl w:val="nil"/>
        </w:tcBorders>
      </w:tcPr>
    </w:tblStylePr>
    <w:tblStylePr w:type="band1Horz">
      <w:tcPr>
        <w:tcBorders>
          <w:top w:val="nil"/>
          <w:left w:val="nil"/>
          <w:bottom w:val="nil"/>
          <w:right w:val="nil"/>
          <w:insideH w:val="nil"/>
          <w:insideV w:val="nil"/>
          <w:tl2br w:val="nil"/>
          <w:tr2bl w:val="nil"/>
        </w:tcBorders>
        <w:shd w:val="pct25" w:color="000000" w:fill="FFFFFF"/>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585">
    <w:name w:val="列表型 44"/>
    <w:basedOn w:val="88"/>
    <w:qFormat/>
    <w:uiPriority w:val="0"/>
    <w:pPr>
      <w:widowControl w:val="0"/>
      <w:spacing w:line="560" w:lineRule="exact"/>
      <w:ind w:firstLine="200" w:firstLineChars="200"/>
      <w:jc w:val="both"/>
    </w:pPr>
    <w:rPr>
      <w:rFonts w:ascii="Calibri" w:hAnsi="Calibri"/>
    </w:rPr>
    <w:tblPr>
      <w:tblBorders>
        <w:top w:val="single" w:color="000000" w:sz="12" w:space="0"/>
        <w:left w:val="single" w:color="000000" w:sz="12" w:space="0"/>
        <w:bottom w:val="single" w:color="000000" w:sz="12" w:space="0"/>
        <w:right w:val="single" w:color="000000" w:sz="12" w:space="0"/>
        <w:insideH w:val="single" w:color="000000" w:sz="6" w:space="0"/>
      </w:tblBorders>
    </w:tblPr>
    <w:tcPr>
      <w:shd w:val="clear" w:color="auto" w:fill="auto"/>
    </w:tcPr>
    <w:tblStylePr w:type="firstRow">
      <w:rPr>
        <w:b/>
        <w:bCs/>
        <w:color w:val="FFFFFF"/>
      </w:rPr>
      <w:tcPr>
        <w:tcBorders>
          <w:top w:val="nil"/>
          <w:left w:val="single" w:color="000000" w:sz="12" w:space="0"/>
          <w:bottom w:val="nil"/>
          <w:right w:val="nil"/>
          <w:insideH w:val="nil"/>
          <w:insideV w:val="nil"/>
          <w:tl2br w:val="nil"/>
          <w:tr2bl w:val="nil"/>
        </w:tcBorders>
        <w:shd w:val="solid" w:color="808080" w:fill="FFFFFF"/>
      </w:tcPr>
    </w:tblStylePr>
  </w:style>
  <w:style w:type="table" w:customStyle="1" w:styleId="3586">
    <w:name w:val="竖列型 53"/>
    <w:basedOn w:val="88"/>
    <w:qFormat/>
    <w:uiPriority w:val="0"/>
    <w:pPr>
      <w:widowControl w:val="0"/>
      <w:spacing w:line="560" w:lineRule="exact"/>
      <w:ind w:firstLine="200" w:firstLineChars="200"/>
      <w:jc w:val="both"/>
    </w:pPr>
    <w:rPr>
      <w:rFonts w:ascii="Calibri" w:hAnsi="Calibri"/>
    </w:rPr>
    <w:tblPr>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cPr>
        <w:tcBorders>
          <w:top w:val="nil"/>
          <w:left w:val="single" w:color="808080" w:sz="6" w:space="0"/>
          <w:bottom w:val="nil"/>
          <w:right w:val="nil"/>
          <w:insideH w:val="nil"/>
          <w:insideV w:val="nil"/>
          <w:tl2br w:val="nil"/>
          <w:tr2bl w:val="nil"/>
        </w:tcBorders>
      </w:tcPr>
    </w:tblStylePr>
    <w:tblStylePr w:type="lastRow">
      <w:rPr>
        <w:b/>
        <w:bCs/>
      </w:rPr>
      <w:tcPr>
        <w:tcBorders>
          <w:top w:val="single" w:color="808080" w:sz="6"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Vert">
      <w:rPr>
        <w:color w:val="auto"/>
      </w:rPr>
      <w:tcPr>
        <w:shd w:val="solid" w:color="C0C0C0" w:fill="FFFFFF"/>
      </w:tcPr>
    </w:tblStylePr>
    <w:tblStylePr w:type="band2Vert">
      <w:rPr>
        <w:color w:val="auto"/>
      </w:rPr>
    </w:tblStylePr>
  </w:style>
  <w:style w:type="table" w:customStyle="1" w:styleId="3587">
    <w:name w:val="表格主题411"/>
    <w:basedOn w:val="88"/>
    <w:qFormat/>
    <w:uiPriority w:val="0"/>
    <w:pPr>
      <w:widowControl w:val="0"/>
      <w:adjustRightInd w:val="0"/>
      <w:snapToGrid w:val="0"/>
      <w:jc w:val="center"/>
    </w:pPr>
    <w:rPr>
      <w:rFonts w:ascii="Calibri" w:hAnsi="Calibri"/>
      <w:sz w:val="24"/>
      <w:szCs w:val="24"/>
    </w:rPr>
    <w:tblPr>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rPr>
      <w:jc w:val="center"/>
    </w:trPr>
    <w:tcPr>
      <w:tcMar>
        <w:left w:w="28" w:type="dxa"/>
        <w:right w:w="28" w:type="dxa"/>
      </w:tcMar>
      <w:vAlign w:val="center"/>
    </w:tcPr>
    <w:tblStylePr w:type="firstRow">
      <w:pPr>
        <w:wordWrap/>
        <w:spacing w:beforeLines="0" w:beforeAutospacing="0" w:afterLines="0" w:afterAutospacing="0" w:line="240" w:lineRule="auto"/>
        <w:ind w:left="0" w:leftChars="0" w:right="0" w:rightChars="0"/>
      </w:pPr>
      <w:rPr>
        <w:rFonts w:ascii="Times New Roman" w:hAnsi="Times New Roman" w:eastAsia="华文细黑"/>
        <w:sz w:val="21"/>
      </w:rPr>
      <w:tcPr>
        <w:tcBorders>
          <w:top w:val="single" w:color="auto" w:sz="12" w:space="0"/>
          <w:left w:val="single" w:color="auto" w:sz="4" w:space="0"/>
          <w:bottom w:val="single" w:color="auto" w:sz="12" w:space="0"/>
          <w:right w:val="single" w:color="auto" w:sz="12" w:space="0"/>
          <w:insideH w:val="single" w:sz="4" w:space="0"/>
          <w:insideV w:val="single" w:sz="4" w:space="0"/>
          <w:tl2br w:val="nil"/>
          <w:tr2bl w:val="nil"/>
        </w:tcBorders>
      </w:tcPr>
    </w:tblStylePr>
    <w:tblStylePr w:type="firstCol">
      <w:pPr>
        <w:keepNext w:val="0"/>
        <w:keepLines w:val="0"/>
        <w:pageBreakBefore w:val="0"/>
        <w:widowControl w:val="0"/>
        <w:suppressLineNumbers w:val="0"/>
        <w:suppressAutoHyphens w:val="0"/>
        <w:wordWrap/>
        <w:spacing w:beforeLines="0" w:beforeAutospacing="0" w:afterLines="0" w:afterAutospacing="0" w:line="240" w:lineRule="auto"/>
        <w:ind w:left="0" w:leftChars="0" w:right="0" w:rightChars="0"/>
      </w:pPr>
      <w:rPr>
        <w:rFonts w:ascii="Times New Roman" w:hAnsi="Times New Roman" w:eastAsia="华文细黑"/>
        <w:b w:val="0"/>
        <w:sz w:val="21"/>
      </w:rPr>
    </w:tblStylePr>
  </w:style>
  <w:style w:type="table" w:customStyle="1" w:styleId="3588">
    <w:name w:val="网格型 82"/>
    <w:basedOn w:val="88"/>
    <w:qFormat/>
    <w:uiPriority w:val="0"/>
    <w:pPr>
      <w:widowControl w:val="0"/>
      <w:spacing w:line="560" w:lineRule="exact"/>
      <w:ind w:firstLine="200" w:firstLineChars="200"/>
      <w:jc w:val="both"/>
    </w:pPr>
    <w:rPr>
      <w:rFonts w:ascii="Calibri" w:hAnsi="Calibri"/>
    </w:r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color w:val="FFFFFF"/>
      </w:rPr>
      <w:tcPr>
        <w:tcBorders>
          <w:top w:val="nil"/>
          <w:left w:val="nil"/>
          <w:bottom w:val="nil"/>
          <w:right w:val="nil"/>
          <w:insideH w:val="nil"/>
          <w:insideV w:val="nil"/>
          <w:tl2br w:val="nil"/>
          <w:tr2bl w:val="nil"/>
        </w:tcBorders>
        <w:shd w:val="solid" w:color="000080" w:fill="FFFFFF"/>
      </w:tcPr>
    </w:tblStylePr>
    <w:tblStylePr w:type="lastRow">
      <w:rPr>
        <w:b/>
        <w:bCs/>
        <w:color w:val="auto"/>
      </w:rPr>
      <w:tcPr>
        <w:tcBorders>
          <w:top w:val="nil"/>
          <w:left w:val="nil"/>
          <w:bottom w:val="nil"/>
          <w:right w:val="nil"/>
          <w:insideH w:val="nil"/>
          <w:insideV w:val="nil"/>
          <w:tl2br w:val="nil"/>
          <w:tr2bl w:val="nil"/>
        </w:tcBorders>
      </w:tcPr>
    </w:tblStylePr>
    <w:tblStylePr w:type="lastCol">
      <w:rPr>
        <w:b/>
        <w:bCs/>
        <w:color w:val="auto"/>
      </w:rPr>
      <w:tcPr>
        <w:tcBorders>
          <w:top w:val="nil"/>
          <w:left w:val="nil"/>
          <w:bottom w:val="nil"/>
          <w:right w:val="nil"/>
          <w:insideH w:val="nil"/>
          <w:insideV w:val="nil"/>
          <w:tl2br w:val="nil"/>
          <w:tr2bl w:val="nil"/>
        </w:tcBorders>
      </w:tcPr>
    </w:tblStylePr>
  </w:style>
  <w:style w:type="table" w:customStyle="1" w:styleId="3589">
    <w:name w:val="彩色型 321"/>
    <w:basedOn w:val="88"/>
    <w:qFormat/>
    <w:uiPriority w:val="0"/>
    <w:pPr>
      <w:widowControl w:val="0"/>
      <w:spacing w:line="560" w:lineRule="exact"/>
      <w:ind w:firstLine="200" w:firstLineChars="200"/>
      <w:jc w:val="both"/>
    </w:pPr>
    <w:rPr>
      <w:rFonts w:ascii="Calibri" w:hAnsi="Calibri"/>
    </w:rPr>
    <w:tblPr>
      <w:tblBorders>
        <w:top w:val="single" w:color="000000" w:sz="18" w:space="0"/>
        <w:left w:val="single" w:color="000000" w:sz="18" w:space="0"/>
        <w:bottom w:val="single" w:color="000000" w:sz="18" w:space="0"/>
        <w:right w:val="single" w:color="000000" w:sz="18" w:space="0"/>
        <w:insideH w:val="single" w:color="C0C0C0" w:sz="6" w:space="0"/>
      </w:tblBorders>
    </w:tblPr>
    <w:tcPr>
      <w:shd w:val="pct25" w:color="008080" w:fill="FFFFFF"/>
    </w:tcPr>
    <w:tblStylePr w:type="firstRow">
      <w:tcPr>
        <w:tcBorders>
          <w:top w:val="nil"/>
          <w:left w:val="single" w:color="000000" w:sz="6" w:space="0"/>
          <w:bottom w:val="nil"/>
          <w:right w:val="nil"/>
          <w:insideH w:val="nil"/>
          <w:insideV w:val="nil"/>
          <w:tl2br w:val="nil"/>
          <w:tr2bl w:val="nil"/>
        </w:tcBorders>
        <w:shd w:val="solid" w:color="008080" w:fill="FFFFFF"/>
      </w:tcPr>
    </w:tblStylePr>
    <w:tblStylePr w:type="firstCol">
      <w:tcPr>
        <w:tcBorders>
          <w:top w:val="nil"/>
          <w:left w:val="nil"/>
          <w:bottom w:val="single" w:color="000000" w:sz="36" w:space="0"/>
          <w:right w:val="single" w:color="000000" w:sz="6" w:space="0"/>
          <w:insideH w:val="nil"/>
          <w:insideV w:val="nil"/>
          <w:tl2br w:val="nil"/>
          <w:tr2bl w:val="nil"/>
        </w:tcBorders>
        <w:shd w:val="solid" w:color="008080" w:fill="FFFFFF"/>
      </w:tcPr>
    </w:tblStylePr>
    <w:tblStylePr w:type="nwCell">
      <w:rPr>
        <w:b/>
        <w:bCs/>
        <w:color w:val="FFFFFF"/>
      </w:rPr>
      <w:tcPr>
        <w:tcBorders>
          <w:top w:val="nil"/>
          <w:left w:val="nil"/>
          <w:bottom w:val="nil"/>
          <w:right w:val="nil"/>
          <w:insideH w:val="nil"/>
          <w:insideV w:val="nil"/>
          <w:tl2br w:val="nil"/>
          <w:tr2bl w:val="nil"/>
        </w:tcBorders>
        <w:shd w:val="solid" w:color="000000" w:fill="FFFFFF"/>
      </w:tcPr>
    </w:tblStylePr>
  </w:style>
  <w:style w:type="table" w:customStyle="1" w:styleId="3590">
    <w:name w:val="网格型133"/>
    <w:basedOn w:val="88"/>
    <w:qFormat/>
    <w:uiPriority w:val="59"/>
    <w:rPr>
      <w:rFonts w:ascii="Calibri" w:hAnsi="Calibri"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91">
    <w:name w:val="表格主题14"/>
    <w:basedOn w:val="88"/>
    <w:qFormat/>
    <w:uiPriority w:val="0"/>
    <w:pPr>
      <w:widowControl w:val="0"/>
      <w:adjustRightInd w:val="0"/>
      <w:snapToGrid w:val="0"/>
      <w:jc w:val="center"/>
    </w:pPr>
    <w:rPr>
      <w:sz w:val="24"/>
      <w:szCs w:val="24"/>
    </w:rPr>
    <w:tblPr>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rPr>
      <w:jc w:val="center"/>
    </w:trPr>
    <w:tcPr>
      <w:tcMar>
        <w:left w:w="28" w:type="dxa"/>
        <w:right w:w="28" w:type="dxa"/>
      </w:tcMar>
      <w:vAlign w:val="center"/>
    </w:tcPr>
    <w:tblStylePr w:type="firstRow">
      <w:pPr>
        <w:wordWrap/>
        <w:spacing w:beforeLines="0" w:beforeAutospacing="0" w:afterLines="0" w:afterAutospacing="0" w:line="240" w:lineRule="auto"/>
        <w:ind w:left="0" w:leftChars="0" w:right="0" w:rightChars="0"/>
      </w:pPr>
      <w:rPr>
        <w:rFonts w:ascii="Times New Roman" w:hAnsi="Times New Roman" w:eastAsia="Tahoma"/>
        <w:sz w:val="21"/>
      </w:rPr>
      <w:tcPr>
        <w:tcBorders>
          <w:top w:val="single" w:color="auto" w:sz="12" w:space="0"/>
          <w:left w:val="single" w:color="auto" w:sz="4" w:space="0"/>
          <w:bottom w:val="single" w:color="auto" w:sz="12" w:space="0"/>
          <w:right w:val="single" w:color="auto" w:sz="12" w:space="0"/>
          <w:insideH w:val="single" w:sz="4" w:space="0"/>
          <w:insideV w:val="single" w:sz="4" w:space="0"/>
          <w:tl2br w:val="nil"/>
          <w:tr2bl w:val="nil"/>
        </w:tcBorders>
      </w:tcPr>
    </w:tblStylePr>
    <w:tblStylePr w:type="firstCol">
      <w:pPr>
        <w:keepNext w:val="0"/>
        <w:keepLines w:val="0"/>
        <w:pageBreakBefore w:val="0"/>
        <w:widowControl w:val="0"/>
        <w:suppressLineNumbers w:val="0"/>
        <w:suppressAutoHyphens w:val="0"/>
        <w:wordWrap/>
        <w:spacing w:beforeLines="0" w:beforeAutospacing="0" w:afterLines="0" w:afterAutospacing="0" w:line="240" w:lineRule="auto"/>
        <w:ind w:left="0" w:leftChars="0" w:right="0" w:rightChars="0"/>
      </w:pPr>
      <w:rPr>
        <w:rFonts w:ascii="Times New Roman" w:hAnsi="Times New Roman" w:eastAsia="Tahoma"/>
        <w:b w:val="0"/>
        <w:sz w:val="21"/>
      </w:rPr>
    </w:tblStylePr>
  </w:style>
  <w:style w:type="table" w:customStyle="1" w:styleId="3592">
    <w:name w:val="竖列型 311"/>
    <w:basedOn w:val="88"/>
    <w:semiHidden/>
    <w:qFormat/>
    <w:uiPriority w:val="0"/>
    <w:pPr>
      <w:widowControl w:val="0"/>
      <w:jc w:val="both"/>
    </w:pPr>
    <w:rPr>
      <w:rFonts w:ascii="Calibri" w:hAnsi="Calibri"/>
      <w:b/>
      <w:bCs/>
    </w:rPr>
    <w:tblPr>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cPr>
        <w:tcBorders>
          <w:top w:val="nil"/>
          <w:left w:val="nil"/>
          <w:bottom w:val="nil"/>
          <w:right w:val="nil"/>
          <w:insideH w:val="nil"/>
          <w:insideV w:val="nil"/>
          <w:tl2br w:val="nil"/>
          <w:tr2bl w:val="nil"/>
        </w:tcBorders>
        <w:shd w:val="solid" w:color="000080" w:fill="FFFFFF"/>
      </w:tcPr>
    </w:tblStylePr>
    <w:tblStylePr w:type="lastRow">
      <w:rPr>
        <w:b w:val="0"/>
        <w:bCs w:val="0"/>
      </w:rPr>
      <w:tcPr>
        <w:tcBorders>
          <w:top w:val="single" w:color="000080" w:sz="6" w:space="0"/>
          <w:left w:val="nil"/>
          <w:bottom w:val="nil"/>
          <w:right w:val="nil"/>
          <w:insideH w:val="nil"/>
          <w:insideV w:val="nil"/>
          <w:tl2br w:val="nil"/>
          <w:tr2bl w:val="nil"/>
        </w:tcBorders>
      </w:tcPr>
    </w:tblStylePr>
    <w:tblStylePr w:type="firstCol">
      <w:rPr>
        <w:b w:val="0"/>
        <w:bCs w:val="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band1Vert">
      <w:rPr>
        <w:color w:val="auto"/>
      </w:rPr>
      <w:tcPr>
        <w:shd w:val="solid" w:color="C0C0C0" w:fill="FFFFFF"/>
      </w:tcPr>
    </w:tblStylePr>
    <w:tblStylePr w:type="band2Vert">
      <w:rPr>
        <w:color w:val="auto"/>
      </w:rPr>
      <w:tcPr>
        <w:shd w:val="pct10" w:color="000000" w:fill="FFFFFF"/>
      </w:tcPr>
    </w:tblStylePr>
    <w:tblStylePr w:type="neCell">
      <w:rPr>
        <w:b/>
        <w:bCs/>
      </w:rPr>
      <w:tcPr>
        <w:tcBorders>
          <w:top w:val="nil"/>
          <w:left w:val="nil"/>
          <w:bottom w:val="nil"/>
          <w:right w:val="nil"/>
          <w:insideH w:val="nil"/>
          <w:insideV w:val="nil"/>
          <w:tl2br w:val="nil"/>
          <w:tr2bl w:val="nil"/>
        </w:tcBorders>
      </w:tcPr>
    </w:tblStylePr>
  </w:style>
  <w:style w:type="table" w:customStyle="1" w:styleId="3593">
    <w:name w:val="典雅型4"/>
    <w:basedOn w:val="88"/>
    <w:qFormat/>
    <w:uiPriority w:val="0"/>
    <w:pPr>
      <w:widowControl w:val="0"/>
      <w:spacing w:line="560" w:lineRule="exact"/>
      <w:ind w:firstLine="200" w:firstLineChars="200"/>
      <w:jc w:val="both"/>
    </w:pPr>
    <w:rPr>
      <w:rFonts w:ascii="Calibri" w:hAnsi="Calibri"/>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594">
    <w:name w:val="列表型 64"/>
    <w:basedOn w:val="88"/>
    <w:qFormat/>
    <w:uiPriority w:val="0"/>
    <w:pPr>
      <w:widowControl w:val="0"/>
      <w:spacing w:line="560" w:lineRule="exact"/>
      <w:ind w:firstLine="200" w:firstLineChars="200"/>
      <w:jc w:val="both"/>
    </w:pPr>
    <w:rPr>
      <w:rFonts w:ascii="Calibri" w:hAnsi="Calibri"/>
    </w:rPr>
    <w:tblPr>
      <w:tblBorders>
        <w:top w:val="single" w:color="000000" w:sz="6" w:space="0"/>
        <w:left w:val="single" w:color="000000" w:sz="6" w:space="0"/>
        <w:bottom w:val="single" w:color="000000" w:sz="6" w:space="0"/>
        <w:right w:val="single" w:color="000000" w:sz="6" w:space="0"/>
      </w:tblBorders>
    </w:tblPr>
    <w:tcPr>
      <w:shd w:val="pct50" w:color="000000" w:fill="FFFFFF"/>
    </w:tcPr>
    <w:tblStylePr w:type="firstRow">
      <w:rPr>
        <w:b/>
        <w:bCs/>
      </w:rPr>
      <w:tcPr>
        <w:tcBorders>
          <w:top w:val="nil"/>
          <w:left w:val="single" w:color="000000" w:sz="12" w:space="0"/>
          <w:bottom w:val="nil"/>
          <w:right w:val="nil"/>
          <w:insideH w:val="nil"/>
          <w:insideV w:val="nil"/>
          <w:tl2br w:val="nil"/>
          <w:tr2bl w:val="nil"/>
        </w:tcBorders>
      </w:tcPr>
    </w:tblStylePr>
    <w:tblStylePr w:type="firstCol">
      <w:rPr>
        <w:b/>
        <w:bCs/>
      </w:rPr>
      <w:tcPr>
        <w:tcBorders>
          <w:top w:val="nil"/>
          <w:left w:val="nil"/>
          <w:bottom w:val="nil"/>
          <w:right w:val="single" w:color="000000" w:sz="12" w:space="0"/>
          <w:insideH w:val="nil"/>
          <w:insideV w:val="nil"/>
          <w:tl2br w:val="nil"/>
          <w:tr2bl w:val="nil"/>
        </w:tcBorders>
      </w:tcPr>
    </w:tblStylePr>
    <w:tblStylePr w:type="band1Horz">
      <w:tcPr>
        <w:tcBorders>
          <w:top w:val="nil"/>
          <w:left w:val="nil"/>
          <w:bottom w:val="nil"/>
          <w:right w:val="nil"/>
          <w:insideH w:val="nil"/>
          <w:insideV w:val="nil"/>
          <w:tl2br w:val="nil"/>
          <w:tr2bl w:val="nil"/>
        </w:tcBorders>
        <w:shd w:val="pct25" w:color="000000" w:fill="FFFFFF"/>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595">
    <w:name w:val="网格型2"/>
    <w:basedOn w:val="88"/>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96">
    <w:name w:val="竖列型 44"/>
    <w:basedOn w:val="88"/>
    <w:qFormat/>
    <w:uiPriority w:val="0"/>
    <w:pPr>
      <w:widowControl w:val="0"/>
      <w:spacing w:line="560" w:lineRule="exact"/>
      <w:ind w:firstLine="200" w:firstLineChars="200"/>
      <w:jc w:val="both"/>
    </w:pPr>
    <w:rPr>
      <w:rFonts w:ascii="Calibri" w:hAnsi="Calibri"/>
    </w:rPr>
    <w:tblStylePr w:type="firstRow">
      <w:rPr>
        <w:color w:val="FFFFFF"/>
      </w:rPr>
      <w:tcPr>
        <w:tcBorders>
          <w:top w:val="nil"/>
          <w:left w:val="nil"/>
          <w:bottom w:val="nil"/>
          <w:right w:val="nil"/>
          <w:insideH w:val="nil"/>
          <w:insideV w:val="nil"/>
          <w:tl2br w:val="nil"/>
          <w:tr2bl w:val="nil"/>
        </w:tcBorders>
        <w:shd w:val="solid" w:color="000000" w:fill="FFFFFF"/>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Vert">
      <w:rPr>
        <w:color w:val="auto"/>
      </w:rPr>
      <w:tcPr>
        <w:shd w:val="pct50" w:color="008080" w:fill="FFFFFF"/>
      </w:tcPr>
    </w:tblStylePr>
    <w:tblStylePr w:type="band2Vert">
      <w:rPr>
        <w:color w:val="auto"/>
      </w:rPr>
      <w:tcPr>
        <w:shd w:val="pct10" w:color="000000" w:fill="FFFFFF"/>
      </w:tcPr>
    </w:tblStylePr>
  </w:style>
  <w:style w:type="table" w:customStyle="1" w:styleId="3597">
    <w:name w:val="竖列型 521"/>
    <w:basedOn w:val="88"/>
    <w:qFormat/>
    <w:uiPriority w:val="0"/>
    <w:pPr>
      <w:widowControl w:val="0"/>
      <w:spacing w:line="560" w:lineRule="exact"/>
      <w:ind w:firstLine="200" w:firstLineChars="200"/>
      <w:jc w:val="both"/>
    </w:pPr>
    <w:rPr>
      <w:rFonts w:ascii="Calibri" w:hAnsi="Calibri"/>
    </w:rPr>
    <w:tblPr>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cPr>
        <w:tcBorders>
          <w:top w:val="nil"/>
          <w:left w:val="single" w:color="808080" w:sz="6" w:space="0"/>
          <w:bottom w:val="nil"/>
          <w:right w:val="nil"/>
          <w:insideH w:val="nil"/>
          <w:insideV w:val="nil"/>
          <w:tl2br w:val="nil"/>
          <w:tr2bl w:val="nil"/>
        </w:tcBorders>
      </w:tcPr>
    </w:tblStylePr>
    <w:tblStylePr w:type="lastRow">
      <w:rPr>
        <w:b/>
        <w:bCs/>
      </w:rPr>
      <w:tcPr>
        <w:tcBorders>
          <w:top w:val="single" w:color="808080" w:sz="6"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Vert">
      <w:rPr>
        <w:color w:val="auto"/>
      </w:rPr>
      <w:tcPr>
        <w:shd w:val="solid" w:color="C0C0C0" w:fill="FFFFFF"/>
      </w:tcPr>
    </w:tblStylePr>
    <w:tblStylePr w:type="band2Vert">
      <w:rPr>
        <w:color w:val="auto"/>
      </w:rPr>
    </w:tblStylePr>
  </w:style>
  <w:style w:type="table" w:customStyle="1" w:styleId="3598">
    <w:name w:val="简明型 112"/>
    <w:basedOn w:val="88"/>
    <w:semiHidden/>
    <w:qFormat/>
    <w:uiPriority w:val="0"/>
    <w:pPr>
      <w:widowControl w:val="0"/>
      <w:jc w:val="both"/>
    </w:pPr>
    <w:rPr>
      <w:rFonts w:ascii="Calibri" w:hAnsi="Calibri"/>
    </w:rPr>
    <w:tblPr>
      <w:tblBorders>
        <w:top w:val="single" w:color="008000" w:sz="12" w:space="0"/>
        <w:bottom w:val="single" w:color="008000" w:sz="12" w:space="0"/>
      </w:tblBorders>
    </w:tblPr>
    <w:tcPr>
      <w:shd w:val="clear" w:color="auto" w:fill="auto"/>
    </w:tcPr>
    <w:tblStylePr w:type="firstRow">
      <w:tcPr>
        <w:tcBorders>
          <w:top w:val="nil"/>
          <w:left w:val="single" w:color="008000" w:sz="6" w:space="0"/>
          <w:bottom w:val="nil"/>
          <w:right w:val="nil"/>
          <w:insideH w:val="nil"/>
          <w:insideV w:val="nil"/>
          <w:tl2br w:val="nil"/>
          <w:tr2bl w:val="nil"/>
        </w:tcBorders>
      </w:tcPr>
    </w:tblStylePr>
    <w:tblStylePr w:type="lastRow">
      <w:tcPr>
        <w:tcBorders>
          <w:top w:val="single" w:color="008000" w:sz="6" w:space="0"/>
          <w:left w:val="nil"/>
          <w:bottom w:val="nil"/>
          <w:right w:val="nil"/>
          <w:insideH w:val="nil"/>
          <w:insideV w:val="nil"/>
          <w:tl2br w:val="nil"/>
          <w:tr2bl w:val="nil"/>
        </w:tcBorders>
      </w:tcPr>
    </w:tblStylePr>
  </w:style>
  <w:style w:type="table" w:customStyle="1" w:styleId="3599">
    <w:name w:val="表格主题121"/>
    <w:basedOn w:val="88"/>
    <w:qFormat/>
    <w:uiPriority w:val="0"/>
    <w:pPr>
      <w:widowControl w:val="0"/>
      <w:adjustRightInd w:val="0"/>
      <w:snapToGrid w:val="0"/>
      <w:jc w:val="center"/>
    </w:pPr>
    <w:rPr>
      <w:rFonts w:ascii="Calibri" w:hAnsi="Calibri"/>
      <w:sz w:val="24"/>
      <w:szCs w:val="24"/>
    </w:rPr>
    <w:tblPr>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rPr>
      <w:jc w:val="center"/>
    </w:trPr>
    <w:tcPr>
      <w:tcMar>
        <w:left w:w="28" w:type="dxa"/>
        <w:right w:w="28" w:type="dxa"/>
      </w:tcMar>
      <w:vAlign w:val="center"/>
    </w:tcPr>
    <w:tblStylePr w:type="firstRow">
      <w:pPr>
        <w:wordWrap/>
        <w:spacing w:beforeLines="0" w:beforeAutospacing="0" w:afterLines="0" w:afterAutospacing="0" w:line="240" w:lineRule="auto"/>
        <w:ind w:left="0" w:leftChars="0" w:right="0" w:rightChars="0"/>
      </w:pPr>
      <w:rPr>
        <w:rFonts w:ascii="Times New Roman" w:hAnsi="Times New Roman" w:eastAsia="新宋体"/>
        <w:sz w:val="21"/>
      </w:rPr>
      <w:tcPr>
        <w:tcBorders>
          <w:top w:val="single" w:color="auto" w:sz="12" w:space="0"/>
          <w:left w:val="single" w:color="auto" w:sz="4" w:space="0"/>
          <w:bottom w:val="single" w:color="auto" w:sz="12" w:space="0"/>
          <w:right w:val="single" w:color="auto" w:sz="12" w:space="0"/>
          <w:insideH w:val="single" w:sz="4" w:space="0"/>
          <w:insideV w:val="single" w:sz="4" w:space="0"/>
          <w:tl2br w:val="nil"/>
          <w:tr2bl w:val="nil"/>
        </w:tcBorders>
      </w:tcPr>
    </w:tblStylePr>
    <w:tblStylePr w:type="firstCol">
      <w:pPr>
        <w:keepNext w:val="0"/>
        <w:keepLines w:val="0"/>
        <w:pageBreakBefore w:val="0"/>
        <w:widowControl w:val="0"/>
        <w:suppressLineNumbers w:val="0"/>
        <w:suppressAutoHyphens w:val="0"/>
        <w:wordWrap/>
        <w:spacing w:beforeLines="0" w:beforeAutospacing="0" w:afterLines="0" w:afterAutospacing="0" w:line="240" w:lineRule="auto"/>
        <w:ind w:left="0" w:leftChars="0" w:right="0" w:rightChars="0"/>
      </w:pPr>
      <w:rPr>
        <w:rFonts w:ascii="Times New Roman" w:hAnsi="Times New Roman" w:eastAsia="新宋体"/>
        <w:b w:val="0"/>
        <w:sz w:val="21"/>
      </w:rPr>
    </w:tblStylePr>
  </w:style>
  <w:style w:type="table" w:customStyle="1" w:styleId="3600">
    <w:name w:val="彩色型 221"/>
    <w:basedOn w:val="88"/>
    <w:qFormat/>
    <w:uiPriority w:val="0"/>
    <w:pPr>
      <w:widowControl w:val="0"/>
      <w:spacing w:line="560" w:lineRule="exact"/>
      <w:ind w:firstLine="200" w:firstLineChars="200"/>
      <w:jc w:val="both"/>
    </w:pPr>
    <w:rPr>
      <w:rFonts w:ascii="Calibri" w:hAnsi="Calibri"/>
    </w:rPr>
    <w:tblPr>
      <w:tblBorders>
        <w:bottom w:val="single" w:color="000000" w:sz="12" w:space="0"/>
      </w:tblBorders>
    </w:tblPr>
    <w:tcPr>
      <w:shd w:val="pct20" w:color="FFFF00" w:fill="FFFFFF"/>
    </w:tcPr>
    <w:tblStylePr w:type="firstRow">
      <w:rPr>
        <w:b/>
        <w:bCs/>
        <w:i/>
        <w:iCs/>
        <w:color w:val="FFFFFF"/>
      </w:rPr>
      <w:tcPr>
        <w:tcBorders>
          <w:top w:val="nil"/>
          <w:left w:val="single" w:color="000000" w:sz="12" w:space="0"/>
          <w:bottom w:val="nil"/>
          <w:right w:val="nil"/>
          <w:insideH w:val="nil"/>
          <w:insideV w:val="nil"/>
          <w:tl2br w:val="nil"/>
          <w:tr2bl w:val="nil"/>
        </w:tcBorders>
        <w:shd w:val="solid" w:color="800000" w:fill="FFFFFF"/>
      </w:tcPr>
    </w:tblStylePr>
    <w:tblStylePr w:type="firstCol">
      <w:rPr>
        <w:b/>
        <w:bCs/>
        <w:i/>
        <w:iCs/>
      </w:rPr>
      <w:tcPr>
        <w:tcBorders>
          <w:top w:val="nil"/>
          <w:left w:val="nil"/>
          <w:bottom w:val="nil"/>
          <w:right w:val="nil"/>
          <w:insideH w:val="nil"/>
          <w:insideV w:val="nil"/>
          <w:tl2br w:val="nil"/>
          <w:tr2bl w:val="nil"/>
        </w:tcBorders>
      </w:tcPr>
    </w:tblStylePr>
    <w:tblStylePr w:type="lastCol">
      <w:tcPr>
        <w:tcBorders>
          <w:top w:val="nil"/>
          <w:left w:val="nil"/>
          <w:bottom w:val="nil"/>
          <w:right w:val="nil"/>
          <w:insideH w:val="nil"/>
          <w:insideV w:val="nil"/>
          <w:tl2br w:val="nil"/>
          <w:tr2bl w:val="nil"/>
        </w:tcBorders>
        <w:shd w:val="solid" w:color="C0C0C0" w:fill="FFFFFF"/>
      </w:tcPr>
    </w:tblStylePr>
    <w:tblStylePr w:type="swCell">
      <w:rPr>
        <w:b/>
        <w:bCs/>
        <w:i w:val="0"/>
        <w:iCs w:val="0"/>
      </w:rPr>
      <w:tcPr>
        <w:tcBorders>
          <w:top w:val="nil"/>
          <w:left w:val="nil"/>
          <w:bottom w:val="nil"/>
          <w:right w:val="nil"/>
          <w:insideH w:val="nil"/>
          <w:insideV w:val="nil"/>
          <w:tl2br w:val="nil"/>
          <w:tr2bl w:val="nil"/>
        </w:tcBorders>
      </w:tcPr>
    </w:tblStylePr>
  </w:style>
  <w:style w:type="table" w:customStyle="1" w:styleId="3601">
    <w:name w:val="网格型 621"/>
    <w:basedOn w:val="88"/>
    <w:qFormat/>
    <w:uiPriority w:val="0"/>
    <w:pPr>
      <w:widowControl w:val="0"/>
      <w:spacing w:line="560" w:lineRule="exact"/>
      <w:ind w:firstLine="200" w:firstLineChars="200"/>
      <w:jc w:val="both"/>
    </w:pPr>
    <w:rPr>
      <w:rFonts w:ascii="Calibri" w:hAnsi="Calibri"/>
    </w:rPr>
    <w:tblPr>
      <w:tblBorders>
        <w:top w:val="single" w:color="000000" w:sz="12" w:space="0"/>
        <w:left w:val="single" w:color="000000" w:sz="12" w:space="0"/>
        <w:bottom w:val="single" w:color="000000" w:sz="12" w:space="0"/>
        <w:right w:val="single" w:color="000000" w:sz="12" w:space="0"/>
        <w:insideV w:val="single" w:color="000000" w:sz="6" w:space="0"/>
      </w:tblBorders>
    </w:tblPr>
    <w:tcPr>
      <w:shd w:val="clear" w:color="auto" w:fill="auto"/>
    </w:tcPr>
    <w:tblStylePr w:type="firstRow">
      <w:rPr>
        <w:b/>
        <w:b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602">
    <w:name w:val="表格网格型52"/>
    <w:basedOn w:val="88"/>
    <w:qFormat/>
    <w:uiPriority w:val="0"/>
    <w:pPr>
      <w:widowControl w:val="0"/>
      <w:ind w:firstLine="560" w:firstLineChars="200"/>
      <w:jc w:val="both"/>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03">
    <w:name w:val="网格型3131"/>
    <w:basedOn w:val="88"/>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04">
    <w:name w:val="网格型 21"/>
    <w:basedOn w:val="88"/>
    <w:semiHidden/>
    <w:qFormat/>
    <w:uiPriority w:val="0"/>
    <w:pPr>
      <w:widowControl w:val="0"/>
      <w:jc w:val="both"/>
    </w:pPr>
    <w:tblPr>
      <w:tblBorders>
        <w:insideH w:val="single" w:color="000000" w:sz="6" w:space="0"/>
        <w:insideV w:val="single" w:color="000000" w:sz="6" w:space="0"/>
      </w:tblBorders>
    </w:tblPr>
    <w:tcPr>
      <w:shd w:val="clear" w:color="auto" w:fill="auto"/>
    </w:tcPr>
    <w:tblStylePr w:type="firstRow">
      <w:rPr>
        <w:b/>
        <w:bCs/>
      </w:rPr>
      <w:tcPr>
        <w:tcBorders>
          <w:top w:val="nil"/>
          <w:left w:val="nil"/>
          <w:bottom w:val="nil"/>
          <w:right w:val="nil"/>
          <w:insideH w:val="nil"/>
          <w:insideV w:val="nil"/>
          <w:tl2br w:val="nil"/>
          <w:tr2bl w:val="nil"/>
        </w:tcBorders>
      </w:tcPr>
    </w:tblStylePr>
    <w:tblStylePr w:type="lastRow">
      <w:rPr>
        <w:b/>
        <w:bCs/>
      </w:rPr>
      <w:tcPr>
        <w:tcBorders>
          <w:top w:val="single" w:color="000000" w:sz="6"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style>
  <w:style w:type="table" w:customStyle="1" w:styleId="3605">
    <w:name w:val="流行型1"/>
    <w:basedOn w:val="88"/>
    <w:semiHidden/>
    <w:qFormat/>
    <w:uiPriority w:val="0"/>
    <w:pPr>
      <w:widowControl w:val="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606">
    <w:name w:val="简明型 23"/>
    <w:basedOn w:val="88"/>
    <w:qFormat/>
    <w:uiPriority w:val="0"/>
    <w:pPr>
      <w:widowControl w:val="0"/>
      <w:spacing w:line="560" w:lineRule="exact"/>
      <w:ind w:firstLine="200" w:firstLineChars="200"/>
      <w:jc w:val="both"/>
    </w:pPr>
    <w:rPr>
      <w:rFonts w:ascii="Calibri" w:hAnsi="Calibri"/>
    </w:rPr>
    <w:tblStylePr w:type="firstRow">
      <w:rPr>
        <w:b/>
        <w:bCs/>
      </w:rPr>
      <w:tcPr>
        <w:tcBorders>
          <w:top w:val="nil"/>
          <w:left w:val="single" w:color="000000" w:sz="12" w:space="0"/>
          <w:bottom w:val="nil"/>
          <w:right w:val="nil"/>
          <w:insideH w:val="nil"/>
          <w:insideV w:val="nil"/>
          <w:tl2br w:val="nil"/>
          <w:tr2bl w:val="nil"/>
        </w:tcBorders>
      </w:tcPr>
    </w:tblStylePr>
    <w:tblStylePr w:type="lastRow">
      <w:rPr>
        <w:b/>
        <w:bCs/>
        <w:color w:val="auto"/>
      </w:rPr>
      <w:tcPr>
        <w:tcBorders>
          <w:top w:val="single" w:color="000000" w:sz="6" w:space="0"/>
          <w:left w:val="nil"/>
          <w:bottom w:val="nil"/>
          <w:right w:val="nil"/>
          <w:insideH w:val="nil"/>
          <w:insideV w:val="nil"/>
          <w:tl2br w:val="nil"/>
          <w:tr2bl w:val="nil"/>
        </w:tcBorders>
      </w:tcPr>
    </w:tblStylePr>
    <w:tblStylePr w:type="firstCol">
      <w:rPr>
        <w:b/>
        <w:bCs/>
      </w:rPr>
      <w:tcPr>
        <w:tcBorders>
          <w:top w:val="nil"/>
          <w:left w:val="nil"/>
          <w:bottom w:val="nil"/>
          <w:right w:val="single" w:color="000000" w:sz="12" w:space="0"/>
          <w:insideH w:val="nil"/>
          <w:insideV w:val="nil"/>
          <w:tl2br w:val="nil"/>
          <w:tr2bl w:val="nil"/>
        </w:tcBorders>
      </w:tcPr>
    </w:tblStylePr>
    <w:tblStylePr w:type="lastCol">
      <w:rPr>
        <w:b/>
        <w:bCs/>
      </w:rPr>
      <w:tcPr>
        <w:tcBorders>
          <w:top w:val="nil"/>
          <w:left w:val="nil"/>
          <w:bottom w:val="single" w:color="000000" w:sz="6" w:space="0"/>
          <w:right w:val="nil"/>
          <w:insideH w:val="nil"/>
          <w:insideV w:val="nil"/>
          <w:tl2br w:val="nil"/>
          <w:tr2bl w:val="nil"/>
        </w:tcBorders>
      </w:tcPr>
    </w:tblStylePr>
    <w:tblStylePr w:type="neCell">
      <w:rPr>
        <w:b/>
        <w:bCs/>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607">
    <w:name w:val="网格型611"/>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08">
    <w:name w:val="专业型1"/>
    <w:basedOn w:val="88"/>
    <w:semiHidden/>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609">
    <w:name w:val="列表型 22"/>
    <w:basedOn w:val="88"/>
    <w:qFormat/>
    <w:uiPriority w:val="0"/>
    <w:pPr>
      <w:widowControl w:val="0"/>
      <w:spacing w:line="560" w:lineRule="exact"/>
      <w:ind w:firstLine="200" w:firstLineChars="200"/>
      <w:jc w:val="both"/>
    </w:pPr>
    <w:rPr>
      <w:rFonts w:ascii="Calibri" w:hAnsi="Calibri"/>
    </w:rPr>
    <w:tblPr>
      <w:tblBorders>
        <w:bottom w:val="single" w:color="808080" w:sz="12" w:space="0"/>
      </w:tblBorders>
    </w:tblPr>
    <w:tblStylePr w:type="firstRow">
      <w:rPr>
        <w:b/>
        <w:bCs/>
        <w:color w:val="FFFFFF"/>
      </w:rPr>
      <w:tcPr>
        <w:tcBorders>
          <w:top w:val="nil"/>
          <w:left w:val="single" w:color="000000" w:sz="6" w:space="0"/>
          <w:bottom w:val="nil"/>
          <w:right w:val="nil"/>
          <w:insideH w:val="nil"/>
          <w:insideV w:val="nil"/>
          <w:tl2br w:val="nil"/>
          <w:tr2bl w:val="nil"/>
        </w:tcBorders>
        <w:shd w:val="pct75" w:color="008080" w:fill="008000"/>
      </w:tcPr>
    </w:tblStylePr>
    <w:tblStylePr w:type="lastRow">
      <w:tcPr>
        <w:tcBorders>
          <w:top w:val="single" w:color="000000" w:sz="6" w:space="0"/>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FF00" w:fill="FFFFFF"/>
      </w:tcPr>
    </w:tblStylePr>
    <w:tblStylePr w:type="band2Horz">
      <w:rPr>
        <w:color w:val="auto"/>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610">
    <w:name w:val="网格型142"/>
    <w:basedOn w:val="88"/>
    <w:qFormat/>
    <w:uiPriority w:val="59"/>
    <w:rPr>
      <w:rFonts w:ascii="Calibri" w:hAnsi="Calibri"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11">
    <w:name w:val="立体型 31"/>
    <w:basedOn w:val="88"/>
    <w:semiHidden/>
    <w:qFormat/>
    <w:uiPriority w:val="0"/>
    <w:pPr>
      <w:widowControl w:val="0"/>
      <w:jc w:val="both"/>
    </w:pPr>
    <w:tblStylePr w:type="firstRow">
      <w:rPr>
        <w:b/>
        <w:bCs/>
      </w:rPr>
      <w:tcPr>
        <w:tcBorders>
          <w:top w:val="nil"/>
          <w:left w:val="nil"/>
          <w:bottom w:val="nil"/>
          <w:right w:val="nil"/>
          <w:insideH w:val="nil"/>
          <w:insideV w:val="nil"/>
          <w:tl2br w:val="nil"/>
          <w:tr2bl w:val="nil"/>
        </w:tcBorders>
      </w:tcPr>
    </w:tblStylePr>
    <w:tblStylePr w:type="firstCol">
      <w:tcPr>
        <w:tcBorders>
          <w:top w:val="nil"/>
          <w:left w:val="nil"/>
          <w:bottom w:val="nil"/>
          <w:right w:val="single" w:color="808080" w:sz="6" w:space="0"/>
          <w:insideH w:val="nil"/>
          <w:insideV w:val="nil"/>
          <w:tl2br w:val="nil"/>
          <w:tr2bl w:val="nil"/>
        </w:tcBorders>
      </w:tcPr>
    </w:tblStylePr>
    <w:tblStylePr w:type="lastCol">
      <w:tcPr>
        <w:tcBorders>
          <w:top w:val="nil"/>
          <w:left w:val="nil"/>
          <w:bottom w:val="nil"/>
          <w:right w:val="single" w:color="FFFFFF" w:sz="6" w:space="0"/>
          <w:insideH w:val="nil"/>
          <w:insideV w:val="nil"/>
          <w:tl2br w:val="nil"/>
          <w:tr2bl w:val="nil"/>
        </w:tcBorders>
      </w:tcPr>
    </w:tblStylePr>
    <w:tblStylePr w:type="band1Vert">
      <w:rPr>
        <w:color w:val="auto"/>
      </w:rPr>
      <w:tcPr>
        <w:shd w:val="solid" w:color="C0C0C0" w:fill="FFFFFF"/>
      </w:tcPr>
    </w:tblStylePr>
    <w:tblStylePr w:type="band2Vert">
      <w:rPr>
        <w:color w:val="auto"/>
      </w:rPr>
      <w:tcPr>
        <w:shd w:val="pct50" w:color="C0C0C0" w:fill="FFFFFF"/>
      </w:tcPr>
    </w:tblStylePr>
    <w:tblStylePr w:type="band1Horz">
      <w:tcPr>
        <w:tcBorders>
          <w:top w:val="single" w:color="808080" w:sz="6" w:space="0"/>
          <w:left w:val="single" w:color="FFFFFF" w:sz="6" w:space="0"/>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612">
    <w:name w:val="网格型31132"/>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13">
    <w:name w:val="列表型 83"/>
    <w:basedOn w:val="88"/>
    <w:qFormat/>
    <w:uiPriority w:val="0"/>
    <w:pPr>
      <w:widowControl w:val="0"/>
      <w:spacing w:line="560" w:lineRule="exact"/>
      <w:ind w:firstLine="200" w:firstLineChars="200"/>
      <w:jc w:val="both"/>
    </w:pPr>
    <w:rPr>
      <w:rFonts w:ascii="Calibri" w:hAnsi="Calibri"/>
    </w:rPr>
    <w:tblPr>
      <w:tblBorders>
        <w:top w:val="single" w:color="000000" w:sz="6" w:space="0"/>
        <w:left w:val="single" w:color="000000" w:sz="6" w:space="0"/>
        <w:bottom w:val="single" w:color="000000" w:sz="6" w:space="0"/>
        <w:right w:val="single" w:color="000000" w:sz="6" w:space="0"/>
        <w:insideV w:val="single" w:color="000000" w:sz="6" w:space="0"/>
      </w:tblBorders>
    </w:tblPr>
    <w:tblStylePr w:type="firstRow">
      <w:rPr>
        <w:b/>
        <w:bCs/>
        <w:i/>
        <w:iCs/>
      </w:rPr>
      <w:tcPr>
        <w:tcBorders>
          <w:top w:val="nil"/>
          <w:left w:val="single" w:color="000000" w:sz="6" w:space="0"/>
          <w:bottom w:val="nil"/>
          <w:right w:val="nil"/>
          <w:insideH w:val="nil"/>
          <w:insideV w:val="nil"/>
          <w:tl2br w:val="nil"/>
          <w:tr2bl w:val="nil"/>
        </w:tcBorders>
        <w:shd w:val="solid" w:color="FFFF00" w:fill="FFFFFF"/>
      </w:tcPr>
    </w:tblStylePr>
    <w:tblStylePr w:type="lastRow">
      <w:rPr>
        <w:b/>
        <w:bCs/>
      </w:rPr>
      <w:tcPr>
        <w:tcBorders>
          <w:top w:val="single" w:color="000000" w:sz="6"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5" w:color="FFFF00" w:fill="FFFFFF"/>
      </w:tcPr>
    </w:tblStylePr>
    <w:tblStylePr w:type="band2Horz">
      <w:tcPr>
        <w:tcBorders>
          <w:top w:val="nil"/>
          <w:left w:val="nil"/>
          <w:bottom w:val="nil"/>
          <w:right w:val="nil"/>
          <w:insideH w:val="nil"/>
          <w:insideV w:val="nil"/>
          <w:tl2br w:val="nil"/>
          <w:tr2bl w:val="nil"/>
        </w:tcBorders>
        <w:shd w:val="pct50" w:color="FF0000" w:fill="FFFFFF"/>
      </w:tcPr>
    </w:tblStylePr>
    <w:tblStylePr w:type="nwCell">
      <w:tcPr>
        <w:tcBorders>
          <w:top w:val="nil"/>
          <w:left w:val="nil"/>
          <w:bottom w:val="nil"/>
          <w:right w:val="nil"/>
          <w:insideH w:val="nil"/>
          <w:insideV w:val="nil"/>
          <w:tl2br w:val="single" w:color="auto" w:sz="6" w:space="0"/>
          <w:tr2bl w:val="nil"/>
        </w:tcBorders>
      </w:tcPr>
    </w:tblStylePr>
  </w:style>
  <w:style w:type="table" w:customStyle="1" w:styleId="3614">
    <w:name w:val="古典型 34"/>
    <w:basedOn w:val="88"/>
    <w:qFormat/>
    <w:uiPriority w:val="0"/>
    <w:pPr>
      <w:widowControl w:val="0"/>
      <w:spacing w:line="560" w:lineRule="exact"/>
      <w:ind w:firstLine="200" w:firstLineChars="200"/>
      <w:jc w:val="both"/>
    </w:pPr>
    <w:rPr>
      <w:rFonts w:ascii="Calibri" w:hAnsi="Calibri"/>
      <w:color w:val="000080"/>
    </w:rPr>
    <w:tblPr>
      <w:tblBorders>
        <w:top w:val="single" w:color="000000" w:sz="12" w:space="0"/>
        <w:left w:val="single" w:color="000000" w:sz="12" w:space="0"/>
        <w:bottom w:val="single" w:color="000000" w:sz="12" w:space="0"/>
        <w:right w:val="single" w:color="000000" w:sz="12" w:space="0"/>
      </w:tblBorders>
    </w:tblPr>
    <w:tcPr>
      <w:shd w:val="solid" w:color="C0C0C0" w:fill="FFFFFF"/>
    </w:tcPr>
    <w:tblStylePr w:type="firstRow">
      <w:rPr>
        <w:b/>
        <w:bCs/>
        <w:i/>
        <w:iCs/>
        <w:color w:val="FFFFFF"/>
      </w:rPr>
      <w:tcPr>
        <w:tcBorders>
          <w:top w:val="nil"/>
          <w:left w:val="single" w:color="000000" w:sz="6" w:space="0"/>
          <w:bottom w:val="nil"/>
          <w:right w:val="nil"/>
          <w:insideH w:val="nil"/>
          <w:insideV w:val="nil"/>
          <w:tl2br w:val="nil"/>
          <w:tr2bl w:val="nil"/>
        </w:tcBorders>
        <w:shd w:val="solid" w:color="000080" w:fill="FFFFFF"/>
      </w:tcPr>
    </w:tblStylePr>
    <w:tblStylePr w:type="lastRow">
      <w:rPr>
        <w:color w:val="000080"/>
      </w:rPr>
      <w:tcPr>
        <w:tcBorders>
          <w:top w:val="single" w:color="000000" w:sz="12" w:space="0"/>
          <w:left w:val="nil"/>
          <w:bottom w:val="nil"/>
          <w:right w:val="nil"/>
          <w:insideH w:val="nil"/>
          <w:insideV w:val="nil"/>
          <w:tl2br w:val="nil"/>
          <w:tr2bl w:val="nil"/>
        </w:tcBorders>
        <w:shd w:val="solid" w:color="FFFFFF" w:fill="FFFFFF"/>
      </w:tcPr>
    </w:tblStylePr>
    <w:tblStylePr w:type="firstCol">
      <w:rPr>
        <w:b/>
        <w:bCs/>
        <w:color w:val="000000"/>
      </w:rPr>
      <w:tcPr>
        <w:tcBorders>
          <w:top w:val="nil"/>
          <w:left w:val="nil"/>
          <w:bottom w:val="nil"/>
          <w:right w:val="nil"/>
          <w:insideH w:val="nil"/>
          <w:insideV w:val="nil"/>
          <w:tl2br w:val="nil"/>
          <w:tr2bl w:val="nil"/>
        </w:tcBorders>
      </w:tcPr>
    </w:tblStylePr>
  </w:style>
  <w:style w:type="table" w:customStyle="1" w:styleId="3615">
    <w:name w:val="表三维效果 22"/>
    <w:basedOn w:val="88"/>
    <w:qFormat/>
    <w:uiPriority w:val="0"/>
    <w:pPr>
      <w:widowControl w:val="0"/>
      <w:spacing w:line="560" w:lineRule="exact"/>
      <w:ind w:firstLine="200" w:firstLineChars="200"/>
      <w:jc w:val="both"/>
    </w:pPr>
    <w:rPr>
      <w:rFonts w:ascii="Calibri" w:hAnsi="Calibri"/>
    </w:rPr>
    <w:tcPr>
      <w:shd w:val="solid" w:color="C0C0C0" w:fill="FFFFFF"/>
    </w:tcPr>
    <w:tblStylePr w:type="firstRow">
      <w:rPr>
        <w:b/>
        <w:bCs/>
      </w:rPr>
      <w:tcPr>
        <w:tcBorders>
          <w:top w:val="nil"/>
          <w:left w:val="nil"/>
          <w:bottom w:val="nil"/>
          <w:right w:val="nil"/>
          <w:insideH w:val="nil"/>
          <w:insideV w:val="nil"/>
          <w:tl2br w:val="nil"/>
          <w:tr2bl w:val="nil"/>
        </w:tcBorders>
      </w:tcPr>
    </w:tblStylePr>
    <w:tblStylePr w:type="firstCol">
      <w:tcPr>
        <w:tcBorders>
          <w:top w:val="nil"/>
          <w:left w:val="nil"/>
          <w:bottom w:val="nil"/>
          <w:right w:val="single" w:color="808080" w:sz="6" w:space="0"/>
          <w:insideH w:val="nil"/>
          <w:insideV w:val="nil"/>
          <w:tl2br w:val="nil"/>
          <w:tr2bl w:val="nil"/>
        </w:tcBorders>
      </w:tcPr>
    </w:tblStylePr>
    <w:tblStylePr w:type="lastCol">
      <w:tcPr>
        <w:tcBorders>
          <w:top w:val="nil"/>
          <w:left w:val="nil"/>
          <w:bottom w:val="nil"/>
          <w:right w:val="single" w:color="FFFFFF" w:sz="6" w:space="0"/>
          <w:insideH w:val="nil"/>
          <w:insideV w:val="nil"/>
          <w:tl2br w:val="nil"/>
          <w:tr2bl w:val="nil"/>
        </w:tcBorders>
      </w:tcPr>
    </w:tblStylePr>
    <w:tblStylePr w:type="band1Horz">
      <w:tcPr>
        <w:tcBorders>
          <w:top w:val="single" w:color="808080" w:sz="6" w:space="0"/>
          <w:left w:val="single" w:color="FFFFFF" w:sz="6" w:space="0"/>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616">
    <w:name w:val="网格型311123"/>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17">
    <w:name w:val="网格型 113"/>
    <w:basedOn w:val="88"/>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618">
    <w:name w:val="彩色型 22"/>
    <w:basedOn w:val="88"/>
    <w:qFormat/>
    <w:uiPriority w:val="0"/>
    <w:pPr>
      <w:widowControl w:val="0"/>
      <w:spacing w:line="560" w:lineRule="exact"/>
      <w:ind w:firstLine="200" w:firstLineChars="200"/>
      <w:jc w:val="both"/>
    </w:pPr>
    <w:rPr>
      <w:rFonts w:ascii="Calibri" w:hAnsi="Calibri"/>
    </w:rPr>
    <w:tblPr>
      <w:tblBorders>
        <w:bottom w:val="single" w:color="000000" w:sz="12" w:space="0"/>
      </w:tblBorders>
    </w:tblPr>
    <w:tcPr>
      <w:shd w:val="pct20" w:color="FFFF00" w:fill="FFFFFF"/>
    </w:tcPr>
    <w:tblStylePr w:type="firstRow">
      <w:rPr>
        <w:b/>
        <w:bCs/>
        <w:i/>
        <w:iCs/>
        <w:color w:val="FFFFFF"/>
      </w:rPr>
      <w:tcPr>
        <w:tcBorders>
          <w:top w:val="nil"/>
          <w:left w:val="single" w:color="000000" w:sz="12" w:space="0"/>
          <w:bottom w:val="nil"/>
          <w:right w:val="nil"/>
          <w:insideH w:val="nil"/>
          <w:insideV w:val="nil"/>
          <w:tl2br w:val="nil"/>
          <w:tr2bl w:val="nil"/>
        </w:tcBorders>
        <w:shd w:val="solid" w:color="800000" w:fill="FFFFFF"/>
      </w:tcPr>
    </w:tblStylePr>
    <w:tblStylePr w:type="firstCol">
      <w:rPr>
        <w:b/>
        <w:bCs/>
        <w:i/>
        <w:iCs/>
      </w:rPr>
      <w:tcPr>
        <w:tcBorders>
          <w:top w:val="nil"/>
          <w:left w:val="nil"/>
          <w:bottom w:val="nil"/>
          <w:right w:val="nil"/>
          <w:insideH w:val="nil"/>
          <w:insideV w:val="nil"/>
          <w:tl2br w:val="nil"/>
          <w:tr2bl w:val="nil"/>
        </w:tcBorders>
      </w:tcPr>
    </w:tblStylePr>
    <w:tblStylePr w:type="lastCol">
      <w:tcPr>
        <w:tcBorders>
          <w:top w:val="nil"/>
          <w:left w:val="nil"/>
          <w:bottom w:val="nil"/>
          <w:right w:val="nil"/>
          <w:insideH w:val="nil"/>
          <w:insideV w:val="nil"/>
          <w:tl2br w:val="nil"/>
          <w:tr2bl w:val="nil"/>
        </w:tcBorders>
        <w:shd w:val="solid" w:color="C0C0C0" w:fill="FFFFFF"/>
      </w:tcPr>
    </w:tblStylePr>
    <w:tblStylePr w:type="swCell">
      <w:rPr>
        <w:b/>
        <w:bCs/>
        <w:i w:val="0"/>
        <w:iCs w:val="0"/>
      </w:rPr>
      <w:tcPr>
        <w:tcBorders>
          <w:top w:val="nil"/>
          <w:left w:val="nil"/>
          <w:bottom w:val="nil"/>
          <w:right w:val="nil"/>
          <w:insideH w:val="nil"/>
          <w:insideV w:val="nil"/>
          <w:tl2br w:val="nil"/>
          <w:tr2bl w:val="nil"/>
        </w:tcBorders>
      </w:tcPr>
    </w:tblStylePr>
  </w:style>
  <w:style w:type="table" w:customStyle="1" w:styleId="3619">
    <w:name w:val="网格型71"/>
    <w:basedOn w:val="88"/>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20">
    <w:name w:val="列表型 421"/>
    <w:basedOn w:val="88"/>
    <w:qFormat/>
    <w:uiPriority w:val="0"/>
    <w:pPr>
      <w:widowControl w:val="0"/>
      <w:spacing w:line="560" w:lineRule="exact"/>
      <w:ind w:firstLine="200" w:firstLineChars="200"/>
      <w:jc w:val="both"/>
    </w:pPr>
    <w:rPr>
      <w:rFonts w:ascii="Calibri" w:hAnsi="Calibri"/>
    </w:rPr>
    <w:tblPr>
      <w:tblBorders>
        <w:top w:val="single" w:color="000000" w:sz="12" w:space="0"/>
        <w:left w:val="single" w:color="000000" w:sz="12" w:space="0"/>
        <w:bottom w:val="single" w:color="000000" w:sz="12" w:space="0"/>
        <w:right w:val="single" w:color="000000" w:sz="12" w:space="0"/>
        <w:insideH w:val="single" w:color="000000" w:sz="6" w:space="0"/>
      </w:tblBorders>
    </w:tblPr>
    <w:tcPr>
      <w:shd w:val="clear" w:color="auto" w:fill="auto"/>
    </w:tcPr>
    <w:tblStylePr w:type="firstRow">
      <w:rPr>
        <w:b/>
        <w:bCs/>
        <w:color w:val="FFFFFF"/>
      </w:rPr>
      <w:tcPr>
        <w:tcBorders>
          <w:top w:val="nil"/>
          <w:left w:val="single" w:color="000000" w:sz="12" w:space="0"/>
          <w:bottom w:val="nil"/>
          <w:right w:val="nil"/>
          <w:insideH w:val="nil"/>
          <w:insideV w:val="nil"/>
          <w:tl2br w:val="nil"/>
          <w:tr2bl w:val="nil"/>
        </w:tcBorders>
        <w:shd w:val="solid" w:color="808080" w:fill="FFFFFF"/>
      </w:tcPr>
    </w:tblStylePr>
  </w:style>
  <w:style w:type="table" w:customStyle="1" w:styleId="3621">
    <w:name w:val="简明型 111"/>
    <w:basedOn w:val="88"/>
    <w:semiHidden/>
    <w:qFormat/>
    <w:uiPriority w:val="0"/>
    <w:pPr>
      <w:widowControl w:val="0"/>
      <w:jc w:val="both"/>
    </w:pPr>
    <w:rPr>
      <w:rFonts w:ascii="Calibri" w:hAnsi="Calibri"/>
    </w:rPr>
    <w:tblPr>
      <w:tblBorders>
        <w:top w:val="single" w:color="008000" w:sz="12" w:space="0"/>
        <w:bottom w:val="single" w:color="008000" w:sz="12" w:space="0"/>
      </w:tblBorders>
    </w:tblPr>
    <w:tcPr>
      <w:shd w:val="clear" w:color="auto" w:fill="auto"/>
    </w:tcPr>
    <w:tblStylePr w:type="firstRow">
      <w:tcPr>
        <w:tcBorders>
          <w:top w:val="nil"/>
          <w:left w:val="single" w:color="008000" w:sz="6" w:space="0"/>
          <w:bottom w:val="nil"/>
          <w:right w:val="nil"/>
          <w:insideH w:val="nil"/>
          <w:insideV w:val="nil"/>
          <w:tl2br w:val="nil"/>
          <w:tr2bl w:val="nil"/>
        </w:tcBorders>
      </w:tcPr>
    </w:tblStylePr>
    <w:tblStylePr w:type="lastRow">
      <w:tcPr>
        <w:tcBorders>
          <w:top w:val="single" w:color="008000" w:sz="6" w:space="0"/>
          <w:left w:val="nil"/>
          <w:bottom w:val="nil"/>
          <w:right w:val="nil"/>
          <w:insideH w:val="nil"/>
          <w:insideV w:val="nil"/>
          <w:tl2br w:val="nil"/>
          <w:tr2bl w:val="nil"/>
        </w:tcBorders>
      </w:tcPr>
    </w:tblStylePr>
  </w:style>
  <w:style w:type="table" w:customStyle="1" w:styleId="3622">
    <w:name w:val="表格主题－E版12"/>
    <w:basedOn w:val="88"/>
    <w:semiHidden/>
    <w:qFormat/>
    <w:uiPriority w:val="0"/>
    <w:pPr>
      <w:widowControl w:val="0"/>
      <w:jc w:val="both"/>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23">
    <w:name w:val="网页型 312"/>
    <w:basedOn w:val="88"/>
    <w:semiHidden/>
    <w:qFormat/>
    <w:uiPriority w:val="0"/>
    <w:pPr>
      <w:widowControl w:val="0"/>
      <w:jc w:val="both"/>
    </w:pPr>
    <w:rPr>
      <w:rFonts w:ascii="Calibri" w:hAnsi="Calibri"/>
    </w:rPr>
    <w:tblPr>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cPr>
      <w:shd w:val="clear" w:color="auto" w:fill="auto"/>
    </w:tcPr>
    <w:tblStylePr w:type="firstRow">
      <w:rPr>
        <w:color w:val="auto"/>
      </w:rPr>
      <w:tcPr>
        <w:tcBorders>
          <w:top w:val="nil"/>
          <w:left w:val="nil"/>
          <w:bottom w:val="nil"/>
          <w:right w:val="nil"/>
          <w:insideH w:val="nil"/>
          <w:insideV w:val="nil"/>
          <w:tl2br w:val="nil"/>
          <w:tr2bl w:val="nil"/>
        </w:tcBorders>
      </w:tcPr>
    </w:tblStylePr>
  </w:style>
  <w:style w:type="table" w:customStyle="1" w:styleId="3624">
    <w:name w:val="简明型 12"/>
    <w:basedOn w:val="88"/>
    <w:qFormat/>
    <w:uiPriority w:val="0"/>
    <w:pPr>
      <w:widowControl w:val="0"/>
      <w:spacing w:line="560" w:lineRule="exact"/>
      <w:ind w:firstLine="200" w:firstLineChars="200"/>
      <w:jc w:val="both"/>
    </w:pPr>
    <w:rPr>
      <w:rFonts w:ascii="Calibri" w:hAnsi="Calibri"/>
    </w:rPr>
    <w:tblPr>
      <w:tblBorders>
        <w:top w:val="single" w:color="008000" w:sz="12" w:space="0"/>
        <w:bottom w:val="single" w:color="008000" w:sz="12" w:space="0"/>
      </w:tblBorders>
    </w:tblPr>
    <w:tcPr>
      <w:shd w:val="clear" w:color="auto" w:fill="auto"/>
    </w:tcPr>
    <w:tblStylePr w:type="firstRow">
      <w:tcPr>
        <w:tcBorders>
          <w:top w:val="nil"/>
          <w:left w:val="single" w:color="008000" w:sz="6" w:space="0"/>
          <w:bottom w:val="nil"/>
          <w:right w:val="nil"/>
          <w:insideH w:val="nil"/>
          <w:insideV w:val="nil"/>
          <w:tl2br w:val="nil"/>
          <w:tr2bl w:val="nil"/>
        </w:tcBorders>
      </w:tcPr>
    </w:tblStylePr>
    <w:tblStylePr w:type="lastRow">
      <w:tcPr>
        <w:tcBorders>
          <w:top w:val="single" w:color="008000" w:sz="6" w:space="0"/>
          <w:left w:val="nil"/>
          <w:bottom w:val="nil"/>
          <w:right w:val="nil"/>
          <w:insideH w:val="nil"/>
          <w:insideV w:val="nil"/>
          <w:tl2br w:val="nil"/>
          <w:tr2bl w:val="nil"/>
        </w:tcBorders>
      </w:tcPr>
    </w:tblStylePr>
  </w:style>
  <w:style w:type="table" w:customStyle="1" w:styleId="3625">
    <w:name w:val="网页型 211"/>
    <w:basedOn w:val="88"/>
    <w:semiHidden/>
    <w:qFormat/>
    <w:uiPriority w:val="0"/>
    <w:pPr>
      <w:widowControl w:val="0"/>
      <w:jc w:val="both"/>
    </w:pPr>
    <w:rPr>
      <w:rFonts w:ascii="Calibri" w:hAnsi="Calibri"/>
    </w:rPr>
    <w:tblPr>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cPr>
      <w:shd w:val="clear" w:color="auto" w:fill="auto"/>
    </w:tcPr>
    <w:tblStylePr w:type="firstRow">
      <w:rPr>
        <w:color w:val="auto"/>
      </w:rPr>
      <w:tcPr>
        <w:tcBorders>
          <w:top w:val="nil"/>
          <w:left w:val="nil"/>
          <w:bottom w:val="nil"/>
          <w:right w:val="nil"/>
          <w:insideH w:val="nil"/>
          <w:insideV w:val="nil"/>
          <w:tl2br w:val="nil"/>
          <w:tr2bl w:val="nil"/>
        </w:tcBorders>
      </w:tcPr>
    </w:tblStylePr>
  </w:style>
  <w:style w:type="table" w:customStyle="1" w:styleId="3626">
    <w:name w:val="列表型 11"/>
    <w:basedOn w:val="88"/>
    <w:semiHidden/>
    <w:qFormat/>
    <w:uiPriority w:val="0"/>
    <w:pPr>
      <w:widowControl w:val="0"/>
      <w:jc w:val="both"/>
    </w:pPr>
    <w:tblPr>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cPr>
        <w:tcBorders>
          <w:top w:val="nil"/>
          <w:left w:val="single" w:color="000000" w:sz="6" w:space="0"/>
          <w:bottom w:val="nil"/>
          <w:right w:val="nil"/>
          <w:insideH w:val="nil"/>
          <w:insideV w:val="nil"/>
          <w:tl2br w:val="nil"/>
          <w:tr2bl w:val="nil"/>
        </w:tcBorders>
        <w:shd w:val="solid" w:color="C0C0C0" w:fill="FFFFFF"/>
      </w:tcPr>
    </w:tblStylePr>
    <w:tblStylePr w:type="lastRow">
      <w:tcPr>
        <w:tcBorders>
          <w:top w:val="single" w:color="000000" w:sz="6" w:space="0"/>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solid" w:color="C0C0C0" w:fill="FFFFFF"/>
      </w:tcPr>
    </w:tblStylePr>
    <w:tblStylePr w:type="band2Horz">
      <w:rPr>
        <w:color w:val="auto"/>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627">
    <w:name w:val="网格型31212"/>
    <w:basedOn w:val="88"/>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28">
    <w:name w:val="简明型 34"/>
    <w:basedOn w:val="88"/>
    <w:qFormat/>
    <w:uiPriority w:val="0"/>
    <w:pPr>
      <w:widowControl w:val="0"/>
      <w:spacing w:line="560" w:lineRule="exact"/>
      <w:ind w:firstLine="200" w:firstLineChars="200"/>
      <w:jc w:val="both"/>
    </w:pPr>
    <w:rPr>
      <w:rFonts w:ascii="Calibri" w:hAnsi="Calibri"/>
    </w:rPr>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color w:val="FFFFFF"/>
      </w:rPr>
      <w:tcPr>
        <w:tcBorders>
          <w:top w:val="nil"/>
          <w:left w:val="nil"/>
          <w:bottom w:val="nil"/>
          <w:right w:val="nil"/>
          <w:insideH w:val="nil"/>
          <w:insideV w:val="nil"/>
          <w:tl2br w:val="nil"/>
          <w:tr2bl w:val="nil"/>
        </w:tcBorders>
        <w:shd w:val="solid" w:color="000000" w:fill="FFFFFF"/>
      </w:tcPr>
    </w:tblStylePr>
  </w:style>
  <w:style w:type="table" w:customStyle="1" w:styleId="3629">
    <w:name w:val="网格型42"/>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30">
    <w:name w:val="网格型31123"/>
    <w:basedOn w:val="88"/>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31">
    <w:name w:val="流行型12"/>
    <w:basedOn w:val="88"/>
    <w:semiHidden/>
    <w:qFormat/>
    <w:uiPriority w:val="0"/>
    <w:pPr>
      <w:widowControl w:val="0"/>
      <w:jc w:val="both"/>
    </w:pPr>
    <w:rPr>
      <w:rFonts w:ascii="Calibri" w:hAnsi="Calibri"/>
    </w:r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632">
    <w:name w:val="网格型321"/>
    <w:basedOn w:val="88"/>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33">
    <w:name w:val="网格型 811"/>
    <w:basedOn w:val="88"/>
    <w:semiHidden/>
    <w:qFormat/>
    <w:uiPriority w:val="0"/>
    <w:pPr>
      <w:widowControl w:val="0"/>
      <w:jc w:val="both"/>
    </w:pPr>
    <w:rPr>
      <w:rFonts w:ascii="Calibri" w:hAnsi="Calibri"/>
    </w:r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color w:val="FFFFFF"/>
      </w:rPr>
      <w:tcPr>
        <w:tcBorders>
          <w:top w:val="nil"/>
          <w:left w:val="nil"/>
          <w:bottom w:val="nil"/>
          <w:right w:val="nil"/>
          <w:insideH w:val="nil"/>
          <w:insideV w:val="nil"/>
          <w:tl2br w:val="nil"/>
          <w:tr2bl w:val="nil"/>
        </w:tcBorders>
        <w:shd w:val="solid" w:color="000080" w:fill="FFFFFF"/>
      </w:tcPr>
    </w:tblStylePr>
    <w:tblStylePr w:type="lastRow">
      <w:rPr>
        <w:b/>
        <w:bCs/>
        <w:color w:val="auto"/>
      </w:rPr>
      <w:tcPr>
        <w:tcBorders>
          <w:top w:val="nil"/>
          <w:left w:val="nil"/>
          <w:bottom w:val="nil"/>
          <w:right w:val="nil"/>
          <w:insideH w:val="nil"/>
          <w:insideV w:val="nil"/>
          <w:tl2br w:val="nil"/>
          <w:tr2bl w:val="nil"/>
        </w:tcBorders>
      </w:tcPr>
    </w:tblStylePr>
    <w:tblStylePr w:type="lastCol">
      <w:rPr>
        <w:b/>
        <w:bCs/>
        <w:color w:val="auto"/>
      </w:rPr>
      <w:tcPr>
        <w:tcBorders>
          <w:top w:val="nil"/>
          <w:left w:val="nil"/>
          <w:bottom w:val="nil"/>
          <w:right w:val="nil"/>
          <w:insideH w:val="nil"/>
          <w:insideV w:val="nil"/>
          <w:tl2br w:val="nil"/>
          <w:tr2bl w:val="nil"/>
        </w:tcBorders>
      </w:tcPr>
    </w:tblStylePr>
  </w:style>
  <w:style w:type="table" w:customStyle="1" w:styleId="3634">
    <w:name w:val="网格型43"/>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35">
    <w:name w:val="表格主题4121"/>
    <w:basedOn w:val="88"/>
    <w:qFormat/>
    <w:uiPriority w:val="0"/>
    <w:pPr>
      <w:widowControl w:val="0"/>
      <w:adjustRightInd w:val="0"/>
      <w:snapToGrid w:val="0"/>
      <w:jc w:val="center"/>
    </w:pPr>
    <w:rPr>
      <w:rFonts w:ascii="Calibri" w:hAnsi="Calibri"/>
      <w:sz w:val="24"/>
      <w:szCs w:val="24"/>
    </w:rPr>
    <w:tblPr>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rPr>
      <w:jc w:val="center"/>
    </w:trPr>
    <w:tcPr>
      <w:tcMar>
        <w:left w:w="28" w:type="dxa"/>
        <w:right w:w="28" w:type="dxa"/>
      </w:tcMar>
      <w:vAlign w:val="center"/>
    </w:tcPr>
    <w:tblStylePr w:type="firstRow">
      <w:pPr>
        <w:wordWrap/>
        <w:spacing w:beforeLines="0" w:beforeAutospacing="0" w:afterLines="0" w:afterAutospacing="0" w:line="240" w:lineRule="auto"/>
        <w:ind w:left="0" w:leftChars="0" w:right="0" w:rightChars="0"/>
      </w:pPr>
      <w:rPr>
        <w:rFonts w:ascii="Times New Roman" w:hAnsi="Times New Roman" w:eastAsia="新宋体"/>
        <w:sz w:val="21"/>
      </w:rPr>
      <w:tcPr>
        <w:tcBorders>
          <w:top w:val="single" w:color="auto" w:sz="12" w:space="0"/>
          <w:left w:val="single" w:color="auto" w:sz="4" w:space="0"/>
          <w:bottom w:val="single" w:color="auto" w:sz="12" w:space="0"/>
          <w:right w:val="single" w:color="auto" w:sz="12" w:space="0"/>
          <w:insideH w:val="single" w:sz="4" w:space="0"/>
          <w:insideV w:val="single" w:sz="4" w:space="0"/>
          <w:tl2br w:val="nil"/>
          <w:tr2bl w:val="nil"/>
        </w:tcBorders>
      </w:tcPr>
    </w:tblStylePr>
    <w:tblStylePr w:type="firstCol">
      <w:pPr>
        <w:keepNext w:val="0"/>
        <w:keepLines w:val="0"/>
        <w:pageBreakBefore w:val="0"/>
        <w:widowControl w:val="0"/>
        <w:suppressLineNumbers w:val="0"/>
        <w:suppressAutoHyphens w:val="0"/>
        <w:wordWrap/>
        <w:spacing w:beforeLines="0" w:beforeAutospacing="0" w:afterLines="0" w:afterAutospacing="0" w:line="240" w:lineRule="auto"/>
        <w:ind w:left="0" w:leftChars="0" w:right="0" w:rightChars="0"/>
      </w:pPr>
      <w:rPr>
        <w:rFonts w:ascii="Times New Roman" w:hAnsi="Times New Roman" w:eastAsia="新宋体"/>
        <w:b w:val="0"/>
        <w:sz w:val="21"/>
      </w:rPr>
    </w:tblStylePr>
  </w:style>
  <w:style w:type="table" w:customStyle="1" w:styleId="3636">
    <w:name w:val="竖列型 312"/>
    <w:basedOn w:val="88"/>
    <w:semiHidden/>
    <w:qFormat/>
    <w:uiPriority w:val="0"/>
    <w:pPr>
      <w:widowControl w:val="0"/>
      <w:jc w:val="both"/>
    </w:pPr>
    <w:rPr>
      <w:rFonts w:ascii="Calibri" w:hAnsi="Calibri"/>
      <w:b/>
      <w:bCs/>
    </w:rPr>
    <w:tblPr>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cPr>
        <w:tcBorders>
          <w:top w:val="nil"/>
          <w:left w:val="nil"/>
          <w:bottom w:val="nil"/>
          <w:right w:val="nil"/>
          <w:insideH w:val="nil"/>
          <w:insideV w:val="nil"/>
          <w:tl2br w:val="nil"/>
          <w:tr2bl w:val="nil"/>
        </w:tcBorders>
        <w:shd w:val="solid" w:color="000080" w:fill="FFFFFF"/>
      </w:tcPr>
    </w:tblStylePr>
    <w:tblStylePr w:type="lastRow">
      <w:rPr>
        <w:b w:val="0"/>
        <w:bCs w:val="0"/>
      </w:rPr>
      <w:tcPr>
        <w:tcBorders>
          <w:top w:val="single" w:color="000080" w:sz="6" w:space="0"/>
          <w:left w:val="nil"/>
          <w:bottom w:val="nil"/>
          <w:right w:val="nil"/>
          <w:insideH w:val="nil"/>
          <w:insideV w:val="nil"/>
          <w:tl2br w:val="nil"/>
          <w:tr2bl w:val="nil"/>
        </w:tcBorders>
      </w:tcPr>
    </w:tblStylePr>
    <w:tblStylePr w:type="firstCol">
      <w:rPr>
        <w:b w:val="0"/>
        <w:bCs w:val="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band1Vert">
      <w:rPr>
        <w:color w:val="auto"/>
      </w:rPr>
      <w:tcPr>
        <w:shd w:val="solid" w:color="C0C0C0" w:fill="FFFFFF"/>
      </w:tcPr>
    </w:tblStylePr>
    <w:tblStylePr w:type="band2Vert">
      <w:rPr>
        <w:color w:val="auto"/>
      </w:rPr>
      <w:tcPr>
        <w:shd w:val="pct10" w:color="000000" w:fill="FFFFFF"/>
      </w:tcPr>
    </w:tblStylePr>
    <w:tblStylePr w:type="neCell">
      <w:rPr>
        <w:b/>
        <w:bCs/>
      </w:rPr>
      <w:tcPr>
        <w:tcBorders>
          <w:top w:val="nil"/>
          <w:left w:val="nil"/>
          <w:bottom w:val="nil"/>
          <w:right w:val="nil"/>
          <w:insideH w:val="nil"/>
          <w:insideV w:val="nil"/>
          <w:tl2br w:val="nil"/>
          <w:tr2bl w:val="nil"/>
        </w:tcBorders>
      </w:tcPr>
    </w:tblStylePr>
  </w:style>
  <w:style w:type="table" w:customStyle="1" w:styleId="3637">
    <w:name w:val="古典型 42"/>
    <w:basedOn w:val="88"/>
    <w:qFormat/>
    <w:uiPriority w:val="0"/>
    <w:pPr>
      <w:widowControl w:val="0"/>
      <w:spacing w:line="560" w:lineRule="exact"/>
      <w:ind w:firstLine="200" w:firstLineChars="200"/>
      <w:jc w:val="both"/>
    </w:pPr>
    <w:rPr>
      <w:rFonts w:ascii="Calibri" w:hAnsi="Calibri"/>
    </w:rPr>
    <w:tblPr>
      <w:tblBorders>
        <w:top w:val="single" w:color="000000" w:sz="12" w:space="0"/>
        <w:left w:val="single" w:color="000000" w:sz="6" w:space="0"/>
        <w:bottom w:val="single" w:color="000000" w:sz="12" w:space="0"/>
        <w:right w:val="single" w:color="000000" w:sz="6" w:space="0"/>
      </w:tblBorders>
    </w:tblPr>
    <w:tcPr>
      <w:shd w:val="clear" w:color="auto" w:fill="auto"/>
    </w:tcPr>
    <w:tblStylePr w:type="firstRow">
      <w:rPr>
        <w:b/>
        <w:bCs/>
        <w:i/>
        <w:iCs/>
        <w:color w:val="FFFFFF"/>
      </w:rPr>
      <w:tcPr>
        <w:tcBorders>
          <w:top w:val="nil"/>
          <w:left w:val="single" w:color="000000" w:sz="6" w:space="0"/>
          <w:bottom w:val="nil"/>
          <w:right w:val="nil"/>
          <w:insideH w:val="nil"/>
          <w:insideV w:val="nil"/>
          <w:tl2br w:val="nil"/>
          <w:tr2bl w:val="nil"/>
        </w:tcBorders>
        <w:shd w:val="pct50" w:color="000080" w:fill="FFFFFF"/>
      </w:tcPr>
    </w:tblStylePr>
    <w:tblStylePr w:type="lastRow">
      <w:rPr>
        <w:color w:val="000080"/>
      </w:rPr>
      <w:tcPr>
        <w:tcBorders>
          <w:top w:val="nil"/>
          <w:left w:val="single" w:color="000000" w:sz="6" w:space="0"/>
          <w:bottom w:val="nil"/>
          <w:right w:val="nil"/>
          <w:insideH w:val="nil"/>
          <w:insideV w:val="nil"/>
          <w:tl2br w:val="nil"/>
          <w:tr2bl w:val="nil"/>
        </w:tcBorders>
        <w:shd w:val="pct50" w:color="000000" w:fill="FFFFFF"/>
      </w:tcPr>
    </w:tblStylePr>
    <w:tblStylePr w:type="firstCol">
      <w:rPr>
        <w:b/>
        <w:bCs/>
      </w:rPr>
      <w:tcPr>
        <w:tcBorders>
          <w:top w:val="nil"/>
          <w:left w:val="nil"/>
          <w:bottom w:val="nil"/>
          <w:right w:val="nil"/>
          <w:insideH w:val="nil"/>
          <w:insideV w:val="nil"/>
          <w:tl2br w:val="nil"/>
          <w:tr2bl w:val="nil"/>
        </w:tcBorders>
      </w:tcPr>
    </w:tblStylePr>
    <w:tblStylePr w:type="nwCell">
      <w:rPr>
        <w:b/>
        <w:bCs/>
      </w:rPr>
      <w:tcPr>
        <w:tcBorders>
          <w:top w:val="nil"/>
          <w:left w:val="nil"/>
          <w:bottom w:val="nil"/>
          <w:right w:val="nil"/>
          <w:insideH w:val="nil"/>
          <w:insideV w:val="nil"/>
          <w:tl2br w:val="nil"/>
          <w:tr2bl w:val="nil"/>
        </w:tcBorders>
      </w:tcPr>
    </w:tblStylePr>
    <w:tblStylePr w:type="swCell">
      <w:rPr>
        <w:color w:val="000080"/>
      </w:rPr>
      <w:tcPr>
        <w:tcBorders>
          <w:top w:val="nil"/>
          <w:left w:val="nil"/>
          <w:bottom w:val="nil"/>
          <w:right w:val="nil"/>
          <w:insideH w:val="nil"/>
          <w:insideV w:val="nil"/>
          <w:tl2br w:val="nil"/>
          <w:tr2bl w:val="nil"/>
        </w:tcBorders>
      </w:tcPr>
    </w:tblStylePr>
  </w:style>
  <w:style w:type="table" w:customStyle="1" w:styleId="3638">
    <w:name w:val="表格主题41111"/>
    <w:basedOn w:val="88"/>
    <w:qFormat/>
    <w:uiPriority w:val="0"/>
    <w:pPr>
      <w:widowControl w:val="0"/>
      <w:adjustRightInd w:val="0"/>
      <w:snapToGrid w:val="0"/>
      <w:jc w:val="center"/>
    </w:pPr>
    <w:rPr>
      <w:rFonts w:ascii="Calibri" w:hAnsi="Calibri"/>
      <w:sz w:val="24"/>
      <w:szCs w:val="24"/>
    </w:rPr>
    <w:tblPr>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rPr>
      <w:jc w:val="center"/>
    </w:trPr>
    <w:tcPr>
      <w:tcMar>
        <w:left w:w="28" w:type="dxa"/>
        <w:right w:w="28" w:type="dxa"/>
      </w:tcMar>
      <w:vAlign w:val="center"/>
    </w:tcPr>
    <w:tblStylePr w:type="firstRow">
      <w:pPr>
        <w:wordWrap/>
        <w:spacing w:beforeLines="0" w:beforeAutospacing="0" w:afterLines="0" w:afterAutospacing="0" w:line="240" w:lineRule="auto"/>
        <w:ind w:left="0" w:leftChars="0" w:right="0" w:rightChars="0"/>
      </w:pPr>
      <w:rPr>
        <w:rFonts w:ascii="Times New Roman" w:hAnsi="Times New Roman" w:eastAsia="Cambria"/>
        <w:sz w:val="21"/>
      </w:rPr>
      <w:tcPr>
        <w:tcBorders>
          <w:top w:val="single" w:color="auto" w:sz="12" w:space="0"/>
          <w:left w:val="single" w:color="auto" w:sz="4" w:space="0"/>
          <w:bottom w:val="single" w:color="auto" w:sz="12" w:space="0"/>
          <w:right w:val="single" w:color="auto" w:sz="12" w:space="0"/>
          <w:insideH w:val="single" w:sz="4" w:space="0"/>
          <w:insideV w:val="single" w:sz="4" w:space="0"/>
          <w:tl2br w:val="nil"/>
          <w:tr2bl w:val="nil"/>
        </w:tcBorders>
      </w:tcPr>
    </w:tblStylePr>
    <w:tblStylePr w:type="firstCol">
      <w:pPr>
        <w:keepNext w:val="0"/>
        <w:keepLines w:val="0"/>
        <w:pageBreakBefore w:val="0"/>
        <w:widowControl w:val="0"/>
        <w:suppressLineNumbers w:val="0"/>
        <w:suppressAutoHyphens w:val="0"/>
        <w:wordWrap/>
        <w:spacing w:beforeLines="0" w:beforeAutospacing="0" w:afterLines="0" w:afterAutospacing="0" w:line="240" w:lineRule="auto"/>
        <w:ind w:left="0" w:leftChars="0" w:right="0" w:rightChars="0"/>
      </w:pPr>
      <w:rPr>
        <w:rFonts w:ascii="Times New Roman" w:hAnsi="Times New Roman" w:eastAsia="Cambria"/>
        <w:b w:val="0"/>
        <w:sz w:val="21"/>
      </w:rPr>
    </w:tblStylePr>
  </w:style>
  <w:style w:type="table" w:customStyle="1" w:styleId="3639">
    <w:name w:val="网格型323"/>
    <w:basedOn w:val="88"/>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40">
    <w:name w:val="表格主题11"/>
    <w:basedOn w:val="88"/>
    <w:qFormat/>
    <w:uiPriority w:val="0"/>
    <w:pPr>
      <w:widowControl w:val="0"/>
      <w:adjustRightInd w:val="0"/>
      <w:snapToGrid w:val="0"/>
      <w:jc w:val="center"/>
    </w:pPr>
    <w:rPr>
      <w:rFonts w:ascii="Calibri" w:hAnsi="Calibri"/>
      <w:sz w:val="24"/>
      <w:szCs w:val="24"/>
    </w:rPr>
    <w:tblPr>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rPr>
      <w:jc w:val="center"/>
    </w:trPr>
    <w:tcPr>
      <w:tcMar>
        <w:left w:w="28" w:type="dxa"/>
        <w:right w:w="28" w:type="dxa"/>
      </w:tcMar>
      <w:vAlign w:val="center"/>
    </w:tcPr>
    <w:tblStylePr w:type="firstRow">
      <w:pPr>
        <w:wordWrap/>
        <w:spacing w:beforeLines="0" w:beforeAutospacing="0" w:afterLines="0" w:afterAutospacing="0" w:line="240" w:lineRule="auto"/>
        <w:ind w:left="0" w:leftChars="0" w:right="0" w:rightChars="0"/>
      </w:pPr>
      <w:rPr>
        <w:rFonts w:ascii="Times New Roman" w:hAnsi="Times New Roman" w:eastAsia="华文细黑"/>
        <w:sz w:val="21"/>
      </w:rPr>
      <w:tcPr>
        <w:tcBorders>
          <w:top w:val="single" w:color="auto" w:sz="12" w:space="0"/>
          <w:left w:val="single" w:color="auto" w:sz="4" w:space="0"/>
          <w:bottom w:val="single" w:color="auto" w:sz="12" w:space="0"/>
          <w:right w:val="single" w:color="auto" w:sz="12" w:space="0"/>
          <w:insideH w:val="single" w:sz="4" w:space="0"/>
          <w:insideV w:val="single" w:sz="4" w:space="0"/>
          <w:tl2br w:val="nil"/>
          <w:tr2bl w:val="nil"/>
        </w:tcBorders>
      </w:tcPr>
    </w:tblStylePr>
    <w:tblStylePr w:type="firstCol">
      <w:pPr>
        <w:keepNext w:val="0"/>
        <w:keepLines w:val="0"/>
        <w:pageBreakBefore w:val="0"/>
        <w:widowControl w:val="0"/>
        <w:suppressLineNumbers w:val="0"/>
        <w:suppressAutoHyphens w:val="0"/>
        <w:wordWrap/>
        <w:spacing w:beforeLines="0" w:beforeAutospacing="0" w:afterLines="0" w:afterAutospacing="0" w:line="240" w:lineRule="auto"/>
        <w:ind w:left="0" w:leftChars="0" w:right="0" w:rightChars="0"/>
      </w:pPr>
      <w:rPr>
        <w:rFonts w:ascii="Times New Roman" w:hAnsi="Times New Roman" w:eastAsia="华文细黑"/>
        <w:b w:val="0"/>
        <w:sz w:val="21"/>
      </w:rPr>
    </w:tblStylePr>
  </w:style>
  <w:style w:type="table" w:customStyle="1" w:styleId="3641">
    <w:name w:val="表格主题4131"/>
    <w:basedOn w:val="88"/>
    <w:qFormat/>
    <w:uiPriority w:val="0"/>
    <w:pPr>
      <w:widowControl w:val="0"/>
      <w:adjustRightInd w:val="0"/>
      <w:snapToGrid w:val="0"/>
      <w:jc w:val="center"/>
    </w:pPr>
    <w:rPr>
      <w:sz w:val="24"/>
      <w:szCs w:val="24"/>
    </w:rPr>
    <w:tblPr>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rPr>
      <w:jc w:val="center"/>
    </w:trPr>
    <w:tcPr>
      <w:tcMar>
        <w:left w:w="28" w:type="dxa"/>
        <w:right w:w="28" w:type="dxa"/>
      </w:tcMar>
      <w:vAlign w:val="center"/>
    </w:tcPr>
    <w:tblStylePr w:type="firstRow">
      <w:pPr>
        <w:wordWrap/>
        <w:spacing w:beforeLines="0" w:beforeAutospacing="0" w:afterLines="0" w:afterAutospacing="0" w:line="240" w:lineRule="auto"/>
        <w:ind w:left="0" w:leftChars="0" w:right="0" w:rightChars="0"/>
      </w:pPr>
      <w:rPr>
        <w:rFonts w:ascii="Times New Roman" w:hAnsi="Times New Roman" w:eastAsia="Arial"/>
        <w:sz w:val="21"/>
      </w:rPr>
      <w:tcPr>
        <w:tcBorders>
          <w:top w:val="single" w:color="auto" w:sz="12" w:space="0"/>
          <w:left w:val="single" w:color="auto" w:sz="4" w:space="0"/>
          <w:bottom w:val="single" w:color="auto" w:sz="12" w:space="0"/>
          <w:right w:val="single" w:color="auto" w:sz="12" w:space="0"/>
          <w:insideH w:val="single" w:sz="4" w:space="0"/>
          <w:insideV w:val="single" w:sz="4" w:space="0"/>
          <w:tl2br w:val="nil"/>
          <w:tr2bl w:val="nil"/>
        </w:tcBorders>
      </w:tcPr>
    </w:tblStylePr>
    <w:tblStylePr w:type="firstCol">
      <w:pPr>
        <w:keepNext w:val="0"/>
        <w:keepLines w:val="0"/>
        <w:pageBreakBefore w:val="0"/>
        <w:widowControl w:val="0"/>
        <w:suppressLineNumbers w:val="0"/>
        <w:suppressAutoHyphens w:val="0"/>
        <w:wordWrap/>
        <w:spacing w:beforeLines="0" w:beforeAutospacing="0" w:afterLines="0" w:afterAutospacing="0" w:line="240" w:lineRule="auto"/>
        <w:ind w:left="0" w:leftChars="0" w:right="0" w:rightChars="0"/>
      </w:pPr>
      <w:rPr>
        <w:rFonts w:ascii="Times New Roman" w:hAnsi="Times New Roman" w:eastAsia="Arial"/>
        <w:b w:val="0"/>
        <w:sz w:val="21"/>
      </w:rPr>
    </w:tblStylePr>
  </w:style>
  <w:style w:type="table" w:customStyle="1" w:styleId="3642">
    <w:name w:val="网格型3111112"/>
    <w:basedOn w:val="88"/>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43">
    <w:name w:val="网页型 32"/>
    <w:basedOn w:val="88"/>
    <w:qFormat/>
    <w:uiPriority w:val="0"/>
    <w:pPr>
      <w:widowControl w:val="0"/>
      <w:spacing w:line="560" w:lineRule="exact"/>
      <w:ind w:firstLine="200" w:firstLineChars="200"/>
      <w:jc w:val="both"/>
    </w:pPr>
    <w:rPr>
      <w:rFonts w:ascii="Calibri" w:hAnsi="Calibri"/>
    </w:rPr>
    <w:tblPr>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cPr>
      <w:shd w:val="clear" w:color="auto" w:fill="auto"/>
    </w:tcPr>
    <w:tblStylePr w:type="firstRow">
      <w:rPr>
        <w:color w:val="auto"/>
      </w:rPr>
      <w:tcPr>
        <w:tcBorders>
          <w:top w:val="nil"/>
          <w:left w:val="nil"/>
          <w:bottom w:val="nil"/>
          <w:right w:val="nil"/>
          <w:insideH w:val="nil"/>
          <w:insideV w:val="nil"/>
          <w:tl2br w:val="nil"/>
          <w:tr2bl w:val="nil"/>
        </w:tcBorders>
      </w:tcPr>
    </w:tblStylePr>
  </w:style>
  <w:style w:type="table" w:customStyle="1" w:styleId="3644">
    <w:name w:val="网格型1"/>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45">
    <w:name w:val="网格型313"/>
    <w:basedOn w:val="88"/>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46">
    <w:name w:val="精巧型 21"/>
    <w:basedOn w:val="88"/>
    <w:semiHidden/>
    <w:qFormat/>
    <w:uiPriority w:val="0"/>
    <w:pPr>
      <w:widowControl w:val="0"/>
      <w:jc w:val="both"/>
    </w:pPr>
    <w:tblPr>
      <w:tblBorders>
        <w:left w:val="single" w:color="000000" w:sz="6" w:space="0"/>
        <w:right w:val="single" w:color="000000" w:sz="6" w:space="0"/>
      </w:tblBorders>
    </w:tblPr>
    <w:tblStylePr w:type="firstRow">
      <w:tcPr>
        <w:tcBorders>
          <w:top w:val="nil"/>
          <w:left w:val="single" w:color="000000" w:sz="12" w:space="0"/>
          <w:bottom w:val="nil"/>
          <w:right w:val="nil"/>
          <w:insideH w:val="nil"/>
          <w:insideV w:val="nil"/>
          <w:tl2br w:val="nil"/>
          <w:tr2bl w:val="nil"/>
        </w:tcBorders>
      </w:tcPr>
    </w:tblStylePr>
    <w:tblStylePr w:type="lastRow">
      <w:tcPr>
        <w:tcBorders>
          <w:top w:val="single" w:color="000000" w:sz="12" w:space="0"/>
          <w:left w:val="nil"/>
          <w:bottom w:val="nil"/>
          <w:right w:val="nil"/>
          <w:insideH w:val="nil"/>
          <w:insideV w:val="nil"/>
          <w:tl2br w:val="nil"/>
          <w:tr2bl w:val="nil"/>
        </w:tcBorders>
      </w:tcPr>
    </w:tblStylePr>
    <w:tblStylePr w:type="firstCol">
      <w:tcPr>
        <w:tcBorders>
          <w:top w:val="nil"/>
          <w:left w:val="nil"/>
          <w:bottom w:val="nil"/>
          <w:right w:val="single" w:color="000000" w:sz="12" w:space="0"/>
          <w:insideH w:val="nil"/>
          <w:insideV w:val="nil"/>
          <w:tl2br w:val="nil"/>
          <w:tr2bl w:val="nil"/>
        </w:tcBorders>
        <w:shd w:val="pct25" w:color="008000" w:fill="FFFFFF"/>
      </w:tcPr>
    </w:tblStylePr>
    <w:tblStylePr w:type="lastCol">
      <w:tcPr>
        <w:tcBorders>
          <w:top w:val="nil"/>
          <w:left w:val="nil"/>
          <w:bottom w:val="single" w:color="000000" w:sz="12" w:space="0"/>
          <w:right w:val="nil"/>
          <w:insideH w:val="nil"/>
          <w:insideV w:val="nil"/>
          <w:tl2br w:val="nil"/>
          <w:tr2bl w:val="nil"/>
        </w:tcBorders>
        <w:shd w:val="pct25" w:color="808000" w:fill="FFFFFF"/>
      </w:tcPr>
    </w:tblStylePr>
    <w:tblStylePr w:type="neCell">
      <w:rPr>
        <w:b/>
        <w:bCs/>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647">
    <w:name w:val="网格型 511"/>
    <w:basedOn w:val="88"/>
    <w:semiHidden/>
    <w:qFormat/>
    <w:uiPriority w:val="0"/>
    <w:pPr>
      <w:widowControl w:val="0"/>
      <w:jc w:val="both"/>
    </w:pPr>
    <w:rPr>
      <w:rFonts w:ascii="Calibri" w:hAnsi="Calibri"/>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top w:val="nil"/>
          <w:left w:val="single" w:color="000000" w:sz="12" w:space="0"/>
          <w:bottom w:val="nil"/>
          <w:right w:val="nil"/>
          <w:insideH w:val="nil"/>
          <w:insideV w:val="nil"/>
          <w:tl2br w:val="nil"/>
          <w:tr2bl w:val="nil"/>
        </w:tcBorders>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648">
    <w:name w:val="网格型31222"/>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49">
    <w:name w:val="网格型332"/>
    <w:basedOn w:val="88"/>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50">
    <w:name w:val="网页型 21"/>
    <w:basedOn w:val="88"/>
    <w:semiHidden/>
    <w:qFormat/>
    <w:uiPriority w:val="0"/>
    <w:pPr>
      <w:widowControl w:val="0"/>
      <w:jc w:val="both"/>
    </w:pPr>
    <w:tblPr>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cPr>
      <w:shd w:val="clear" w:color="auto" w:fill="auto"/>
    </w:tcPr>
    <w:tblStylePr w:type="firstRow">
      <w:rPr>
        <w:color w:val="auto"/>
      </w:rPr>
      <w:tcPr>
        <w:tcBorders>
          <w:top w:val="nil"/>
          <w:left w:val="nil"/>
          <w:bottom w:val="nil"/>
          <w:right w:val="nil"/>
          <w:insideH w:val="nil"/>
          <w:insideV w:val="nil"/>
          <w:tl2br w:val="nil"/>
          <w:tr2bl w:val="nil"/>
        </w:tcBorders>
      </w:tcPr>
    </w:tblStylePr>
  </w:style>
  <w:style w:type="table" w:customStyle="1" w:styleId="3651">
    <w:name w:val="网格型30"/>
    <w:basedOn w:val="88"/>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52">
    <w:name w:val="网格型311131"/>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53">
    <w:name w:val="竖列型 112"/>
    <w:basedOn w:val="88"/>
    <w:semiHidden/>
    <w:qFormat/>
    <w:uiPriority w:val="0"/>
    <w:pPr>
      <w:widowControl w:val="0"/>
      <w:jc w:val="both"/>
    </w:pPr>
    <w:rPr>
      <w:rFonts w:ascii="Calibri" w:hAnsi="Calibri"/>
      <w:b/>
      <w:bCs/>
    </w:rPr>
    <w:tblPr>
      <w:tblBorders>
        <w:top w:val="single" w:color="000000" w:sz="12" w:space="0"/>
        <w:left w:val="single" w:color="000000" w:sz="12" w:space="0"/>
        <w:bottom w:val="single" w:color="000000" w:sz="12" w:space="0"/>
        <w:right w:val="single" w:color="000000" w:sz="12" w:space="0"/>
      </w:tblBorders>
    </w:tblPr>
    <w:tblStylePr w:type="firstRow">
      <w:rPr>
        <w:b w:val="0"/>
        <w:bCs w:val="0"/>
      </w:rPr>
      <w:tcPr>
        <w:tcBorders>
          <w:top w:val="nil"/>
          <w:left w:val="double" w:color="000000" w:sz="6" w:space="0"/>
          <w:bottom w:val="nil"/>
          <w:right w:val="nil"/>
          <w:insideH w:val="nil"/>
          <w:insideV w:val="nil"/>
          <w:tl2br w:val="nil"/>
          <w:tr2bl w:val="nil"/>
        </w:tcBorders>
      </w:tcPr>
    </w:tblStylePr>
    <w:tblStylePr w:type="lastRow">
      <w:rPr>
        <w:b w:val="0"/>
        <w:bCs w:val="0"/>
      </w:rPr>
      <w:tcPr>
        <w:tcBorders>
          <w:top w:val="nil"/>
          <w:left w:val="nil"/>
          <w:bottom w:val="nil"/>
          <w:right w:val="nil"/>
          <w:insideH w:val="nil"/>
          <w:insideV w:val="nil"/>
          <w:tl2br w:val="nil"/>
          <w:tr2bl w:val="nil"/>
        </w:tcBorders>
      </w:tcPr>
    </w:tblStylePr>
    <w:tblStylePr w:type="firstCol">
      <w:rPr>
        <w:b w:val="0"/>
        <w:bCs w:val="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band1Vert">
      <w:rPr>
        <w:color w:val="auto"/>
      </w:rPr>
      <w:tcPr>
        <w:shd w:val="pct25" w:color="000000" w:fill="FFFFFF"/>
      </w:tcPr>
    </w:tblStylePr>
    <w:tblStylePr w:type="band2Vert">
      <w:rPr>
        <w:color w:val="auto"/>
      </w:rPr>
      <w:tcPr>
        <w:shd w:val="pct25" w:color="FFFF00" w:fill="FFFFFF"/>
      </w:tcPr>
    </w:tblStylePr>
    <w:tblStylePr w:type="neCell">
      <w:rPr>
        <w:b/>
        <w:bCs/>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654">
    <w:name w:val="列表型 72"/>
    <w:basedOn w:val="88"/>
    <w:qFormat/>
    <w:uiPriority w:val="0"/>
    <w:pPr>
      <w:widowControl w:val="0"/>
      <w:spacing w:line="560" w:lineRule="exact"/>
      <w:ind w:firstLine="200" w:firstLineChars="200"/>
      <w:jc w:val="both"/>
    </w:pPr>
    <w:rPr>
      <w:rFonts w:ascii="Calibri" w:hAnsi="Calibri"/>
    </w:r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655">
    <w:name w:val="表格网格型41"/>
    <w:basedOn w:val="88"/>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56">
    <w:name w:val="网格型6"/>
    <w:basedOn w:val="88"/>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57">
    <w:name w:val="网格型 33"/>
    <w:basedOn w:val="88"/>
    <w:qFormat/>
    <w:uiPriority w:val="0"/>
    <w:pPr>
      <w:widowControl w:val="0"/>
      <w:spacing w:line="560" w:lineRule="exact"/>
      <w:ind w:firstLine="200" w:firstLineChars="200"/>
      <w:jc w:val="both"/>
    </w:pPr>
    <w:rPr>
      <w:rFonts w:ascii="Calibri" w:hAnsi="Calibri"/>
    </w:rPr>
    <w:tblPr>
      <w:tblBorders>
        <w:top w:val="single" w:color="000000" w:sz="6" w:space="0"/>
        <w:left w:val="single" w:color="000000" w:sz="12" w:space="0"/>
        <w:bottom w:val="single" w:color="000000" w:sz="6" w:space="0"/>
        <w:right w:val="single" w:color="000000" w:sz="12" w:space="0"/>
        <w:insideV w:val="single" w:color="000000" w:sz="6" w:space="0"/>
      </w:tblBorders>
    </w:tblPr>
    <w:tcPr>
      <w:shd w:val="clear" w:color="auto" w:fill="auto"/>
    </w:tcPr>
    <w:tblStylePr w:type="firstRow">
      <w:tcPr>
        <w:tcBorders>
          <w:top w:val="nil"/>
          <w:left w:val="single" w:color="000000" w:sz="6" w:space="0"/>
          <w:bottom w:val="nil"/>
          <w:right w:val="nil"/>
          <w:insideH w:val="nil"/>
          <w:insideV w:val="nil"/>
          <w:tl2br w:val="nil"/>
          <w:tr2bl w:val="nil"/>
        </w:tcBorders>
        <w:shd w:val="pct30" w:color="FFFF00" w:fill="FFFFFF"/>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658">
    <w:name w:val="典雅型1"/>
    <w:basedOn w:val="88"/>
    <w:semiHidden/>
    <w:qFormat/>
    <w:uiPriority w:val="0"/>
    <w:pPr>
      <w:widowControl w:val="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659">
    <w:name w:val="网格型31121"/>
    <w:basedOn w:val="88"/>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60">
    <w:name w:val="表格网格型4"/>
    <w:basedOn w:val="88"/>
    <w:qFormat/>
    <w:uiPriority w:val="0"/>
    <w:rPr>
      <w:rFonts w:ascii="Calibri" w:hAnsi="Calibri" w:eastAsia="宋体" w:cs="Times New Roman"/>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61">
    <w:name w:val="流行型3"/>
    <w:basedOn w:val="88"/>
    <w:qFormat/>
    <w:uiPriority w:val="0"/>
    <w:pPr>
      <w:widowControl w:val="0"/>
      <w:spacing w:line="560" w:lineRule="exact"/>
      <w:ind w:firstLine="200" w:firstLineChars="200"/>
      <w:jc w:val="both"/>
    </w:pPr>
    <w:rPr>
      <w:rFonts w:ascii="Calibri" w:hAnsi="Calibri"/>
    </w:r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662">
    <w:name w:val="表三维效果 33"/>
    <w:basedOn w:val="88"/>
    <w:qFormat/>
    <w:uiPriority w:val="0"/>
    <w:pPr>
      <w:widowControl w:val="0"/>
      <w:spacing w:line="560" w:lineRule="exact"/>
      <w:ind w:firstLine="200" w:firstLineChars="200"/>
      <w:jc w:val="both"/>
    </w:pPr>
    <w:rPr>
      <w:rFonts w:ascii="Calibri" w:hAnsi="Calibri"/>
    </w:rPr>
    <w:tblStylePr w:type="firstRow">
      <w:rPr>
        <w:b/>
        <w:bCs/>
      </w:rPr>
      <w:tcPr>
        <w:tcBorders>
          <w:top w:val="nil"/>
          <w:left w:val="nil"/>
          <w:bottom w:val="nil"/>
          <w:right w:val="nil"/>
          <w:insideH w:val="nil"/>
          <w:insideV w:val="nil"/>
          <w:tl2br w:val="nil"/>
          <w:tr2bl w:val="nil"/>
        </w:tcBorders>
      </w:tcPr>
    </w:tblStylePr>
    <w:tblStylePr w:type="firstCol">
      <w:tcPr>
        <w:tcBorders>
          <w:top w:val="nil"/>
          <w:left w:val="nil"/>
          <w:bottom w:val="nil"/>
          <w:right w:val="single" w:color="808080" w:sz="6" w:space="0"/>
          <w:insideH w:val="nil"/>
          <w:insideV w:val="nil"/>
          <w:tl2br w:val="nil"/>
          <w:tr2bl w:val="nil"/>
        </w:tcBorders>
      </w:tcPr>
    </w:tblStylePr>
    <w:tblStylePr w:type="lastCol">
      <w:tcPr>
        <w:tcBorders>
          <w:top w:val="nil"/>
          <w:left w:val="nil"/>
          <w:bottom w:val="nil"/>
          <w:right w:val="single" w:color="FFFFFF" w:sz="6" w:space="0"/>
          <w:insideH w:val="nil"/>
          <w:insideV w:val="nil"/>
          <w:tl2br w:val="nil"/>
          <w:tr2bl w:val="nil"/>
        </w:tcBorders>
      </w:tcPr>
    </w:tblStylePr>
    <w:tblStylePr w:type="band1Vert">
      <w:rPr>
        <w:color w:val="auto"/>
      </w:rPr>
      <w:tcPr>
        <w:shd w:val="solid" w:color="C0C0C0" w:fill="FFFFFF"/>
      </w:tcPr>
    </w:tblStylePr>
    <w:tblStylePr w:type="band2Vert">
      <w:rPr>
        <w:color w:val="auto"/>
      </w:rPr>
      <w:tcPr>
        <w:shd w:val="pct50" w:color="C0C0C0" w:fill="FFFFFF"/>
      </w:tcPr>
    </w:tblStylePr>
    <w:tblStylePr w:type="band1Horz">
      <w:tcPr>
        <w:tcBorders>
          <w:top w:val="single" w:color="808080" w:sz="6" w:space="0"/>
          <w:left w:val="single" w:color="FFFFFF" w:sz="6" w:space="0"/>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663">
    <w:name w:val="网格型31112"/>
    <w:basedOn w:val="88"/>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64">
    <w:name w:val="网格型121"/>
    <w:basedOn w:val="88"/>
    <w:qFormat/>
    <w:uiPriority w:val="0"/>
    <w:rPr>
      <w:rFonts w:ascii="Calibri" w:hAnsi="Calibri"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65">
    <w:name w:val="精巧型 23"/>
    <w:basedOn w:val="88"/>
    <w:qFormat/>
    <w:uiPriority w:val="0"/>
    <w:pPr>
      <w:widowControl w:val="0"/>
      <w:spacing w:line="560" w:lineRule="exact"/>
      <w:ind w:firstLine="200" w:firstLineChars="200"/>
      <w:jc w:val="both"/>
    </w:pPr>
    <w:rPr>
      <w:rFonts w:ascii="Calibri" w:hAnsi="Calibri"/>
    </w:rPr>
    <w:tblPr>
      <w:tblBorders>
        <w:left w:val="single" w:color="000000" w:sz="6" w:space="0"/>
        <w:right w:val="single" w:color="000000" w:sz="6" w:space="0"/>
      </w:tblBorders>
    </w:tblPr>
    <w:tblStylePr w:type="firstRow">
      <w:tcPr>
        <w:tcBorders>
          <w:top w:val="nil"/>
          <w:left w:val="single" w:color="000000" w:sz="12" w:space="0"/>
          <w:bottom w:val="nil"/>
          <w:right w:val="nil"/>
          <w:insideH w:val="nil"/>
          <w:insideV w:val="nil"/>
          <w:tl2br w:val="nil"/>
          <w:tr2bl w:val="nil"/>
        </w:tcBorders>
      </w:tcPr>
    </w:tblStylePr>
    <w:tblStylePr w:type="lastRow">
      <w:tcPr>
        <w:tcBorders>
          <w:top w:val="single" w:color="000000" w:sz="12" w:space="0"/>
          <w:left w:val="nil"/>
          <w:bottom w:val="nil"/>
          <w:right w:val="nil"/>
          <w:insideH w:val="nil"/>
          <w:insideV w:val="nil"/>
          <w:tl2br w:val="nil"/>
          <w:tr2bl w:val="nil"/>
        </w:tcBorders>
      </w:tcPr>
    </w:tblStylePr>
    <w:tblStylePr w:type="firstCol">
      <w:tcPr>
        <w:tcBorders>
          <w:top w:val="nil"/>
          <w:left w:val="nil"/>
          <w:bottom w:val="nil"/>
          <w:right w:val="single" w:color="000000" w:sz="12" w:space="0"/>
          <w:insideH w:val="nil"/>
          <w:insideV w:val="nil"/>
          <w:tl2br w:val="nil"/>
          <w:tr2bl w:val="nil"/>
        </w:tcBorders>
        <w:shd w:val="pct25" w:color="008000" w:fill="FFFFFF"/>
      </w:tcPr>
    </w:tblStylePr>
    <w:tblStylePr w:type="lastCol">
      <w:tcPr>
        <w:tcBorders>
          <w:top w:val="nil"/>
          <w:left w:val="nil"/>
          <w:bottom w:val="single" w:color="000000" w:sz="12" w:space="0"/>
          <w:right w:val="nil"/>
          <w:insideH w:val="nil"/>
          <w:insideV w:val="nil"/>
          <w:tl2br w:val="nil"/>
          <w:tr2bl w:val="nil"/>
        </w:tcBorders>
        <w:shd w:val="pct25" w:color="808000" w:fill="FFFFFF"/>
      </w:tcPr>
    </w:tblStylePr>
    <w:tblStylePr w:type="neCell">
      <w:rPr>
        <w:b/>
        <w:bCs/>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666">
    <w:name w:val="列表型 31"/>
    <w:basedOn w:val="88"/>
    <w:semiHidden/>
    <w:qFormat/>
    <w:uiPriority w:val="0"/>
    <w:pPr>
      <w:widowControl w:val="0"/>
      <w:jc w:val="both"/>
    </w:pPr>
    <w:tblPr>
      <w:tblBorders>
        <w:top w:val="single" w:color="000000" w:sz="12" w:space="0"/>
        <w:bottom w:val="single" w:color="000000" w:sz="12" w:space="0"/>
        <w:insideH w:val="single" w:color="000000" w:sz="6" w:space="0"/>
      </w:tblBorders>
    </w:tblPr>
    <w:tcPr>
      <w:shd w:val="clear" w:color="auto" w:fill="auto"/>
    </w:tcPr>
    <w:tblStylePr w:type="firstRow">
      <w:rPr>
        <w:b/>
        <w:bCs/>
        <w:color w:val="000080"/>
      </w:rPr>
      <w:tcPr>
        <w:tcBorders>
          <w:top w:val="nil"/>
          <w:left w:val="single" w:color="000000" w:sz="12" w:space="0"/>
          <w:bottom w:val="nil"/>
          <w:right w:val="nil"/>
          <w:insideH w:val="nil"/>
          <w:insideV w:val="nil"/>
          <w:tl2br w:val="nil"/>
          <w:tr2bl w:val="nil"/>
        </w:tcBorders>
      </w:tcPr>
    </w:tblStylePr>
    <w:tblStylePr w:type="lastRow">
      <w:tcPr>
        <w:tcBorders>
          <w:top w:val="single" w:color="000000" w:sz="12" w:space="0"/>
          <w:left w:val="nil"/>
          <w:bottom w:val="nil"/>
          <w:right w:val="nil"/>
          <w:insideH w:val="nil"/>
          <w:insideV w:val="nil"/>
          <w:tl2br w:val="nil"/>
          <w:tr2bl w:val="nil"/>
        </w:tcBorders>
      </w:tcPr>
    </w:tblStylePr>
    <w:tblStylePr w:type="swCell">
      <w:rPr>
        <w:i/>
        <w:iCs/>
        <w:color w:val="000080"/>
      </w:rPr>
      <w:tcPr>
        <w:tcBorders>
          <w:top w:val="nil"/>
          <w:left w:val="nil"/>
          <w:bottom w:val="nil"/>
          <w:right w:val="nil"/>
          <w:insideH w:val="nil"/>
          <w:insideV w:val="nil"/>
          <w:tl2br w:val="nil"/>
          <w:tr2bl w:val="nil"/>
        </w:tcBorders>
      </w:tcPr>
    </w:tblStylePr>
  </w:style>
  <w:style w:type="table" w:customStyle="1" w:styleId="3667">
    <w:name w:val="网格型1822"/>
    <w:basedOn w:val="88"/>
    <w:qFormat/>
    <w:uiPriority w:val="59"/>
    <w:pPr>
      <w:widowControl w:val="0"/>
      <w:spacing w:line="300" w:lineRule="exact"/>
      <w:jc w:val="both"/>
      <w:textAlignment w:val="baseline"/>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68">
    <w:name w:val="列表型 14"/>
    <w:basedOn w:val="88"/>
    <w:qFormat/>
    <w:uiPriority w:val="0"/>
    <w:pPr>
      <w:widowControl w:val="0"/>
      <w:spacing w:line="560" w:lineRule="exact"/>
      <w:ind w:firstLine="200" w:firstLineChars="200"/>
      <w:jc w:val="both"/>
    </w:pPr>
    <w:rPr>
      <w:rFonts w:ascii="Calibri" w:hAnsi="Calibri"/>
    </w:rPr>
    <w:tblPr>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cPr>
        <w:tcBorders>
          <w:top w:val="nil"/>
          <w:left w:val="single" w:color="000000" w:sz="6" w:space="0"/>
          <w:bottom w:val="nil"/>
          <w:right w:val="nil"/>
          <w:insideH w:val="nil"/>
          <w:insideV w:val="nil"/>
          <w:tl2br w:val="nil"/>
          <w:tr2bl w:val="nil"/>
        </w:tcBorders>
        <w:shd w:val="solid" w:color="C0C0C0" w:fill="FFFFFF"/>
      </w:tcPr>
    </w:tblStylePr>
    <w:tblStylePr w:type="lastRow">
      <w:tcPr>
        <w:tcBorders>
          <w:top w:val="single" w:color="000000" w:sz="6" w:space="0"/>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solid" w:color="C0C0C0" w:fill="FFFFFF"/>
      </w:tcPr>
    </w:tblStylePr>
    <w:tblStylePr w:type="band2Horz">
      <w:rPr>
        <w:color w:val="auto"/>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669">
    <w:name w:val="列表型 81"/>
    <w:basedOn w:val="88"/>
    <w:semiHidden/>
    <w:qFormat/>
    <w:uiPriority w:val="0"/>
    <w:pPr>
      <w:widowControl w:val="0"/>
      <w:jc w:val="both"/>
    </w:pPr>
    <w:tblPr>
      <w:tblBorders>
        <w:top w:val="single" w:color="000000" w:sz="6" w:space="0"/>
        <w:left w:val="single" w:color="000000" w:sz="6" w:space="0"/>
        <w:bottom w:val="single" w:color="000000" w:sz="6" w:space="0"/>
        <w:right w:val="single" w:color="000000" w:sz="6" w:space="0"/>
        <w:insideV w:val="single" w:color="000000" w:sz="6" w:space="0"/>
      </w:tblBorders>
    </w:tblPr>
    <w:tblStylePr w:type="firstRow">
      <w:rPr>
        <w:b/>
        <w:bCs/>
        <w:i/>
        <w:iCs/>
      </w:rPr>
      <w:tcPr>
        <w:tcBorders>
          <w:top w:val="nil"/>
          <w:left w:val="single" w:color="000000" w:sz="6" w:space="0"/>
          <w:bottom w:val="nil"/>
          <w:right w:val="nil"/>
          <w:insideH w:val="nil"/>
          <w:insideV w:val="nil"/>
          <w:tl2br w:val="nil"/>
          <w:tr2bl w:val="nil"/>
        </w:tcBorders>
        <w:shd w:val="solid" w:color="FFFF00" w:fill="FFFFFF"/>
      </w:tcPr>
    </w:tblStylePr>
    <w:tblStylePr w:type="lastRow">
      <w:rPr>
        <w:b/>
        <w:bCs/>
      </w:rPr>
      <w:tcPr>
        <w:tcBorders>
          <w:top w:val="single" w:color="000000" w:sz="6"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5" w:color="FFFF00" w:fill="FFFFFF"/>
      </w:tcPr>
    </w:tblStylePr>
    <w:tblStylePr w:type="band2Horz">
      <w:tcPr>
        <w:tcBorders>
          <w:top w:val="nil"/>
          <w:left w:val="nil"/>
          <w:bottom w:val="nil"/>
          <w:right w:val="nil"/>
          <w:insideH w:val="nil"/>
          <w:insideV w:val="nil"/>
          <w:tl2br w:val="nil"/>
          <w:tr2bl w:val="nil"/>
        </w:tcBorders>
        <w:shd w:val="pct50" w:color="FF0000" w:fill="FFFFFF"/>
      </w:tcPr>
    </w:tblStylePr>
    <w:tblStylePr w:type="nwCell">
      <w:tcPr>
        <w:tcBorders>
          <w:top w:val="nil"/>
          <w:left w:val="nil"/>
          <w:bottom w:val="nil"/>
          <w:right w:val="nil"/>
          <w:insideH w:val="nil"/>
          <w:insideV w:val="nil"/>
          <w:tl2br w:val="single" w:color="auto" w:sz="6" w:space="0"/>
          <w:tr2bl w:val="nil"/>
        </w:tcBorders>
      </w:tcPr>
    </w:tblStylePr>
  </w:style>
  <w:style w:type="table" w:customStyle="1" w:styleId="3670">
    <w:name w:val="古典型 411"/>
    <w:basedOn w:val="88"/>
    <w:qFormat/>
    <w:uiPriority w:val="0"/>
    <w:pPr>
      <w:widowControl w:val="0"/>
      <w:jc w:val="both"/>
    </w:pPr>
    <w:rPr>
      <w:rFonts w:ascii="Calibri" w:hAnsi="Calibri"/>
    </w:rPr>
    <w:tblPr>
      <w:tblBorders>
        <w:top w:val="single" w:color="000000" w:sz="12" w:space="0"/>
        <w:left w:val="single" w:color="000000" w:sz="6" w:space="0"/>
        <w:bottom w:val="single" w:color="000000" w:sz="12" w:space="0"/>
        <w:right w:val="single" w:color="000000" w:sz="6" w:space="0"/>
      </w:tblBorders>
    </w:tblPr>
    <w:tcPr>
      <w:shd w:val="clear" w:color="auto" w:fill="auto"/>
    </w:tcPr>
    <w:tblStylePr w:type="firstRow">
      <w:rPr>
        <w:b/>
        <w:bCs/>
        <w:i/>
        <w:iCs/>
        <w:color w:val="FFFFFF"/>
      </w:rPr>
      <w:tcPr>
        <w:tcBorders>
          <w:top w:val="nil"/>
          <w:left w:val="single" w:color="000000" w:sz="6" w:space="0"/>
          <w:bottom w:val="nil"/>
          <w:right w:val="nil"/>
          <w:insideH w:val="nil"/>
          <w:insideV w:val="nil"/>
          <w:tl2br w:val="nil"/>
          <w:tr2bl w:val="nil"/>
        </w:tcBorders>
        <w:shd w:val="pct50" w:color="000080" w:fill="FFFFFF"/>
      </w:tcPr>
    </w:tblStylePr>
    <w:tblStylePr w:type="lastRow">
      <w:rPr>
        <w:color w:val="000080"/>
      </w:rPr>
      <w:tcPr>
        <w:tcBorders>
          <w:top w:val="nil"/>
          <w:left w:val="single" w:color="000000" w:sz="6" w:space="0"/>
          <w:bottom w:val="nil"/>
          <w:right w:val="nil"/>
          <w:insideH w:val="nil"/>
          <w:insideV w:val="nil"/>
          <w:tl2br w:val="nil"/>
          <w:tr2bl w:val="nil"/>
        </w:tcBorders>
        <w:shd w:val="pct50" w:color="000000" w:fill="FFFFFF"/>
      </w:tcPr>
    </w:tblStylePr>
    <w:tblStylePr w:type="firstCol">
      <w:rPr>
        <w:b/>
        <w:bCs/>
      </w:rPr>
      <w:tcPr>
        <w:tcBorders>
          <w:top w:val="nil"/>
          <w:left w:val="nil"/>
          <w:bottom w:val="nil"/>
          <w:right w:val="nil"/>
          <w:insideH w:val="nil"/>
          <w:insideV w:val="nil"/>
          <w:tl2br w:val="nil"/>
          <w:tr2bl w:val="nil"/>
        </w:tcBorders>
      </w:tcPr>
    </w:tblStylePr>
    <w:tblStylePr w:type="nwCell">
      <w:rPr>
        <w:b/>
        <w:bCs/>
      </w:rPr>
      <w:tcPr>
        <w:tcBorders>
          <w:top w:val="nil"/>
          <w:left w:val="nil"/>
          <w:bottom w:val="nil"/>
          <w:right w:val="nil"/>
          <w:insideH w:val="nil"/>
          <w:insideV w:val="nil"/>
          <w:tl2br w:val="nil"/>
          <w:tr2bl w:val="nil"/>
        </w:tcBorders>
      </w:tcPr>
    </w:tblStylePr>
    <w:tblStylePr w:type="swCell">
      <w:rPr>
        <w:color w:val="000080"/>
      </w:rPr>
      <w:tcPr>
        <w:tcBorders>
          <w:top w:val="nil"/>
          <w:left w:val="nil"/>
          <w:bottom w:val="nil"/>
          <w:right w:val="nil"/>
          <w:insideH w:val="nil"/>
          <w:insideV w:val="nil"/>
          <w:tl2br w:val="nil"/>
          <w:tr2bl w:val="nil"/>
        </w:tcBorders>
      </w:tcPr>
    </w:tblStylePr>
  </w:style>
  <w:style w:type="table" w:customStyle="1" w:styleId="3671">
    <w:name w:val="立体型 213"/>
    <w:basedOn w:val="88"/>
    <w:semiHidden/>
    <w:qFormat/>
    <w:uiPriority w:val="0"/>
    <w:pPr>
      <w:widowControl w:val="0"/>
      <w:jc w:val="both"/>
    </w:pPr>
    <w:tcPr>
      <w:shd w:val="solid" w:color="C0C0C0" w:fill="FFFFFF"/>
    </w:tcPr>
    <w:tblStylePr w:type="firstRow">
      <w:rPr>
        <w:b/>
        <w:bCs/>
      </w:rPr>
      <w:tcPr>
        <w:tcBorders>
          <w:top w:val="nil"/>
          <w:left w:val="nil"/>
          <w:bottom w:val="nil"/>
          <w:right w:val="nil"/>
          <w:insideH w:val="nil"/>
          <w:insideV w:val="nil"/>
          <w:tl2br w:val="nil"/>
          <w:tr2bl w:val="nil"/>
        </w:tcBorders>
      </w:tcPr>
    </w:tblStylePr>
    <w:tblStylePr w:type="firstCol">
      <w:tcPr>
        <w:tcBorders>
          <w:top w:val="nil"/>
          <w:left w:val="nil"/>
          <w:bottom w:val="nil"/>
          <w:right w:val="single" w:color="808080" w:sz="6" w:space="0"/>
          <w:insideH w:val="nil"/>
          <w:insideV w:val="nil"/>
          <w:tl2br w:val="nil"/>
          <w:tr2bl w:val="nil"/>
        </w:tcBorders>
      </w:tcPr>
    </w:tblStylePr>
    <w:tblStylePr w:type="lastCol">
      <w:tcPr>
        <w:tcBorders>
          <w:top w:val="nil"/>
          <w:left w:val="nil"/>
          <w:bottom w:val="nil"/>
          <w:right w:val="single" w:color="FFFFFF" w:sz="6" w:space="0"/>
          <w:insideH w:val="nil"/>
          <w:insideV w:val="nil"/>
          <w:tl2br w:val="nil"/>
          <w:tr2bl w:val="nil"/>
        </w:tcBorders>
      </w:tcPr>
    </w:tblStylePr>
    <w:tblStylePr w:type="band1Horz">
      <w:tcPr>
        <w:tcBorders>
          <w:top w:val="single" w:color="808080" w:sz="6" w:space="0"/>
          <w:left w:val="single" w:color="FFFFFF" w:sz="6" w:space="0"/>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672">
    <w:name w:val="表格主题3"/>
    <w:basedOn w:val="88"/>
    <w:qFormat/>
    <w:uiPriority w:val="0"/>
    <w:pPr>
      <w:widowControl w:val="0"/>
      <w:spacing w:line="560" w:lineRule="exact"/>
      <w:ind w:firstLine="200" w:firstLineChars="200"/>
      <w:jc w:val="both"/>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73">
    <w:name w:val="列表型 512"/>
    <w:basedOn w:val="88"/>
    <w:semiHidden/>
    <w:qFormat/>
    <w:uiPriority w:val="0"/>
    <w:pPr>
      <w:widowControl w:val="0"/>
      <w:jc w:val="both"/>
    </w:pPr>
    <w:rPr>
      <w:rFonts w:ascii="Calibri" w:hAnsi="Calibri"/>
    </w:rPr>
    <w:tblPr>
      <w:tblBorders>
        <w:top w:val="single" w:color="000000" w:sz="6" w:space="0"/>
        <w:left w:val="single" w:color="000000" w:sz="6" w:space="0"/>
        <w:bottom w:val="single" w:color="000000" w:sz="6" w:space="0"/>
        <w:right w:val="single" w:color="000000" w:sz="6" w:space="0"/>
        <w:insideH w:val="single" w:color="000000" w:sz="6" w:space="0"/>
      </w:tblBorders>
    </w:tblPr>
    <w:tcPr>
      <w:shd w:val="clear" w:color="auto" w:fill="auto"/>
    </w:tcPr>
    <w:tblStylePr w:type="firstRow">
      <w:rPr>
        <w:b/>
        <w:bCs/>
      </w:rPr>
      <w:tcPr>
        <w:tcBorders>
          <w:top w:val="nil"/>
          <w:left w:val="single" w:color="000000" w:sz="12" w:space="0"/>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style>
  <w:style w:type="table" w:customStyle="1" w:styleId="3674">
    <w:name w:val="网格型1412"/>
    <w:basedOn w:val="88"/>
    <w:qFormat/>
    <w:uiPriority w:val="59"/>
    <w:rPr>
      <w:rFonts w:ascii="Calibri" w:hAnsi="Calibri"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75">
    <w:name w:val="古典型 44"/>
    <w:basedOn w:val="88"/>
    <w:qFormat/>
    <w:uiPriority w:val="0"/>
    <w:pPr>
      <w:widowControl w:val="0"/>
      <w:spacing w:line="560" w:lineRule="exact"/>
      <w:ind w:firstLine="200" w:firstLineChars="200"/>
      <w:jc w:val="both"/>
    </w:pPr>
    <w:rPr>
      <w:rFonts w:ascii="Calibri" w:hAnsi="Calibri"/>
    </w:rPr>
    <w:tblPr>
      <w:tblBorders>
        <w:top w:val="single" w:color="000000" w:sz="12" w:space="0"/>
        <w:left w:val="single" w:color="000000" w:sz="6" w:space="0"/>
        <w:bottom w:val="single" w:color="000000" w:sz="12" w:space="0"/>
        <w:right w:val="single" w:color="000000" w:sz="6" w:space="0"/>
      </w:tblBorders>
    </w:tblPr>
    <w:tcPr>
      <w:shd w:val="clear" w:color="auto" w:fill="auto"/>
    </w:tcPr>
    <w:tblStylePr w:type="firstRow">
      <w:rPr>
        <w:b/>
        <w:bCs/>
        <w:i/>
        <w:iCs/>
        <w:color w:val="FFFFFF"/>
      </w:rPr>
      <w:tcPr>
        <w:tcBorders>
          <w:top w:val="nil"/>
          <w:left w:val="single" w:color="000000" w:sz="6" w:space="0"/>
          <w:bottom w:val="nil"/>
          <w:right w:val="nil"/>
          <w:insideH w:val="nil"/>
          <w:insideV w:val="nil"/>
          <w:tl2br w:val="nil"/>
          <w:tr2bl w:val="nil"/>
        </w:tcBorders>
        <w:shd w:val="pct50" w:color="000080" w:fill="FFFFFF"/>
      </w:tcPr>
    </w:tblStylePr>
    <w:tblStylePr w:type="lastRow">
      <w:rPr>
        <w:color w:val="000080"/>
      </w:rPr>
      <w:tcPr>
        <w:tcBorders>
          <w:top w:val="nil"/>
          <w:left w:val="single" w:color="000000" w:sz="6" w:space="0"/>
          <w:bottom w:val="nil"/>
          <w:right w:val="nil"/>
          <w:insideH w:val="nil"/>
          <w:insideV w:val="nil"/>
          <w:tl2br w:val="nil"/>
          <w:tr2bl w:val="nil"/>
        </w:tcBorders>
        <w:shd w:val="pct50" w:color="000000" w:fill="FFFFFF"/>
      </w:tcPr>
    </w:tblStylePr>
    <w:tblStylePr w:type="firstCol">
      <w:rPr>
        <w:b/>
        <w:bCs/>
      </w:rPr>
      <w:tcPr>
        <w:tcBorders>
          <w:top w:val="nil"/>
          <w:left w:val="nil"/>
          <w:bottom w:val="nil"/>
          <w:right w:val="nil"/>
          <w:insideH w:val="nil"/>
          <w:insideV w:val="nil"/>
          <w:tl2br w:val="nil"/>
          <w:tr2bl w:val="nil"/>
        </w:tcBorders>
      </w:tcPr>
    </w:tblStylePr>
    <w:tblStylePr w:type="nwCell">
      <w:rPr>
        <w:b/>
        <w:bCs/>
      </w:rPr>
      <w:tcPr>
        <w:tcBorders>
          <w:top w:val="nil"/>
          <w:left w:val="nil"/>
          <w:bottom w:val="nil"/>
          <w:right w:val="nil"/>
          <w:insideH w:val="nil"/>
          <w:insideV w:val="nil"/>
          <w:tl2br w:val="nil"/>
          <w:tr2bl w:val="nil"/>
        </w:tcBorders>
      </w:tcPr>
    </w:tblStylePr>
    <w:tblStylePr w:type="swCell">
      <w:rPr>
        <w:color w:val="000080"/>
      </w:rPr>
      <w:tcPr>
        <w:tcBorders>
          <w:top w:val="nil"/>
          <w:left w:val="nil"/>
          <w:bottom w:val="nil"/>
          <w:right w:val="nil"/>
          <w:insideH w:val="nil"/>
          <w:insideV w:val="nil"/>
          <w:tl2br w:val="nil"/>
          <w:tr2bl w:val="nil"/>
        </w:tcBorders>
      </w:tcPr>
    </w:tblStylePr>
  </w:style>
  <w:style w:type="table" w:customStyle="1" w:styleId="3676">
    <w:name w:val="简明型 33"/>
    <w:basedOn w:val="88"/>
    <w:qFormat/>
    <w:uiPriority w:val="0"/>
    <w:pPr>
      <w:widowControl w:val="0"/>
      <w:spacing w:line="560" w:lineRule="exact"/>
      <w:ind w:firstLine="200" w:firstLineChars="200"/>
      <w:jc w:val="both"/>
    </w:pPr>
    <w:rPr>
      <w:rFonts w:ascii="Calibri" w:hAnsi="Calibri"/>
    </w:rPr>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color w:val="FFFFFF"/>
      </w:rPr>
      <w:tcPr>
        <w:tcBorders>
          <w:top w:val="nil"/>
          <w:left w:val="nil"/>
          <w:bottom w:val="nil"/>
          <w:right w:val="nil"/>
          <w:insideH w:val="nil"/>
          <w:insideV w:val="nil"/>
          <w:tl2br w:val="nil"/>
          <w:tr2bl w:val="nil"/>
        </w:tcBorders>
        <w:shd w:val="solid" w:color="000000" w:fill="FFFFFF"/>
      </w:tcPr>
    </w:tblStylePr>
  </w:style>
  <w:style w:type="table" w:customStyle="1" w:styleId="3677">
    <w:name w:val="表三维效果 21"/>
    <w:basedOn w:val="88"/>
    <w:qFormat/>
    <w:uiPriority w:val="0"/>
    <w:pPr>
      <w:widowControl w:val="0"/>
      <w:spacing w:line="560" w:lineRule="exact"/>
      <w:ind w:firstLine="200" w:firstLineChars="200"/>
      <w:jc w:val="both"/>
    </w:pPr>
    <w:rPr>
      <w:rFonts w:ascii="Calibri" w:hAnsi="Calibri"/>
    </w:rPr>
    <w:tcPr>
      <w:shd w:val="solid" w:color="C0C0C0" w:fill="FFFFFF"/>
    </w:tcPr>
    <w:tblStylePr w:type="firstRow">
      <w:rPr>
        <w:b/>
        <w:bCs/>
      </w:rPr>
      <w:tcPr>
        <w:tcBorders>
          <w:top w:val="nil"/>
          <w:left w:val="nil"/>
          <w:bottom w:val="nil"/>
          <w:right w:val="nil"/>
          <w:insideH w:val="nil"/>
          <w:insideV w:val="nil"/>
          <w:tl2br w:val="nil"/>
          <w:tr2bl w:val="nil"/>
        </w:tcBorders>
      </w:tcPr>
    </w:tblStylePr>
    <w:tblStylePr w:type="firstCol">
      <w:tcPr>
        <w:tcBorders>
          <w:top w:val="nil"/>
          <w:left w:val="nil"/>
          <w:bottom w:val="nil"/>
          <w:right w:val="single" w:color="808080" w:sz="6" w:space="0"/>
          <w:insideH w:val="nil"/>
          <w:insideV w:val="nil"/>
          <w:tl2br w:val="nil"/>
          <w:tr2bl w:val="nil"/>
        </w:tcBorders>
      </w:tcPr>
    </w:tblStylePr>
    <w:tblStylePr w:type="lastCol">
      <w:tcPr>
        <w:tcBorders>
          <w:top w:val="nil"/>
          <w:left w:val="nil"/>
          <w:bottom w:val="nil"/>
          <w:right w:val="single" w:color="FFFFFF" w:sz="6" w:space="0"/>
          <w:insideH w:val="nil"/>
          <w:insideV w:val="nil"/>
          <w:tl2br w:val="nil"/>
          <w:tr2bl w:val="nil"/>
        </w:tcBorders>
      </w:tcPr>
    </w:tblStylePr>
    <w:tblStylePr w:type="band1Horz">
      <w:tcPr>
        <w:tcBorders>
          <w:top w:val="single" w:color="808080" w:sz="6" w:space="0"/>
          <w:left w:val="single" w:color="FFFFFF" w:sz="6" w:space="0"/>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678">
    <w:name w:val="网格型3133"/>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79">
    <w:name w:val="竖列型 14"/>
    <w:basedOn w:val="88"/>
    <w:qFormat/>
    <w:uiPriority w:val="0"/>
    <w:pPr>
      <w:widowControl w:val="0"/>
      <w:spacing w:line="560" w:lineRule="exact"/>
      <w:ind w:firstLine="200" w:firstLineChars="200"/>
      <w:jc w:val="both"/>
    </w:pPr>
    <w:rPr>
      <w:rFonts w:ascii="Calibri" w:hAnsi="Calibri"/>
      <w:b/>
      <w:bCs/>
    </w:rPr>
    <w:tblPr>
      <w:tblBorders>
        <w:top w:val="single" w:color="000000" w:sz="12" w:space="0"/>
        <w:left w:val="single" w:color="000000" w:sz="12" w:space="0"/>
        <w:bottom w:val="single" w:color="000000" w:sz="12" w:space="0"/>
        <w:right w:val="single" w:color="000000" w:sz="12" w:space="0"/>
      </w:tblBorders>
    </w:tblPr>
    <w:tblStylePr w:type="firstRow">
      <w:rPr>
        <w:b w:val="0"/>
        <w:bCs w:val="0"/>
      </w:rPr>
      <w:tcPr>
        <w:tcBorders>
          <w:top w:val="nil"/>
          <w:left w:val="double" w:color="000000" w:sz="6" w:space="0"/>
          <w:bottom w:val="nil"/>
          <w:right w:val="nil"/>
          <w:insideH w:val="nil"/>
          <w:insideV w:val="nil"/>
          <w:tl2br w:val="nil"/>
          <w:tr2bl w:val="nil"/>
        </w:tcBorders>
      </w:tcPr>
    </w:tblStylePr>
    <w:tblStylePr w:type="lastRow">
      <w:rPr>
        <w:b w:val="0"/>
        <w:bCs w:val="0"/>
      </w:rPr>
      <w:tcPr>
        <w:tcBorders>
          <w:top w:val="nil"/>
          <w:left w:val="nil"/>
          <w:bottom w:val="nil"/>
          <w:right w:val="nil"/>
          <w:insideH w:val="nil"/>
          <w:insideV w:val="nil"/>
          <w:tl2br w:val="nil"/>
          <w:tr2bl w:val="nil"/>
        </w:tcBorders>
      </w:tcPr>
    </w:tblStylePr>
    <w:tblStylePr w:type="firstCol">
      <w:rPr>
        <w:b w:val="0"/>
        <w:bCs w:val="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band1Vert">
      <w:rPr>
        <w:color w:val="auto"/>
      </w:rPr>
      <w:tcPr>
        <w:shd w:val="pct25" w:color="000000" w:fill="FFFFFF"/>
      </w:tcPr>
    </w:tblStylePr>
    <w:tblStylePr w:type="band2Vert">
      <w:rPr>
        <w:color w:val="auto"/>
      </w:rPr>
      <w:tcPr>
        <w:shd w:val="pct25" w:color="FFFF00" w:fill="FFFFFF"/>
      </w:tcPr>
    </w:tblStylePr>
    <w:tblStylePr w:type="neCell">
      <w:rPr>
        <w:b/>
        <w:bCs/>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680">
    <w:name w:val="列表型 24"/>
    <w:basedOn w:val="88"/>
    <w:qFormat/>
    <w:uiPriority w:val="0"/>
    <w:pPr>
      <w:widowControl w:val="0"/>
      <w:spacing w:line="560" w:lineRule="exact"/>
      <w:ind w:firstLine="200" w:firstLineChars="200"/>
      <w:jc w:val="both"/>
    </w:pPr>
    <w:rPr>
      <w:rFonts w:ascii="Calibri" w:hAnsi="Calibri"/>
    </w:rPr>
    <w:tblPr>
      <w:tblBorders>
        <w:bottom w:val="single" w:color="808080" w:sz="12" w:space="0"/>
      </w:tblBorders>
    </w:tblPr>
    <w:tblStylePr w:type="firstRow">
      <w:rPr>
        <w:b/>
        <w:bCs/>
        <w:color w:val="FFFFFF"/>
      </w:rPr>
      <w:tcPr>
        <w:tcBorders>
          <w:top w:val="nil"/>
          <w:left w:val="single" w:color="000000" w:sz="6" w:space="0"/>
          <w:bottom w:val="nil"/>
          <w:right w:val="nil"/>
          <w:insideH w:val="nil"/>
          <w:insideV w:val="nil"/>
          <w:tl2br w:val="nil"/>
          <w:tr2bl w:val="nil"/>
        </w:tcBorders>
        <w:shd w:val="pct75" w:color="008080" w:fill="008000"/>
      </w:tcPr>
    </w:tblStylePr>
    <w:tblStylePr w:type="lastRow">
      <w:tcPr>
        <w:tcBorders>
          <w:top w:val="single" w:color="000000" w:sz="6" w:space="0"/>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FF00" w:fill="FFFFFF"/>
      </w:tcPr>
    </w:tblStylePr>
    <w:tblStylePr w:type="band2Horz">
      <w:rPr>
        <w:color w:val="auto"/>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681">
    <w:name w:val="网格型 313"/>
    <w:basedOn w:val="88"/>
    <w:semiHidden/>
    <w:qFormat/>
    <w:uiPriority w:val="0"/>
    <w:pPr>
      <w:widowControl w:val="0"/>
      <w:jc w:val="both"/>
    </w:pPr>
    <w:tblPr>
      <w:tblBorders>
        <w:top w:val="single" w:color="000000" w:sz="6" w:space="0"/>
        <w:left w:val="single" w:color="000000" w:sz="12" w:space="0"/>
        <w:bottom w:val="single" w:color="000000" w:sz="6" w:space="0"/>
        <w:right w:val="single" w:color="000000" w:sz="12" w:space="0"/>
        <w:insideV w:val="single" w:color="000000" w:sz="6" w:space="0"/>
      </w:tblBorders>
    </w:tblPr>
    <w:tcPr>
      <w:shd w:val="clear" w:color="auto" w:fill="auto"/>
    </w:tcPr>
    <w:tblStylePr w:type="firstRow">
      <w:tcPr>
        <w:tcBorders>
          <w:top w:val="nil"/>
          <w:left w:val="single" w:color="000000" w:sz="6" w:space="0"/>
          <w:bottom w:val="nil"/>
          <w:right w:val="nil"/>
          <w:insideH w:val="nil"/>
          <w:insideV w:val="nil"/>
          <w:tl2br w:val="nil"/>
          <w:tr2bl w:val="nil"/>
        </w:tcBorders>
        <w:shd w:val="pct30" w:color="FFFF00" w:fill="FFFFFF"/>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682">
    <w:name w:val="网格型26"/>
    <w:basedOn w:val="88"/>
    <w:qFormat/>
    <w:uiPriority w:val="0"/>
    <w:rPr>
      <w:rFonts w:ascii="Calibri" w:hAnsi="Calibri"/>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3683">
    <w:name w:val="竖列型 12"/>
    <w:basedOn w:val="88"/>
    <w:qFormat/>
    <w:uiPriority w:val="0"/>
    <w:pPr>
      <w:widowControl w:val="0"/>
      <w:spacing w:line="560" w:lineRule="exact"/>
      <w:ind w:firstLine="200" w:firstLineChars="200"/>
      <w:jc w:val="both"/>
    </w:pPr>
    <w:rPr>
      <w:rFonts w:ascii="Calibri" w:hAnsi="Calibri"/>
      <w:b/>
      <w:bCs/>
    </w:rPr>
    <w:tblPr>
      <w:tblBorders>
        <w:top w:val="single" w:color="000000" w:sz="12" w:space="0"/>
        <w:left w:val="single" w:color="000000" w:sz="12" w:space="0"/>
        <w:bottom w:val="single" w:color="000000" w:sz="12" w:space="0"/>
        <w:right w:val="single" w:color="000000" w:sz="12" w:space="0"/>
      </w:tblBorders>
    </w:tblPr>
    <w:tblStylePr w:type="firstRow">
      <w:rPr>
        <w:b w:val="0"/>
        <w:bCs w:val="0"/>
      </w:rPr>
      <w:tcPr>
        <w:tcBorders>
          <w:top w:val="nil"/>
          <w:left w:val="double" w:color="000000" w:sz="6" w:space="0"/>
          <w:bottom w:val="nil"/>
          <w:right w:val="nil"/>
          <w:insideH w:val="nil"/>
          <w:insideV w:val="nil"/>
          <w:tl2br w:val="nil"/>
          <w:tr2bl w:val="nil"/>
        </w:tcBorders>
      </w:tcPr>
    </w:tblStylePr>
    <w:tblStylePr w:type="lastRow">
      <w:rPr>
        <w:b w:val="0"/>
        <w:bCs w:val="0"/>
      </w:rPr>
      <w:tcPr>
        <w:tcBorders>
          <w:top w:val="nil"/>
          <w:left w:val="nil"/>
          <w:bottom w:val="nil"/>
          <w:right w:val="nil"/>
          <w:insideH w:val="nil"/>
          <w:insideV w:val="nil"/>
          <w:tl2br w:val="nil"/>
          <w:tr2bl w:val="nil"/>
        </w:tcBorders>
      </w:tcPr>
    </w:tblStylePr>
    <w:tblStylePr w:type="firstCol">
      <w:rPr>
        <w:b w:val="0"/>
        <w:bCs w:val="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band1Vert">
      <w:rPr>
        <w:color w:val="auto"/>
      </w:rPr>
      <w:tcPr>
        <w:shd w:val="pct25" w:color="000000" w:fill="FFFFFF"/>
      </w:tcPr>
    </w:tblStylePr>
    <w:tblStylePr w:type="band2Vert">
      <w:rPr>
        <w:color w:val="auto"/>
      </w:rPr>
      <w:tcPr>
        <w:shd w:val="pct25" w:color="FFFF00" w:fill="FFFFFF"/>
      </w:tcPr>
    </w:tblStylePr>
    <w:tblStylePr w:type="neCell">
      <w:rPr>
        <w:b/>
        <w:bCs/>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684">
    <w:name w:val="网格型 521"/>
    <w:basedOn w:val="88"/>
    <w:qFormat/>
    <w:uiPriority w:val="0"/>
    <w:pPr>
      <w:widowControl w:val="0"/>
      <w:spacing w:line="560" w:lineRule="exact"/>
      <w:ind w:firstLine="200" w:firstLineChars="200"/>
      <w:jc w:val="both"/>
    </w:pPr>
    <w:rPr>
      <w:rFonts w:ascii="Calibri" w:hAnsi="Calibri"/>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top w:val="nil"/>
          <w:left w:val="single" w:color="000000" w:sz="12" w:space="0"/>
          <w:bottom w:val="nil"/>
          <w:right w:val="nil"/>
          <w:insideH w:val="nil"/>
          <w:insideV w:val="nil"/>
          <w:tl2br w:val="nil"/>
          <w:tr2bl w:val="nil"/>
        </w:tcBorders>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685">
    <w:name w:val="网格型 321"/>
    <w:basedOn w:val="88"/>
    <w:qFormat/>
    <w:uiPriority w:val="0"/>
    <w:pPr>
      <w:widowControl w:val="0"/>
      <w:spacing w:line="560" w:lineRule="exact"/>
      <w:ind w:firstLine="200" w:firstLineChars="200"/>
      <w:jc w:val="both"/>
    </w:pPr>
    <w:rPr>
      <w:rFonts w:ascii="Calibri" w:hAnsi="Calibri"/>
    </w:rPr>
    <w:tblPr>
      <w:tblBorders>
        <w:top w:val="single" w:color="000000" w:sz="6" w:space="0"/>
        <w:left w:val="single" w:color="000000" w:sz="12" w:space="0"/>
        <w:bottom w:val="single" w:color="000000" w:sz="6" w:space="0"/>
        <w:right w:val="single" w:color="000000" w:sz="12" w:space="0"/>
        <w:insideV w:val="single" w:color="000000" w:sz="6" w:space="0"/>
      </w:tblBorders>
    </w:tblPr>
    <w:tcPr>
      <w:shd w:val="clear" w:color="auto" w:fill="auto"/>
    </w:tcPr>
    <w:tblStylePr w:type="firstRow">
      <w:tcPr>
        <w:tcBorders>
          <w:top w:val="nil"/>
          <w:left w:val="single" w:color="000000" w:sz="6" w:space="0"/>
          <w:bottom w:val="nil"/>
          <w:right w:val="nil"/>
          <w:insideH w:val="nil"/>
          <w:insideV w:val="nil"/>
          <w:tl2br w:val="nil"/>
          <w:tr2bl w:val="nil"/>
        </w:tcBorders>
        <w:shd w:val="pct30" w:color="FFFF00" w:fill="FFFFFF"/>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686">
    <w:name w:val="彩色型 121"/>
    <w:basedOn w:val="88"/>
    <w:qFormat/>
    <w:uiPriority w:val="0"/>
    <w:pPr>
      <w:widowControl w:val="0"/>
      <w:spacing w:line="560" w:lineRule="exact"/>
      <w:ind w:firstLine="200" w:firstLineChars="200"/>
      <w:jc w:val="both"/>
    </w:pPr>
    <w:rPr>
      <w:rFonts w:ascii="Calibri" w:hAnsi="Calibri"/>
      <w:color w:val="FFFFFF"/>
    </w:rPr>
    <w:tblPr>
      <w:tblBorders>
        <w:top w:val="single" w:color="008080" w:sz="12" w:space="0"/>
        <w:left w:val="single" w:color="008080" w:sz="12" w:space="0"/>
        <w:bottom w:val="single" w:color="008080" w:sz="12" w:space="0"/>
        <w:right w:val="single" w:color="008080" w:sz="12" w:space="0"/>
        <w:insideH w:val="single" w:color="00FFFF" w:sz="6" w:space="0"/>
      </w:tblBorders>
    </w:tblPr>
    <w:tcPr>
      <w:shd w:val="solid" w:color="008080" w:fill="FFFFFF"/>
    </w:tcPr>
    <w:tblStylePr w:type="firstRow">
      <w:rPr>
        <w:b/>
        <w:bCs/>
        <w:i/>
        <w:iCs/>
      </w:rPr>
      <w:tcPr>
        <w:tcBorders>
          <w:top w:val="nil"/>
          <w:left w:val="nil"/>
          <w:bottom w:val="nil"/>
          <w:right w:val="nil"/>
          <w:insideH w:val="nil"/>
          <w:insideV w:val="nil"/>
          <w:tl2br w:val="nil"/>
          <w:tr2bl w:val="nil"/>
        </w:tcBorders>
        <w:shd w:val="solid" w:color="000000" w:fill="FFFFFF"/>
      </w:tcPr>
    </w:tblStylePr>
    <w:tblStylePr w:type="firstCol">
      <w:rPr>
        <w:b/>
        <w:bCs/>
        <w:i/>
        <w:iCs/>
      </w:rPr>
      <w:tcPr>
        <w:tcBorders>
          <w:top w:val="nil"/>
          <w:left w:val="nil"/>
          <w:bottom w:val="nil"/>
          <w:right w:val="nil"/>
          <w:insideH w:val="nil"/>
          <w:insideV w:val="nil"/>
          <w:tl2br w:val="nil"/>
          <w:tr2bl w:val="nil"/>
        </w:tcBorders>
        <w:shd w:val="solid" w:color="000080" w:fill="FFFFFF"/>
      </w:tcPr>
    </w:tblStylePr>
    <w:tblStylePr w:type="nwCell">
      <w:tcPr>
        <w:tcBorders>
          <w:top w:val="nil"/>
          <w:left w:val="nil"/>
          <w:bottom w:val="nil"/>
          <w:right w:val="nil"/>
          <w:insideH w:val="nil"/>
          <w:insideV w:val="nil"/>
          <w:tl2br w:val="nil"/>
          <w:tr2bl w:val="nil"/>
        </w:tcBorders>
        <w:shd w:val="solid" w:color="000000" w:fill="FFFFFF"/>
      </w:tcPr>
    </w:tblStylePr>
    <w:tblStylePr w:type="swCell">
      <w:rPr>
        <w:b/>
        <w:bCs/>
        <w:i w:val="0"/>
        <w:iCs w:val="0"/>
      </w:rPr>
      <w:tcPr>
        <w:tcBorders>
          <w:top w:val="nil"/>
          <w:left w:val="nil"/>
          <w:bottom w:val="nil"/>
          <w:right w:val="nil"/>
          <w:insideH w:val="nil"/>
          <w:insideV w:val="nil"/>
          <w:tl2br w:val="nil"/>
          <w:tr2bl w:val="nil"/>
        </w:tcBorders>
      </w:tcPr>
    </w:tblStylePr>
  </w:style>
  <w:style w:type="table" w:customStyle="1" w:styleId="3687">
    <w:name w:val="网格型212"/>
    <w:basedOn w:val="88"/>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88">
    <w:name w:val="古典型 31"/>
    <w:basedOn w:val="88"/>
    <w:semiHidden/>
    <w:qFormat/>
    <w:uiPriority w:val="0"/>
    <w:pPr>
      <w:widowControl w:val="0"/>
      <w:jc w:val="both"/>
    </w:pPr>
    <w:rPr>
      <w:color w:val="000080"/>
    </w:rPr>
    <w:tblPr>
      <w:tblBorders>
        <w:top w:val="single" w:color="000000" w:sz="12" w:space="0"/>
        <w:left w:val="single" w:color="000000" w:sz="12" w:space="0"/>
        <w:bottom w:val="single" w:color="000000" w:sz="12" w:space="0"/>
        <w:right w:val="single" w:color="000000" w:sz="12" w:space="0"/>
      </w:tblBorders>
    </w:tblPr>
    <w:tcPr>
      <w:shd w:val="solid" w:color="C0C0C0" w:fill="FFFFFF"/>
    </w:tcPr>
    <w:tblStylePr w:type="firstRow">
      <w:rPr>
        <w:b/>
        <w:bCs/>
        <w:i/>
        <w:iCs/>
        <w:color w:val="FFFFFF"/>
      </w:rPr>
      <w:tcPr>
        <w:tcBorders>
          <w:top w:val="nil"/>
          <w:left w:val="single" w:color="000000" w:sz="6" w:space="0"/>
          <w:bottom w:val="nil"/>
          <w:right w:val="nil"/>
          <w:insideH w:val="nil"/>
          <w:insideV w:val="nil"/>
          <w:tl2br w:val="nil"/>
          <w:tr2bl w:val="nil"/>
        </w:tcBorders>
        <w:shd w:val="solid" w:color="000080" w:fill="FFFFFF"/>
      </w:tcPr>
    </w:tblStylePr>
    <w:tblStylePr w:type="lastRow">
      <w:rPr>
        <w:color w:val="000080"/>
      </w:rPr>
      <w:tcPr>
        <w:tcBorders>
          <w:top w:val="single" w:color="000000" w:sz="12" w:space="0"/>
          <w:left w:val="nil"/>
          <w:bottom w:val="nil"/>
          <w:right w:val="nil"/>
          <w:insideH w:val="nil"/>
          <w:insideV w:val="nil"/>
          <w:tl2br w:val="nil"/>
          <w:tr2bl w:val="nil"/>
        </w:tcBorders>
        <w:shd w:val="solid" w:color="FFFFFF" w:fill="FFFFFF"/>
      </w:tcPr>
    </w:tblStylePr>
    <w:tblStylePr w:type="firstCol">
      <w:rPr>
        <w:b/>
        <w:bCs/>
        <w:color w:val="000000"/>
      </w:rPr>
      <w:tcPr>
        <w:tcBorders>
          <w:top w:val="nil"/>
          <w:left w:val="nil"/>
          <w:bottom w:val="nil"/>
          <w:right w:val="nil"/>
          <w:insideH w:val="nil"/>
          <w:insideV w:val="nil"/>
          <w:tl2br w:val="nil"/>
          <w:tr2bl w:val="nil"/>
        </w:tcBorders>
      </w:tcPr>
    </w:tblStylePr>
  </w:style>
  <w:style w:type="table" w:customStyle="1" w:styleId="3689">
    <w:name w:val="网格型3311"/>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90">
    <w:name w:val="网格型 212"/>
    <w:basedOn w:val="88"/>
    <w:semiHidden/>
    <w:qFormat/>
    <w:uiPriority w:val="0"/>
    <w:pPr>
      <w:widowControl w:val="0"/>
      <w:jc w:val="both"/>
    </w:pPr>
    <w:rPr>
      <w:rFonts w:ascii="Calibri" w:hAnsi="Calibri"/>
    </w:rPr>
    <w:tblPr>
      <w:tblBorders>
        <w:insideH w:val="single" w:color="000000" w:sz="6" w:space="0"/>
        <w:insideV w:val="single" w:color="000000" w:sz="6" w:space="0"/>
      </w:tblBorders>
    </w:tblPr>
    <w:tcPr>
      <w:shd w:val="clear" w:color="auto" w:fill="auto"/>
    </w:tcPr>
    <w:tblStylePr w:type="firstRow">
      <w:rPr>
        <w:b/>
        <w:bCs/>
      </w:rPr>
      <w:tcPr>
        <w:tcBorders>
          <w:top w:val="nil"/>
          <w:left w:val="nil"/>
          <w:bottom w:val="nil"/>
          <w:right w:val="nil"/>
          <w:insideH w:val="nil"/>
          <w:insideV w:val="nil"/>
          <w:tl2br w:val="nil"/>
          <w:tr2bl w:val="nil"/>
        </w:tcBorders>
      </w:tcPr>
    </w:tblStylePr>
    <w:tblStylePr w:type="lastRow">
      <w:rPr>
        <w:b/>
        <w:bCs/>
      </w:rPr>
      <w:tcPr>
        <w:tcBorders>
          <w:top w:val="single" w:color="000000" w:sz="6"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style>
  <w:style w:type="table" w:customStyle="1" w:styleId="3691">
    <w:name w:val="竖列型 213"/>
    <w:basedOn w:val="88"/>
    <w:semiHidden/>
    <w:qFormat/>
    <w:uiPriority w:val="0"/>
    <w:pPr>
      <w:widowControl w:val="0"/>
      <w:jc w:val="both"/>
    </w:pPr>
    <w:rPr>
      <w:b/>
      <w:bCs/>
    </w:rPr>
    <w:tblStylePr w:type="firstRow">
      <w:rPr>
        <w:color w:val="FFFFFF"/>
      </w:rPr>
      <w:tcPr>
        <w:tcBorders>
          <w:top w:val="nil"/>
          <w:left w:val="nil"/>
          <w:bottom w:val="nil"/>
          <w:right w:val="nil"/>
          <w:insideH w:val="nil"/>
          <w:insideV w:val="nil"/>
          <w:tl2br w:val="nil"/>
          <w:tr2bl w:val="nil"/>
        </w:tcBorders>
        <w:shd w:val="solid" w:color="000080" w:fill="FFFFFF"/>
      </w:tcPr>
    </w:tblStylePr>
    <w:tblStylePr w:type="lastRow">
      <w:rPr>
        <w:b w:val="0"/>
        <w:bCs w:val="0"/>
      </w:rPr>
      <w:tcPr>
        <w:tcBorders>
          <w:top w:val="nil"/>
          <w:left w:val="nil"/>
          <w:bottom w:val="nil"/>
          <w:right w:val="nil"/>
          <w:insideH w:val="nil"/>
          <w:insideV w:val="nil"/>
          <w:tl2br w:val="nil"/>
          <w:tr2bl w:val="nil"/>
        </w:tcBorders>
      </w:tcPr>
    </w:tblStylePr>
    <w:tblStylePr w:type="firstCol">
      <w:rPr>
        <w:b w:val="0"/>
        <w:bCs w:val="0"/>
        <w:color w:val="00000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band1Vert">
      <w:rPr>
        <w:color w:val="auto"/>
      </w:rPr>
      <w:tcPr>
        <w:shd w:val="pct30" w:color="000000" w:fill="FFFFFF"/>
      </w:tcPr>
    </w:tblStylePr>
    <w:tblStylePr w:type="band2Vert">
      <w:rPr>
        <w:color w:val="auto"/>
      </w:rPr>
      <w:tcPr>
        <w:shd w:val="pct25" w:color="00FF00" w:fill="FFFFFF"/>
      </w:tcPr>
    </w:tblStylePr>
    <w:tblStylePr w:type="neCell">
      <w:rPr>
        <w:b/>
        <w:bCs/>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692">
    <w:name w:val="表三维效果 211"/>
    <w:basedOn w:val="88"/>
    <w:qFormat/>
    <w:uiPriority w:val="0"/>
    <w:pPr>
      <w:widowControl w:val="0"/>
      <w:spacing w:line="560" w:lineRule="exact"/>
      <w:ind w:firstLine="200" w:firstLineChars="200"/>
      <w:jc w:val="both"/>
    </w:pPr>
    <w:rPr>
      <w:rFonts w:ascii="Calibri" w:hAnsi="Calibri"/>
    </w:rPr>
    <w:tcPr>
      <w:shd w:val="solid" w:color="C0C0C0" w:fill="FFFFFF"/>
    </w:tcPr>
    <w:tblStylePr w:type="firstRow">
      <w:rPr>
        <w:b/>
        <w:bCs/>
      </w:rPr>
      <w:tcPr>
        <w:tcBorders>
          <w:top w:val="nil"/>
          <w:left w:val="nil"/>
          <w:bottom w:val="nil"/>
          <w:right w:val="nil"/>
          <w:insideH w:val="nil"/>
          <w:insideV w:val="nil"/>
          <w:tl2br w:val="nil"/>
          <w:tr2bl w:val="nil"/>
        </w:tcBorders>
      </w:tcPr>
    </w:tblStylePr>
    <w:tblStylePr w:type="firstCol">
      <w:tcPr>
        <w:tcBorders>
          <w:top w:val="nil"/>
          <w:left w:val="nil"/>
          <w:bottom w:val="nil"/>
          <w:right w:val="single" w:color="808080" w:sz="6" w:space="0"/>
          <w:insideH w:val="nil"/>
          <w:insideV w:val="nil"/>
          <w:tl2br w:val="nil"/>
          <w:tr2bl w:val="nil"/>
        </w:tcBorders>
      </w:tcPr>
    </w:tblStylePr>
    <w:tblStylePr w:type="lastCol">
      <w:tcPr>
        <w:tcBorders>
          <w:top w:val="nil"/>
          <w:left w:val="nil"/>
          <w:bottom w:val="nil"/>
          <w:right w:val="single" w:color="FFFFFF" w:sz="6" w:space="0"/>
          <w:insideH w:val="nil"/>
          <w:insideV w:val="nil"/>
          <w:tl2br w:val="nil"/>
          <w:tr2bl w:val="nil"/>
        </w:tcBorders>
      </w:tcPr>
    </w:tblStylePr>
    <w:tblStylePr w:type="band1Horz">
      <w:tcPr>
        <w:tcBorders>
          <w:top w:val="single" w:color="808080" w:sz="6" w:space="0"/>
          <w:left w:val="single" w:color="FFFFFF" w:sz="6" w:space="0"/>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693">
    <w:name w:val="竖列型 111"/>
    <w:basedOn w:val="88"/>
    <w:semiHidden/>
    <w:qFormat/>
    <w:uiPriority w:val="0"/>
    <w:pPr>
      <w:widowControl w:val="0"/>
      <w:jc w:val="both"/>
    </w:pPr>
    <w:rPr>
      <w:rFonts w:ascii="Calibri" w:hAnsi="Calibri"/>
      <w:b/>
      <w:bCs/>
    </w:rPr>
    <w:tblPr>
      <w:tblBorders>
        <w:top w:val="single" w:color="000000" w:sz="12" w:space="0"/>
        <w:left w:val="single" w:color="000000" w:sz="12" w:space="0"/>
        <w:bottom w:val="single" w:color="000000" w:sz="12" w:space="0"/>
        <w:right w:val="single" w:color="000000" w:sz="12" w:space="0"/>
      </w:tblBorders>
    </w:tblPr>
    <w:tblStylePr w:type="firstRow">
      <w:rPr>
        <w:b w:val="0"/>
        <w:bCs w:val="0"/>
      </w:rPr>
      <w:tcPr>
        <w:tcBorders>
          <w:top w:val="nil"/>
          <w:left w:val="double" w:color="000000" w:sz="6" w:space="0"/>
          <w:bottom w:val="nil"/>
          <w:right w:val="nil"/>
          <w:insideH w:val="nil"/>
          <w:insideV w:val="nil"/>
          <w:tl2br w:val="nil"/>
          <w:tr2bl w:val="nil"/>
        </w:tcBorders>
      </w:tcPr>
    </w:tblStylePr>
    <w:tblStylePr w:type="lastRow">
      <w:rPr>
        <w:b w:val="0"/>
        <w:bCs w:val="0"/>
      </w:rPr>
      <w:tcPr>
        <w:tcBorders>
          <w:top w:val="nil"/>
          <w:left w:val="nil"/>
          <w:bottom w:val="nil"/>
          <w:right w:val="nil"/>
          <w:insideH w:val="nil"/>
          <w:insideV w:val="nil"/>
          <w:tl2br w:val="nil"/>
          <w:tr2bl w:val="nil"/>
        </w:tcBorders>
      </w:tcPr>
    </w:tblStylePr>
    <w:tblStylePr w:type="firstCol">
      <w:rPr>
        <w:b w:val="0"/>
        <w:bCs w:val="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band1Vert">
      <w:rPr>
        <w:color w:val="auto"/>
      </w:rPr>
      <w:tcPr>
        <w:shd w:val="pct25" w:color="000000" w:fill="FFFFFF"/>
      </w:tcPr>
    </w:tblStylePr>
    <w:tblStylePr w:type="band2Vert">
      <w:rPr>
        <w:color w:val="auto"/>
      </w:rPr>
      <w:tcPr>
        <w:shd w:val="pct25" w:color="FFFF00" w:fill="FFFFFF"/>
      </w:tcPr>
    </w:tblStylePr>
    <w:tblStylePr w:type="neCell">
      <w:rPr>
        <w:b/>
        <w:bCs/>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694">
    <w:name w:val="网页型 221"/>
    <w:basedOn w:val="88"/>
    <w:qFormat/>
    <w:uiPriority w:val="0"/>
    <w:pPr>
      <w:widowControl w:val="0"/>
      <w:spacing w:line="560" w:lineRule="exact"/>
      <w:ind w:firstLine="200" w:firstLineChars="200"/>
      <w:jc w:val="both"/>
    </w:pPr>
    <w:rPr>
      <w:rFonts w:ascii="Calibri" w:hAnsi="Calibri"/>
    </w:rPr>
    <w:tblPr>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cPr>
      <w:shd w:val="clear" w:color="auto" w:fill="auto"/>
    </w:tcPr>
    <w:tblStylePr w:type="firstRow">
      <w:rPr>
        <w:color w:val="auto"/>
      </w:rPr>
      <w:tcPr>
        <w:tcBorders>
          <w:top w:val="nil"/>
          <w:left w:val="nil"/>
          <w:bottom w:val="nil"/>
          <w:right w:val="nil"/>
          <w:insideH w:val="nil"/>
          <w:insideV w:val="nil"/>
          <w:tl2br w:val="nil"/>
          <w:tr2bl w:val="nil"/>
        </w:tcBorders>
      </w:tcPr>
    </w:tblStylePr>
  </w:style>
  <w:style w:type="table" w:customStyle="1" w:styleId="3695">
    <w:name w:val="古典型 221"/>
    <w:basedOn w:val="88"/>
    <w:qFormat/>
    <w:uiPriority w:val="0"/>
    <w:pPr>
      <w:widowControl w:val="0"/>
      <w:spacing w:line="560" w:lineRule="exact"/>
      <w:ind w:firstLine="200" w:firstLineChars="200"/>
      <w:jc w:val="both"/>
    </w:pPr>
    <w:rPr>
      <w:rFonts w:ascii="Calibri" w:hAnsi="Calibri"/>
    </w:rPr>
    <w:tblPr>
      <w:tblBorders>
        <w:top w:val="single" w:color="000000" w:sz="12" w:space="0"/>
        <w:bottom w:val="single" w:color="000000" w:sz="12" w:space="0"/>
      </w:tblBorders>
    </w:tblPr>
    <w:tcPr>
      <w:shd w:val="clear" w:color="auto" w:fill="auto"/>
    </w:tcPr>
    <w:tblStylePr w:type="firstRow">
      <w:rPr>
        <w:color w:val="FFFFFF"/>
      </w:rPr>
      <w:tcPr>
        <w:tcBorders>
          <w:top w:val="nil"/>
          <w:left w:val="single" w:color="000000" w:sz="6" w:space="0"/>
          <w:bottom w:val="nil"/>
          <w:right w:val="nil"/>
          <w:insideH w:val="nil"/>
          <w:insideV w:val="nil"/>
          <w:tl2br w:val="nil"/>
          <w:tr2bl w:val="nil"/>
        </w:tcBorders>
        <w:shd w:val="solid" w:color="800080" w:fill="FFFFFF"/>
      </w:tcPr>
    </w:tblStylePr>
    <w:tblStylePr w:type="lastRow">
      <w:tcPr>
        <w:tcBorders>
          <w:top w:val="single" w:color="000000" w:sz="6"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shd w:val="solid" w:color="C0C0C0" w:fill="FFFFFF"/>
      </w:tcPr>
    </w:tblStylePr>
    <w:tblStylePr w:type="neCel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nil"/>
          <w:tr2bl w:val="nil"/>
        </w:tcBorders>
        <w:shd w:val="solid" w:color="800080" w:fill="FFFFFF"/>
      </w:tcPr>
    </w:tblStylePr>
    <w:tblStylePr w:type="swCell">
      <w:rPr>
        <w:color w:val="000080"/>
      </w:rPr>
      <w:tcPr>
        <w:tcBorders>
          <w:top w:val="nil"/>
          <w:left w:val="nil"/>
          <w:bottom w:val="nil"/>
          <w:right w:val="nil"/>
          <w:insideH w:val="nil"/>
          <w:insideV w:val="nil"/>
          <w:tl2br w:val="nil"/>
          <w:tr2bl w:val="nil"/>
        </w:tcBorders>
      </w:tcPr>
    </w:tblStylePr>
  </w:style>
  <w:style w:type="table" w:customStyle="1" w:styleId="3696">
    <w:name w:val="简明型 311"/>
    <w:basedOn w:val="88"/>
    <w:semiHidden/>
    <w:qFormat/>
    <w:uiPriority w:val="0"/>
    <w:pPr>
      <w:widowControl w:val="0"/>
      <w:jc w:val="both"/>
    </w:pPr>
    <w:rPr>
      <w:rFonts w:ascii="Calibri" w:hAnsi="Calibri"/>
    </w:rPr>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color w:val="FFFFFF"/>
      </w:rPr>
      <w:tcPr>
        <w:tcBorders>
          <w:top w:val="nil"/>
          <w:left w:val="nil"/>
          <w:bottom w:val="nil"/>
          <w:right w:val="nil"/>
          <w:insideH w:val="nil"/>
          <w:insideV w:val="nil"/>
          <w:tl2br w:val="nil"/>
          <w:tr2bl w:val="nil"/>
        </w:tcBorders>
        <w:shd w:val="solid" w:color="000000" w:fill="FFFFFF"/>
      </w:tcPr>
    </w:tblStylePr>
  </w:style>
  <w:style w:type="table" w:customStyle="1" w:styleId="3697">
    <w:name w:val="古典型 22"/>
    <w:basedOn w:val="88"/>
    <w:qFormat/>
    <w:uiPriority w:val="0"/>
    <w:pPr>
      <w:widowControl w:val="0"/>
      <w:spacing w:line="560" w:lineRule="exact"/>
      <w:ind w:firstLine="200" w:firstLineChars="200"/>
      <w:jc w:val="both"/>
    </w:pPr>
    <w:rPr>
      <w:rFonts w:ascii="Calibri" w:hAnsi="Calibri"/>
    </w:rPr>
    <w:tblPr>
      <w:tblBorders>
        <w:top w:val="single" w:color="000000" w:sz="12" w:space="0"/>
        <w:bottom w:val="single" w:color="000000" w:sz="12" w:space="0"/>
      </w:tblBorders>
    </w:tblPr>
    <w:tcPr>
      <w:shd w:val="clear" w:color="auto" w:fill="auto"/>
    </w:tcPr>
    <w:tblStylePr w:type="firstRow">
      <w:rPr>
        <w:color w:val="FFFFFF"/>
      </w:rPr>
      <w:tcPr>
        <w:tcBorders>
          <w:top w:val="nil"/>
          <w:left w:val="single" w:color="000000" w:sz="6" w:space="0"/>
          <w:bottom w:val="nil"/>
          <w:right w:val="nil"/>
          <w:insideH w:val="nil"/>
          <w:insideV w:val="nil"/>
          <w:tl2br w:val="nil"/>
          <w:tr2bl w:val="nil"/>
        </w:tcBorders>
        <w:shd w:val="solid" w:color="800080" w:fill="FFFFFF"/>
      </w:tcPr>
    </w:tblStylePr>
    <w:tblStylePr w:type="lastRow">
      <w:tcPr>
        <w:tcBorders>
          <w:top w:val="single" w:color="000000" w:sz="6"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shd w:val="solid" w:color="C0C0C0" w:fill="FFFFFF"/>
      </w:tcPr>
    </w:tblStylePr>
    <w:tblStylePr w:type="neCel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nil"/>
          <w:tr2bl w:val="nil"/>
        </w:tcBorders>
        <w:shd w:val="solid" w:color="800080" w:fill="FFFFFF"/>
      </w:tcPr>
    </w:tblStylePr>
    <w:tblStylePr w:type="swCell">
      <w:rPr>
        <w:color w:val="000080"/>
      </w:rPr>
      <w:tcPr>
        <w:tcBorders>
          <w:top w:val="nil"/>
          <w:left w:val="nil"/>
          <w:bottom w:val="nil"/>
          <w:right w:val="nil"/>
          <w:insideH w:val="nil"/>
          <w:insideV w:val="nil"/>
          <w:tl2br w:val="nil"/>
          <w:tr2bl w:val="nil"/>
        </w:tcBorders>
      </w:tcPr>
    </w:tblStylePr>
  </w:style>
  <w:style w:type="table" w:customStyle="1" w:styleId="3698">
    <w:name w:val="表格网格型6"/>
    <w:basedOn w:val="88"/>
    <w:qFormat/>
    <w:uiPriority w:val="0"/>
    <w:rPr>
      <w:rFonts w:ascii="Calibri" w:hAnsi="Calibri" w:eastAsia="宋体" w:cs="Times New Roman"/>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99">
    <w:name w:val="网格型202"/>
    <w:basedOn w:val="88"/>
    <w:qFormat/>
    <w:uiPriority w:val="59"/>
    <w:pPr>
      <w:widowControl w:val="0"/>
      <w:spacing w:line="300" w:lineRule="exact"/>
      <w:jc w:val="both"/>
      <w:textAlignment w:val="baseline"/>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00">
    <w:name w:val="网格型 312"/>
    <w:basedOn w:val="88"/>
    <w:semiHidden/>
    <w:qFormat/>
    <w:uiPriority w:val="0"/>
    <w:pPr>
      <w:widowControl w:val="0"/>
      <w:jc w:val="both"/>
    </w:pPr>
    <w:rPr>
      <w:rFonts w:ascii="Calibri" w:hAnsi="Calibri"/>
    </w:rPr>
    <w:tblPr>
      <w:tblBorders>
        <w:top w:val="single" w:color="000000" w:sz="6" w:space="0"/>
        <w:left w:val="single" w:color="000000" w:sz="12" w:space="0"/>
        <w:bottom w:val="single" w:color="000000" w:sz="6" w:space="0"/>
        <w:right w:val="single" w:color="000000" w:sz="12" w:space="0"/>
        <w:insideV w:val="single" w:color="000000" w:sz="6" w:space="0"/>
      </w:tblBorders>
    </w:tblPr>
    <w:tcPr>
      <w:shd w:val="clear" w:color="auto" w:fill="auto"/>
    </w:tcPr>
    <w:tblStylePr w:type="firstRow">
      <w:tcPr>
        <w:tcBorders>
          <w:top w:val="nil"/>
          <w:left w:val="single" w:color="000000" w:sz="6" w:space="0"/>
          <w:bottom w:val="nil"/>
          <w:right w:val="nil"/>
          <w:insideH w:val="nil"/>
          <w:insideV w:val="nil"/>
          <w:tl2br w:val="nil"/>
          <w:tr2bl w:val="nil"/>
        </w:tcBorders>
        <w:shd w:val="pct30" w:color="FFFF00" w:fill="FFFFFF"/>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701">
    <w:name w:val="简明型 24"/>
    <w:basedOn w:val="88"/>
    <w:qFormat/>
    <w:uiPriority w:val="0"/>
    <w:pPr>
      <w:widowControl w:val="0"/>
      <w:spacing w:line="560" w:lineRule="exact"/>
      <w:ind w:firstLine="200" w:firstLineChars="200"/>
      <w:jc w:val="both"/>
    </w:pPr>
    <w:rPr>
      <w:rFonts w:ascii="Calibri" w:hAnsi="Calibri"/>
    </w:rPr>
    <w:tblStylePr w:type="firstRow">
      <w:rPr>
        <w:b/>
        <w:bCs/>
      </w:rPr>
      <w:tcPr>
        <w:tcBorders>
          <w:top w:val="nil"/>
          <w:left w:val="single" w:color="000000" w:sz="12" w:space="0"/>
          <w:bottom w:val="nil"/>
          <w:right w:val="nil"/>
          <w:insideH w:val="nil"/>
          <w:insideV w:val="nil"/>
          <w:tl2br w:val="nil"/>
          <w:tr2bl w:val="nil"/>
        </w:tcBorders>
      </w:tcPr>
    </w:tblStylePr>
    <w:tblStylePr w:type="lastRow">
      <w:rPr>
        <w:b/>
        <w:bCs/>
        <w:color w:val="auto"/>
      </w:rPr>
      <w:tcPr>
        <w:tcBorders>
          <w:top w:val="single" w:color="000000" w:sz="6" w:space="0"/>
          <w:left w:val="nil"/>
          <w:bottom w:val="nil"/>
          <w:right w:val="nil"/>
          <w:insideH w:val="nil"/>
          <w:insideV w:val="nil"/>
          <w:tl2br w:val="nil"/>
          <w:tr2bl w:val="nil"/>
        </w:tcBorders>
      </w:tcPr>
    </w:tblStylePr>
    <w:tblStylePr w:type="firstCol">
      <w:rPr>
        <w:b/>
        <w:bCs/>
      </w:rPr>
      <w:tcPr>
        <w:tcBorders>
          <w:top w:val="nil"/>
          <w:left w:val="nil"/>
          <w:bottom w:val="nil"/>
          <w:right w:val="single" w:color="000000" w:sz="12" w:space="0"/>
          <w:insideH w:val="nil"/>
          <w:insideV w:val="nil"/>
          <w:tl2br w:val="nil"/>
          <w:tr2bl w:val="nil"/>
        </w:tcBorders>
      </w:tcPr>
    </w:tblStylePr>
    <w:tblStylePr w:type="lastCol">
      <w:rPr>
        <w:b/>
        <w:bCs/>
      </w:rPr>
      <w:tcPr>
        <w:tcBorders>
          <w:top w:val="nil"/>
          <w:left w:val="nil"/>
          <w:bottom w:val="single" w:color="000000" w:sz="6" w:space="0"/>
          <w:right w:val="nil"/>
          <w:insideH w:val="nil"/>
          <w:insideV w:val="nil"/>
          <w:tl2br w:val="nil"/>
          <w:tr2bl w:val="nil"/>
        </w:tcBorders>
      </w:tcPr>
    </w:tblStylePr>
    <w:tblStylePr w:type="neCell">
      <w:rPr>
        <w:b/>
        <w:bCs/>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702">
    <w:name w:val="网格型 121"/>
    <w:basedOn w:val="88"/>
    <w:qFormat/>
    <w:uiPriority w:val="0"/>
    <w:pPr>
      <w:widowControl w:val="0"/>
      <w:jc w:val="both"/>
    </w:pPr>
    <w:rPr>
      <w:rFonts w:ascii="Calibri" w:hAnsi="Calibri"/>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703">
    <w:name w:val="精巧型 14"/>
    <w:basedOn w:val="88"/>
    <w:qFormat/>
    <w:uiPriority w:val="0"/>
    <w:pPr>
      <w:widowControl w:val="0"/>
      <w:spacing w:line="560" w:lineRule="exact"/>
      <w:ind w:firstLine="200" w:firstLineChars="200"/>
      <w:jc w:val="both"/>
    </w:pPr>
    <w:rPr>
      <w:rFonts w:ascii="Calibri" w:hAnsi="Calibri"/>
    </w:rPr>
    <w:tblStylePr w:type="firstRow">
      <w:tcPr>
        <w:tcBorders>
          <w:top w:val="single" w:color="000000" w:sz="6" w:space="0"/>
          <w:left w:val="single" w:color="000000" w:sz="12" w:space="0"/>
          <w:bottom w:val="nil"/>
          <w:right w:val="nil"/>
          <w:insideH w:val="nil"/>
          <w:insideV w:val="nil"/>
          <w:tl2br w:val="nil"/>
          <w:tr2bl w:val="nil"/>
        </w:tcBorders>
      </w:tcPr>
    </w:tblStylePr>
    <w:tblStylePr w:type="lastRow">
      <w:tcPr>
        <w:tcBorders>
          <w:top w:val="single" w:color="000000" w:sz="12" w:space="0"/>
          <w:left w:val="nil"/>
          <w:bottom w:val="nil"/>
          <w:right w:val="nil"/>
          <w:insideH w:val="nil"/>
          <w:insideV w:val="nil"/>
          <w:tl2br w:val="nil"/>
          <w:tr2bl w:val="nil"/>
        </w:tcBorders>
        <w:shd w:val="pct25" w:color="800080" w:fill="FFFFFF"/>
      </w:tcPr>
    </w:tblStylePr>
    <w:tblStylePr w:type="firstCol">
      <w:tcPr>
        <w:tcBorders>
          <w:top w:val="nil"/>
          <w:left w:val="nil"/>
          <w:bottom w:val="nil"/>
          <w:right w:val="single" w:color="000000" w:sz="12" w:space="0"/>
          <w:insideH w:val="nil"/>
          <w:insideV w:val="nil"/>
          <w:tl2br w:val="nil"/>
          <w:tr2bl w:val="nil"/>
        </w:tcBorders>
      </w:tcPr>
    </w:tblStylePr>
    <w:tblStylePr w:type="lastCol">
      <w:tcPr>
        <w:tcBorders>
          <w:top w:val="nil"/>
          <w:left w:val="nil"/>
          <w:bottom w:val="single" w:color="000000" w:sz="12" w:space="0"/>
          <w:right w:val="nil"/>
          <w:insideH w:val="nil"/>
          <w:insideV w:val="nil"/>
          <w:tl2br w:val="nil"/>
          <w:tr2bl w:val="nil"/>
        </w:tcBorders>
      </w:tcPr>
    </w:tblStylePr>
    <w:tblStylePr w:type="band1Horz">
      <w:tcPr>
        <w:tcBorders>
          <w:top w:val="nil"/>
          <w:left w:val="single" w:color="000000" w:sz="6" w:space="0"/>
          <w:bottom w:val="nil"/>
          <w:right w:val="nil"/>
          <w:insideH w:val="nil"/>
          <w:insideV w:val="nil"/>
          <w:tl2br w:val="nil"/>
          <w:tr2bl w:val="nil"/>
        </w:tcBorders>
        <w:shd w:val="pct25" w:color="808000" w:fill="FFFFFF"/>
      </w:tcPr>
    </w:tblStylePr>
    <w:tblStylePr w:type="neCell">
      <w:rPr>
        <w:b/>
        <w:bCs/>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704">
    <w:name w:val="网格型172"/>
    <w:basedOn w:val="88"/>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05">
    <w:name w:val="竖列型 51"/>
    <w:basedOn w:val="88"/>
    <w:semiHidden/>
    <w:qFormat/>
    <w:uiPriority w:val="0"/>
    <w:pPr>
      <w:widowControl w:val="0"/>
      <w:jc w:val="both"/>
    </w:pPr>
    <w:tblPr>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cPr>
        <w:tcBorders>
          <w:top w:val="nil"/>
          <w:left w:val="single" w:color="808080" w:sz="6" w:space="0"/>
          <w:bottom w:val="nil"/>
          <w:right w:val="nil"/>
          <w:insideH w:val="nil"/>
          <w:insideV w:val="nil"/>
          <w:tl2br w:val="nil"/>
          <w:tr2bl w:val="nil"/>
        </w:tcBorders>
      </w:tcPr>
    </w:tblStylePr>
    <w:tblStylePr w:type="lastRow">
      <w:rPr>
        <w:b/>
        <w:bCs/>
      </w:rPr>
      <w:tcPr>
        <w:tcBorders>
          <w:top w:val="single" w:color="808080" w:sz="6"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Vert">
      <w:rPr>
        <w:color w:val="auto"/>
      </w:rPr>
      <w:tcPr>
        <w:shd w:val="solid" w:color="C0C0C0" w:fill="FFFFFF"/>
      </w:tcPr>
    </w:tblStylePr>
    <w:tblStylePr w:type="band2Vert">
      <w:rPr>
        <w:color w:val="auto"/>
      </w:rPr>
    </w:tblStylePr>
  </w:style>
  <w:style w:type="table" w:customStyle="1" w:styleId="3706">
    <w:name w:val="古典型 313"/>
    <w:basedOn w:val="88"/>
    <w:semiHidden/>
    <w:qFormat/>
    <w:uiPriority w:val="0"/>
    <w:pPr>
      <w:widowControl w:val="0"/>
      <w:jc w:val="both"/>
    </w:pPr>
    <w:rPr>
      <w:color w:val="000080"/>
    </w:rPr>
    <w:tblPr>
      <w:tblBorders>
        <w:top w:val="single" w:color="000000" w:sz="12" w:space="0"/>
        <w:left w:val="single" w:color="000000" w:sz="12" w:space="0"/>
        <w:bottom w:val="single" w:color="000000" w:sz="12" w:space="0"/>
        <w:right w:val="single" w:color="000000" w:sz="12" w:space="0"/>
      </w:tblBorders>
    </w:tblPr>
    <w:tcPr>
      <w:shd w:val="solid" w:color="C0C0C0" w:fill="FFFFFF"/>
    </w:tcPr>
    <w:tblStylePr w:type="firstRow">
      <w:rPr>
        <w:b/>
        <w:bCs/>
        <w:i/>
        <w:iCs/>
        <w:color w:val="FFFFFF"/>
      </w:rPr>
      <w:tcPr>
        <w:tcBorders>
          <w:top w:val="nil"/>
          <w:left w:val="single" w:color="000000" w:sz="6" w:space="0"/>
          <w:bottom w:val="nil"/>
          <w:right w:val="nil"/>
          <w:insideH w:val="nil"/>
          <w:insideV w:val="nil"/>
          <w:tl2br w:val="nil"/>
          <w:tr2bl w:val="nil"/>
        </w:tcBorders>
        <w:shd w:val="solid" w:color="000080" w:fill="FFFFFF"/>
      </w:tcPr>
    </w:tblStylePr>
    <w:tblStylePr w:type="lastRow">
      <w:rPr>
        <w:color w:val="000080"/>
      </w:rPr>
      <w:tcPr>
        <w:tcBorders>
          <w:top w:val="single" w:color="000000" w:sz="12" w:space="0"/>
          <w:left w:val="nil"/>
          <w:bottom w:val="nil"/>
          <w:right w:val="nil"/>
          <w:insideH w:val="nil"/>
          <w:insideV w:val="nil"/>
          <w:tl2br w:val="nil"/>
          <w:tr2bl w:val="nil"/>
        </w:tcBorders>
        <w:shd w:val="solid" w:color="FFFFFF" w:fill="FFFFFF"/>
      </w:tcPr>
    </w:tblStylePr>
    <w:tblStylePr w:type="firstCol">
      <w:rPr>
        <w:b/>
        <w:bCs/>
        <w:color w:val="000000"/>
      </w:rPr>
      <w:tcPr>
        <w:tcBorders>
          <w:top w:val="nil"/>
          <w:left w:val="nil"/>
          <w:bottom w:val="nil"/>
          <w:right w:val="nil"/>
          <w:insideH w:val="nil"/>
          <w:insideV w:val="nil"/>
          <w:tl2br w:val="nil"/>
          <w:tr2bl w:val="nil"/>
        </w:tcBorders>
      </w:tcPr>
    </w:tblStylePr>
  </w:style>
  <w:style w:type="table" w:customStyle="1" w:styleId="3707">
    <w:name w:val="彩色型 34"/>
    <w:basedOn w:val="88"/>
    <w:qFormat/>
    <w:uiPriority w:val="0"/>
    <w:pPr>
      <w:widowControl w:val="0"/>
      <w:spacing w:line="560" w:lineRule="exact"/>
      <w:ind w:firstLine="200" w:firstLineChars="200"/>
      <w:jc w:val="both"/>
    </w:pPr>
    <w:rPr>
      <w:rFonts w:ascii="Calibri" w:hAnsi="Calibri"/>
    </w:rPr>
    <w:tblPr>
      <w:tblBorders>
        <w:top w:val="single" w:color="000000" w:sz="18" w:space="0"/>
        <w:left w:val="single" w:color="000000" w:sz="18" w:space="0"/>
        <w:bottom w:val="single" w:color="000000" w:sz="18" w:space="0"/>
        <w:right w:val="single" w:color="000000" w:sz="18" w:space="0"/>
        <w:insideH w:val="single" w:color="C0C0C0" w:sz="6" w:space="0"/>
      </w:tblBorders>
    </w:tblPr>
    <w:tcPr>
      <w:shd w:val="pct25" w:color="008080" w:fill="FFFFFF"/>
    </w:tcPr>
    <w:tblStylePr w:type="firstRow">
      <w:tcPr>
        <w:tcBorders>
          <w:top w:val="nil"/>
          <w:left w:val="single" w:color="000000" w:sz="6" w:space="0"/>
          <w:bottom w:val="nil"/>
          <w:right w:val="nil"/>
          <w:insideH w:val="nil"/>
          <w:insideV w:val="nil"/>
          <w:tl2br w:val="nil"/>
          <w:tr2bl w:val="nil"/>
        </w:tcBorders>
        <w:shd w:val="solid" w:color="008080" w:fill="FFFFFF"/>
      </w:tcPr>
    </w:tblStylePr>
    <w:tblStylePr w:type="firstCol">
      <w:tcPr>
        <w:tcBorders>
          <w:top w:val="nil"/>
          <w:left w:val="nil"/>
          <w:bottom w:val="single" w:color="000000" w:sz="36" w:space="0"/>
          <w:right w:val="single" w:color="000000" w:sz="6" w:space="0"/>
          <w:insideH w:val="nil"/>
          <w:insideV w:val="nil"/>
          <w:tl2br w:val="nil"/>
          <w:tr2bl w:val="nil"/>
        </w:tcBorders>
        <w:shd w:val="solid" w:color="008080" w:fill="FFFFFF"/>
      </w:tcPr>
    </w:tblStylePr>
    <w:tblStylePr w:type="nwCell">
      <w:rPr>
        <w:b/>
        <w:bCs/>
        <w:color w:val="FFFFFF"/>
      </w:rPr>
      <w:tcPr>
        <w:tcBorders>
          <w:top w:val="nil"/>
          <w:left w:val="nil"/>
          <w:bottom w:val="nil"/>
          <w:right w:val="nil"/>
          <w:insideH w:val="nil"/>
          <w:insideV w:val="nil"/>
          <w:tl2br w:val="nil"/>
          <w:tr2bl w:val="nil"/>
        </w:tcBorders>
        <w:shd w:val="solid" w:color="000000" w:fill="FFFFFF"/>
      </w:tcPr>
    </w:tblStylePr>
  </w:style>
  <w:style w:type="table" w:customStyle="1" w:styleId="3708">
    <w:name w:val="网格型28"/>
    <w:basedOn w:val="88"/>
    <w:qFormat/>
    <w:uiPriority w:val="0"/>
    <w:rPr>
      <w:rFonts w:ascii="Calibri" w:hAnsi="Calibri"/>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s>
</file>

<file path=word/_rels/document.xml.rels><?xml version="1.0" encoding="UTF-8" standalone="yes"?>
<Relationships xmlns="http://schemas.openxmlformats.org/package/2006/relationships"><Relationship Id="rId99" Type="http://schemas.openxmlformats.org/officeDocument/2006/relationships/image" Target="media/image35.jpeg"/><Relationship Id="rId98" Type="http://schemas.openxmlformats.org/officeDocument/2006/relationships/image" Target="media/image34.jpeg"/><Relationship Id="rId97" Type="http://schemas.openxmlformats.org/officeDocument/2006/relationships/image" Target="media/image33.jpeg"/><Relationship Id="rId96" Type="http://schemas.openxmlformats.org/officeDocument/2006/relationships/image" Target="media/image32.jpeg"/><Relationship Id="rId95" Type="http://schemas.openxmlformats.org/officeDocument/2006/relationships/image" Target="media/image31.jpeg"/><Relationship Id="rId94" Type="http://schemas.openxmlformats.org/officeDocument/2006/relationships/image" Target="media/image30.jpeg"/><Relationship Id="rId93" Type="http://schemas.openxmlformats.org/officeDocument/2006/relationships/image" Target="media/image29.jpeg"/><Relationship Id="rId92" Type="http://schemas.openxmlformats.org/officeDocument/2006/relationships/image" Target="media/image28.jpeg"/><Relationship Id="rId91" Type="http://schemas.openxmlformats.org/officeDocument/2006/relationships/image" Target="media/image27.jpeg"/><Relationship Id="rId90" Type="http://schemas.openxmlformats.org/officeDocument/2006/relationships/image" Target="media/image26.jpeg"/><Relationship Id="rId9" Type="http://schemas.openxmlformats.org/officeDocument/2006/relationships/footer" Target="footer2.xml"/><Relationship Id="rId89" Type="http://schemas.openxmlformats.org/officeDocument/2006/relationships/image" Target="media/image25.jpeg"/><Relationship Id="rId88" Type="http://schemas.openxmlformats.org/officeDocument/2006/relationships/image" Target="media/image24.jpeg"/><Relationship Id="rId87" Type="http://schemas.openxmlformats.org/officeDocument/2006/relationships/image" Target="media/image23.png"/><Relationship Id="rId86" Type="http://schemas.openxmlformats.org/officeDocument/2006/relationships/image" Target="media/image22.jpeg"/><Relationship Id="rId85" Type="http://schemas.openxmlformats.org/officeDocument/2006/relationships/image" Target="media/image21.jpeg"/><Relationship Id="rId84" Type="http://schemas.openxmlformats.org/officeDocument/2006/relationships/image" Target="media/image20.emf"/><Relationship Id="rId83" Type="http://schemas.openxmlformats.org/officeDocument/2006/relationships/image" Target="media/image19.jpeg"/><Relationship Id="rId82" Type="http://schemas.openxmlformats.org/officeDocument/2006/relationships/image" Target="media/image18.jpeg"/><Relationship Id="rId81" Type="http://schemas.openxmlformats.org/officeDocument/2006/relationships/image" Target="media/image17.png"/><Relationship Id="rId80" Type="http://schemas.openxmlformats.org/officeDocument/2006/relationships/image" Target="media/image16.png"/><Relationship Id="rId8" Type="http://schemas.openxmlformats.org/officeDocument/2006/relationships/footer" Target="footer1.xml"/><Relationship Id="rId79" Type="http://schemas.openxmlformats.org/officeDocument/2006/relationships/image" Target="media/image15.png"/><Relationship Id="rId78" Type="http://schemas.openxmlformats.org/officeDocument/2006/relationships/image" Target="media/image14.png"/><Relationship Id="rId77" Type="http://schemas.openxmlformats.org/officeDocument/2006/relationships/image" Target="media/image13.jpeg"/><Relationship Id="rId76" Type="http://schemas.openxmlformats.org/officeDocument/2006/relationships/image" Target="media/image12.wmf"/><Relationship Id="rId75" Type="http://schemas.openxmlformats.org/officeDocument/2006/relationships/image" Target="media/image11.wmf"/><Relationship Id="rId74" Type="http://schemas.openxmlformats.org/officeDocument/2006/relationships/image" Target="media/image10.wmf"/><Relationship Id="rId73" Type="http://schemas.openxmlformats.org/officeDocument/2006/relationships/image" Target="media/image9.wmf"/><Relationship Id="rId72" Type="http://schemas.openxmlformats.org/officeDocument/2006/relationships/image" Target="media/image8.wmf"/><Relationship Id="rId71" Type="http://schemas.openxmlformats.org/officeDocument/2006/relationships/image" Target="media/image7.jpeg"/><Relationship Id="rId70" Type="http://schemas.openxmlformats.org/officeDocument/2006/relationships/image" Target="media/image6.jpeg"/><Relationship Id="rId7" Type="http://schemas.openxmlformats.org/officeDocument/2006/relationships/header" Target="header3.xml"/><Relationship Id="rId69" Type="http://schemas.openxmlformats.org/officeDocument/2006/relationships/image" Target="media/image5.jpeg"/><Relationship Id="rId68" Type="http://schemas.openxmlformats.org/officeDocument/2006/relationships/image" Target="media/image4.jpeg"/><Relationship Id="rId67" Type="http://schemas.openxmlformats.org/officeDocument/2006/relationships/image" Target="media/image3.jpeg"/><Relationship Id="rId66" Type="http://schemas.openxmlformats.org/officeDocument/2006/relationships/image" Target="media/image2.jpeg"/><Relationship Id="rId65" Type="http://schemas.openxmlformats.org/officeDocument/2006/relationships/image" Target="media/image1.jpeg"/><Relationship Id="rId64" Type="http://schemas.openxmlformats.org/officeDocument/2006/relationships/theme" Target="theme/theme1.xml"/><Relationship Id="rId63" Type="http://schemas.openxmlformats.org/officeDocument/2006/relationships/footer" Target="footer10.xml"/><Relationship Id="rId62" Type="http://schemas.openxmlformats.org/officeDocument/2006/relationships/header" Target="header49.xml"/><Relationship Id="rId61" Type="http://schemas.openxmlformats.org/officeDocument/2006/relationships/footer" Target="footer9.xml"/><Relationship Id="rId60" Type="http://schemas.openxmlformats.org/officeDocument/2006/relationships/header" Target="header48.xml"/><Relationship Id="rId6" Type="http://schemas.openxmlformats.org/officeDocument/2006/relationships/header" Target="header2.xml"/><Relationship Id="rId59" Type="http://schemas.openxmlformats.org/officeDocument/2006/relationships/header" Target="header47.xml"/><Relationship Id="rId58" Type="http://schemas.openxmlformats.org/officeDocument/2006/relationships/header" Target="header46.xml"/><Relationship Id="rId57" Type="http://schemas.openxmlformats.org/officeDocument/2006/relationships/header" Target="header45.xml"/><Relationship Id="rId56" Type="http://schemas.openxmlformats.org/officeDocument/2006/relationships/header" Target="header44.xml"/><Relationship Id="rId55" Type="http://schemas.openxmlformats.org/officeDocument/2006/relationships/header" Target="header43.xml"/><Relationship Id="rId54" Type="http://schemas.openxmlformats.org/officeDocument/2006/relationships/header" Target="header42.xml"/><Relationship Id="rId53" Type="http://schemas.openxmlformats.org/officeDocument/2006/relationships/header" Target="header41.xml"/><Relationship Id="rId52" Type="http://schemas.openxmlformats.org/officeDocument/2006/relationships/footer" Target="footer8.xml"/><Relationship Id="rId51" Type="http://schemas.openxmlformats.org/officeDocument/2006/relationships/footer" Target="footer7.xml"/><Relationship Id="rId50" Type="http://schemas.openxmlformats.org/officeDocument/2006/relationships/footer" Target="footer6.xml"/><Relationship Id="rId5" Type="http://schemas.openxmlformats.org/officeDocument/2006/relationships/header" Target="header1.xml"/><Relationship Id="rId49" Type="http://schemas.openxmlformats.org/officeDocument/2006/relationships/header" Target="header40.xml"/><Relationship Id="rId48" Type="http://schemas.openxmlformats.org/officeDocument/2006/relationships/header" Target="header39.xml"/><Relationship Id="rId47" Type="http://schemas.openxmlformats.org/officeDocument/2006/relationships/header" Target="header38.xml"/><Relationship Id="rId46" Type="http://schemas.openxmlformats.org/officeDocument/2006/relationships/header" Target="header37.xml"/><Relationship Id="rId45" Type="http://schemas.openxmlformats.org/officeDocument/2006/relationships/header" Target="header36.xml"/><Relationship Id="rId44" Type="http://schemas.openxmlformats.org/officeDocument/2006/relationships/header" Target="header35.xml"/><Relationship Id="rId43" Type="http://schemas.openxmlformats.org/officeDocument/2006/relationships/header" Target="header34.xml"/><Relationship Id="rId42" Type="http://schemas.openxmlformats.org/officeDocument/2006/relationships/header" Target="header33.xml"/><Relationship Id="rId41" Type="http://schemas.openxmlformats.org/officeDocument/2006/relationships/header" Target="header32.xml"/><Relationship Id="rId40" Type="http://schemas.openxmlformats.org/officeDocument/2006/relationships/header" Target="header31.xml"/><Relationship Id="rId4" Type="http://schemas.openxmlformats.org/officeDocument/2006/relationships/endnotes" Target="endnotes.xml"/><Relationship Id="rId39" Type="http://schemas.openxmlformats.org/officeDocument/2006/relationships/header" Target="header30.xml"/><Relationship Id="rId38" Type="http://schemas.openxmlformats.org/officeDocument/2006/relationships/header" Target="header29.xml"/><Relationship Id="rId37" Type="http://schemas.openxmlformats.org/officeDocument/2006/relationships/header" Target="header28.xml"/><Relationship Id="rId36" Type="http://schemas.openxmlformats.org/officeDocument/2006/relationships/header" Target="header27.xml"/><Relationship Id="rId35" Type="http://schemas.openxmlformats.org/officeDocument/2006/relationships/header" Target="header26.xml"/><Relationship Id="rId34" Type="http://schemas.openxmlformats.org/officeDocument/2006/relationships/header" Target="header25.xml"/><Relationship Id="rId33" Type="http://schemas.openxmlformats.org/officeDocument/2006/relationships/header" Target="header24.xml"/><Relationship Id="rId32" Type="http://schemas.openxmlformats.org/officeDocument/2006/relationships/header" Target="header23.xml"/><Relationship Id="rId31" Type="http://schemas.openxmlformats.org/officeDocument/2006/relationships/header" Target="header22.xml"/><Relationship Id="rId30" Type="http://schemas.openxmlformats.org/officeDocument/2006/relationships/header" Target="header21.xml"/><Relationship Id="rId3" Type="http://schemas.openxmlformats.org/officeDocument/2006/relationships/footnotes" Target="footnotes.xml"/><Relationship Id="rId29" Type="http://schemas.openxmlformats.org/officeDocument/2006/relationships/header" Target="header20.xml"/><Relationship Id="rId28" Type="http://schemas.openxmlformats.org/officeDocument/2006/relationships/header" Target="header19.xml"/><Relationship Id="rId277" Type="http://schemas.openxmlformats.org/officeDocument/2006/relationships/fontTable" Target="fontTable.xml"/><Relationship Id="rId276" Type="http://schemas.openxmlformats.org/officeDocument/2006/relationships/numbering" Target="numbering.xml"/><Relationship Id="rId275" Type="http://schemas.openxmlformats.org/officeDocument/2006/relationships/customXml" Target="../customXml/item1.xml"/><Relationship Id="rId274" Type="http://schemas.openxmlformats.org/officeDocument/2006/relationships/image" Target="media/image208.jpeg"/><Relationship Id="rId273" Type="http://schemas.openxmlformats.org/officeDocument/2006/relationships/image" Target="media/image207.jpeg"/><Relationship Id="rId272" Type="http://schemas.openxmlformats.org/officeDocument/2006/relationships/image" Target="media/image206.jpeg"/><Relationship Id="rId271" Type="http://schemas.openxmlformats.org/officeDocument/2006/relationships/image" Target="media/image205.png"/><Relationship Id="rId270" Type="http://schemas.openxmlformats.org/officeDocument/2006/relationships/image" Target="media/image204.jpeg"/><Relationship Id="rId27" Type="http://schemas.openxmlformats.org/officeDocument/2006/relationships/header" Target="header18.xml"/><Relationship Id="rId269" Type="http://schemas.openxmlformats.org/officeDocument/2006/relationships/image" Target="media/image203.jpeg"/><Relationship Id="rId268" Type="http://schemas.openxmlformats.org/officeDocument/2006/relationships/image" Target="media/image202.png"/><Relationship Id="rId267" Type="http://schemas.openxmlformats.org/officeDocument/2006/relationships/image" Target="media/image201.png"/><Relationship Id="rId266" Type="http://schemas.openxmlformats.org/officeDocument/2006/relationships/image" Target="media/image200.jpeg"/><Relationship Id="rId265" Type="http://schemas.openxmlformats.org/officeDocument/2006/relationships/image" Target="media/image199.jpeg"/><Relationship Id="rId264" Type="http://schemas.openxmlformats.org/officeDocument/2006/relationships/image" Target="media/image198.jpeg"/><Relationship Id="rId263" Type="http://schemas.openxmlformats.org/officeDocument/2006/relationships/image" Target="media/image197.png"/><Relationship Id="rId262" Type="http://schemas.openxmlformats.org/officeDocument/2006/relationships/image" Target="media/image196.jpeg"/><Relationship Id="rId261" Type="http://schemas.openxmlformats.org/officeDocument/2006/relationships/image" Target="media/image195.jpeg"/><Relationship Id="rId260" Type="http://schemas.openxmlformats.org/officeDocument/2006/relationships/image" Target="media/image194.png"/><Relationship Id="rId26" Type="http://schemas.openxmlformats.org/officeDocument/2006/relationships/header" Target="header17.xml"/><Relationship Id="rId259" Type="http://schemas.openxmlformats.org/officeDocument/2006/relationships/image" Target="media/image193.png"/><Relationship Id="rId258" Type="http://schemas.openxmlformats.org/officeDocument/2006/relationships/image" Target="media/image192.png"/><Relationship Id="rId257" Type="http://schemas.openxmlformats.org/officeDocument/2006/relationships/image" Target="media/image191.png"/><Relationship Id="rId256" Type="http://schemas.openxmlformats.org/officeDocument/2006/relationships/image" Target="media/image190.jpeg"/><Relationship Id="rId255" Type="http://schemas.openxmlformats.org/officeDocument/2006/relationships/image" Target="media/image189.png"/><Relationship Id="rId254" Type="http://schemas.openxmlformats.org/officeDocument/2006/relationships/image" Target="media/image188.jpeg"/><Relationship Id="rId253" Type="http://schemas.openxmlformats.org/officeDocument/2006/relationships/image" Target="media/image187.png"/><Relationship Id="rId252" Type="http://schemas.openxmlformats.org/officeDocument/2006/relationships/image" Target="media/image186.png"/><Relationship Id="rId251" Type="http://schemas.openxmlformats.org/officeDocument/2006/relationships/image" Target="media/image185.png"/><Relationship Id="rId250" Type="http://schemas.openxmlformats.org/officeDocument/2006/relationships/image" Target="media/image184.png"/><Relationship Id="rId25" Type="http://schemas.openxmlformats.org/officeDocument/2006/relationships/header" Target="header16.xml"/><Relationship Id="rId249" Type="http://schemas.openxmlformats.org/officeDocument/2006/relationships/image" Target="media/image183.png"/><Relationship Id="rId248" Type="http://schemas.openxmlformats.org/officeDocument/2006/relationships/image" Target="media/image182.png"/><Relationship Id="rId247" Type="http://schemas.openxmlformats.org/officeDocument/2006/relationships/image" Target="media/image181.png"/><Relationship Id="rId246" Type="http://schemas.openxmlformats.org/officeDocument/2006/relationships/image" Target="media/image180.png"/><Relationship Id="rId245" Type="http://schemas.openxmlformats.org/officeDocument/2006/relationships/image" Target="media/image179.jpeg"/><Relationship Id="rId244" Type="http://schemas.openxmlformats.org/officeDocument/2006/relationships/image" Target="media/image178.png"/><Relationship Id="rId243" Type="http://schemas.openxmlformats.org/officeDocument/2006/relationships/image" Target="media/image177.jpeg"/><Relationship Id="rId242" Type="http://schemas.openxmlformats.org/officeDocument/2006/relationships/image" Target="media/image176.png"/><Relationship Id="rId241" Type="http://schemas.openxmlformats.org/officeDocument/2006/relationships/image" Target="media/image175.jpeg"/><Relationship Id="rId240" Type="http://schemas.openxmlformats.org/officeDocument/2006/relationships/image" Target="media/image174.png"/><Relationship Id="rId24" Type="http://schemas.openxmlformats.org/officeDocument/2006/relationships/header" Target="header15.xml"/><Relationship Id="rId239" Type="http://schemas.openxmlformats.org/officeDocument/2006/relationships/image" Target="media/image173.jpeg"/><Relationship Id="rId238" Type="http://schemas.openxmlformats.org/officeDocument/2006/relationships/image" Target="media/image172.png"/><Relationship Id="rId237" Type="http://schemas.openxmlformats.org/officeDocument/2006/relationships/image" Target="media/image171.png"/><Relationship Id="rId236" Type="http://schemas.openxmlformats.org/officeDocument/2006/relationships/image" Target="media/image170.png"/><Relationship Id="rId235" Type="http://schemas.openxmlformats.org/officeDocument/2006/relationships/image" Target="media/image169.png"/><Relationship Id="rId234" Type="http://schemas.openxmlformats.org/officeDocument/2006/relationships/image" Target="media/image168.png"/><Relationship Id="rId233" Type="http://schemas.openxmlformats.org/officeDocument/2006/relationships/image" Target="media/image167.png"/><Relationship Id="rId232" Type="http://schemas.openxmlformats.org/officeDocument/2006/relationships/image" Target="media/image166.png"/><Relationship Id="rId231" Type="http://schemas.openxmlformats.org/officeDocument/2006/relationships/image" Target="media/image165.png"/><Relationship Id="rId230" Type="http://schemas.openxmlformats.org/officeDocument/2006/relationships/image" Target="media/image164.jpeg"/><Relationship Id="rId23" Type="http://schemas.openxmlformats.org/officeDocument/2006/relationships/header" Target="header14.xml"/><Relationship Id="rId229" Type="http://schemas.openxmlformats.org/officeDocument/2006/relationships/image" Target="media/image163.jpeg"/><Relationship Id="rId228" Type="http://schemas.openxmlformats.org/officeDocument/2006/relationships/image" Target="media/image162.jpeg"/><Relationship Id="rId227" Type="http://schemas.openxmlformats.org/officeDocument/2006/relationships/image" Target="media/image161.png"/><Relationship Id="rId226" Type="http://schemas.openxmlformats.org/officeDocument/2006/relationships/image" Target="media/image160.png"/><Relationship Id="rId225" Type="http://schemas.openxmlformats.org/officeDocument/2006/relationships/image" Target="media/image159.png"/><Relationship Id="rId224" Type="http://schemas.openxmlformats.org/officeDocument/2006/relationships/image" Target="media/image158.png"/><Relationship Id="rId223" Type="http://schemas.openxmlformats.org/officeDocument/2006/relationships/image" Target="media/image157.png"/><Relationship Id="rId222" Type="http://schemas.openxmlformats.org/officeDocument/2006/relationships/image" Target="media/image156.png"/><Relationship Id="rId221" Type="http://schemas.openxmlformats.org/officeDocument/2006/relationships/image" Target="media/image155.jpeg"/><Relationship Id="rId220" Type="http://schemas.openxmlformats.org/officeDocument/2006/relationships/image" Target="media/image154.jpeg"/><Relationship Id="rId22" Type="http://schemas.openxmlformats.org/officeDocument/2006/relationships/header" Target="header13.xml"/><Relationship Id="rId219" Type="http://schemas.openxmlformats.org/officeDocument/2006/relationships/image" Target="media/image153.png"/><Relationship Id="rId218" Type="http://schemas.openxmlformats.org/officeDocument/2006/relationships/image" Target="media/image152.png"/><Relationship Id="rId217" Type="http://schemas.openxmlformats.org/officeDocument/2006/relationships/image" Target="media/image151.png"/><Relationship Id="rId216" Type="http://schemas.openxmlformats.org/officeDocument/2006/relationships/image" Target="media/image150.png"/><Relationship Id="rId215" Type="http://schemas.openxmlformats.org/officeDocument/2006/relationships/image" Target="media/image149.png"/><Relationship Id="rId214" Type="http://schemas.openxmlformats.org/officeDocument/2006/relationships/image" Target="media/image148.png"/><Relationship Id="rId213" Type="http://schemas.openxmlformats.org/officeDocument/2006/relationships/image" Target="media/image147.png"/><Relationship Id="rId212" Type="http://schemas.openxmlformats.org/officeDocument/2006/relationships/image" Target="media/image146.png"/><Relationship Id="rId211" Type="http://schemas.openxmlformats.org/officeDocument/2006/relationships/image" Target="media/image145.png"/><Relationship Id="rId210" Type="http://schemas.openxmlformats.org/officeDocument/2006/relationships/image" Target="media/image144.png"/><Relationship Id="rId21" Type="http://schemas.openxmlformats.org/officeDocument/2006/relationships/header" Target="header12.xml"/><Relationship Id="rId209" Type="http://schemas.openxmlformats.org/officeDocument/2006/relationships/image" Target="media/image143.jpeg"/><Relationship Id="rId208" Type="http://schemas.openxmlformats.org/officeDocument/2006/relationships/image" Target="media/image142.png"/><Relationship Id="rId207" Type="http://schemas.openxmlformats.org/officeDocument/2006/relationships/image" Target="media/image141.jpeg"/><Relationship Id="rId206" Type="http://schemas.openxmlformats.org/officeDocument/2006/relationships/image" Target="media/image140.jpeg"/><Relationship Id="rId205" Type="http://schemas.openxmlformats.org/officeDocument/2006/relationships/image" Target="media/image139.png"/><Relationship Id="rId204" Type="http://schemas.openxmlformats.org/officeDocument/2006/relationships/image" Target="media/image138.png"/><Relationship Id="rId203" Type="http://schemas.openxmlformats.org/officeDocument/2006/relationships/image" Target="media/image137.png"/><Relationship Id="rId202" Type="http://schemas.openxmlformats.org/officeDocument/2006/relationships/image" Target="media/image136.png"/><Relationship Id="rId201" Type="http://schemas.openxmlformats.org/officeDocument/2006/relationships/image" Target="media/image135.png"/><Relationship Id="rId200" Type="http://schemas.openxmlformats.org/officeDocument/2006/relationships/image" Target="media/image134.png"/><Relationship Id="rId20" Type="http://schemas.openxmlformats.org/officeDocument/2006/relationships/header" Target="header11.xml"/><Relationship Id="rId2" Type="http://schemas.openxmlformats.org/officeDocument/2006/relationships/settings" Target="settings.xml"/><Relationship Id="rId199" Type="http://schemas.openxmlformats.org/officeDocument/2006/relationships/image" Target="media/image133.png"/><Relationship Id="rId198" Type="http://schemas.openxmlformats.org/officeDocument/2006/relationships/image" Target="media/image132.png"/><Relationship Id="rId197" Type="http://schemas.openxmlformats.org/officeDocument/2006/relationships/image" Target="media/image131.png"/><Relationship Id="rId196" Type="http://schemas.openxmlformats.org/officeDocument/2006/relationships/image" Target="media/image130.png"/><Relationship Id="rId195" Type="http://schemas.openxmlformats.org/officeDocument/2006/relationships/image" Target="media/image129.png"/><Relationship Id="rId194" Type="http://schemas.openxmlformats.org/officeDocument/2006/relationships/image" Target="media/image128.jpeg"/><Relationship Id="rId193" Type="http://schemas.openxmlformats.org/officeDocument/2006/relationships/image" Target="media/image127.png"/><Relationship Id="rId192" Type="http://schemas.openxmlformats.org/officeDocument/2006/relationships/image" Target="media/image126.jpeg"/><Relationship Id="rId191" Type="http://schemas.openxmlformats.org/officeDocument/2006/relationships/image" Target="media/image125.jpeg"/><Relationship Id="rId190" Type="http://schemas.openxmlformats.org/officeDocument/2006/relationships/image" Target="media/image124.jpeg"/><Relationship Id="rId19" Type="http://schemas.openxmlformats.org/officeDocument/2006/relationships/header" Target="header10.xml"/><Relationship Id="rId189" Type="http://schemas.openxmlformats.org/officeDocument/2006/relationships/image" Target="media/image123.jpeg"/><Relationship Id="rId188" Type="http://schemas.openxmlformats.org/officeDocument/2006/relationships/image" Target="media/image122.png"/><Relationship Id="rId187" Type="http://schemas.openxmlformats.org/officeDocument/2006/relationships/image" Target="media/image121.png"/><Relationship Id="rId186" Type="http://schemas.openxmlformats.org/officeDocument/2006/relationships/image" Target="media/image120.png"/><Relationship Id="rId185" Type="http://schemas.openxmlformats.org/officeDocument/2006/relationships/image" Target="media/image119.png"/><Relationship Id="rId184" Type="http://schemas.openxmlformats.org/officeDocument/2006/relationships/image" Target="media/image118.png"/><Relationship Id="rId183" Type="http://schemas.openxmlformats.org/officeDocument/2006/relationships/image" Target="media/image117.png"/><Relationship Id="rId182" Type="http://schemas.openxmlformats.org/officeDocument/2006/relationships/image" Target="media/image116.png"/><Relationship Id="rId181" Type="http://schemas.openxmlformats.org/officeDocument/2006/relationships/image" Target="media/image115.png"/><Relationship Id="rId180" Type="http://schemas.openxmlformats.org/officeDocument/2006/relationships/image" Target="media/image114.png"/><Relationship Id="rId18" Type="http://schemas.openxmlformats.org/officeDocument/2006/relationships/header" Target="header9.xml"/><Relationship Id="rId179" Type="http://schemas.openxmlformats.org/officeDocument/2006/relationships/chart" Target="charts/chart2.xml"/><Relationship Id="rId178" Type="http://schemas.openxmlformats.org/officeDocument/2006/relationships/image" Target="media/image113.jpeg"/><Relationship Id="rId177" Type="http://schemas.openxmlformats.org/officeDocument/2006/relationships/image" Target="media/image112.jpeg"/><Relationship Id="rId176" Type="http://schemas.openxmlformats.org/officeDocument/2006/relationships/image" Target="media/image111.jpeg"/><Relationship Id="rId175" Type="http://schemas.openxmlformats.org/officeDocument/2006/relationships/image" Target="media/image110.jpeg"/><Relationship Id="rId174" Type="http://schemas.openxmlformats.org/officeDocument/2006/relationships/image" Target="media/image109.jpeg"/><Relationship Id="rId173" Type="http://schemas.openxmlformats.org/officeDocument/2006/relationships/image" Target="media/image108.jpeg"/><Relationship Id="rId172" Type="http://schemas.openxmlformats.org/officeDocument/2006/relationships/image" Target="media/image107.png"/><Relationship Id="rId171" Type="http://schemas.openxmlformats.org/officeDocument/2006/relationships/image" Target="media/image106.png"/><Relationship Id="rId170" Type="http://schemas.openxmlformats.org/officeDocument/2006/relationships/image" Target="media/image105.png"/><Relationship Id="rId17" Type="http://schemas.openxmlformats.org/officeDocument/2006/relationships/header" Target="header8.xml"/><Relationship Id="rId169" Type="http://schemas.openxmlformats.org/officeDocument/2006/relationships/image" Target="media/image104.png"/><Relationship Id="rId168" Type="http://schemas.openxmlformats.org/officeDocument/2006/relationships/image" Target="media/image103.png"/><Relationship Id="rId167" Type="http://schemas.openxmlformats.org/officeDocument/2006/relationships/image" Target="media/image102.png"/><Relationship Id="rId166" Type="http://schemas.openxmlformats.org/officeDocument/2006/relationships/image" Target="media/image101.png"/><Relationship Id="rId165" Type="http://schemas.openxmlformats.org/officeDocument/2006/relationships/chart" Target="charts/chart1.xml"/><Relationship Id="rId164" Type="http://schemas.openxmlformats.org/officeDocument/2006/relationships/image" Target="media/image100.png"/><Relationship Id="rId163" Type="http://schemas.openxmlformats.org/officeDocument/2006/relationships/image" Target="media/image99.png"/><Relationship Id="rId162" Type="http://schemas.openxmlformats.org/officeDocument/2006/relationships/image" Target="media/image98.png"/><Relationship Id="rId161" Type="http://schemas.openxmlformats.org/officeDocument/2006/relationships/image" Target="media/image97.jpeg"/><Relationship Id="rId160" Type="http://schemas.openxmlformats.org/officeDocument/2006/relationships/image" Target="media/image96.jpeg"/><Relationship Id="rId16" Type="http://schemas.openxmlformats.org/officeDocument/2006/relationships/header" Target="header7.xml"/><Relationship Id="rId159" Type="http://schemas.openxmlformats.org/officeDocument/2006/relationships/image" Target="media/image95.png"/><Relationship Id="rId158" Type="http://schemas.openxmlformats.org/officeDocument/2006/relationships/image" Target="media/image94.png"/><Relationship Id="rId157" Type="http://schemas.openxmlformats.org/officeDocument/2006/relationships/image" Target="media/image93.png"/><Relationship Id="rId156" Type="http://schemas.openxmlformats.org/officeDocument/2006/relationships/image" Target="media/image92.png"/><Relationship Id="rId155" Type="http://schemas.openxmlformats.org/officeDocument/2006/relationships/image" Target="media/image91.png"/><Relationship Id="rId154" Type="http://schemas.openxmlformats.org/officeDocument/2006/relationships/image" Target="media/image90.png"/><Relationship Id="rId153" Type="http://schemas.openxmlformats.org/officeDocument/2006/relationships/image" Target="media/image89.wmf"/><Relationship Id="rId152" Type="http://schemas.openxmlformats.org/officeDocument/2006/relationships/image" Target="media/image88.wmf"/><Relationship Id="rId151" Type="http://schemas.openxmlformats.org/officeDocument/2006/relationships/image" Target="media/image87.png"/><Relationship Id="rId150" Type="http://schemas.openxmlformats.org/officeDocument/2006/relationships/image" Target="media/image86.png"/><Relationship Id="rId15" Type="http://schemas.openxmlformats.org/officeDocument/2006/relationships/header" Target="header6.xml"/><Relationship Id="rId149" Type="http://schemas.openxmlformats.org/officeDocument/2006/relationships/image" Target="media/image85.png"/><Relationship Id="rId148" Type="http://schemas.openxmlformats.org/officeDocument/2006/relationships/image" Target="media/image84.png"/><Relationship Id="rId147" Type="http://schemas.openxmlformats.org/officeDocument/2006/relationships/image" Target="media/image83.png"/><Relationship Id="rId146" Type="http://schemas.openxmlformats.org/officeDocument/2006/relationships/image" Target="media/image82.png"/><Relationship Id="rId145" Type="http://schemas.openxmlformats.org/officeDocument/2006/relationships/image" Target="media/image81.png"/><Relationship Id="rId144" Type="http://schemas.openxmlformats.org/officeDocument/2006/relationships/image" Target="media/image80.png"/><Relationship Id="rId143" Type="http://schemas.openxmlformats.org/officeDocument/2006/relationships/image" Target="media/image79.png"/><Relationship Id="rId142" Type="http://schemas.openxmlformats.org/officeDocument/2006/relationships/image" Target="media/image78.png"/><Relationship Id="rId141" Type="http://schemas.openxmlformats.org/officeDocument/2006/relationships/image" Target="media/image77.png"/><Relationship Id="rId140" Type="http://schemas.openxmlformats.org/officeDocument/2006/relationships/image" Target="media/image76.wmf"/><Relationship Id="rId14" Type="http://schemas.openxmlformats.org/officeDocument/2006/relationships/footer" Target="footer5.xml"/><Relationship Id="rId139" Type="http://schemas.openxmlformats.org/officeDocument/2006/relationships/image" Target="media/image75.wmf"/><Relationship Id="rId138" Type="http://schemas.openxmlformats.org/officeDocument/2006/relationships/image" Target="media/image74.wmf"/><Relationship Id="rId137" Type="http://schemas.openxmlformats.org/officeDocument/2006/relationships/image" Target="media/image73.wmf"/><Relationship Id="rId136" Type="http://schemas.openxmlformats.org/officeDocument/2006/relationships/image" Target="media/image72.wmf"/><Relationship Id="rId135" Type="http://schemas.openxmlformats.org/officeDocument/2006/relationships/image" Target="media/image71.wmf"/><Relationship Id="rId134" Type="http://schemas.openxmlformats.org/officeDocument/2006/relationships/image" Target="media/image70.wmf"/><Relationship Id="rId133" Type="http://schemas.openxmlformats.org/officeDocument/2006/relationships/image" Target="media/image69.jpeg"/><Relationship Id="rId132" Type="http://schemas.openxmlformats.org/officeDocument/2006/relationships/image" Target="media/image68.jpeg"/><Relationship Id="rId131" Type="http://schemas.openxmlformats.org/officeDocument/2006/relationships/image" Target="media/image67.jpeg"/><Relationship Id="rId130" Type="http://schemas.openxmlformats.org/officeDocument/2006/relationships/image" Target="media/image66.jpeg"/><Relationship Id="rId13" Type="http://schemas.openxmlformats.org/officeDocument/2006/relationships/footer" Target="footer4.xml"/><Relationship Id="rId129" Type="http://schemas.openxmlformats.org/officeDocument/2006/relationships/image" Target="media/image65.jpeg"/><Relationship Id="rId128" Type="http://schemas.openxmlformats.org/officeDocument/2006/relationships/image" Target="media/image64.emf"/><Relationship Id="rId127" Type="http://schemas.openxmlformats.org/officeDocument/2006/relationships/image" Target="media/image63.emf"/><Relationship Id="rId126" Type="http://schemas.openxmlformats.org/officeDocument/2006/relationships/image" Target="media/image62.jpeg"/><Relationship Id="rId125" Type="http://schemas.openxmlformats.org/officeDocument/2006/relationships/image" Target="media/image61.jpeg"/><Relationship Id="rId124" Type="http://schemas.openxmlformats.org/officeDocument/2006/relationships/image" Target="media/image60.jpeg"/><Relationship Id="rId123" Type="http://schemas.openxmlformats.org/officeDocument/2006/relationships/image" Target="media/image59.jpeg"/><Relationship Id="rId122" Type="http://schemas.openxmlformats.org/officeDocument/2006/relationships/image" Target="media/image58.jpeg"/><Relationship Id="rId121" Type="http://schemas.openxmlformats.org/officeDocument/2006/relationships/image" Target="media/image57.jpeg"/><Relationship Id="rId120" Type="http://schemas.openxmlformats.org/officeDocument/2006/relationships/image" Target="media/image56.png"/><Relationship Id="rId12" Type="http://schemas.openxmlformats.org/officeDocument/2006/relationships/header" Target="header5.xml"/><Relationship Id="rId119" Type="http://schemas.openxmlformats.org/officeDocument/2006/relationships/image" Target="media/image55.jpeg"/><Relationship Id="rId118" Type="http://schemas.openxmlformats.org/officeDocument/2006/relationships/image" Target="media/image54.jpeg"/><Relationship Id="rId117" Type="http://schemas.openxmlformats.org/officeDocument/2006/relationships/image" Target="media/image53.jpeg"/><Relationship Id="rId116" Type="http://schemas.openxmlformats.org/officeDocument/2006/relationships/image" Target="media/image52.jpeg"/><Relationship Id="rId115" Type="http://schemas.openxmlformats.org/officeDocument/2006/relationships/image" Target="media/image51.jpeg"/><Relationship Id="rId114" Type="http://schemas.openxmlformats.org/officeDocument/2006/relationships/image" Target="media/image50.jpeg"/><Relationship Id="rId113" Type="http://schemas.openxmlformats.org/officeDocument/2006/relationships/image" Target="media/image49.jpeg"/><Relationship Id="rId112" Type="http://schemas.openxmlformats.org/officeDocument/2006/relationships/image" Target="media/image48.jpeg"/><Relationship Id="rId111" Type="http://schemas.openxmlformats.org/officeDocument/2006/relationships/image" Target="media/image47.png"/><Relationship Id="rId110" Type="http://schemas.openxmlformats.org/officeDocument/2006/relationships/image" Target="media/image46.jpeg"/><Relationship Id="rId11" Type="http://schemas.openxmlformats.org/officeDocument/2006/relationships/header" Target="header4.xml"/><Relationship Id="rId109" Type="http://schemas.openxmlformats.org/officeDocument/2006/relationships/image" Target="media/image45.png"/><Relationship Id="rId108" Type="http://schemas.openxmlformats.org/officeDocument/2006/relationships/image" Target="media/image44.jpeg"/><Relationship Id="rId107" Type="http://schemas.openxmlformats.org/officeDocument/2006/relationships/image" Target="media/image43.jpeg"/><Relationship Id="rId106" Type="http://schemas.openxmlformats.org/officeDocument/2006/relationships/image" Target="media/image42.jpeg"/><Relationship Id="rId105" Type="http://schemas.openxmlformats.org/officeDocument/2006/relationships/image" Target="media/image41.jpeg"/><Relationship Id="rId104" Type="http://schemas.openxmlformats.org/officeDocument/2006/relationships/image" Target="media/image40.jpeg"/><Relationship Id="rId103" Type="http://schemas.openxmlformats.org/officeDocument/2006/relationships/image" Target="media/image39.jpeg"/><Relationship Id="rId102" Type="http://schemas.openxmlformats.org/officeDocument/2006/relationships/image" Target="media/image38.jpeg"/><Relationship Id="rId101" Type="http://schemas.openxmlformats.org/officeDocument/2006/relationships/image" Target="media/image37.jpeg"/><Relationship Id="rId100" Type="http://schemas.openxmlformats.org/officeDocument/2006/relationships/image" Target="media/image36.jpeg"/><Relationship Id="rId10" Type="http://schemas.openxmlformats.org/officeDocument/2006/relationships/footer" Target="footer3.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5" Type="http://schemas.microsoft.com/office/2011/relationships/chartColorStyle" Target="colors2.xml"/><Relationship Id="rId4" Type="http://schemas.microsoft.com/office/2011/relationships/chartStyle" Target="style2.xml"/><Relationship Id="rId3" Type="http://schemas.openxmlformats.org/officeDocument/2006/relationships/chartUserShapes" Target="../drawings/drawing2.xml"/><Relationship Id="rId2" Type="http://schemas.openxmlformats.org/officeDocument/2006/relationships/themeOverride" Target="../theme/themeOverride1.xml"/><Relationship Id="rId1" Type="http://schemas.openxmlformats.org/officeDocument/2006/relationships/oleObject" Target="file:///F:\E&#30424;\&#32166;&#27743;&#38450;&#27946;\20210603&#32166;&#27743;&#21306;&#38271;&#27719;&#25253;&#21518;&#20462;&#25913;\&#27700;&#38754;&#32447;&#35745;&#31639;20210608.xlsx" TargetMode="External"/></Relationships>
</file>

<file path=word/charts/_rels/chart2.xml.rels><?xml version="1.0" encoding="UTF-8" standalone="yes"?>
<Relationships xmlns="http://schemas.openxmlformats.org/package/2006/relationships"><Relationship Id="rId4" Type="http://schemas.microsoft.com/office/2011/relationships/chartColorStyle" Target="colors1.xml"/><Relationship Id="rId3" Type="http://schemas.microsoft.com/office/2011/relationships/chartStyle" Target="style1.xml"/><Relationship Id="rId2" Type="http://schemas.openxmlformats.org/officeDocument/2006/relationships/chartUserShapes" Target="../drawings/drawing1.xml"/><Relationship Id="rId1" Type="http://schemas.openxmlformats.org/officeDocument/2006/relationships/oleObject" Target="file:///F:\E&#30424;\&#32166;&#27743;&#38450;&#27946;\20210621&#37325;&#24198;&#23457;&#26597;&#21518;&#20462;&#25913;\&#22270;5.3-3%20%20&#32166;&#27743;&#24178;&#27969;&#20027;&#22478;&#21306;&#21450;&#19979;&#28216;&#27827;&#36947;&#30095;&#27994;&#21069;&#21518;&#30340;&#28145;&#24344;&#39640;&#3124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false"/>
  <c:lang val="zh-CN"/>
  <c:roundedCorners val="false"/>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true"/>
    <c:plotArea>
      <c:layout>
        <c:manualLayout>
          <c:layoutTarget val="inner"/>
          <c:xMode val="edge"/>
          <c:yMode val="edge"/>
          <c:x val="0.112894692120319"/>
          <c:y val="0.0509259259259259"/>
          <c:w val="0.855338469381975"/>
          <c:h val="0.798849518810149"/>
        </c:manualLayout>
      </c:layout>
      <c:scatterChart>
        <c:scatterStyle val="line"/>
        <c:varyColors val="false"/>
        <c:ser>
          <c:idx val="2"/>
          <c:order val="0"/>
          <c:tx>
            <c:strRef>
              <c:f>'[水面线计算20210608.xlsx]汇总-闸坝改造20a'!$AS$1</c:f>
              <c:strCache>
                <c:ptCount val="1"/>
                <c:pt idx="0">
                  <c:v>工程前水位</c:v>
                </c:pt>
              </c:strCache>
            </c:strRef>
          </c:tx>
          <c:spPr>
            <a:ln w="9525" cap="rnd">
              <a:solidFill>
                <a:srgbClr val="00B0F0"/>
              </a:solidFill>
              <a:prstDash val="sysDash"/>
              <a:round/>
            </a:ln>
            <a:effectLst>
              <a:outerShdw blurRad="57150" dist="19050" dir="5400000" algn="ctr" rotWithShape="0">
                <a:srgbClr val="000000">
                  <a:alpha val="63000"/>
                </a:srgbClr>
              </a:outerShdw>
            </a:effectLst>
          </c:spPr>
          <c:marker>
            <c:symbol val="none"/>
          </c:marker>
          <c:dLbls>
            <c:delete val="true"/>
          </c:dLbls>
          <c:xVal>
            <c:numRef>
              <c:f>'[水面线计算20210608.xlsx]汇总-闸坝改造20a'!$AR$2:$AR$99</c:f>
              <c:numCache>
                <c:formatCode>0.00_);[Red]\(0.00\)</c:formatCode>
                <c:ptCount val="98"/>
                <c:pt idx="0">
                  <c:v>0</c:v>
                </c:pt>
                <c:pt idx="1">
                  <c:v>0.2</c:v>
                </c:pt>
                <c:pt idx="2">
                  <c:v>0.636700000000001</c:v>
                </c:pt>
                <c:pt idx="3">
                  <c:v>1.0733</c:v>
                </c:pt>
                <c:pt idx="4">
                  <c:v>1.51</c:v>
                </c:pt>
                <c:pt idx="5">
                  <c:v>1.8867</c:v>
                </c:pt>
                <c:pt idx="6">
                  <c:v>2.2633</c:v>
                </c:pt>
                <c:pt idx="7">
                  <c:v>2.64</c:v>
                </c:pt>
                <c:pt idx="8">
                  <c:v>2.9265</c:v>
                </c:pt>
                <c:pt idx="9">
                  <c:v>3.213</c:v>
                </c:pt>
                <c:pt idx="10">
                  <c:v>3.393</c:v>
                </c:pt>
                <c:pt idx="11">
                  <c:v>3.836</c:v>
                </c:pt>
                <c:pt idx="12">
                  <c:v>4.197</c:v>
                </c:pt>
                <c:pt idx="13">
                  <c:v>4.535</c:v>
                </c:pt>
                <c:pt idx="14">
                  <c:v>4.871</c:v>
                </c:pt>
                <c:pt idx="15">
                  <c:v>5.359</c:v>
                </c:pt>
                <c:pt idx="16">
                  <c:v>5.459</c:v>
                </c:pt>
                <c:pt idx="17">
                  <c:v>5.698</c:v>
                </c:pt>
                <c:pt idx="18">
                  <c:v>6.008</c:v>
                </c:pt>
                <c:pt idx="19">
                  <c:v>6.498</c:v>
                </c:pt>
                <c:pt idx="20">
                  <c:v>6.698</c:v>
                </c:pt>
                <c:pt idx="21">
                  <c:v>6.998</c:v>
                </c:pt>
                <c:pt idx="22">
                  <c:v>7.371</c:v>
                </c:pt>
                <c:pt idx="23">
                  <c:v>7.744</c:v>
                </c:pt>
                <c:pt idx="24">
                  <c:v>8.2325</c:v>
                </c:pt>
                <c:pt idx="25">
                  <c:v>8.721</c:v>
                </c:pt>
                <c:pt idx="26">
                  <c:v>9.2095</c:v>
                </c:pt>
                <c:pt idx="27">
                  <c:v>9.698</c:v>
                </c:pt>
                <c:pt idx="28">
                  <c:v>10.1865</c:v>
                </c:pt>
                <c:pt idx="29">
                  <c:v>10.675</c:v>
                </c:pt>
                <c:pt idx="30">
                  <c:v>11.1545</c:v>
                </c:pt>
                <c:pt idx="31">
                  <c:v>11.634</c:v>
                </c:pt>
                <c:pt idx="32">
                  <c:v>12.1135</c:v>
                </c:pt>
                <c:pt idx="33">
                  <c:v>12.593</c:v>
                </c:pt>
                <c:pt idx="34">
                  <c:v>13.0284</c:v>
                </c:pt>
                <c:pt idx="35">
                  <c:v>13.4639</c:v>
                </c:pt>
                <c:pt idx="36">
                  <c:v>13.8993</c:v>
                </c:pt>
                <c:pt idx="37">
                  <c:v>14.3347</c:v>
                </c:pt>
                <c:pt idx="38">
                  <c:v>14.7701</c:v>
                </c:pt>
                <c:pt idx="39">
                  <c:v>15.2056</c:v>
                </c:pt>
                <c:pt idx="40">
                  <c:v>15.641</c:v>
                </c:pt>
                <c:pt idx="41">
                  <c:v>15.841</c:v>
                </c:pt>
                <c:pt idx="42">
                  <c:v>16.041</c:v>
                </c:pt>
                <c:pt idx="43">
                  <c:v>16.376</c:v>
                </c:pt>
                <c:pt idx="44">
                  <c:v>16.711</c:v>
                </c:pt>
                <c:pt idx="45">
                  <c:v>17.046</c:v>
                </c:pt>
                <c:pt idx="46">
                  <c:v>17.4167</c:v>
                </c:pt>
                <c:pt idx="47">
                  <c:v>17.7873</c:v>
                </c:pt>
                <c:pt idx="48">
                  <c:v>18.158</c:v>
                </c:pt>
                <c:pt idx="49">
                  <c:v>18.582</c:v>
                </c:pt>
                <c:pt idx="50">
                  <c:v>19.006</c:v>
                </c:pt>
                <c:pt idx="51">
                  <c:v>19.353</c:v>
                </c:pt>
                <c:pt idx="52">
                  <c:v>19.7</c:v>
                </c:pt>
                <c:pt idx="53">
                  <c:v>20.1135</c:v>
                </c:pt>
                <c:pt idx="54">
                  <c:v>20.527</c:v>
                </c:pt>
                <c:pt idx="55">
                  <c:v>20.965</c:v>
                </c:pt>
                <c:pt idx="56">
                  <c:v>21.065</c:v>
                </c:pt>
                <c:pt idx="57">
                  <c:v>21.359</c:v>
                </c:pt>
                <c:pt idx="58">
                  <c:v>21.649</c:v>
                </c:pt>
                <c:pt idx="59">
                  <c:v>21.939</c:v>
                </c:pt>
                <c:pt idx="60">
                  <c:v>22.139</c:v>
                </c:pt>
                <c:pt idx="61">
                  <c:v>22.439</c:v>
                </c:pt>
                <c:pt idx="62">
                  <c:v>22.7025</c:v>
                </c:pt>
                <c:pt idx="63">
                  <c:v>22.966</c:v>
                </c:pt>
                <c:pt idx="64">
                  <c:v>23.349</c:v>
                </c:pt>
                <c:pt idx="65">
                  <c:v>23.549</c:v>
                </c:pt>
                <c:pt idx="66">
                  <c:v>23.649</c:v>
                </c:pt>
                <c:pt idx="67">
                  <c:v>23.918</c:v>
                </c:pt>
                <c:pt idx="68">
                  <c:v>24.187</c:v>
                </c:pt>
                <c:pt idx="69">
                  <c:v>24.35</c:v>
                </c:pt>
                <c:pt idx="70">
                  <c:v>24.444</c:v>
                </c:pt>
                <c:pt idx="71">
                  <c:v>24.626</c:v>
                </c:pt>
                <c:pt idx="72">
                  <c:v>24.796</c:v>
                </c:pt>
                <c:pt idx="73">
                  <c:v>24.962</c:v>
                </c:pt>
                <c:pt idx="74">
                  <c:v>25.119</c:v>
                </c:pt>
                <c:pt idx="75">
                  <c:v>25.4515</c:v>
                </c:pt>
                <c:pt idx="76">
                  <c:v>25.784</c:v>
                </c:pt>
                <c:pt idx="77">
                  <c:v>26.202</c:v>
                </c:pt>
                <c:pt idx="78">
                  <c:v>26.5645</c:v>
                </c:pt>
                <c:pt idx="79">
                  <c:v>26.927</c:v>
                </c:pt>
                <c:pt idx="80">
                  <c:v>27.232</c:v>
                </c:pt>
                <c:pt idx="81">
                  <c:v>27.537</c:v>
                </c:pt>
                <c:pt idx="82">
                  <c:v>27.7935</c:v>
                </c:pt>
                <c:pt idx="83">
                  <c:v>28.05</c:v>
                </c:pt>
                <c:pt idx="84">
                  <c:v>28.5065</c:v>
                </c:pt>
                <c:pt idx="85">
                  <c:v>28.963</c:v>
                </c:pt>
                <c:pt idx="86">
                  <c:v>29.4054</c:v>
                </c:pt>
                <c:pt idx="87">
                  <c:v>29.8478</c:v>
                </c:pt>
                <c:pt idx="88">
                  <c:v>30.2902</c:v>
                </c:pt>
                <c:pt idx="89">
                  <c:v>30.7326</c:v>
                </c:pt>
                <c:pt idx="90">
                  <c:v>31.175</c:v>
                </c:pt>
                <c:pt idx="91">
                  <c:v>31.655</c:v>
                </c:pt>
                <c:pt idx="92">
                  <c:v>32.135</c:v>
                </c:pt>
                <c:pt idx="93">
                  <c:v>32.615</c:v>
                </c:pt>
                <c:pt idx="94">
                  <c:v>33.095</c:v>
                </c:pt>
                <c:pt idx="95">
                  <c:v>33.295</c:v>
                </c:pt>
                <c:pt idx="96">
                  <c:v>33.495</c:v>
                </c:pt>
                <c:pt idx="97">
                  <c:v>33.9855</c:v>
                </c:pt>
              </c:numCache>
            </c:numRef>
          </c:xVal>
          <c:yVal>
            <c:numRef>
              <c:f>'[水面线计算20210608.xlsx]汇总-闸坝改造20a'!$AS$2:$AS$99</c:f>
              <c:numCache>
                <c:formatCode>0.00_);[Red]\(0.00\)</c:formatCode>
                <c:ptCount val="98"/>
                <c:pt idx="0">
                  <c:v>243.706</c:v>
                </c:pt>
                <c:pt idx="1">
                  <c:v>241.94</c:v>
                </c:pt>
                <c:pt idx="2">
                  <c:v>241.553</c:v>
                </c:pt>
                <c:pt idx="3">
                  <c:v>241.025</c:v>
                </c:pt>
                <c:pt idx="4">
                  <c:v>240.482</c:v>
                </c:pt>
                <c:pt idx="5">
                  <c:v>240.1</c:v>
                </c:pt>
                <c:pt idx="6">
                  <c:v>239.723</c:v>
                </c:pt>
                <c:pt idx="7">
                  <c:v>239.207</c:v>
                </c:pt>
                <c:pt idx="8">
                  <c:v>239.152</c:v>
                </c:pt>
                <c:pt idx="9">
                  <c:v>239.143</c:v>
                </c:pt>
                <c:pt idx="10">
                  <c:v>238.591</c:v>
                </c:pt>
                <c:pt idx="11">
                  <c:v>237.951</c:v>
                </c:pt>
                <c:pt idx="12">
                  <c:v>237.82</c:v>
                </c:pt>
                <c:pt idx="13">
                  <c:v>237.509</c:v>
                </c:pt>
                <c:pt idx="14">
                  <c:v>237.196</c:v>
                </c:pt>
                <c:pt idx="15">
                  <c:v>236.615</c:v>
                </c:pt>
                <c:pt idx="16">
                  <c:v>236.421</c:v>
                </c:pt>
                <c:pt idx="17">
                  <c:v>236.046</c:v>
                </c:pt>
                <c:pt idx="18">
                  <c:v>235.871</c:v>
                </c:pt>
                <c:pt idx="19">
                  <c:v>235.592</c:v>
                </c:pt>
                <c:pt idx="20">
                  <c:v>234.996</c:v>
                </c:pt>
                <c:pt idx="21">
                  <c:v>234.851</c:v>
                </c:pt>
                <c:pt idx="22">
                  <c:v>234.733</c:v>
                </c:pt>
                <c:pt idx="23">
                  <c:v>234.677</c:v>
                </c:pt>
                <c:pt idx="24">
                  <c:v>234.495</c:v>
                </c:pt>
                <c:pt idx="25">
                  <c:v>234.303</c:v>
                </c:pt>
                <c:pt idx="26">
                  <c:v>234.099</c:v>
                </c:pt>
                <c:pt idx="27">
                  <c:v>233.874</c:v>
                </c:pt>
                <c:pt idx="28">
                  <c:v>233.621</c:v>
                </c:pt>
                <c:pt idx="29">
                  <c:v>233.322</c:v>
                </c:pt>
                <c:pt idx="30">
                  <c:v>233.072</c:v>
                </c:pt>
                <c:pt idx="31">
                  <c:v>232.8</c:v>
                </c:pt>
                <c:pt idx="32">
                  <c:v>232.498</c:v>
                </c:pt>
                <c:pt idx="33">
                  <c:v>232.154</c:v>
                </c:pt>
                <c:pt idx="34">
                  <c:v>231.878</c:v>
                </c:pt>
                <c:pt idx="35">
                  <c:v>231.615</c:v>
                </c:pt>
                <c:pt idx="36">
                  <c:v>231.367</c:v>
                </c:pt>
                <c:pt idx="37">
                  <c:v>231.135</c:v>
                </c:pt>
                <c:pt idx="38">
                  <c:v>230.915</c:v>
                </c:pt>
                <c:pt idx="39">
                  <c:v>230.707</c:v>
                </c:pt>
                <c:pt idx="40">
                  <c:v>230.514</c:v>
                </c:pt>
                <c:pt idx="41">
                  <c:v>230.004</c:v>
                </c:pt>
                <c:pt idx="42">
                  <c:v>229.968</c:v>
                </c:pt>
                <c:pt idx="43">
                  <c:v>229.897</c:v>
                </c:pt>
                <c:pt idx="44">
                  <c:v>229.748</c:v>
                </c:pt>
                <c:pt idx="45">
                  <c:v>229.561</c:v>
                </c:pt>
                <c:pt idx="46">
                  <c:v>229.4</c:v>
                </c:pt>
                <c:pt idx="47">
                  <c:v>229.194</c:v>
                </c:pt>
                <c:pt idx="48">
                  <c:v>228.769</c:v>
                </c:pt>
                <c:pt idx="49">
                  <c:v>228.559</c:v>
                </c:pt>
                <c:pt idx="50">
                  <c:v>228.38</c:v>
                </c:pt>
                <c:pt idx="51">
                  <c:v>228.071</c:v>
                </c:pt>
                <c:pt idx="52">
                  <c:v>227.632</c:v>
                </c:pt>
                <c:pt idx="53">
                  <c:v>227.37</c:v>
                </c:pt>
                <c:pt idx="54">
                  <c:v>227.185</c:v>
                </c:pt>
                <c:pt idx="55">
                  <c:v>226.98</c:v>
                </c:pt>
                <c:pt idx="56">
                  <c:v>226.705</c:v>
                </c:pt>
                <c:pt idx="57">
                  <c:v>226.646</c:v>
                </c:pt>
                <c:pt idx="58">
                  <c:v>226.552</c:v>
                </c:pt>
                <c:pt idx="59">
                  <c:v>226.302</c:v>
                </c:pt>
                <c:pt idx="60">
                  <c:v>225.806</c:v>
                </c:pt>
                <c:pt idx="61">
                  <c:v>225.534</c:v>
                </c:pt>
                <c:pt idx="62">
                  <c:v>225.488</c:v>
                </c:pt>
                <c:pt idx="63">
                  <c:v>225.39</c:v>
                </c:pt>
                <c:pt idx="64">
                  <c:v>225.117</c:v>
                </c:pt>
                <c:pt idx="65">
                  <c:v>224.83</c:v>
                </c:pt>
                <c:pt idx="66">
                  <c:v>224.663</c:v>
                </c:pt>
                <c:pt idx="67">
                  <c:v>224.42</c:v>
                </c:pt>
                <c:pt idx="68">
                  <c:v>224.307</c:v>
                </c:pt>
                <c:pt idx="69">
                  <c:v>223.923</c:v>
                </c:pt>
                <c:pt idx="70">
                  <c:v>223.7</c:v>
                </c:pt>
                <c:pt idx="71">
                  <c:v>223.602</c:v>
                </c:pt>
                <c:pt idx="72">
                  <c:v>223.087</c:v>
                </c:pt>
                <c:pt idx="73">
                  <c:v>222.769</c:v>
                </c:pt>
                <c:pt idx="74">
                  <c:v>222.74</c:v>
                </c:pt>
                <c:pt idx="75">
                  <c:v>222.422</c:v>
                </c:pt>
                <c:pt idx="76">
                  <c:v>222.188</c:v>
                </c:pt>
                <c:pt idx="77">
                  <c:v>221.847</c:v>
                </c:pt>
                <c:pt idx="78">
                  <c:v>221.775</c:v>
                </c:pt>
                <c:pt idx="79">
                  <c:v>221.623</c:v>
                </c:pt>
                <c:pt idx="80">
                  <c:v>221.66</c:v>
                </c:pt>
                <c:pt idx="81">
                  <c:v>221.713</c:v>
                </c:pt>
                <c:pt idx="82">
                  <c:v>221.617</c:v>
                </c:pt>
                <c:pt idx="83">
                  <c:v>221.505</c:v>
                </c:pt>
                <c:pt idx="84">
                  <c:v>221.07</c:v>
                </c:pt>
                <c:pt idx="85">
                  <c:v>220.258</c:v>
                </c:pt>
                <c:pt idx="86">
                  <c:v>219.938</c:v>
                </c:pt>
                <c:pt idx="87">
                  <c:v>219.602</c:v>
                </c:pt>
                <c:pt idx="88">
                  <c:v>219.344</c:v>
                </c:pt>
                <c:pt idx="89">
                  <c:v>219.179</c:v>
                </c:pt>
                <c:pt idx="90">
                  <c:v>218.994</c:v>
                </c:pt>
                <c:pt idx="91">
                  <c:v>218.876</c:v>
                </c:pt>
                <c:pt idx="92">
                  <c:v>218.777</c:v>
                </c:pt>
                <c:pt idx="93">
                  <c:v>218.601</c:v>
                </c:pt>
                <c:pt idx="94">
                  <c:v>218.276</c:v>
                </c:pt>
                <c:pt idx="95">
                  <c:v>218.026</c:v>
                </c:pt>
                <c:pt idx="96">
                  <c:v>216.889</c:v>
                </c:pt>
                <c:pt idx="97">
                  <c:v>216.585</c:v>
                </c:pt>
              </c:numCache>
            </c:numRef>
          </c:yVal>
          <c:smooth val="false"/>
        </c:ser>
        <c:ser>
          <c:idx val="0"/>
          <c:order val="1"/>
          <c:tx>
            <c:strRef>
              <c:f>'[水面线计算20210608.xlsx]汇总-闸坝改造20a'!$AT$1</c:f>
              <c:strCache>
                <c:ptCount val="1"/>
                <c:pt idx="0">
                  <c:v>工程后水位</c:v>
                </c:pt>
              </c:strCache>
            </c:strRef>
          </c:tx>
          <c:spPr>
            <a:ln w="9525" cap="rnd">
              <a:solidFill>
                <a:srgbClr val="4F81BD"/>
              </a:solidFill>
              <a:round/>
            </a:ln>
            <a:effectLst>
              <a:outerShdw blurRad="40000" dist="23000" dir="5400000" rotWithShape="0">
                <a:srgbClr val="000000">
                  <a:alpha val="35000"/>
                </a:srgbClr>
              </a:outerShdw>
            </a:effectLst>
          </c:spPr>
          <c:marker>
            <c:symbol val="none"/>
          </c:marker>
          <c:dLbls>
            <c:delete val="true"/>
          </c:dLbls>
          <c:xVal>
            <c:numRef>
              <c:f>'[水面线计算20210608.xlsx]汇总-闸坝改造20a'!$AR$2:$AR$99</c:f>
              <c:numCache>
                <c:formatCode>0.00_);[Red]\(0.00\)</c:formatCode>
                <c:ptCount val="98"/>
                <c:pt idx="0">
                  <c:v>0</c:v>
                </c:pt>
                <c:pt idx="1">
                  <c:v>0.2</c:v>
                </c:pt>
                <c:pt idx="2">
                  <c:v>0.636700000000001</c:v>
                </c:pt>
                <c:pt idx="3">
                  <c:v>1.0733</c:v>
                </c:pt>
                <c:pt idx="4">
                  <c:v>1.51</c:v>
                </c:pt>
                <c:pt idx="5">
                  <c:v>1.8867</c:v>
                </c:pt>
                <c:pt idx="6">
                  <c:v>2.2633</c:v>
                </c:pt>
                <c:pt idx="7">
                  <c:v>2.64</c:v>
                </c:pt>
                <c:pt idx="8">
                  <c:v>2.9265</c:v>
                </c:pt>
                <c:pt idx="9">
                  <c:v>3.213</c:v>
                </c:pt>
                <c:pt idx="10">
                  <c:v>3.393</c:v>
                </c:pt>
                <c:pt idx="11">
                  <c:v>3.836</c:v>
                </c:pt>
                <c:pt idx="12">
                  <c:v>4.197</c:v>
                </c:pt>
                <c:pt idx="13">
                  <c:v>4.535</c:v>
                </c:pt>
                <c:pt idx="14">
                  <c:v>4.871</c:v>
                </c:pt>
                <c:pt idx="15">
                  <c:v>5.359</c:v>
                </c:pt>
                <c:pt idx="16">
                  <c:v>5.459</c:v>
                </c:pt>
                <c:pt idx="17">
                  <c:v>5.698</c:v>
                </c:pt>
                <c:pt idx="18">
                  <c:v>6.008</c:v>
                </c:pt>
                <c:pt idx="19">
                  <c:v>6.498</c:v>
                </c:pt>
                <c:pt idx="20">
                  <c:v>6.698</c:v>
                </c:pt>
                <c:pt idx="21">
                  <c:v>6.998</c:v>
                </c:pt>
                <c:pt idx="22">
                  <c:v>7.371</c:v>
                </c:pt>
                <c:pt idx="23">
                  <c:v>7.744</c:v>
                </c:pt>
                <c:pt idx="24">
                  <c:v>8.2325</c:v>
                </c:pt>
                <c:pt idx="25">
                  <c:v>8.721</c:v>
                </c:pt>
                <c:pt idx="26">
                  <c:v>9.2095</c:v>
                </c:pt>
                <c:pt idx="27">
                  <c:v>9.698</c:v>
                </c:pt>
                <c:pt idx="28">
                  <c:v>10.1865</c:v>
                </c:pt>
                <c:pt idx="29">
                  <c:v>10.675</c:v>
                </c:pt>
                <c:pt idx="30">
                  <c:v>11.1545</c:v>
                </c:pt>
                <c:pt idx="31">
                  <c:v>11.634</c:v>
                </c:pt>
                <c:pt idx="32">
                  <c:v>12.1135</c:v>
                </c:pt>
                <c:pt idx="33">
                  <c:v>12.593</c:v>
                </c:pt>
                <c:pt idx="34">
                  <c:v>13.0284</c:v>
                </c:pt>
                <c:pt idx="35">
                  <c:v>13.4639</c:v>
                </c:pt>
                <c:pt idx="36">
                  <c:v>13.8993</c:v>
                </c:pt>
                <c:pt idx="37">
                  <c:v>14.3347</c:v>
                </c:pt>
                <c:pt idx="38">
                  <c:v>14.7701</c:v>
                </c:pt>
                <c:pt idx="39">
                  <c:v>15.2056</c:v>
                </c:pt>
                <c:pt idx="40">
                  <c:v>15.641</c:v>
                </c:pt>
                <c:pt idx="41">
                  <c:v>15.841</c:v>
                </c:pt>
                <c:pt idx="42">
                  <c:v>16.041</c:v>
                </c:pt>
                <c:pt idx="43">
                  <c:v>16.376</c:v>
                </c:pt>
                <c:pt idx="44">
                  <c:v>16.711</c:v>
                </c:pt>
                <c:pt idx="45">
                  <c:v>17.046</c:v>
                </c:pt>
                <c:pt idx="46">
                  <c:v>17.4167</c:v>
                </c:pt>
                <c:pt idx="47">
                  <c:v>17.7873</c:v>
                </c:pt>
                <c:pt idx="48">
                  <c:v>18.158</c:v>
                </c:pt>
                <c:pt idx="49">
                  <c:v>18.582</c:v>
                </c:pt>
                <c:pt idx="50">
                  <c:v>19.006</c:v>
                </c:pt>
                <c:pt idx="51">
                  <c:v>19.353</c:v>
                </c:pt>
                <c:pt idx="52">
                  <c:v>19.7</c:v>
                </c:pt>
                <c:pt idx="53">
                  <c:v>20.1135</c:v>
                </c:pt>
                <c:pt idx="54">
                  <c:v>20.527</c:v>
                </c:pt>
                <c:pt idx="55">
                  <c:v>20.965</c:v>
                </c:pt>
                <c:pt idx="56">
                  <c:v>21.065</c:v>
                </c:pt>
                <c:pt idx="57">
                  <c:v>21.359</c:v>
                </c:pt>
                <c:pt idx="58">
                  <c:v>21.649</c:v>
                </c:pt>
                <c:pt idx="59">
                  <c:v>21.939</c:v>
                </c:pt>
                <c:pt idx="60">
                  <c:v>22.139</c:v>
                </c:pt>
                <c:pt idx="61">
                  <c:v>22.439</c:v>
                </c:pt>
                <c:pt idx="62">
                  <c:v>22.7025</c:v>
                </c:pt>
                <c:pt idx="63">
                  <c:v>22.966</c:v>
                </c:pt>
                <c:pt idx="64">
                  <c:v>23.349</c:v>
                </c:pt>
                <c:pt idx="65">
                  <c:v>23.549</c:v>
                </c:pt>
                <c:pt idx="66">
                  <c:v>23.649</c:v>
                </c:pt>
                <c:pt idx="67">
                  <c:v>23.918</c:v>
                </c:pt>
                <c:pt idx="68">
                  <c:v>24.187</c:v>
                </c:pt>
                <c:pt idx="69">
                  <c:v>24.35</c:v>
                </c:pt>
                <c:pt idx="70">
                  <c:v>24.444</c:v>
                </c:pt>
                <c:pt idx="71">
                  <c:v>24.626</c:v>
                </c:pt>
                <c:pt idx="72">
                  <c:v>24.796</c:v>
                </c:pt>
                <c:pt idx="73">
                  <c:v>24.962</c:v>
                </c:pt>
                <c:pt idx="74">
                  <c:v>25.119</c:v>
                </c:pt>
                <c:pt idx="75">
                  <c:v>25.4515</c:v>
                </c:pt>
                <c:pt idx="76">
                  <c:v>25.784</c:v>
                </c:pt>
                <c:pt idx="77">
                  <c:v>26.202</c:v>
                </c:pt>
                <c:pt idx="78">
                  <c:v>26.5645</c:v>
                </c:pt>
                <c:pt idx="79">
                  <c:v>26.927</c:v>
                </c:pt>
                <c:pt idx="80">
                  <c:v>27.232</c:v>
                </c:pt>
                <c:pt idx="81">
                  <c:v>27.537</c:v>
                </c:pt>
                <c:pt idx="82">
                  <c:v>27.7935</c:v>
                </c:pt>
                <c:pt idx="83">
                  <c:v>28.05</c:v>
                </c:pt>
                <c:pt idx="84">
                  <c:v>28.5065</c:v>
                </c:pt>
                <c:pt idx="85">
                  <c:v>28.963</c:v>
                </c:pt>
                <c:pt idx="86">
                  <c:v>29.4054</c:v>
                </c:pt>
                <c:pt idx="87">
                  <c:v>29.8478</c:v>
                </c:pt>
                <c:pt idx="88">
                  <c:v>30.2902</c:v>
                </c:pt>
                <c:pt idx="89">
                  <c:v>30.7326</c:v>
                </c:pt>
                <c:pt idx="90">
                  <c:v>31.175</c:v>
                </c:pt>
                <c:pt idx="91">
                  <c:v>31.655</c:v>
                </c:pt>
                <c:pt idx="92">
                  <c:v>32.135</c:v>
                </c:pt>
                <c:pt idx="93">
                  <c:v>32.615</c:v>
                </c:pt>
                <c:pt idx="94">
                  <c:v>33.095</c:v>
                </c:pt>
                <c:pt idx="95">
                  <c:v>33.295</c:v>
                </c:pt>
                <c:pt idx="96">
                  <c:v>33.495</c:v>
                </c:pt>
                <c:pt idx="97">
                  <c:v>33.9855</c:v>
                </c:pt>
              </c:numCache>
            </c:numRef>
          </c:xVal>
          <c:yVal>
            <c:numRef>
              <c:f>'[水面线计算20210608.xlsx]汇总-闸坝改造20a'!$AT$2:$AT$99</c:f>
              <c:numCache>
                <c:formatCode>0.00_ ;[Red]\-0.00\ </c:formatCode>
                <c:ptCount val="98"/>
                <c:pt idx="0">
                  <c:v>243.704</c:v>
                </c:pt>
                <c:pt idx="1">
                  <c:v>241.936</c:v>
                </c:pt>
                <c:pt idx="2">
                  <c:v>241.549</c:v>
                </c:pt>
                <c:pt idx="3">
                  <c:v>241.019</c:v>
                </c:pt>
                <c:pt idx="4">
                  <c:v>240.475</c:v>
                </c:pt>
                <c:pt idx="5">
                  <c:v>240.093</c:v>
                </c:pt>
                <c:pt idx="6">
                  <c:v>239.715</c:v>
                </c:pt>
                <c:pt idx="7">
                  <c:v>239.197</c:v>
                </c:pt>
                <c:pt idx="8">
                  <c:v>239.142</c:v>
                </c:pt>
                <c:pt idx="9">
                  <c:v>239.132</c:v>
                </c:pt>
                <c:pt idx="10">
                  <c:v>238.579</c:v>
                </c:pt>
                <c:pt idx="11">
                  <c:v>237.937</c:v>
                </c:pt>
                <c:pt idx="12">
                  <c:v>237.805</c:v>
                </c:pt>
                <c:pt idx="13">
                  <c:v>237.492</c:v>
                </c:pt>
                <c:pt idx="14">
                  <c:v>237.177</c:v>
                </c:pt>
                <c:pt idx="15">
                  <c:v>236.592</c:v>
                </c:pt>
                <c:pt idx="16">
                  <c:v>236.397</c:v>
                </c:pt>
                <c:pt idx="17">
                  <c:v>236.02</c:v>
                </c:pt>
                <c:pt idx="18">
                  <c:v>235.841</c:v>
                </c:pt>
                <c:pt idx="19">
                  <c:v>235.559</c:v>
                </c:pt>
                <c:pt idx="20">
                  <c:v>234.959</c:v>
                </c:pt>
                <c:pt idx="21">
                  <c:v>234.807</c:v>
                </c:pt>
                <c:pt idx="22">
                  <c:v>234.687</c:v>
                </c:pt>
                <c:pt idx="23">
                  <c:v>234.63</c:v>
                </c:pt>
                <c:pt idx="24">
                  <c:v>234.446</c:v>
                </c:pt>
                <c:pt idx="25">
                  <c:v>234.252</c:v>
                </c:pt>
                <c:pt idx="26">
                  <c:v>234.045</c:v>
                </c:pt>
                <c:pt idx="27">
                  <c:v>233.817</c:v>
                </c:pt>
                <c:pt idx="28">
                  <c:v>233.56</c:v>
                </c:pt>
                <c:pt idx="29">
                  <c:v>233.257</c:v>
                </c:pt>
                <c:pt idx="30">
                  <c:v>233.002</c:v>
                </c:pt>
                <c:pt idx="31">
                  <c:v>232.725</c:v>
                </c:pt>
                <c:pt idx="32">
                  <c:v>232.415</c:v>
                </c:pt>
                <c:pt idx="33">
                  <c:v>232.062</c:v>
                </c:pt>
                <c:pt idx="34">
                  <c:v>231.778</c:v>
                </c:pt>
                <c:pt idx="35">
                  <c:v>231.507</c:v>
                </c:pt>
                <c:pt idx="36">
                  <c:v>231.251</c:v>
                </c:pt>
                <c:pt idx="37">
                  <c:v>231.01</c:v>
                </c:pt>
                <c:pt idx="38">
                  <c:v>230.782</c:v>
                </c:pt>
                <c:pt idx="39">
                  <c:v>230.566</c:v>
                </c:pt>
                <c:pt idx="40">
                  <c:v>230.364</c:v>
                </c:pt>
                <c:pt idx="41">
                  <c:v>229.968</c:v>
                </c:pt>
                <c:pt idx="42">
                  <c:v>229.968</c:v>
                </c:pt>
                <c:pt idx="43">
                  <c:v>229.897</c:v>
                </c:pt>
                <c:pt idx="44">
                  <c:v>229.748</c:v>
                </c:pt>
                <c:pt idx="45">
                  <c:v>229.561</c:v>
                </c:pt>
                <c:pt idx="46">
                  <c:v>229.4</c:v>
                </c:pt>
                <c:pt idx="47">
                  <c:v>229.194</c:v>
                </c:pt>
                <c:pt idx="48">
                  <c:v>228.769</c:v>
                </c:pt>
                <c:pt idx="49">
                  <c:v>228.559</c:v>
                </c:pt>
                <c:pt idx="50">
                  <c:v>228.38</c:v>
                </c:pt>
                <c:pt idx="51">
                  <c:v>228.071</c:v>
                </c:pt>
                <c:pt idx="52">
                  <c:v>227.632</c:v>
                </c:pt>
                <c:pt idx="53">
                  <c:v>227.37</c:v>
                </c:pt>
                <c:pt idx="54">
                  <c:v>227.185</c:v>
                </c:pt>
                <c:pt idx="55">
                  <c:v>226.98</c:v>
                </c:pt>
                <c:pt idx="56">
                  <c:v>226.705</c:v>
                </c:pt>
                <c:pt idx="57">
                  <c:v>226.646</c:v>
                </c:pt>
                <c:pt idx="58">
                  <c:v>226.552</c:v>
                </c:pt>
                <c:pt idx="59">
                  <c:v>226.302</c:v>
                </c:pt>
                <c:pt idx="60">
                  <c:v>225.806</c:v>
                </c:pt>
                <c:pt idx="61">
                  <c:v>225.534</c:v>
                </c:pt>
                <c:pt idx="62">
                  <c:v>225.488</c:v>
                </c:pt>
                <c:pt idx="63">
                  <c:v>225.39</c:v>
                </c:pt>
                <c:pt idx="64">
                  <c:v>225.117</c:v>
                </c:pt>
                <c:pt idx="65">
                  <c:v>224.83</c:v>
                </c:pt>
                <c:pt idx="66">
                  <c:v>224.663</c:v>
                </c:pt>
                <c:pt idx="67">
                  <c:v>224.42</c:v>
                </c:pt>
                <c:pt idx="68">
                  <c:v>224.307</c:v>
                </c:pt>
                <c:pt idx="69">
                  <c:v>223.923</c:v>
                </c:pt>
                <c:pt idx="70">
                  <c:v>223.7</c:v>
                </c:pt>
                <c:pt idx="71">
                  <c:v>223.602</c:v>
                </c:pt>
                <c:pt idx="72">
                  <c:v>223.087</c:v>
                </c:pt>
                <c:pt idx="73">
                  <c:v>222.769</c:v>
                </c:pt>
                <c:pt idx="74">
                  <c:v>222.74</c:v>
                </c:pt>
                <c:pt idx="75">
                  <c:v>222.422</c:v>
                </c:pt>
                <c:pt idx="76">
                  <c:v>222.188</c:v>
                </c:pt>
                <c:pt idx="77">
                  <c:v>221.847</c:v>
                </c:pt>
                <c:pt idx="78">
                  <c:v>221.775</c:v>
                </c:pt>
                <c:pt idx="79">
                  <c:v>221.623</c:v>
                </c:pt>
                <c:pt idx="80">
                  <c:v>221.66</c:v>
                </c:pt>
                <c:pt idx="81">
                  <c:v>221.713</c:v>
                </c:pt>
                <c:pt idx="82">
                  <c:v>221.617</c:v>
                </c:pt>
                <c:pt idx="83">
                  <c:v>221.505</c:v>
                </c:pt>
                <c:pt idx="84">
                  <c:v>221.07</c:v>
                </c:pt>
                <c:pt idx="85">
                  <c:v>220.258</c:v>
                </c:pt>
                <c:pt idx="86">
                  <c:v>219.938</c:v>
                </c:pt>
                <c:pt idx="87">
                  <c:v>219.602</c:v>
                </c:pt>
                <c:pt idx="88">
                  <c:v>219.344</c:v>
                </c:pt>
                <c:pt idx="89">
                  <c:v>219.179</c:v>
                </c:pt>
                <c:pt idx="90">
                  <c:v>218.994</c:v>
                </c:pt>
                <c:pt idx="91">
                  <c:v>218.876</c:v>
                </c:pt>
                <c:pt idx="92">
                  <c:v>218.777</c:v>
                </c:pt>
                <c:pt idx="93">
                  <c:v>218.601</c:v>
                </c:pt>
                <c:pt idx="94">
                  <c:v>218.276</c:v>
                </c:pt>
                <c:pt idx="95">
                  <c:v>218.026</c:v>
                </c:pt>
                <c:pt idx="96">
                  <c:v>216.889</c:v>
                </c:pt>
                <c:pt idx="97">
                  <c:v>216.585</c:v>
                </c:pt>
              </c:numCache>
            </c:numRef>
          </c:yVal>
          <c:smooth val="false"/>
        </c:ser>
        <c:dLbls>
          <c:showLegendKey val="false"/>
          <c:showVal val="false"/>
          <c:showCatName val="false"/>
          <c:showSerName val="false"/>
          <c:showPercent val="false"/>
          <c:showBubbleSize val="false"/>
        </c:dLbls>
        <c:axId val="-233978288"/>
        <c:axId val="-233970128"/>
      </c:scatterChart>
      <c:valAx>
        <c:axId val="-233978288"/>
        <c:scaling>
          <c:orientation val="minMax"/>
          <c:max val="34"/>
          <c:min val="0"/>
        </c:scaling>
        <c:delete val="false"/>
        <c:axPos val="b"/>
        <c:majorGridlines>
          <c:spPr>
            <a:ln w="9525" cap="flat" cmpd="sng" algn="ctr">
              <a:solidFill>
                <a:sysClr val="window" lastClr="FFFFFF">
                  <a:lumMod val="95000"/>
                  <a:alpha val="10000"/>
                </a:sysClr>
              </a:solidFill>
              <a:round/>
            </a:ln>
            <a:effectLst/>
          </c:spPr>
        </c:majorGridlines>
        <c:title>
          <c:tx>
            <c:rich>
              <a:bodyPr rot="0" spcFirstLastPara="1" vertOverflow="ellipsis" vert="horz" wrap="square" anchor="ctr" anchorCtr="true"/>
              <a:lstStyle/>
              <a:p>
                <a:pPr>
                  <a:defRPr lang="zh-CN" sz="1100" b="1" i="0" u="none" strike="noStrike" kern="1200" cap="all" baseline="0">
                    <a:solidFill>
                      <a:sysClr val="windowText" lastClr="000000"/>
                    </a:solidFill>
                    <a:latin typeface="Times New Roman" panose="02020603050405020304" charset="0"/>
                    <a:ea typeface="宋体" charset="-122"/>
                    <a:cs typeface="Times New Roman" panose="02020603050405020304" charset="0"/>
                  </a:defRPr>
                </a:pPr>
                <a:r>
                  <a:rPr lang="zh-CN">
                    <a:solidFill>
                      <a:sysClr val="windowText" lastClr="000000"/>
                    </a:solidFill>
                  </a:rPr>
                  <a:t>距离珠滩枢纽</a:t>
                </a:r>
                <a:r>
                  <a:rPr lang="en-US">
                    <a:solidFill>
                      <a:sysClr val="windowText" lastClr="000000"/>
                    </a:solidFill>
                  </a:rPr>
                  <a:t>(</a:t>
                </a:r>
                <a:r>
                  <a:rPr lang="en-US" cap="none" baseline="0">
                    <a:solidFill>
                      <a:sysClr val="windowText" lastClr="000000"/>
                    </a:solidFill>
                  </a:rPr>
                  <a:t>km</a:t>
                </a:r>
                <a:r>
                  <a:rPr lang="en-US">
                    <a:solidFill>
                      <a:sysClr val="windowText" lastClr="000000"/>
                    </a:solidFill>
                  </a:rPr>
                  <a:t>)</a:t>
                </a:r>
                <a:endParaRPr lang="zh-CN">
                  <a:solidFill>
                    <a:sysClr val="windowText" lastClr="000000"/>
                  </a:solidFill>
                </a:endParaRPr>
              </a:p>
            </c:rich>
          </c:tx>
          <c:layout/>
          <c:overlay val="false"/>
          <c:spPr>
            <a:noFill/>
            <a:ln>
              <a:noFill/>
            </a:ln>
            <a:effectLst/>
          </c:spPr>
        </c:title>
        <c:numFmt formatCode="#,##0_);[Red]\(#,##0\)" sourceLinked="false"/>
        <c:majorTickMark val="in"/>
        <c:minorTickMark val="none"/>
        <c:tickLblPos val="nextTo"/>
        <c:spPr>
          <a:noFill/>
          <a:ln w="6350" cap="flat" cmpd="sng" algn="ctr">
            <a:solidFill>
              <a:sysClr val="windowText" lastClr="000000"/>
            </a:solidFill>
          </a:ln>
          <a:effectLst/>
        </c:spPr>
        <c:txPr>
          <a:bodyPr rot="-60000000" spcFirstLastPara="1" vertOverflow="ellipsis" vert="horz" wrap="square" anchor="ctr" anchorCtr="true"/>
          <a:lstStyle/>
          <a:p>
            <a:pPr>
              <a:defRPr lang="zh-CN" sz="1100" b="0" i="0" u="none" strike="noStrike" kern="1200" baseline="0">
                <a:solidFill>
                  <a:sysClr val="windowText" lastClr="000000"/>
                </a:solidFill>
                <a:latin typeface="Times New Roman" panose="02020603050405020304" charset="0"/>
                <a:ea typeface="宋体" charset="-122"/>
                <a:cs typeface="Times New Roman" panose="02020603050405020304" charset="0"/>
              </a:defRPr>
            </a:pPr>
          </a:p>
        </c:txPr>
        <c:crossAx val="-233970128"/>
        <c:crosses val="autoZero"/>
        <c:crossBetween val="midCat"/>
        <c:majorUnit val="2"/>
      </c:valAx>
      <c:valAx>
        <c:axId val="-233970128"/>
        <c:scaling>
          <c:orientation val="minMax"/>
          <c:max val="245"/>
          <c:min val="215"/>
        </c:scaling>
        <c:delete val="false"/>
        <c:axPos val="l"/>
        <c:majorGridlines>
          <c:spPr>
            <a:ln w="9525" cap="flat" cmpd="sng" algn="ctr">
              <a:solidFill>
                <a:sysClr val="window" lastClr="FFFFFF">
                  <a:lumMod val="95000"/>
                  <a:alpha val="10000"/>
                </a:sysClr>
              </a:solidFill>
              <a:round/>
            </a:ln>
            <a:effectLst/>
          </c:spPr>
        </c:majorGridlines>
        <c:title>
          <c:tx>
            <c:rich>
              <a:bodyPr rot="-5400000" spcFirstLastPara="1" vertOverflow="ellipsis" vert="horz" wrap="square" anchor="ctr" anchorCtr="true"/>
              <a:lstStyle/>
              <a:p>
                <a:pPr>
                  <a:defRPr lang="zh-CN" sz="1100" b="1" i="0" u="none" strike="noStrike" kern="1200" cap="all" baseline="0">
                    <a:solidFill>
                      <a:sysClr val="windowText" lastClr="000000"/>
                    </a:solidFill>
                    <a:latin typeface="Times New Roman" panose="02020603050405020304" charset="0"/>
                    <a:ea typeface="宋体" charset="-122"/>
                    <a:cs typeface="Times New Roman" panose="02020603050405020304" charset="0"/>
                  </a:defRPr>
                </a:pPr>
                <a:r>
                  <a:rPr lang="zh-CN">
                    <a:solidFill>
                      <a:sysClr val="windowText" lastClr="000000"/>
                    </a:solidFill>
                  </a:rPr>
                  <a:t>水位</a:t>
                </a:r>
                <a:r>
                  <a:rPr lang="en-US">
                    <a:solidFill>
                      <a:sysClr val="windowText" lastClr="000000"/>
                    </a:solidFill>
                  </a:rPr>
                  <a:t>(</a:t>
                </a:r>
                <a:r>
                  <a:rPr lang="en-US" b="1" cap="none" baseline="0">
                    <a:solidFill>
                      <a:sysClr val="windowText" lastClr="000000"/>
                    </a:solidFill>
                  </a:rPr>
                  <a:t>m</a:t>
                </a:r>
                <a:r>
                  <a:rPr lang="en-US">
                    <a:solidFill>
                      <a:sysClr val="windowText" lastClr="000000"/>
                    </a:solidFill>
                  </a:rPr>
                  <a:t>)</a:t>
                </a:r>
                <a:endParaRPr lang="zh-CN">
                  <a:solidFill>
                    <a:sysClr val="windowText" lastClr="000000"/>
                  </a:solidFill>
                </a:endParaRPr>
              </a:p>
            </c:rich>
          </c:tx>
          <c:layout>
            <c:manualLayout>
              <c:xMode val="edge"/>
              <c:yMode val="edge"/>
              <c:x val="0.00993058110726813"/>
              <c:y val="0.376669475948534"/>
            </c:manualLayout>
          </c:layout>
          <c:overlay val="false"/>
          <c:spPr>
            <a:noFill/>
            <a:ln>
              <a:noFill/>
            </a:ln>
            <a:effectLst/>
          </c:spPr>
        </c:title>
        <c:numFmt formatCode="#,##0_);[Red]\(#,##0\)" sourceLinked="false"/>
        <c:majorTickMark val="in"/>
        <c:minorTickMark val="none"/>
        <c:tickLblPos val="nextTo"/>
        <c:spPr>
          <a:noFill/>
          <a:ln w="6350" cap="flat" cmpd="sng" algn="ctr">
            <a:solidFill>
              <a:sysClr val="windowText" lastClr="000000"/>
            </a:solidFill>
          </a:ln>
          <a:effectLst/>
        </c:spPr>
        <c:txPr>
          <a:bodyPr rot="-60000000" spcFirstLastPara="1" vertOverflow="ellipsis" vert="horz" wrap="square" anchor="ctr" anchorCtr="true"/>
          <a:lstStyle/>
          <a:p>
            <a:pPr>
              <a:defRPr lang="zh-CN" sz="1100" b="0" i="0" u="none" strike="noStrike" kern="1200" baseline="0">
                <a:solidFill>
                  <a:sysClr val="windowText" lastClr="000000"/>
                </a:solidFill>
                <a:latin typeface="Times New Roman" panose="02020603050405020304" charset="0"/>
                <a:ea typeface="宋体" charset="-122"/>
                <a:cs typeface="Times New Roman" panose="02020603050405020304" charset="0"/>
              </a:defRPr>
            </a:pPr>
          </a:p>
        </c:txPr>
        <c:crossAx val="-233978288"/>
        <c:crosses val="autoZero"/>
        <c:crossBetween val="midCat"/>
      </c:valAx>
      <c:spPr>
        <a:noFill/>
        <a:ln>
          <a:noFill/>
        </a:ln>
        <a:effectLst/>
      </c:spPr>
    </c:plotArea>
    <c:legend>
      <c:legendPos val="b"/>
      <c:legendEntry>
        <c:idx val="0"/>
        <c:txPr>
          <a:bodyPr rot="0" spcFirstLastPara="1" vertOverflow="ellipsis" vert="horz" wrap="square" anchor="ctr" anchorCtr="true"/>
          <a:lstStyle/>
          <a:p>
            <a:pPr>
              <a:defRPr lang="zh-CN" sz="1100" b="0" i="0" u="none" strike="noStrike" kern="1200" baseline="0">
                <a:solidFill>
                  <a:sysClr val="windowText" lastClr="000000"/>
                </a:solidFill>
                <a:latin typeface="Times New Roman" panose="02020603050405020304" charset="0"/>
                <a:ea typeface="宋体" charset="-122"/>
                <a:cs typeface="Times New Roman" panose="02020603050405020304" charset="0"/>
              </a:defRPr>
            </a:pPr>
          </a:p>
        </c:txPr>
      </c:legendEntry>
      <c:legendEntry>
        <c:idx val="1"/>
        <c:txPr>
          <a:bodyPr rot="0" spcFirstLastPara="1" vertOverflow="ellipsis" vert="horz" wrap="square" anchor="ctr" anchorCtr="true"/>
          <a:lstStyle/>
          <a:p>
            <a:pPr>
              <a:defRPr lang="zh-CN" sz="1100" b="0" i="0" u="none" strike="noStrike" kern="1200" baseline="0">
                <a:solidFill>
                  <a:sysClr val="windowText" lastClr="000000"/>
                </a:solidFill>
                <a:latin typeface="Times New Roman" panose="02020603050405020304" charset="0"/>
                <a:ea typeface="宋体" charset="-122"/>
                <a:cs typeface="Times New Roman" panose="02020603050405020304" charset="0"/>
              </a:defRPr>
            </a:pPr>
          </a:p>
        </c:txPr>
      </c:legendEntry>
      <c:layout>
        <c:manualLayout>
          <c:xMode val="edge"/>
          <c:yMode val="edge"/>
          <c:x val="0.563693673804793"/>
          <c:y val="0.0127303811794168"/>
          <c:w val="0.423376623376623"/>
          <c:h val="0.0890310586176728"/>
        </c:manualLayout>
      </c:layout>
      <c:overlay val="false"/>
      <c:spPr>
        <a:noFill/>
        <a:ln w="6350">
          <a:solidFill>
            <a:sysClr val="windowText" lastClr="000000"/>
          </a:solidFill>
        </a:ln>
        <a:effectLst/>
      </c:spPr>
      <c:txPr>
        <a:bodyPr rot="0" spcFirstLastPara="1" vertOverflow="ellipsis" vert="horz" wrap="square" anchor="ctr" anchorCtr="true"/>
        <a:lstStyle/>
        <a:p>
          <a:pPr>
            <a:defRPr lang="zh-CN" sz="1100" b="0" i="0" u="none" strike="noStrike" kern="1200" baseline="0">
              <a:solidFill>
                <a:sysClr val="windowText" lastClr="000000"/>
              </a:solidFill>
              <a:latin typeface="Times New Roman" panose="02020603050405020304" charset="0"/>
              <a:ea typeface="宋体" charset="-122"/>
              <a:cs typeface="Times New Roman" panose="02020603050405020304" charset="0"/>
            </a:defRPr>
          </a:pPr>
        </a:p>
      </c:txPr>
    </c:legend>
    <c:plotVisOnly val="true"/>
    <c:dispBlanksAs val="gap"/>
    <c:showDLblsOverMax val="false"/>
  </c:chart>
  <c:spPr>
    <a:solidFill>
      <a:sysClr val="window" lastClr="FFFFFF"/>
    </a:solidFill>
    <a:ln>
      <a:noFill/>
    </a:ln>
    <a:effectLst/>
  </c:spPr>
  <c:txPr>
    <a:bodyPr/>
    <a:lstStyle/>
    <a:p>
      <a:pPr>
        <a:defRPr lang="zh-CN" sz="1100">
          <a:solidFill>
            <a:sysClr val="windowText" lastClr="000000"/>
          </a:solidFill>
          <a:latin typeface="Times New Roman" panose="02020603050405020304" charset="0"/>
          <a:ea typeface="宋体" charset="-122"/>
          <a:cs typeface="Times New Roman" panose="02020603050405020304" charset="0"/>
        </a:defRPr>
      </a:pPr>
    </a:p>
  </c:txPr>
  <c:externalData r:id="rId1">
    <c:autoUpdate val="false"/>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false"/>
  <c:lang val="zh-CN"/>
  <c:roundedCorners val="false"/>
  <mc:AlternateContent xmlns:mc="http://schemas.openxmlformats.org/markup-compatibility/2006">
    <mc:Choice xmlns:c14="http://schemas.microsoft.com/office/drawing/2007/8/2/chart" Requires="c14">
      <c14:style val="102"/>
    </mc:Choice>
    <mc:Fallback>
      <c:style val="2"/>
    </mc:Fallback>
  </mc:AlternateContent>
  <c:chart>
    <c:autoTitleDeleted val="true"/>
    <c:plotArea>
      <c:layout>
        <c:manualLayout>
          <c:layoutTarget val="inner"/>
          <c:xMode val="edge"/>
          <c:yMode val="edge"/>
          <c:x val="0.0909991283677659"/>
          <c:y val="0.0384951881014873"/>
          <c:w val="0.888167535509071"/>
          <c:h val="0.816345712691425"/>
        </c:manualLayout>
      </c:layout>
      <c:scatterChart>
        <c:scatterStyle val="lineMarker"/>
        <c:varyColors val="false"/>
        <c:ser>
          <c:idx val="0"/>
          <c:order val="0"/>
          <c:tx>
            <c:strRef>
              <c:f>'[图5.3-3  綦江干流主城区及下游河道疏浚前后的深弘高程.xlsx]分析'!$B$45</c:f>
              <c:strCache>
                <c:ptCount val="1"/>
                <c:pt idx="0">
                  <c:v>疏浚前深弘高程</c:v>
                </c:pt>
              </c:strCache>
            </c:strRef>
          </c:tx>
          <c:spPr>
            <a:ln w="9525" cap="rnd">
              <a:solidFill>
                <a:srgbClr val="4F81BD"/>
              </a:solidFill>
              <a:round/>
            </a:ln>
            <a:effectLst>
              <a:outerShdw blurRad="40000" dist="23000" dir="5400000" rotWithShape="0">
                <a:srgbClr val="000000">
                  <a:alpha val="35000"/>
                </a:srgbClr>
              </a:outerShdw>
            </a:effectLst>
          </c:spPr>
          <c:marker>
            <c:symbol val="triangle"/>
            <c:size val="5"/>
            <c:spPr>
              <a:gradFill rotWithShape="true">
                <a:gsLst>
                  <a:gs pos="0">
                    <a:srgbClr val="2C5D98">
                      <a:shade val="51000"/>
                      <a:satMod val="130000"/>
                    </a:srgbClr>
                  </a:gs>
                  <a:gs pos="80000">
                    <a:srgbClr val="3C7BC7">
                      <a:shade val="93000"/>
                      <a:satMod val="130000"/>
                    </a:srgbClr>
                  </a:gs>
                  <a:gs pos="100000">
                    <a:srgbClr val="3A7CCB">
                      <a:shade val="94000"/>
                      <a:satMod val="135000"/>
                    </a:srgbClr>
                  </a:gs>
                </a:gsLst>
                <a:lin ang="16200000" scaled="false"/>
              </a:gradFill>
              <a:ln w="9525">
                <a:solidFill>
                  <a:srgbClr val="4F81BD"/>
                </a:solidFill>
                <a:round/>
              </a:ln>
              <a:effectLst>
                <a:outerShdw blurRad="40000" dist="23000" dir="5400000" rotWithShape="0">
                  <a:srgbClr val="000000">
                    <a:alpha val="35000"/>
                  </a:srgbClr>
                </a:outerShdw>
              </a:effectLst>
            </c:spPr>
          </c:marker>
          <c:dLbls>
            <c:delete val="true"/>
          </c:dLbls>
          <c:xVal>
            <c:numRef>
              <c:f>'[图5.3-3  綦江干流主城区及下游河道疏浚前后的深弘高程.xlsx]分析'!$A$46:$A$79</c:f>
              <c:numCache>
                <c:formatCode>0.00_);[Red]\(0.00\)</c:formatCode>
                <c:ptCount val="34"/>
                <c:pt idx="0">
                  <c:v>0</c:v>
                </c:pt>
                <c:pt idx="1">
                  <c:v>0.694000000000003</c:v>
                </c:pt>
                <c:pt idx="2">
                  <c:v>1.521</c:v>
                </c:pt>
                <c:pt idx="3">
                  <c:v>1.959</c:v>
                </c:pt>
                <c:pt idx="4">
                  <c:v>2.059</c:v>
                </c:pt>
                <c:pt idx="5">
                  <c:v>2.353</c:v>
                </c:pt>
                <c:pt idx="6">
                  <c:v>2.933</c:v>
                </c:pt>
                <c:pt idx="7">
                  <c:v>3.129</c:v>
                </c:pt>
                <c:pt idx="8">
                  <c:v>3.133</c:v>
                </c:pt>
                <c:pt idx="9">
                  <c:v>3.131</c:v>
                </c:pt>
                <c:pt idx="10">
                  <c:v>3.433</c:v>
                </c:pt>
                <c:pt idx="11">
                  <c:v>3.96</c:v>
                </c:pt>
                <c:pt idx="12">
                  <c:v>4.343</c:v>
                </c:pt>
                <c:pt idx="13">
                  <c:v>4.543</c:v>
                </c:pt>
                <c:pt idx="14">
                  <c:v>4.643</c:v>
                </c:pt>
                <c:pt idx="15">
                  <c:v>5.181</c:v>
                </c:pt>
                <c:pt idx="16">
                  <c:v>5.344</c:v>
                </c:pt>
                <c:pt idx="17">
                  <c:v>5.438</c:v>
                </c:pt>
                <c:pt idx="18">
                  <c:v>5.62</c:v>
                </c:pt>
                <c:pt idx="19">
                  <c:v>5.79</c:v>
                </c:pt>
                <c:pt idx="20">
                  <c:v>5.956</c:v>
                </c:pt>
                <c:pt idx="21">
                  <c:v>6.113</c:v>
                </c:pt>
                <c:pt idx="22">
                  <c:v>6.778</c:v>
                </c:pt>
                <c:pt idx="23">
                  <c:v>7.196</c:v>
                </c:pt>
                <c:pt idx="24">
                  <c:v>7.921</c:v>
                </c:pt>
                <c:pt idx="25">
                  <c:v>8.531</c:v>
                </c:pt>
                <c:pt idx="26">
                  <c:v>8.7875</c:v>
                </c:pt>
                <c:pt idx="27">
                  <c:v>9.044</c:v>
                </c:pt>
                <c:pt idx="28">
                  <c:v>9.5005</c:v>
                </c:pt>
                <c:pt idx="29">
                  <c:v>9.957</c:v>
                </c:pt>
                <c:pt idx="30">
                  <c:v>12.169</c:v>
                </c:pt>
                <c:pt idx="31">
                  <c:v>14.089</c:v>
                </c:pt>
                <c:pt idx="32">
                  <c:v>14.289</c:v>
                </c:pt>
                <c:pt idx="33">
                  <c:v>14.289</c:v>
                </c:pt>
              </c:numCache>
            </c:numRef>
          </c:xVal>
          <c:yVal>
            <c:numRef>
              <c:f>'[图5.3-3  綦江干流主城区及下游河道疏浚前后的深弘高程.xlsx]分析'!$B$46:$B$79</c:f>
              <c:numCache>
                <c:formatCode>0.00_);[Red]\(0.00\)</c:formatCode>
                <c:ptCount val="34"/>
                <c:pt idx="0">
                  <c:v>210.09</c:v>
                </c:pt>
                <c:pt idx="1">
                  <c:v>207.11</c:v>
                </c:pt>
                <c:pt idx="2">
                  <c:v>212.47</c:v>
                </c:pt>
                <c:pt idx="3">
                  <c:v>211.452</c:v>
                </c:pt>
                <c:pt idx="4">
                  <c:v>211.22</c:v>
                </c:pt>
                <c:pt idx="5">
                  <c:v>205.57</c:v>
                </c:pt>
                <c:pt idx="6">
                  <c:v>210.852</c:v>
                </c:pt>
                <c:pt idx="7">
                  <c:v>210.731</c:v>
                </c:pt>
                <c:pt idx="8">
                  <c:v>216.171</c:v>
                </c:pt>
                <c:pt idx="9">
                  <c:v>210.731</c:v>
                </c:pt>
                <c:pt idx="10">
                  <c:v>210.247</c:v>
                </c:pt>
                <c:pt idx="11">
                  <c:v>208.73</c:v>
                </c:pt>
                <c:pt idx="12">
                  <c:v>208.692</c:v>
                </c:pt>
                <c:pt idx="13">
                  <c:v>208.68</c:v>
                </c:pt>
                <c:pt idx="14">
                  <c:v>209.066</c:v>
                </c:pt>
                <c:pt idx="15">
                  <c:v>206.28</c:v>
                </c:pt>
                <c:pt idx="16">
                  <c:v>204.884</c:v>
                </c:pt>
                <c:pt idx="17">
                  <c:v>203.161</c:v>
                </c:pt>
                <c:pt idx="18">
                  <c:v>205.211</c:v>
                </c:pt>
                <c:pt idx="19">
                  <c:v>201.173</c:v>
                </c:pt>
                <c:pt idx="20">
                  <c:v>200.496</c:v>
                </c:pt>
                <c:pt idx="21">
                  <c:v>203.311</c:v>
                </c:pt>
                <c:pt idx="22">
                  <c:v>204.49</c:v>
                </c:pt>
                <c:pt idx="23">
                  <c:v>194.106</c:v>
                </c:pt>
                <c:pt idx="24">
                  <c:v>198.88</c:v>
                </c:pt>
                <c:pt idx="25">
                  <c:v>208.312</c:v>
                </c:pt>
                <c:pt idx="26">
                  <c:v>207.506</c:v>
                </c:pt>
                <c:pt idx="27">
                  <c:v>206</c:v>
                </c:pt>
                <c:pt idx="28">
                  <c:v>204.18</c:v>
                </c:pt>
                <c:pt idx="29">
                  <c:v>203.981</c:v>
                </c:pt>
                <c:pt idx="30">
                  <c:v>204.18</c:v>
                </c:pt>
                <c:pt idx="31">
                  <c:v>203.981</c:v>
                </c:pt>
                <c:pt idx="32">
                  <c:v>203.981</c:v>
                </c:pt>
                <c:pt idx="33">
                  <c:v>212.201</c:v>
                </c:pt>
              </c:numCache>
            </c:numRef>
          </c:yVal>
          <c:smooth val="false"/>
        </c:ser>
        <c:ser>
          <c:idx val="1"/>
          <c:order val="1"/>
          <c:tx>
            <c:strRef>
              <c:f>'[图5.3-3  綦江干流主城区及下游河道疏浚前后的深弘高程.xlsx]分析'!$C$45</c:f>
              <c:strCache>
                <c:ptCount val="1"/>
                <c:pt idx="0">
                  <c:v>疏浚后深弘高程</c:v>
                </c:pt>
              </c:strCache>
            </c:strRef>
          </c:tx>
          <c:spPr>
            <a:ln w="9525" cap="rnd">
              <a:solidFill>
                <a:srgbClr val="C0504D"/>
              </a:solidFill>
              <a:round/>
            </a:ln>
            <a:effectLst>
              <a:outerShdw blurRad="40000" dist="23000" dir="5400000" rotWithShape="0">
                <a:srgbClr val="000000">
                  <a:alpha val="35000"/>
                </a:srgbClr>
              </a:outerShdw>
            </a:effectLst>
          </c:spPr>
          <c:marker>
            <c:symbol val="square"/>
            <c:size val="5"/>
            <c:spPr>
              <a:gradFill rotWithShape="true">
                <a:gsLst>
                  <a:gs pos="0">
                    <a:srgbClr val="9B2D2A">
                      <a:shade val="51000"/>
                      <a:satMod val="130000"/>
                    </a:srgbClr>
                  </a:gs>
                  <a:gs pos="80000">
                    <a:srgbClr val="CB3D3A">
                      <a:shade val="93000"/>
                      <a:satMod val="130000"/>
                    </a:srgbClr>
                  </a:gs>
                  <a:gs pos="100000">
                    <a:srgbClr val="CE3B37">
                      <a:shade val="94000"/>
                      <a:satMod val="135000"/>
                    </a:srgbClr>
                  </a:gs>
                </a:gsLst>
                <a:lin ang="16200000" scaled="false"/>
              </a:gradFill>
              <a:ln w="9525">
                <a:solidFill>
                  <a:srgbClr val="C0504D"/>
                </a:solidFill>
                <a:round/>
              </a:ln>
              <a:effectLst>
                <a:outerShdw blurRad="40000" dist="23000" dir="5400000" rotWithShape="0">
                  <a:srgbClr val="000000">
                    <a:alpha val="35000"/>
                  </a:srgbClr>
                </a:outerShdw>
              </a:effectLst>
            </c:spPr>
          </c:marker>
          <c:dLbls>
            <c:delete val="true"/>
          </c:dLbls>
          <c:xVal>
            <c:numRef>
              <c:f>'[图5.3-3  綦江干流主城区及下游河道疏浚前后的深弘高程.xlsx]分析'!$A$46:$A$79</c:f>
              <c:numCache>
                <c:formatCode>0.00_);[Red]\(0.00\)</c:formatCode>
                <c:ptCount val="34"/>
                <c:pt idx="0">
                  <c:v>0</c:v>
                </c:pt>
                <c:pt idx="1">
                  <c:v>0.694000000000003</c:v>
                </c:pt>
                <c:pt idx="2">
                  <c:v>1.521</c:v>
                </c:pt>
                <c:pt idx="3">
                  <c:v>1.959</c:v>
                </c:pt>
                <c:pt idx="4">
                  <c:v>2.059</c:v>
                </c:pt>
                <c:pt idx="5">
                  <c:v>2.353</c:v>
                </c:pt>
                <c:pt idx="6">
                  <c:v>2.933</c:v>
                </c:pt>
                <c:pt idx="7">
                  <c:v>3.129</c:v>
                </c:pt>
                <c:pt idx="8">
                  <c:v>3.133</c:v>
                </c:pt>
                <c:pt idx="9">
                  <c:v>3.131</c:v>
                </c:pt>
                <c:pt idx="10">
                  <c:v>3.433</c:v>
                </c:pt>
                <c:pt idx="11">
                  <c:v>3.96</c:v>
                </c:pt>
                <c:pt idx="12">
                  <c:v>4.343</c:v>
                </c:pt>
                <c:pt idx="13">
                  <c:v>4.543</c:v>
                </c:pt>
                <c:pt idx="14">
                  <c:v>4.643</c:v>
                </c:pt>
                <c:pt idx="15">
                  <c:v>5.181</c:v>
                </c:pt>
                <c:pt idx="16">
                  <c:v>5.344</c:v>
                </c:pt>
                <c:pt idx="17">
                  <c:v>5.438</c:v>
                </c:pt>
                <c:pt idx="18">
                  <c:v>5.62</c:v>
                </c:pt>
                <c:pt idx="19">
                  <c:v>5.79</c:v>
                </c:pt>
                <c:pt idx="20">
                  <c:v>5.956</c:v>
                </c:pt>
                <c:pt idx="21">
                  <c:v>6.113</c:v>
                </c:pt>
                <c:pt idx="22">
                  <c:v>6.778</c:v>
                </c:pt>
                <c:pt idx="23">
                  <c:v>7.196</c:v>
                </c:pt>
                <c:pt idx="24">
                  <c:v>7.921</c:v>
                </c:pt>
                <c:pt idx="25">
                  <c:v>8.531</c:v>
                </c:pt>
                <c:pt idx="26">
                  <c:v>8.7875</c:v>
                </c:pt>
                <c:pt idx="27">
                  <c:v>9.044</c:v>
                </c:pt>
                <c:pt idx="28">
                  <c:v>9.5005</c:v>
                </c:pt>
                <c:pt idx="29">
                  <c:v>9.957</c:v>
                </c:pt>
                <c:pt idx="30">
                  <c:v>12.169</c:v>
                </c:pt>
                <c:pt idx="31">
                  <c:v>14.089</c:v>
                </c:pt>
                <c:pt idx="32">
                  <c:v>14.289</c:v>
                </c:pt>
                <c:pt idx="33">
                  <c:v>14.289</c:v>
                </c:pt>
              </c:numCache>
            </c:numRef>
          </c:xVal>
          <c:yVal>
            <c:numRef>
              <c:f>'[图5.3-3  綦江干流主城区及下游河道疏浚前后的深弘高程.xlsx]分析'!$C$46:$C$79</c:f>
              <c:numCache>
                <c:formatCode>0.00_);[Red]\(0.00\)</c:formatCode>
                <c:ptCount val="34"/>
                <c:pt idx="0">
                  <c:v>210.09</c:v>
                </c:pt>
                <c:pt idx="1">
                  <c:v>207.11</c:v>
                </c:pt>
                <c:pt idx="2">
                  <c:v>209.43</c:v>
                </c:pt>
                <c:pt idx="3">
                  <c:v>209.24</c:v>
                </c:pt>
                <c:pt idx="4">
                  <c:v>209.2</c:v>
                </c:pt>
                <c:pt idx="5">
                  <c:v>205.57</c:v>
                </c:pt>
                <c:pt idx="6">
                  <c:v>208.82</c:v>
                </c:pt>
                <c:pt idx="7">
                  <c:v>208.82</c:v>
                </c:pt>
                <c:pt idx="8">
                  <c:v>208.82</c:v>
                </c:pt>
                <c:pt idx="9">
                  <c:v>208.82</c:v>
                </c:pt>
                <c:pt idx="10">
                  <c:v>208.82</c:v>
                </c:pt>
                <c:pt idx="11">
                  <c:v>207.843</c:v>
                </c:pt>
                <c:pt idx="12">
                  <c:v>207.626</c:v>
                </c:pt>
                <c:pt idx="13">
                  <c:v>207.626</c:v>
                </c:pt>
                <c:pt idx="14">
                  <c:v>207.456</c:v>
                </c:pt>
                <c:pt idx="15">
                  <c:v>206.28</c:v>
                </c:pt>
                <c:pt idx="16">
                  <c:v>204.884</c:v>
                </c:pt>
                <c:pt idx="17">
                  <c:v>203.161</c:v>
                </c:pt>
                <c:pt idx="18">
                  <c:v>205.211</c:v>
                </c:pt>
                <c:pt idx="19">
                  <c:v>201.173</c:v>
                </c:pt>
                <c:pt idx="20">
                  <c:v>200.496</c:v>
                </c:pt>
                <c:pt idx="21">
                  <c:v>203.311</c:v>
                </c:pt>
                <c:pt idx="22">
                  <c:v>204.49</c:v>
                </c:pt>
                <c:pt idx="23">
                  <c:v>194.106</c:v>
                </c:pt>
                <c:pt idx="24">
                  <c:v>198.88</c:v>
                </c:pt>
                <c:pt idx="25">
                  <c:v>203.981</c:v>
                </c:pt>
                <c:pt idx="26">
                  <c:v>203.981</c:v>
                </c:pt>
                <c:pt idx="27">
                  <c:v>203.981</c:v>
                </c:pt>
                <c:pt idx="28">
                  <c:v>203.981</c:v>
                </c:pt>
                <c:pt idx="29">
                  <c:v>203.981</c:v>
                </c:pt>
                <c:pt idx="30">
                  <c:v>203.981</c:v>
                </c:pt>
                <c:pt idx="31">
                  <c:v>203.981</c:v>
                </c:pt>
                <c:pt idx="32">
                  <c:v>203.981</c:v>
                </c:pt>
                <c:pt idx="33">
                  <c:v>212.201</c:v>
                </c:pt>
              </c:numCache>
            </c:numRef>
          </c:yVal>
          <c:smooth val="false"/>
        </c:ser>
        <c:dLbls>
          <c:showLegendKey val="false"/>
          <c:showVal val="false"/>
          <c:showCatName val="false"/>
          <c:showSerName val="false"/>
          <c:showPercent val="false"/>
          <c:showBubbleSize val="false"/>
        </c:dLbls>
        <c:axId val="331070168"/>
        <c:axId val="331070560"/>
      </c:scatterChart>
      <c:valAx>
        <c:axId val="331070168"/>
        <c:scaling>
          <c:orientation val="minMax"/>
          <c:max val="15"/>
        </c:scaling>
        <c:delete val="false"/>
        <c:axPos val="b"/>
        <c:title>
          <c:tx>
            <c:rich>
              <a:bodyPr rot="0" spcFirstLastPara="1" vertOverflow="ellipsis" vert="horz" wrap="square" anchor="ctr" anchorCtr="true"/>
              <a:lstStyle/>
              <a:p>
                <a:pPr>
                  <a:defRPr lang="zh-CN" sz="900" b="1" i="0" u="none" strike="noStrike" kern="1200" baseline="0">
                    <a:solidFill>
                      <a:sysClr val="windowText" lastClr="000000"/>
                    </a:solidFill>
                    <a:latin typeface="Times New Roman" panose="02020603050405020304" charset="0"/>
                    <a:ea typeface="+mj-ea"/>
                    <a:cs typeface="Times New Roman" panose="02020603050405020304" charset="0"/>
                  </a:defRPr>
                </a:pPr>
                <a:r>
                  <a:rPr lang="zh-CN"/>
                  <a:t>距离綦江火车站</a:t>
                </a:r>
                <a:r>
                  <a:rPr lang="en-US"/>
                  <a:t>(km)</a:t>
                </a:r>
                <a:endParaRPr lang="zh-CN"/>
              </a:p>
            </c:rich>
          </c:tx>
          <c:layout>
            <c:manualLayout>
              <c:xMode val="edge"/>
              <c:yMode val="edge"/>
              <c:x val="0.452744449722059"/>
              <c:y val="0.923135001825559"/>
            </c:manualLayout>
          </c:layout>
          <c:overlay val="false"/>
          <c:spPr>
            <a:noFill/>
            <a:ln>
              <a:noFill/>
            </a:ln>
            <a:effectLst/>
          </c:spPr>
        </c:title>
        <c:numFmt formatCode="#,##0_);[Red]\(#,##0\)" sourceLinked="false"/>
        <c:majorTickMark val="in"/>
        <c:minorTickMark val="none"/>
        <c:tickLblPos val="nextTo"/>
        <c:spPr>
          <a:noFill/>
          <a:ln w="9525" cap="flat" cmpd="sng" algn="ctr">
            <a:solidFill>
              <a:srgbClr val="0D0D0D">
                <a:lumMod val="95000"/>
                <a:lumOff val="5000"/>
              </a:srgbClr>
            </a:solidFill>
            <a:round/>
          </a:ln>
          <a:effectLst/>
        </c:spPr>
        <c:txPr>
          <a:bodyPr rot="-60000000" spcFirstLastPara="1" vertOverflow="ellipsis" vert="horz" wrap="square" anchor="ctr" anchorCtr="true"/>
          <a:lstStyle/>
          <a:p>
            <a:pPr>
              <a:defRPr lang="zh-CN" sz="900" b="0" i="0" u="none" strike="noStrike" kern="1200" baseline="0">
                <a:solidFill>
                  <a:sysClr val="windowText" lastClr="000000"/>
                </a:solidFill>
                <a:latin typeface="Times New Roman" panose="02020603050405020304" charset="0"/>
                <a:ea typeface="+mj-ea"/>
                <a:cs typeface="Times New Roman" panose="02020603050405020304" charset="0"/>
              </a:defRPr>
            </a:pPr>
          </a:p>
        </c:txPr>
        <c:crossAx val="331070560"/>
        <c:crosses val="autoZero"/>
        <c:crossBetween val="midCat"/>
        <c:majorUnit val="1"/>
      </c:valAx>
      <c:valAx>
        <c:axId val="331070560"/>
        <c:scaling>
          <c:orientation val="minMax"/>
        </c:scaling>
        <c:delete val="false"/>
        <c:axPos val="l"/>
        <c:title>
          <c:tx>
            <c:rich>
              <a:bodyPr rot="-5400000" spcFirstLastPara="1" vertOverflow="ellipsis" vert="horz" wrap="square" anchor="ctr" anchorCtr="true"/>
              <a:lstStyle/>
              <a:p>
                <a:pPr>
                  <a:defRPr lang="zh-CN" sz="900" b="1" i="0" u="none" strike="noStrike" kern="1200" baseline="0">
                    <a:solidFill>
                      <a:sysClr val="windowText" lastClr="000000"/>
                    </a:solidFill>
                    <a:latin typeface="Times New Roman" panose="02020603050405020304" charset="0"/>
                    <a:ea typeface="+mj-ea"/>
                    <a:cs typeface="Times New Roman" panose="02020603050405020304" charset="0"/>
                  </a:defRPr>
                </a:pPr>
                <a:r>
                  <a:rPr lang="zh-CN"/>
                  <a:t>水位</a:t>
                </a:r>
                <a:r>
                  <a:rPr lang="en-US"/>
                  <a:t>(m)</a:t>
                </a:r>
                <a:endParaRPr lang="zh-CN"/>
              </a:p>
            </c:rich>
          </c:tx>
          <c:layout>
            <c:manualLayout>
              <c:xMode val="edge"/>
              <c:yMode val="edge"/>
              <c:x val="0.00510204149955026"/>
              <c:y val="0.301086104394431"/>
            </c:manualLayout>
          </c:layout>
          <c:overlay val="false"/>
          <c:spPr>
            <a:noFill/>
            <a:ln>
              <a:noFill/>
            </a:ln>
            <a:effectLst/>
          </c:spPr>
        </c:title>
        <c:numFmt formatCode="#,##0_);[Red]\(#,##0\)" sourceLinked="false"/>
        <c:majorTickMark val="in"/>
        <c:minorTickMark val="none"/>
        <c:tickLblPos val="nextTo"/>
        <c:spPr>
          <a:noFill/>
          <a:ln>
            <a:solidFill>
              <a:srgbClr val="0D0D0D">
                <a:lumMod val="95000"/>
                <a:lumOff val="5000"/>
              </a:srgbClr>
            </a:solidFill>
          </a:ln>
          <a:effectLst/>
        </c:spPr>
        <c:txPr>
          <a:bodyPr rot="-60000000" spcFirstLastPara="1" vertOverflow="ellipsis" vert="horz" wrap="square" anchor="ctr" anchorCtr="true"/>
          <a:lstStyle/>
          <a:p>
            <a:pPr>
              <a:defRPr lang="zh-CN" sz="900" b="0" i="0" u="none" strike="noStrike" kern="1200" baseline="0">
                <a:solidFill>
                  <a:sysClr val="windowText" lastClr="000000"/>
                </a:solidFill>
                <a:latin typeface="Times New Roman" panose="02020603050405020304" charset="0"/>
                <a:ea typeface="+mj-ea"/>
                <a:cs typeface="Times New Roman" panose="02020603050405020304" charset="0"/>
              </a:defRPr>
            </a:pPr>
          </a:p>
        </c:txPr>
        <c:crossAx val="331070168"/>
        <c:crosses val="autoZero"/>
        <c:crossBetween val="midCat"/>
      </c:valAx>
      <c:spPr>
        <a:noFill/>
        <a:ln>
          <a:noFill/>
        </a:ln>
        <a:effectLst/>
      </c:spPr>
    </c:plotArea>
    <c:legend>
      <c:legendPos val="b"/>
      <c:layout>
        <c:manualLayout>
          <c:xMode val="edge"/>
          <c:yMode val="edge"/>
          <c:x val="0.107482873678675"/>
          <c:y val="0.681150010094892"/>
          <c:w val="0.220485448056169"/>
          <c:h val="0.126212531125917"/>
        </c:manualLayout>
      </c:layout>
      <c:overlay val="false"/>
      <c:spPr>
        <a:solidFill>
          <a:srgbClr val="FFFFFF"/>
        </a:solidFill>
        <a:ln w="12700">
          <a:solidFill>
            <a:srgbClr val="0D0D0D">
              <a:lumMod val="95000"/>
              <a:lumOff val="5000"/>
            </a:srgbClr>
          </a:solidFill>
        </a:ln>
        <a:effectLst/>
      </c:spPr>
      <c:txPr>
        <a:bodyPr rot="0" spcFirstLastPara="1" vertOverflow="ellipsis" vert="horz" wrap="square" anchor="ctr" anchorCtr="true"/>
        <a:lstStyle/>
        <a:p>
          <a:pPr>
            <a:defRPr lang="zh-CN" sz="900" b="0" i="0" u="none" strike="noStrike" kern="1200" baseline="0">
              <a:solidFill>
                <a:sysClr val="windowText" lastClr="000000"/>
              </a:solidFill>
              <a:latin typeface="Times New Roman" panose="02020603050405020304" charset="0"/>
              <a:ea typeface="+mj-ea"/>
              <a:cs typeface="Times New Roman" panose="02020603050405020304" charset="0"/>
            </a:defRPr>
          </a:pPr>
        </a:p>
      </c:txPr>
    </c:legend>
    <c:plotVisOnly val="true"/>
    <c:dispBlanksAs val="gap"/>
    <c:showDLblsOverMax val="false"/>
  </c:chart>
  <c:spPr>
    <a:solidFill>
      <a:srgbClr val="FFFFFF"/>
    </a:solidFill>
    <a:ln w="9525" cap="flat" cmpd="sng" algn="ctr">
      <a:solidFill>
        <a:srgbClr val="0D0D0D">
          <a:lumMod val="95000"/>
          <a:lumOff val="5000"/>
        </a:srgbClr>
      </a:solidFill>
      <a:round/>
    </a:ln>
    <a:effectLst/>
  </c:spPr>
  <c:txPr>
    <a:bodyPr/>
    <a:lstStyle/>
    <a:p>
      <a:pPr>
        <a:defRPr lang="zh-CN" sz="900">
          <a:solidFill>
            <a:sysClr val="windowText" lastClr="000000"/>
          </a:solidFill>
          <a:latin typeface="Times New Roman" panose="02020603050405020304" charset="0"/>
          <a:ea typeface="+mj-ea"/>
          <a:cs typeface="Times New Roman" panose="02020603050405020304" charset="0"/>
        </a:defRPr>
      </a:pPr>
    </a:p>
  </c:txPr>
  <c:externalData r:id="rId1">
    <c:autoUpdate val="false"/>
  </c:externalData>
  <c:userShapes r:id="rId2"/>
</c:chartSpace>
</file>

<file path=word/charts/colors1.xml><?xml version="1.0" encoding="utf-8"?>
<cs:colorStyle xmlns:cs="http://schemas.microsoft.com/office/drawing/2012/chartStyle" xmlns:a="http://schemas.openxmlformats.org/drawingml/2006/main" meth="cycle" id="10">
  <a:srgbClr val="4F81BD"/>
  <a:srgbClr val="C0504D"/>
  <a:srgbClr val="9BBB59"/>
  <a:srgbClr val="8064A2"/>
  <a:srgbClr val="4BACC6"/>
  <a:srgbClr val="F7964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rgbClr val="4F81BD"/>
  <a:srgbClr val="C0504D"/>
  <a:srgbClr val="9BBB59"/>
  <a:srgbClr val="8064A2"/>
  <a:srgbClr val="4BACC6"/>
  <a:srgbClr val="F7964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2">
  <cs:axisTitle>
    <cs:lnRef idx="0"/>
    <cs:fillRef idx="0"/>
    <cs:effectRef idx="0"/>
    <cs:fontRef idx="minor">
      <a:srgbClr val="1F497D"/>
    </cs:fontRef>
    <cs:defRPr sz="900" b="1" kern="1200"/>
  </cs:axisTitle>
  <cs:categoryAxis>
    <cs:lnRef idx="0"/>
    <cs:fillRef idx="0"/>
    <cs:effectRef idx="0"/>
    <cs:fontRef idx="minor">
      <a:srgbClr val="1F497D"/>
    </cs:fontRef>
    <cs:spPr>
      <a:ln w="9525" cap="flat" cmpd="sng" algn="ctr">
        <a:solidFill>
          <a:srgbClr val="D4E3F4">
            <a:lumMod val="15000"/>
            <a:lumOff val="85000"/>
          </a:srgbClr>
        </a:solidFill>
        <a:round/>
      </a:ln>
    </cs:spPr>
    <cs:defRPr sz="900" kern="1200"/>
  </cs:categoryAxis>
  <cs:chartArea mods="allowNoFillOverride allowNoLineOverride">
    <cs:lnRef idx="0"/>
    <cs:fillRef idx="0"/>
    <cs:effectRef idx="0"/>
    <cs:fontRef idx="minor">
      <a:srgbClr val="1F497D"/>
    </cs:fontRef>
    <cs:spPr>
      <a:solidFill>
        <a:srgbClr val="FFFFFF"/>
      </a:solidFill>
      <a:ln w="9525" cap="flat" cmpd="sng" algn="ctr">
        <a:solidFill>
          <a:srgbClr val="D4E3F4">
            <a:lumMod val="15000"/>
            <a:lumOff val="85000"/>
          </a:srgbClr>
        </a:solidFill>
        <a:round/>
      </a:ln>
    </cs:spPr>
    <cs:defRPr sz="900" kern="1200"/>
  </cs:chartArea>
  <cs:dataLabel>
    <cs:lnRef idx="0"/>
    <cs:fillRef idx="0"/>
    <cs:effectRef idx="0"/>
    <cs:fontRef idx="minor">
      <a:srgbClr val="1F497D"/>
    </cs:fontRef>
    <cs:defRPr sz="900" kern="1200"/>
  </cs:dataLabel>
  <cs:dataLabelCallout>
    <cs:lnRef idx="0"/>
    <cs:fillRef idx="0"/>
    <cs:effectRef idx="0"/>
    <cs:fontRef idx="minor">
      <a:srgbClr val="17375E">
        <a:lumMod val="75000"/>
      </a:srgbClr>
    </cs:fontRef>
    <cs:spPr>
      <a:solidFill>
        <a:srgbClr val="FFFFFF"/>
      </a:solidFill>
      <a:ln>
        <a:solidFill>
          <a:srgbClr val="BFBFBF">
            <a:lumMod val="25000"/>
            <a:lumOff val="75000"/>
          </a:srgbClr>
        </a:solidFill>
      </a:ln>
    </cs:spPr>
    <cs:defRPr sz="900" kern="1200"/>
    <cs:bodyPr rot="0" spcFirstLastPara="1" vertOverflow="clip" horzOverflow="clip" vert="horz" wrap="square" lIns="36576" tIns="18288" rIns="36576" bIns="18288" anchor="ctr" anchorCtr="true">
      <a:spAutoFit/>
    </cs:bodyPr>
  </cs:dataLabelCallout>
  <cs:dataPoint>
    <cs:lnRef idx="0"/>
    <cs:fillRef idx="3">
      <cs:styleClr val="auto"/>
    </cs:fillRef>
    <cs:effectRef idx="2"/>
    <cs:fontRef idx="minor">
      <a:srgbClr val="1F497D"/>
    </cs:fontRef>
  </cs:dataPoint>
  <cs:dataPoint3D>
    <cs:lnRef idx="0"/>
    <cs:fillRef idx="3">
      <cs:styleClr val="auto"/>
    </cs:fillRef>
    <cs:effectRef idx="2"/>
    <cs:fontRef idx="minor">
      <a:srgbClr val="1F497D"/>
    </cs:fontRef>
  </cs:dataPoint3D>
  <cs:dataPointLine>
    <cs:lnRef idx="0">
      <cs:styleClr val="auto"/>
    </cs:lnRef>
    <cs:fillRef idx="3"/>
    <cs:effectRef idx="2"/>
    <cs:fontRef idx="minor">
      <a:srgbClr val="1F497D"/>
    </cs:fontRef>
    <cs:spPr>
      <a:ln w="9525" cap="rnd">
        <a:solidFill>
          <a:srgbClr val="FFFFFF"/>
        </a:solidFill>
        <a:round/>
      </a:ln>
    </cs:spPr>
  </cs:dataPointLine>
  <cs:dataPointMarker>
    <cs:lnRef idx="0">
      <cs:styleClr val="auto"/>
    </cs:lnRef>
    <cs:fillRef idx="3">
      <cs:styleClr val="auto"/>
    </cs:fillRef>
    <cs:effectRef idx="2"/>
    <cs:fontRef idx="minor">
      <a:srgbClr val="1F497D"/>
    </cs:fontRef>
    <cs:spPr>
      <a:ln w="9525">
        <a:solidFill>
          <a:srgbClr val="FFFFFF"/>
        </a:solidFill>
        <a:round/>
      </a:ln>
    </cs:spPr>
  </cs:dataPointMarker>
  <cs:dataPointMarkerLayout symbol="circle" size="5"/>
  <cs:dataPointWireframe>
    <cs:lnRef idx="0">
      <cs:styleClr val="auto"/>
    </cs:lnRef>
    <cs:fillRef idx="3"/>
    <cs:effectRef idx="2"/>
    <cs:fontRef idx="minor">
      <a:srgbClr val="1F497D"/>
    </cs:fontRef>
    <cs:spPr>
      <a:ln w="9525" cap="rnd">
        <a:solidFill>
          <a:srgbClr val="FFFFFF"/>
        </a:solidFill>
        <a:round/>
      </a:ln>
    </cs:spPr>
  </cs:dataPointWireframe>
  <cs:dataTable>
    <cs:lnRef idx="0"/>
    <cs:fillRef idx="0"/>
    <cs:effectRef idx="0"/>
    <cs:fontRef idx="minor">
      <a:srgbClr val="1F497D"/>
    </cs:fontRef>
    <cs:spPr>
      <a:ln w="9525">
        <a:solidFill>
          <a:srgbClr val="D4E3F4">
            <a:lumMod val="15000"/>
            <a:lumOff val="85000"/>
          </a:srgbClr>
        </a:solidFill>
      </a:ln>
    </cs:spPr>
    <cs:defRPr sz="900" kern="1200"/>
  </cs:dataTable>
  <cs:downBar>
    <cs:lnRef idx="0"/>
    <cs:fillRef idx="0"/>
    <cs:effectRef idx="0"/>
    <cs:fontRef idx="minor">
      <a:srgbClr val="000000"/>
    </cs:fontRef>
    <cs:spPr>
      <a:solidFill>
        <a:srgbClr val="595959">
          <a:lumMod val="65000"/>
          <a:lumOff val="35000"/>
        </a:srgbClr>
      </a:solidFill>
      <a:ln w="9525">
        <a:solidFill>
          <a:srgbClr val="595959">
            <a:lumMod val="65000"/>
            <a:lumOff val="35000"/>
          </a:srgbClr>
        </a:solidFill>
      </a:ln>
    </cs:spPr>
  </cs:downBar>
  <cs:dropLine>
    <cs:lnRef idx="0"/>
    <cs:fillRef idx="0"/>
    <cs:effectRef idx="0"/>
    <cs:fontRef idx="minor">
      <a:srgbClr val="1F497D"/>
    </cs:fontRef>
    <cs:spPr>
      <a:ln w="9525">
        <a:solidFill>
          <a:srgbClr val="558ED5">
            <a:lumMod val="60000"/>
            <a:lumOff val="40000"/>
          </a:srgbClr>
        </a:solidFill>
        <a:prstDash val="dash"/>
      </a:ln>
    </cs:spPr>
  </cs:dropLine>
  <cs:errorBar>
    <cs:lnRef idx="0"/>
    <cs:fillRef idx="0"/>
    <cs:effectRef idx="0"/>
    <cs:fontRef idx="minor">
      <a:srgbClr val="1F497D"/>
    </cs:fontRef>
    <cs:spPr>
      <a:ln w="9525">
        <a:solidFill>
          <a:srgbClr val="17375E">
            <a:lumMod val="75000"/>
          </a:srgbClr>
        </a:solidFill>
        <a:round/>
      </a:ln>
    </cs:spPr>
  </cs:errorBar>
  <cs:floor>
    <cs:lnRef idx="0"/>
    <cs:fillRef idx="0"/>
    <cs:effectRef idx="0"/>
    <cs:fontRef idx="minor">
      <a:srgbClr val="1F497D"/>
    </cs:fontRef>
  </cs:floor>
  <cs:gridlineMajor>
    <cs:lnRef idx="0"/>
    <cs:fillRef idx="0"/>
    <cs:effectRef idx="0"/>
    <cs:fontRef idx="minor">
      <a:srgbClr val="1F497D"/>
    </cs:fontRef>
    <cs:spPr>
      <a:ln w="9525" cap="flat" cmpd="sng" algn="ctr">
        <a:solidFill>
          <a:srgbClr val="D4E3F4">
            <a:lumMod val="15000"/>
            <a:lumOff val="85000"/>
          </a:srgbClr>
        </a:solidFill>
        <a:round/>
      </a:ln>
    </cs:spPr>
  </cs:gridlineMajor>
  <cs:gridlineMinor>
    <cs:lnRef idx="0"/>
    <cs:fillRef idx="0"/>
    <cs:effectRef idx="0"/>
    <cs:fontRef idx="minor">
      <a:srgbClr val="1F497D"/>
    </cs:fontRef>
    <cs:spPr>
      <a:ln>
        <a:solidFill>
          <a:srgbClr val="F1F6FB">
            <a:lumMod val="5000"/>
            <a:lumOff val="95000"/>
          </a:srgbClr>
        </a:solidFill>
      </a:ln>
    </cs:spPr>
  </cs:gridlineMinor>
  <cs:hiLoLine>
    <cs:lnRef idx="0"/>
    <cs:fillRef idx="0"/>
    <cs:effectRef idx="0"/>
    <cs:fontRef idx="minor">
      <a:srgbClr val="1F497D"/>
    </cs:fontRef>
    <cs:spPr>
      <a:ln w="9525">
        <a:solidFill>
          <a:srgbClr val="558ED5">
            <a:lumMod val="60000"/>
            <a:lumOff val="40000"/>
          </a:srgbClr>
        </a:solidFill>
        <a:prstDash val="dash"/>
      </a:ln>
    </cs:spPr>
  </cs:hiLoLine>
  <cs:leaderLine>
    <cs:lnRef idx="0"/>
    <cs:fillRef idx="0"/>
    <cs:effectRef idx="0"/>
    <cs:fontRef idx="minor">
      <a:srgbClr val="1F497D"/>
    </cs:fontRef>
    <cs:spPr>
      <a:ln w="9525">
        <a:solidFill>
          <a:srgbClr val="9CBDE6">
            <a:lumMod val="35000"/>
            <a:lumOff val="65000"/>
          </a:srgbClr>
        </a:solidFill>
      </a:ln>
    </cs:spPr>
  </cs:leaderLine>
  <cs:legend>
    <cs:lnRef idx="0"/>
    <cs:fillRef idx="0"/>
    <cs:effectRef idx="0"/>
    <cs:fontRef idx="minor">
      <a:srgbClr val="1F497D"/>
    </cs:fontRef>
    <cs:defRPr sz="900" kern="1200"/>
  </cs:legend>
  <cs:plotArea>
    <cs:lnRef idx="0"/>
    <cs:fillRef idx="0"/>
    <cs:effectRef idx="0"/>
    <cs:fontRef idx="minor">
      <a:srgbClr val="1F497D"/>
    </cs:fontRef>
  </cs:plotArea>
  <cs:plotArea3D>
    <cs:lnRef idx="0"/>
    <cs:fillRef idx="0"/>
    <cs:effectRef idx="0"/>
    <cs:fontRef idx="minor">
      <a:srgbClr val="1F497D"/>
    </cs:fontRef>
  </cs:plotArea3D>
  <cs:seriesAxis>
    <cs:lnRef idx="0"/>
    <cs:fillRef idx="0"/>
    <cs:effectRef idx="0"/>
    <cs:fontRef idx="minor">
      <a:srgbClr val="1F497D"/>
    </cs:fontRef>
    <cs:spPr>
      <a:ln w="9525" cap="flat" cmpd="sng" algn="ctr">
        <a:solidFill>
          <a:srgbClr val="D4E3F4">
            <a:lumMod val="15000"/>
            <a:lumOff val="85000"/>
          </a:srgbClr>
        </a:solidFill>
        <a:round/>
      </a:ln>
    </cs:spPr>
    <cs:defRPr sz="900" kern="1200"/>
  </cs:seriesAxis>
  <cs:seriesLine>
    <cs:lnRef idx="0"/>
    <cs:fillRef idx="0"/>
    <cs:effectRef idx="0"/>
    <cs:fontRef idx="minor">
      <a:srgbClr val="1F497D"/>
    </cs:fontRef>
    <cs:spPr>
      <a:ln w="9525">
        <a:solidFill>
          <a:srgbClr val="558ED5">
            <a:lumMod val="60000"/>
            <a:lumOff val="40000"/>
          </a:srgbClr>
        </a:solidFill>
        <a:prstDash val="dash"/>
      </a:ln>
    </cs:spPr>
  </cs:seriesLine>
  <cs:title>
    <cs:lnRef idx="0"/>
    <cs:fillRef idx="0"/>
    <cs:effectRef idx="0"/>
    <cs:fontRef idx="minor">
      <a:srgbClr val="1F497D"/>
    </cs:fontRef>
    <cs:defRPr sz="1600" b="1" kern="1200"/>
  </cs:title>
  <cs:trendline>
    <cs:lnRef idx="0">
      <cs:styleClr val="auto"/>
    </cs:lnRef>
    <cs:fillRef idx="0"/>
    <cs:effectRef idx="0"/>
    <cs:fontRef idx="minor">
      <a:srgbClr val="1F497D"/>
    </cs:fontRef>
    <cs:spPr>
      <a:ln w="9525" cap="rnd">
        <a:solidFill>
          <a:srgbClr val="FFFFFF"/>
        </a:solidFill>
      </a:ln>
    </cs:spPr>
  </cs:trendline>
  <cs:trendlineLabel>
    <cs:lnRef idx="0"/>
    <cs:fillRef idx="0"/>
    <cs:effectRef idx="0"/>
    <cs:fontRef idx="minor">
      <a:srgbClr val="1F497D"/>
    </cs:fontRef>
    <cs:defRPr sz="900" kern="1200"/>
  </cs:trendlineLabel>
  <cs:upBar>
    <cs:lnRef idx="0"/>
    <cs:fillRef idx="0"/>
    <cs:effectRef idx="0"/>
    <cs:fontRef idx="minor">
      <a:srgbClr val="1F497D"/>
    </cs:fontRef>
    <cs:spPr>
      <a:solidFill>
        <a:srgbClr val="FFFFFF"/>
      </a:solidFill>
      <a:ln w="9525">
        <a:solidFill>
          <a:srgbClr val="D9D9D9">
            <a:lumMod val="15000"/>
            <a:lumOff val="85000"/>
          </a:srgbClr>
        </a:solidFill>
      </a:ln>
    </cs:spPr>
  </cs:upBar>
  <cs:valueAxis>
    <cs:lnRef idx="0"/>
    <cs:fillRef idx="0"/>
    <cs:effectRef idx="0"/>
    <cs:fontRef idx="minor">
      <a:srgbClr val="1F497D"/>
    </cs:fontRef>
    <cs:spPr>
      <a:ln>
        <a:solidFill>
          <a:srgbClr val="8EB4E3">
            <a:lumMod val="40000"/>
            <a:lumOff val="60000"/>
          </a:srgbClr>
        </a:solidFill>
      </a:ln>
    </cs:spPr>
    <cs:defRPr sz="900" kern="1200"/>
  </cs:valueAxis>
  <cs:wall>
    <cs:lnRef idx="0"/>
    <cs:fillRef idx="0"/>
    <cs:effectRef idx="0"/>
    <cs:fontRef idx="minor">
      <a:srgbClr val="1F497D"/>
    </cs:fontRef>
  </cs:wall>
</cs:chartStyle>
</file>

<file path=word/charts/style2.xml><?xml version="1.0" encoding="utf-8"?>
<cs:chartStyle xmlns:cs="http://schemas.microsoft.com/office/drawing/2012/chartStyle" xmlns:a="http://schemas.openxmlformats.org/drawingml/2006/main" id="248">
  <cs:axisTitle>
    <cs:lnRef idx="0"/>
    <cs:fillRef idx="0"/>
    <cs:effectRef idx="0"/>
    <cs:fontRef idx="minor">
      <a:sysClr val="window" lastClr="FFFFFF">
        <a:lumMod val="75000"/>
      </a:sysClr>
    </cs:fontRef>
    <cs:defRPr sz="900" b="1" kern="1200" cap="all"/>
  </cs:axisTitle>
  <cs:categoryAxis>
    <cs:lnRef idx="0"/>
    <cs:fillRef idx="0"/>
    <cs:effectRef idx="0"/>
    <cs:fontRef idx="minor">
      <a:sysClr val="window" lastClr="FFFFFF">
        <a:lumMod val="75000"/>
      </a:sysClr>
    </cs:fontRef>
    <cs:spPr>
      <a:ln w="9525" cap="flat" cmpd="sng" algn="ctr">
        <a:solidFill>
          <a:sysClr val="window" lastClr="FFFFFF">
            <a:lumMod val="50000"/>
          </a:sysClr>
        </a:solidFill>
      </a:ln>
    </cs:spPr>
    <cs:defRPr sz="900" kern="1200"/>
  </cs:categoryAxis>
  <cs:chartArea>
    <cs:lnRef idx="0"/>
    <cs:fillRef idx="0"/>
    <cs:effectRef idx="0"/>
    <cs:fontRef idx="minor">
      <a:sysClr val="windowText" lastClr="000000"/>
    </cs:fontRef>
    <cs:spPr>
      <a:gradFill flip="none" rotWithShape="true">
        <a:gsLst>
          <a:gs pos="0">
            <a:sysClr val="windowText" lastClr="000000">
              <a:lumMod val="65000"/>
              <a:lumOff val="35000"/>
            </a:sysClr>
          </a:gs>
          <a:gs pos="100000">
            <a:sysClr val="windowText" lastClr="000000">
              <a:lumMod val="85000"/>
              <a:lumOff val="15000"/>
            </a:sysClr>
          </a:gs>
        </a:gsLst>
        <a:path path="circle">
          <a:fillToRect l="50000" t="50000" r="50000" b="50000"/>
        </a:path>
        <a:tileRect/>
      </a:gradFill>
    </cs:spPr>
    <cs:defRPr sz="1000" kern="1200"/>
  </cs:chartArea>
  <cs:dataLabel>
    <cs:lnRef idx="0"/>
    <cs:fillRef idx="0"/>
    <cs:effectRef idx="0"/>
    <cs:fontRef idx="minor">
      <a:sysClr val="window" lastClr="FFFFFF">
        <a:lumMod val="75000"/>
      </a:sysClr>
    </cs:fontRef>
    <cs:defRPr sz="900" kern="1200"/>
  </cs:dataLabel>
  <cs:dataLabelCallout>
    <cs:lnRef idx="0"/>
    <cs:fillRef idx="0"/>
    <cs:effectRef idx="0"/>
    <cs:fontRef idx="minor">
      <a:sysClr val="windowText" lastClr="000000">
        <a:lumMod val="65000"/>
        <a:lumOff val="35000"/>
      </a:sysClr>
    </cs:fontRef>
    <cs:spPr>
      <a:solidFill>
        <a:sysClr val="window" lastClr="FFFFFF"/>
      </a:solidFill>
    </cs:spPr>
    <cs:defRPr sz="900" kern="1200"/>
    <cs:bodyPr rot="0" spcFirstLastPara="1" vertOverflow="clip" horzOverflow="clip" vert="horz" wrap="square" lIns="36576" tIns="18288" rIns="36576" bIns="18288" anchor="ctr" anchorCtr="true">
      <a:spAutoFit/>
    </cs:bodyPr>
  </cs:dataLabelCallout>
  <cs:dataPoint>
    <cs:lnRef idx="0"/>
    <cs:fillRef idx="3">
      <cs:styleClr val="auto"/>
    </cs:fillRef>
    <cs:effectRef idx="3"/>
    <cs:fontRef idx="minor">
      <a:sysClr val="windowText" lastClr="000000"/>
    </cs:fontRef>
  </cs:dataPoint>
  <cs:dataPoint3D>
    <cs:lnRef idx="0"/>
    <cs:fillRef idx="3">
      <cs:styleClr val="auto"/>
    </cs:fillRef>
    <cs:effectRef idx="3"/>
    <cs:fontRef idx="minor">
      <a:sysClr val="windowText" lastClr="000000"/>
    </cs:fontRef>
  </cs:dataPoint3D>
  <cs:dataPointLine>
    <cs:lnRef idx="0">
      <cs:styleClr val="auto"/>
    </cs:lnRef>
    <cs:fillRef idx="3"/>
    <cs:effectRef idx="3"/>
    <cs:fontRef idx="minor">
      <a:sysClr val="windowText" lastClr="000000"/>
    </cs:fontRef>
    <cs:spPr>
      <a:ln w="9525" cap="rnd">
        <a:solidFill>
          <a:srgbClr val="FFFFFF"/>
        </a:solidFill>
        <a:round/>
      </a:ln>
    </cs:spPr>
  </cs:dataPointLine>
  <cs:dataPointMarker>
    <cs:lnRef idx="0">
      <cs:styleClr val="auto"/>
    </cs:lnRef>
    <cs:fillRef idx="3">
      <cs:styleClr val="auto"/>
    </cs:fillRef>
    <cs:effectRef idx="3"/>
    <cs:fontRef idx="minor">
      <a:sysClr val="windowText" lastClr="000000"/>
    </cs:fontRef>
    <cs:spPr>
      <a:ln w="9525" cap="rnd">
        <a:solidFill>
          <a:srgbClr val="FFFFFF"/>
        </a:solidFill>
        <a:round/>
      </a:ln>
    </cs:spPr>
  </cs:dataPointMarker>
  <cs:dataPointMarkerLayout symbol="circle" size="6"/>
  <cs:dataPointWireframe>
    <cs:lnRef idx="0">
      <cs:styleClr val="auto"/>
    </cs:lnRef>
    <cs:fillRef idx="3"/>
    <cs:effectRef idx="3"/>
    <cs:fontRef idx="minor">
      <a:sysClr val="windowText" lastClr="000000"/>
    </cs:fontRef>
    <cs:spPr>
      <a:ln w="9525" cap="rnd">
        <a:solidFill>
          <a:srgbClr val="FFFFFF"/>
        </a:solidFill>
        <a:round/>
      </a:ln>
    </cs:spPr>
  </cs:dataPointWireframe>
  <cs:dataTable>
    <cs:lnRef idx="0"/>
    <cs:fillRef idx="0"/>
    <cs:effectRef idx="0"/>
    <cs:fontRef idx="minor">
      <a:sysClr val="window" lastClr="FFFFFF">
        <a:lumMod val="75000"/>
      </a:sysClr>
    </cs:fontRef>
    <cs:spPr>
      <a:ln w="9525">
        <a:solidFill>
          <a:sysClr val="window" lastClr="FFFFFF">
            <a:lumMod val="95000"/>
            <a:alpha val="54000"/>
          </a:sysClr>
        </a:solidFill>
      </a:ln>
    </cs:spPr>
    <cs:defRPr sz="900" kern="1200"/>
  </cs:dataTable>
  <cs:downBar>
    <cs:lnRef idx="0"/>
    <cs:fillRef idx="0"/>
    <cs:effectRef idx="0"/>
    <cs:fontRef idx="minor">
      <a:sysClr val="windowText" lastClr="000000"/>
    </cs:fontRef>
    <cs:spPr>
      <a:solidFill>
        <a:sysClr val="windowText" lastClr="000000">
          <a:lumMod val="75000"/>
          <a:lumOff val="25000"/>
        </a:sysClr>
      </a:solidFill>
      <a:ln w="9525">
        <a:solidFill>
          <a:sysClr val="window" lastClr="FFFFFF">
            <a:lumMod val="95000"/>
            <a:alpha val="54000"/>
          </a:sysClr>
        </a:solidFill>
      </a:ln>
    </cs:spPr>
  </cs:downBar>
  <cs:dropLine>
    <cs:lnRef idx="0"/>
    <cs:fillRef idx="0"/>
    <cs:effectRef idx="0"/>
    <cs:fontRef idx="minor">
      <a:sysClr val="windowText" lastClr="000000"/>
    </cs:fontRef>
    <cs:spPr>
      <a:ln w="9525">
        <a:solidFill>
          <a:sysClr val="window" lastClr="FFFFFF">
            <a:lumMod val="95000"/>
            <a:alpha val="54000"/>
          </a:sysClr>
        </a:solidFill>
        <a:prstDash val="dash"/>
      </a:ln>
    </cs:spPr>
  </cs:dropLine>
  <cs:errorBar>
    <cs:lnRef idx="0"/>
    <cs:fillRef idx="0"/>
    <cs:effectRef idx="0"/>
    <cs:fontRef idx="minor">
      <a:sysClr val="windowText" lastClr="000000"/>
    </cs:fontRef>
    <cs:spPr>
      <a:ln w="9525" cap="flat" cmpd="sng" algn="ctr">
        <a:solidFill>
          <a:sysClr val="window" lastClr="FFFFFF">
            <a:lumMod val="95000"/>
          </a:sysClr>
        </a:solidFill>
        <a:round/>
      </a:ln>
    </cs:spPr>
  </cs:errorBar>
  <cs:floor>
    <cs:lnRef idx="0"/>
    <cs:fillRef idx="0"/>
    <cs:effectRef idx="0"/>
    <cs:fontRef idx="minor">
      <a:sysClr val="windowText" lastClr="000000"/>
    </cs:fontRef>
  </cs:floor>
  <cs:gridlineMajor>
    <cs:lnRef idx="0"/>
    <cs:fillRef idx="0"/>
    <cs:effectRef idx="0"/>
    <cs:fontRef idx="minor">
      <a:sysClr val="windowText" lastClr="000000"/>
    </cs:fontRef>
    <cs:spPr>
      <a:ln w="9525" cap="flat" cmpd="sng" algn="ctr">
        <a:solidFill>
          <a:sysClr val="window" lastClr="FFFFFF">
            <a:lumMod val="95000"/>
            <a:alpha val="10000"/>
          </a:sysClr>
        </a:solidFill>
        <a:round/>
      </a:ln>
    </cs:spPr>
  </cs:gridlineMajor>
  <cs:gridlineMinor>
    <cs:lnRef idx="0"/>
    <cs:fillRef idx="0"/>
    <cs:effectRef idx="0"/>
    <cs:fontRef idx="minor">
      <a:sysClr val="windowText" lastClr="000000"/>
    </cs:fontRef>
    <cs:spPr>
      <a:ln>
        <a:solidFill>
          <a:sysClr val="window" lastClr="FFFFFF">
            <a:lumMod val="95000"/>
            <a:alpha val="5000"/>
          </a:sysClr>
        </a:solidFill>
      </a:ln>
    </cs:spPr>
  </cs:gridlineMinor>
  <cs:hiLoLine>
    <cs:lnRef idx="0"/>
    <cs:fillRef idx="0"/>
    <cs:effectRef idx="0"/>
    <cs:fontRef idx="minor">
      <a:sysClr val="windowText" lastClr="000000"/>
    </cs:fontRef>
    <cs:spPr>
      <a:ln w="9525">
        <a:solidFill>
          <a:sysClr val="window" lastClr="FFFFFF">
            <a:lumMod val="95000"/>
            <a:alpha val="54000"/>
          </a:sysClr>
        </a:solidFill>
        <a:prstDash val="dash"/>
      </a:ln>
    </cs:spPr>
  </cs:hiLoLine>
  <cs:leaderLine>
    <cs:lnRef idx="0"/>
    <cs:fillRef idx="0"/>
    <cs:effectRef idx="0"/>
    <cs:fontRef idx="minor">
      <a:sysClr val="windowText" lastClr="000000"/>
    </cs:fontRef>
    <cs:spPr>
      <a:ln w="9525">
        <a:solidFill>
          <a:sysClr val="window" lastClr="FFFFFF">
            <a:lumMod val="95000"/>
            <a:alpha val="54000"/>
          </a:sysClr>
        </a:solidFill>
      </a:ln>
    </cs:spPr>
  </cs:leaderLine>
  <cs:legend>
    <cs:lnRef idx="0"/>
    <cs:fillRef idx="0"/>
    <cs:effectRef idx="0"/>
    <cs:fontRef idx="minor">
      <a:sysClr val="window" lastClr="FFFFFF">
        <a:lumMod val="75000"/>
      </a:sysClr>
    </cs:fontRef>
    <cs:defRPr sz="900" kern="1200"/>
  </cs:legend>
  <cs:plotArea>
    <cs:lnRef idx="0"/>
    <cs:fillRef idx="0"/>
    <cs:effectRef idx="0"/>
    <cs:fontRef idx="minor">
      <a:sysClr val="windowText" lastClr="000000"/>
    </cs:fontRef>
  </cs:plotArea>
  <cs:plotArea3D>
    <cs:lnRef idx="0"/>
    <cs:fillRef idx="0"/>
    <cs:effectRef idx="0"/>
    <cs:fontRef idx="minor">
      <a:sysClr val="windowText" lastClr="000000"/>
    </cs:fontRef>
  </cs:plotArea3D>
  <cs:seriesAxis>
    <cs:lnRef idx="0"/>
    <cs:fillRef idx="0"/>
    <cs:effectRef idx="0"/>
    <cs:fontRef idx="minor">
      <a:sysClr val="window" lastClr="FFFFFF">
        <a:lumMod val="75000"/>
      </a:sysClr>
    </cs:fontRef>
    <cs:spPr>
      <a:ln w="9525" cap="flat" cmpd="sng" algn="ctr">
        <a:solidFill>
          <a:sysClr val="window" lastClr="FFFFFF">
            <a:lumMod val="50000"/>
          </a:sysClr>
        </a:solidFill>
      </a:ln>
    </cs:spPr>
    <cs:defRPr sz="900" kern="1200"/>
  </cs:seriesAxis>
  <cs:seriesLine>
    <cs:lnRef idx="0"/>
    <cs:fillRef idx="0"/>
    <cs:effectRef idx="0"/>
    <cs:fontRef idx="minor">
      <a:sysClr val="window" lastClr="FFFFFF"/>
    </cs:fontRef>
    <cs:spPr>
      <a:ln w="9525" cap="flat" cmpd="sng" algn="ctr">
        <a:solidFill>
          <a:sysClr val="window" lastClr="FFFFFF">
            <a:lumMod val="95000"/>
            <a:alpha val="54000"/>
          </a:sysClr>
        </a:solidFill>
        <a:round/>
      </a:ln>
    </cs:spPr>
  </cs:seriesLine>
  <cs:title>
    <cs:lnRef idx="0"/>
    <cs:fillRef idx="0"/>
    <cs:effectRef idx="0"/>
    <cs:fontRef idx="minor">
      <a:sysClr val="window" lastClr="FFFFFF">
        <a:lumMod val="95000"/>
      </a:sys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ysClr val="windowText" lastClr="000000"/>
    </cs:fontRef>
    <cs:spPr>
      <a:ln w="19050" cap="rnd">
        <a:solidFill>
          <a:srgbClr val="FFFFFF"/>
        </a:solidFill>
        <a:prstDash val="sysDash"/>
      </a:ln>
    </cs:spPr>
  </cs:trendline>
  <cs:trendlineLabel>
    <cs:lnRef idx="0"/>
    <cs:fillRef idx="0"/>
    <cs:effectRef idx="0"/>
    <cs:fontRef idx="minor">
      <a:sysClr val="window" lastClr="FFFFFF">
        <a:lumMod val="75000"/>
      </a:sysClr>
    </cs:fontRef>
    <cs:defRPr sz="900" kern="1200"/>
  </cs:trendlineLabel>
  <cs:upBar>
    <cs:lnRef idx="0"/>
    <cs:fillRef idx="0"/>
    <cs:effectRef idx="0"/>
    <cs:fontRef idx="minor">
      <a:sysClr val="windowText" lastClr="000000"/>
    </cs:fontRef>
    <cs:spPr>
      <a:solidFill>
        <a:sysClr val="window" lastClr="FFFFFF"/>
      </a:solidFill>
      <a:ln w="9525">
        <a:solidFill>
          <a:sysClr val="window" lastClr="FFFFFF">
            <a:lumMod val="95000"/>
            <a:alpha val="54000"/>
          </a:sysClr>
        </a:solidFill>
      </a:ln>
    </cs:spPr>
  </cs:upBar>
  <cs:valueAxis>
    <cs:lnRef idx="0"/>
    <cs:fillRef idx="0"/>
    <cs:effectRef idx="0"/>
    <cs:fontRef idx="minor">
      <a:sysClr val="window" lastClr="FFFFFF">
        <a:lumMod val="75000"/>
      </a:sysClr>
    </cs:fontRef>
    <cs:spPr>
      <a:ln w="9525" cap="flat" cmpd="sng" algn="ctr">
        <a:solidFill>
          <a:sysClr val="window" lastClr="FFFFFF">
            <a:lumMod val="50000"/>
          </a:sysClr>
        </a:solidFill>
      </a:ln>
    </cs:spPr>
    <cs:defRPr sz="900" kern="1200"/>
  </cs:valueAxis>
  <cs:wall>
    <cs:lnRef idx="0"/>
    <cs:fillRef idx="0"/>
    <cs:effectRef idx="0"/>
    <cs:fontRef idx="minor">
      <a:sysClr val="windowText" lastClr="000000"/>
    </cs:fontRef>
  </cs:wall>
</cs:chartStyle>
</file>

<file path=word/drawings/drawing1.xml><?xml version="1.0" encoding="utf-8"?>
<c:userShapes xmlns:c="http://schemas.openxmlformats.org/drawingml/2006/chart">
  <cdr:relSizeAnchor xmlns:cdr="http://schemas.openxmlformats.org/drawingml/2006/chartDrawing">
    <cdr:from>
      <cdr:x>0.225676561475794</cdr:x>
      <cdr:y>0.0730392156862745</cdr:y>
    </cdr:from>
    <cdr:to>
      <cdr:x>0.338327558760184</cdr:x>
      <cdr:y>0.145915032679739</cdr:y>
    </cdr:to>
    <cdr:sp>
      <cdr:nvSpPr>
        <cdr:cNvPr id="2" name="矩形 1"/>
        <cdr:cNvSpPr/>
      </cdr:nvSpPr>
      <cdr:spPr xmlns:a="http://schemas.openxmlformats.org/drawingml/2006/main">
        <a:xfrm xmlns:a="http://schemas.openxmlformats.org/drawingml/2006/main">
          <a:off x="1530350" y="283845"/>
          <a:ext cx="763905" cy="283210"/>
        </a:xfrm>
        <a:prstGeom xmlns:a="http://schemas.openxmlformats.org/drawingml/2006/main" prst="rect">
          <a:avLst/>
        </a:prstGeom>
      </cdr:spPr>
      <cdr:txBody xmlns:a="http://schemas.openxmlformats.org/drawingml/2006/main">
        <a:bodyPr vertOverflow="clip" vert="horz" wrap="square" lIns="45720" tIns="45720" rIns="45720" bIns="45720" rtlCol="0" anchor="t" anchorCtr="false">
          <a:normAutofit/>
        </a:bodyPr>
        <a:lstStyle/>
        <a:p>
          <a:r>
            <a:rPr lang="zh-CN" altLang="en-US" sz="900"/>
            <a:t>大常枢纽</a:t>
          </a:r>
          <a:endParaRPr lang="zh-CN" altLang="en-US" sz="900"/>
        </a:p>
      </cdr:txBody>
    </cdr:sp>
  </cdr:relSizeAnchor>
  <cdr:relSizeAnchor xmlns:cdr="http://schemas.openxmlformats.org/drawingml/2006/chartDrawing">
    <cdr:from>
      <cdr:x>0.85461</cdr:x>
      <cdr:y>0.15897</cdr:y>
    </cdr:from>
    <cdr:to>
      <cdr:x>0.98747</cdr:x>
      <cdr:y>0.24352</cdr:y>
    </cdr:to>
    <cdr:sp>
      <cdr:nvSpPr>
        <cdr:cNvPr id="3" name="矩形 2"/>
        <cdr:cNvSpPr/>
      </cdr:nvSpPr>
      <cdr:spPr xmlns:a="http://schemas.openxmlformats.org/drawingml/2006/main">
        <a:xfrm xmlns:a="http://schemas.openxmlformats.org/drawingml/2006/main">
          <a:off x="6381892" y="589014"/>
          <a:ext cx="992146" cy="313276"/>
        </a:xfrm>
        <a:prstGeom xmlns:a="http://schemas.openxmlformats.org/drawingml/2006/main" prst="rect">
          <a:avLst/>
        </a:prstGeom>
      </cdr:spPr>
      <cdr:txBody xmlns:a="http://schemas.openxmlformats.org/drawingml/2006/main">
        <a:bodyPr vert="horz" wrap="square" lIns="45720" tIns="45720" rIns="45720" bIns="45720" rtlCol="0" anchor="t" anchorCtr="false">
          <a:normAutofit/>
        </a:bodyPr>
        <a:lstStyle>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a:pPr algn="r"/>
          <a:r>
            <a:rPr lang="zh-CN" altLang="en-US" sz="900"/>
            <a:t>桥溪口枢纽</a:t>
          </a:r>
          <a:endParaRPr lang="zh-CN" altLang="en-US" sz="900"/>
        </a:p>
      </cdr:txBody>
    </cdr:sp>
  </cdr:relSizeAnchor>
  <cdr:relSizeAnchor xmlns:cdr="http://schemas.openxmlformats.org/drawingml/2006/chartDrawing">
    <cdr:from>
      <cdr:x>0.468640796891095</cdr:x>
      <cdr:y>0.76203</cdr:y>
    </cdr:from>
    <cdr:to>
      <cdr:x>0.581310796891095</cdr:x>
      <cdr:y>0.84658</cdr:y>
    </cdr:to>
    <cdr:sp>
      <cdr:nvSpPr>
        <cdr:cNvPr id="4" name="矩形 3"/>
        <cdr:cNvSpPr/>
      </cdr:nvSpPr>
      <cdr:spPr xmlns:a="http://schemas.openxmlformats.org/drawingml/2006/main">
        <a:xfrm xmlns:a="http://schemas.openxmlformats.org/drawingml/2006/main">
          <a:off x="3177931" y="2961401"/>
          <a:ext cx="764034" cy="328578"/>
        </a:xfrm>
        <a:prstGeom xmlns:a="http://schemas.openxmlformats.org/drawingml/2006/main" prst="rect">
          <a:avLst/>
        </a:prstGeom>
      </cdr:spPr>
      <cdr:txBody xmlns:a="http://schemas.openxmlformats.org/drawingml/2006/main">
        <a:bodyPr vert="horz" wrap="square" lIns="45720" tIns="45720" rIns="45720" bIns="45720" rtlCol="0" anchor="t" anchorCtr="false">
          <a:normAutofit/>
        </a:bodyPr>
        <a:lstStyle>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a:r>
            <a:rPr lang="zh-CN" altLang="en-US" sz="900"/>
            <a:t>北渡大桥</a:t>
          </a:r>
          <a:endParaRPr lang="zh-CN" altLang="en-US" sz="900"/>
        </a:p>
      </cdr:txBody>
    </cdr:sp>
  </cdr:relSizeAnchor>
  <cdr:relSizeAnchor xmlns:cdr="http://schemas.openxmlformats.org/drawingml/2006/chartDrawing">
    <cdr:from>
      <cdr:x>0.0248333064893717</cdr:x>
      <cdr:y>0.233065490196078</cdr:y>
    </cdr:from>
    <cdr:to>
      <cdr:x>0.137503306489372</cdr:x>
      <cdr:y>0.317615490196078</cdr:y>
    </cdr:to>
    <cdr:sp>
      <cdr:nvSpPr>
        <cdr:cNvPr id="5" name="矩形 4"/>
        <cdr:cNvSpPr/>
      </cdr:nvSpPr>
      <cdr:spPr xmlns:a="http://schemas.openxmlformats.org/drawingml/2006/main">
        <a:xfrm xmlns:a="http://schemas.openxmlformats.org/drawingml/2006/main">
          <a:off x="168399" y="905739"/>
          <a:ext cx="764034" cy="328578"/>
        </a:xfrm>
        <a:prstGeom xmlns:a="http://schemas.openxmlformats.org/drawingml/2006/main" prst="rect">
          <a:avLst/>
        </a:prstGeom>
      </cdr:spPr>
      <cdr:txBody xmlns:a="http://schemas.openxmlformats.org/drawingml/2006/main">
        <a:bodyPr vert="horz" wrap="square" lIns="45720" tIns="45720" rIns="45720" bIns="45720" rtlCol="0" anchor="t" anchorCtr="false">
          <a:normAutofit/>
        </a:bodyPr>
        <a:lstStyle>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a:r>
            <a:rPr lang="zh-CN" altLang="en-US" sz="900"/>
            <a:t>火车站</a:t>
          </a:r>
          <a:endParaRPr lang="zh-CN" altLang="en-US" sz="900"/>
        </a:p>
      </cdr:txBody>
    </cdr:sp>
  </cdr:relSizeAnchor>
  <cdr:relSizeAnchor xmlns:cdr="http://schemas.openxmlformats.org/drawingml/2006/chartDrawing">
    <cdr:from>
      <cdr:x>0.089652992789587</cdr:x>
      <cdr:y>0.397379803921569</cdr:y>
    </cdr:from>
    <cdr:to>
      <cdr:x>0.202332992789587</cdr:x>
      <cdr:y>0.481929803921569</cdr:y>
    </cdr:to>
    <cdr:sp>
      <cdr:nvSpPr>
        <cdr:cNvPr id="6" name="矩形 5"/>
        <cdr:cNvSpPr/>
      </cdr:nvSpPr>
      <cdr:spPr xmlns:a="http://schemas.openxmlformats.org/drawingml/2006/main">
        <a:xfrm xmlns:a="http://schemas.openxmlformats.org/drawingml/2006/main">
          <a:off x="607952" y="1544297"/>
          <a:ext cx="764102" cy="328578"/>
        </a:xfrm>
        <a:prstGeom xmlns:a="http://schemas.openxmlformats.org/drawingml/2006/main" prst="rect">
          <a:avLst/>
        </a:prstGeom>
      </cdr:spPr>
      <cdr:txBody xmlns:a="http://schemas.openxmlformats.org/drawingml/2006/main">
        <a:bodyPr vert="horz" wrap="square" lIns="45720" tIns="45720" rIns="45720" bIns="45720" rtlCol="0" anchor="t" anchorCtr="false">
          <a:normAutofit/>
        </a:bodyPr>
        <a:lstStyle>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a:r>
            <a:rPr lang="zh-CN" altLang="en-US" sz="900"/>
            <a:t>沱湾大桥</a:t>
          </a:r>
          <a:endParaRPr lang="zh-CN" altLang="en-US" sz="900"/>
        </a:p>
      </cdr:txBody>
    </cdr:sp>
  </cdr:relSizeAnchor>
  <cdr:relSizeAnchor xmlns:cdr="http://schemas.openxmlformats.org/drawingml/2006/chartDrawing">
    <cdr:from>
      <cdr:x>0.143071182695009</cdr:x>
      <cdr:y>0.168857058823529</cdr:y>
    </cdr:from>
    <cdr:to>
      <cdr:x>0.255751182695009</cdr:x>
      <cdr:y>0.253397058823529</cdr:y>
    </cdr:to>
    <cdr:sp>
      <cdr:nvSpPr>
        <cdr:cNvPr id="7" name="矩形 6"/>
        <cdr:cNvSpPr/>
      </cdr:nvSpPr>
      <cdr:spPr xmlns:a="http://schemas.openxmlformats.org/drawingml/2006/main">
        <a:xfrm xmlns:a="http://schemas.openxmlformats.org/drawingml/2006/main">
          <a:off x="970189" y="656212"/>
          <a:ext cx="764102" cy="328539"/>
        </a:xfrm>
        <a:prstGeom xmlns:a="http://schemas.openxmlformats.org/drawingml/2006/main" prst="rect">
          <a:avLst/>
        </a:prstGeom>
      </cdr:spPr>
      <cdr:txBody xmlns:a="http://schemas.openxmlformats.org/drawingml/2006/main">
        <a:bodyPr vert="horz" wrap="square" lIns="45720" tIns="45720" rIns="45720" bIns="45720" rtlCol="0" anchor="t" anchorCtr="false">
          <a:normAutofit/>
        </a:bodyPr>
        <a:lstStyle>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a:r>
            <a:rPr lang="zh-CN" altLang="en-US" sz="900"/>
            <a:t>彩虹桥</a:t>
          </a:r>
          <a:endParaRPr lang="zh-CN" altLang="en-US" sz="900"/>
        </a:p>
      </cdr:txBody>
    </cdr:sp>
  </cdr:relSizeAnchor>
  <cdr:relSizeAnchor xmlns:cdr="http://schemas.openxmlformats.org/drawingml/2006/chartDrawing">
    <cdr:from>
      <cdr:x>0.1823697668321</cdr:x>
      <cdr:y>0.224984901960784</cdr:y>
    </cdr:from>
    <cdr:to>
      <cdr:x>0.2950397668321</cdr:x>
      <cdr:y>0.309534901960784</cdr:y>
    </cdr:to>
    <cdr:sp>
      <cdr:nvSpPr>
        <cdr:cNvPr id="8" name="矩形 7"/>
        <cdr:cNvSpPr/>
      </cdr:nvSpPr>
      <cdr:spPr xmlns:a="http://schemas.openxmlformats.org/drawingml/2006/main">
        <a:xfrm xmlns:a="http://schemas.openxmlformats.org/drawingml/2006/main">
          <a:off x="1236679" y="874336"/>
          <a:ext cx="764034" cy="328578"/>
        </a:xfrm>
        <a:prstGeom xmlns:a="http://schemas.openxmlformats.org/drawingml/2006/main" prst="rect">
          <a:avLst/>
        </a:prstGeom>
      </cdr:spPr>
      <cdr:txBody xmlns:a="http://schemas.openxmlformats.org/drawingml/2006/main">
        <a:bodyPr vert="horz" wrap="square" lIns="45720" tIns="45720" rIns="45720" bIns="45720" rtlCol="0" anchor="t" anchorCtr="false">
          <a:normAutofit/>
        </a:bodyPr>
        <a:lstStyle>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a:r>
            <a:rPr lang="zh-CN" altLang="en-US" sz="900"/>
            <a:t>綦江大桥</a:t>
          </a:r>
          <a:endParaRPr lang="zh-CN" altLang="en-US" sz="900"/>
        </a:p>
      </cdr:txBody>
    </cdr:sp>
  </cdr:relSizeAnchor>
  <cdr:relSizeAnchor xmlns:cdr="http://schemas.openxmlformats.org/drawingml/2006/chartDrawing">
    <cdr:from>
      <cdr:x>0.293248117801292</cdr:x>
      <cdr:y>0.264487843137255</cdr:y>
    </cdr:from>
    <cdr:to>
      <cdr:x>0.405918117801292</cdr:x>
      <cdr:y>0.349037843137255</cdr:y>
    </cdr:to>
    <cdr:sp>
      <cdr:nvSpPr>
        <cdr:cNvPr id="9" name="矩形 8"/>
        <cdr:cNvSpPr/>
      </cdr:nvSpPr>
      <cdr:spPr xmlns:a="http://schemas.openxmlformats.org/drawingml/2006/main">
        <a:xfrm xmlns:a="http://schemas.openxmlformats.org/drawingml/2006/main">
          <a:off x="1988564" y="1027853"/>
          <a:ext cx="764034" cy="328578"/>
        </a:xfrm>
        <a:prstGeom xmlns:a="http://schemas.openxmlformats.org/drawingml/2006/main" prst="rect">
          <a:avLst/>
        </a:prstGeom>
      </cdr:spPr>
      <cdr:txBody xmlns:a="http://schemas.openxmlformats.org/drawingml/2006/main">
        <a:bodyPr vert="horz" wrap="square" lIns="45720" tIns="45720" rIns="45720" bIns="45720" rtlCol="0" anchor="t" anchorCtr="false">
          <a:normAutofit/>
        </a:bodyPr>
        <a:lstStyle>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a:r>
            <a:rPr lang="zh-CN" altLang="en-US" sz="900"/>
            <a:t>城北大桥</a:t>
          </a:r>
          <a:endParaRPr lang="zh-CN" altLang="en-US" sz="900"/>
        </a:p>
      </cdr:txBody>
    </cdr:sp>
  </cdr:relSizeAnchor>
  <cdr:relSizeAnchor xmlns:cdr="http://schemas.openxmlformats.org/drawingml/2006/chartDrawing">
    <cdr:from>
      <cdr:x>0.758014963947935</cdr:x>
      <cdr:y>0.494885294117647</cdr:y>
    </cdr:from>
    <cdr:to>
      <cdr:x>0.870694963947935</cdr:x>
      <cdr:y>0.579435294117647</cdr:y>
    </cdr:to>
    <cdr:sp>
      <cdr:nvSpPr>
        <cdr:cNvPr id="10" name="矩形 9"/>
        <cdr:cNvSpPr/>
      </cdr:nvSpPr>
      <cdr:spPr xmlns:a="http://schemas.openxmlformats.org/drawingml/2006/main">
        <a:xfrm xmlns:a="http://schemas.openxmlformats.org/drawingml/2006/main">
          <a:off x="5140225" y="1923223"/>
          <a:ext cx="764102" cy="328578"/>
        </a:xfrm>
        <a:prstGeom xmlns:a="http://schemas.openxmlformats.org/drawingml/2006/main" prst="rect">
          <a:avLst/>
        </a:prstGeom>
      </cdr:spPr>
      <cdr:txBody xmlns:a="http://schemas.openxmlformats.org/drawingml/2006/main">
        <a:bodyPr vert="horz" wrap="square" lIns="45720" tIns="45720" rIns="45720" bIns="45720" rtlCol="0" anchor="t" anchorCtr="false">
          <a:normAutofit/>
        </a:bodyPr>
        <a:lstStyle>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a:r>
            <a:rPr lang="zh-CN" altLang="en-US" sz="900"/>
            <a:t>清溪河口</a:t>
          </a:r>
          <a:endParaRPr lang="zh-CN" altLang="en-US" sz="900"/>
        </a:p>
      </cdr:txBody>
    </cdr:sp>
  </cdr:relSizeAnchor>
</c:userShapes>
</file>

<file path=word/drawings/drawing2.xml><?xml version="1.0" encoding="utf-8"?>
<c:userShapes xmlns:c="http://schemas.openxmlformats.org/drawingml/2006/chart">
  <cdr:relSizeAnchor xmlns:cdr="http://schemas.openxmlformats.org/drawingml/2006/chartDrawing">
    <cdr:from>
      <cdr:x>0.84424</cdr:x>
      <cdr:y>0.77064</cdr:y>
    </cdr:from>
    <cdr:to>
      <cdr:x>0.9891</cdr:x>
      <cdr:y>0.85627</cdr:y>
    </cdr:to>
    <cdr:sp>
      <cdr:nvSpPr>
        <cdr:cNvPr id="2" name="矩形 1"/>
        <cdr:cNvSpPr/>
      </cdr:nvSpPr>
      <cdr:spPr xmlns:a="http://schemas.openxmlformats.org/drawingml/2006/main">
        <a:xfrm xmlns:a="http://schemas.openxmlformats.org/drawingml/2006/main">
          <a:off x="5162550" y="2400301"/>
          <a:ext cx="885825" cy="266700"/>
        </a:xfrm>
        <a:prstGeom xmlns:a="http://schemas.openxmlformats.org/drawingml/2006/main" prst="rect">
          <a:avLst/>
        </a:prstGeom>
      </cdr:spPr>
      <cdr:txBody xmlns:a="http://schemas.openxmlformats.org/drawingml/2006/main">
        <a:bodyPr vertOverflow="clip" vert="horz" wrap="square" lIns="45720" tIns="45720" rIns="45720" bIns="45720" rtlCol="0" anchor="t" anchorCtr="false">
          <a:normAutofit/>
        </a:bodyPr>
        <a:lstStyle>
          <a:defPPr>
            <a:defRPr lang="zh-CN">
              <a:solidFill>
                <a:sysClr val="window" lastClr="FFFFFF"/>
              </a:solidFill>
            </a:defRPr>
          </a:defPPr>
          <a:lvl1pPr marL="0" algn="l" defTabSz="914400" rtl="0" eaLnBrk="1" latinLnBrk="0" hangingPunct="1">
            <a:defRPr sz="1100">
              <a:solidFill>
                <a:sysClr val="window" lastClr="FFFFFF"/>
              </a:solidFill>
              <a:latin typeface="+mn-lt"/>
              <a:ea typeface="+mn-ea"/>
              <a:cs typeface="+mn-cs"/>
            </a:defRPr>
          </a:lvl1pPr>
          <a:lvl2pPr marL="457200" algn="l" defTabSz="914400" rtl="0" eaLnBrk="1" latinLnBrk="0" hangingPunct="1">
            <a:defRPr sz="1100">
              <a:solidFill>
                <a:sysClr val="window" lastClr="FFFFFF"/>
              </a:solidFill>
              <a:latin typeface="+mn-lt"/>
              <a:ea typeface="+mn-ea"/>
              <a:cs typeface="+mn-cs"/>
            </a:defRPr>
          </a:lvl2pPr>
          <a:lvl3pPr marL="914400" algn="l" defTabSz="914400" rtl="0" eaLnBrk="1" latinLnBrk="0" hangingPunct="1">
            <a:defRPr sz="1100">
              <a:solidFill>
                <a:sysClr val="window" lastClr="FFFFFF"/>
              </a:solidFill>
              <a:latin typeface="+mn-lt"/>
              <a:ea typeface="+mn-ea"/>
              <a:cs typeface="+mn-cs"/>
            </a:defRPr>
          </a:lvl3pPr>
          <a:lvl4pPr marL="1371600" algn="l" defTabSz="914400" rtl="0" eaLnBrk="1" latinLnBrk="0" hangingPunct="1">
            <a:defRPr sz="1100">
              <a:solidFill>
                <a:sysClr val="window" lastClr="FFFFFF"/>
              </a:solidFill>
              <a:latin typeface="+mn-lt"/>
              <a:ea typeface="+mn-ea"/>
              <a:cs typeface="+mn-cs"/>
            </a:defRPr>
          </a:lvl4pPr>
          <a:lvl5pPr marL="1828800" algn="l" defTabSz="914400" rtl="0" eaLnBrk="1" latinLnBrk="0" hangingPunct="1">
            <a:defRPr sz="1100">
              <a:solidFill>
                <a:sysClr val="window" lastClr="FFFFFF"/>
              </a:solidFill>
              <a:latin typeface="+mn-lt"/>
              <a:ea typeface="+mn-ea"/>
              <a:cs typeface="+mn-cs"/>
            </a:defRPr>
          </a:lvl5pPr>
          <a:lvl6pPr marL="2286000" algn="l" defTabSz="914400" rtl="0" eaLnBrk="1" latinLnBrk="0" hangingPunct="1">
            <a:defRPr sz="1100">
              <a:solidFill>
                <a:sysClr val="window" lastClr="FFFFFF"/>
              </a:solidFill>
              <a:latin typeface="+mn-lt"/>
              <a:ea typeface="+mn-ea"/>
              <a:cs typeface="+mn-cs"/>
            </a:defRPr>
          </a:lvl6pPr>
          <a:lvl7pPr marL="2743200" algn="l" defTabSz="914400" rtl="0" eaLnBrk="1" latinLnBrk="0" hangingPunct="1">
            <a:defRPr sz="1100">
              <a:solidFill>
                <a:sysClr val="window" lastClr="FFFFFF"/>
              </a:solidFill>
              <a:latin typeface="+mn-lt"/>
              <a:ea typeface="+mn-ea"/>
              <a:cs typeface="+mn-cs"/>
            </a:defRPr>
          </a:lvl7pPr>
          <a:lvl8pPr marL="3200400" algn="l" defTabSz="914400" rtl="0" eaLnBrk="1" latinLnBrk="0" hangingPunct="1">
            <a:defRPr sz="1100">
              <a:solidFill>
                <a:sysClr val="window" lastClr="FFFFFF"/>
              </a:solidFill>
              <a:latin typeface="+mn-lt"/>
              <a:ea typeface="+mn-ea"/>
              <a:cs typeface="+mn-cs"/>
            </a:defRPr>
          </a:lvl8pPr>
          <a:lvl9pPr marL="3657600" algn="l" defTabSz="914400" rtl="0" eaLnBrk="1" latinLnBrk="0" hangingPunct="1">
            <a:defRPr sz="1100">
              <a:solidFill>
                <a:sysClr val="window" lastClr="FFFFFF"/>
              </a:solidFill>
              <a:latin typeface="+mn-lt"/>
              <a:ea typeface="+mn-ea"/>
              <a:cs typeface="+mn-cs"/>
            </a:defRPr>
          </a:lvl9pPr>
        </a:lstStyle>
        <a:p>
          <a:r>
            <a:rPr lang="zh-CN" altLang="en-US" sz="1000" baseline="0"/>
            <a:t>桥溪口枢纽</a:t>
          </a:r>
          <a:endParaRPr lang="zh-CN" altLang="en-US" sz="1000" baseline="0"/>
        </a:p>
      </cdr:txBody>
    </cdr:sp>
  </cdr:relSizeAnchor>
  <cdr:relSizeAnchor xmlns:cdr="http://schemas.openxmlformats.org/drawingml/2006/chartDrawing">
    <cdr:from>
      <cdr:x>0.70138</cdr:x>
      <cdr:y>0.5388</cdr:y>
    </cdr:from>
    <cdr:to>
      <cdr:x>0.82807</cdr:x>
      <cdr:y>0.62469</cdr:y>
    </cdr:to>
    <cdr:sp>
      <cdr:nvSpPr>
        <cdr:cNvPr id="3" name="矩形 2"/>
        <cdr:cNvSpPr/>
      </cdr:nvSpPr>
      <cdr:spPr xmlns:a="http://schemas.openxmlformats.org/drawingml/2006/main">
        <a:xfrm xmlns:a="http://schemas.openxmlformats.org/drawingml/2006/main">
          <a:off x="4288992" y="1678199"/>
          <a:ext cx="774699" cy="267508"/>
        </a:xfrm>
        <a:prstGeom xmlns:a="http://schemas.openxmlformats.org/drawingml/2006/main" prst="rect">
          <a:avLst/>
        </a:prstGeom>
      </cdr:spPr>
      <cdr:txBody xmlns:a="http://schemas.openxmlformats.org/drawingml/2006/main">
        <a:bodyPr vert="horz" wrap="square" lIns="45720" tIns="45720" rIns="45720" bIns="45720" rtlCol="0" anchor="t" anchorCtr="false">
          <a:normAutofit/>
        </a:bodyPr>
        <a:lstStyle>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a:r>
            <a:rPr lang="zh-CN" altLang="en-US" sz="1000" baseline="0">
              <a:solidFill>
                <a:sysClr val="windowText" lastClr="000000"/>
              </a:solidFill>
            </a:rPr>
            <a:t>城北大桥</a:t>
          </a:r>
          <a:endParaRPr lang="zh-CN" altLang="en-US" sz="1000" baseline="0">
            <a:solidFill>
              <a:sysClr val="windowText" lastClr="000000"/>
            </a:solidFill>
          </a:endParaRPr>
        </a:p>
      </cdr:txBody>
    </cdr:sp>
  </cdr:relSizeAnchor>
  <cdr:relSizeAnchor xmlns:cdr="http://schemas.openxmlformats.org/drawingml/2006/chartDrawing">
    <cdr:from>
      <cdr:x>0.61578</cdr:x>
      <cdr:y>0.47808</cdr:y>
    </cdr:from>
    <cdr:to>
      <cdr:x>0.74247</cdr:x>
      <cdr:y>0.56371</cdr:y>
    </cdr:to>
    <cdr:sp>
      <cdr:nvSpPr>
        <cdr:cNvPr id="4" name="矩形 3"/>
        <cdr:cNvSpPr/>
      </cdr:nvSpPr>
      <cdr:spPr xmlns:a="http://schemas.openxmlformats.org/drawingml/2006/main">
        <a:xfrm xmlns:a="http://schemas.openxmlformats.org/drawingml/2006/main">
          <a:off x="3765550" y="1489075"/>
          <a:ext cx="774700" cy="266700"/>
        </a:xfrm>
        <a:prstGeom xmlns:a="http://schemas.openxmlformats.org/drawingml/2006/main" prst="rect">
          <a:avLst/>
        </a:prstGeom>
      </cdr:spPr>
      <cdr:txBody xmlns:a="http://schemas.openxmlformats.org/drawingml/2006/main">
        <a:bodyPr vert="horz" wrap="square" lIns="45720" tIns="45720" rIns="45720" bIns="45720" rtlCol="0" anchor="t" anchorCtr="false">
          <a:normAutofit/>
        </a:bodyPr>
        <a:lstStyle>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a:r>
            <a:rPr lang="zh-CN" altLang="en-US" sz="1000" baseline="0">
              <a:solidFill>
                <a:sysClr val="windowText" lastClr="000000"/>
              </a:solidFill>
            </a:rPr>
            <a:t>大常枢纽</a:t>
          </a:r>
          <a:endParaRPr lang="zh-CN" altLang="en-US" sz="1000" baseline="0">
            <a:solidFill>
              <a:sysClr val="windowText" lastClr="000000"/>
            </a:solidFill>
          </a:endParaRPr>
        </a:p>
      </cdr:txBody>
    </cdr:sp>
  </cdr:relSizeAnchor>
  <cdr:relSizeAnchor xmlns:cdr="http://schemas.openxmlformats.org/drawingml/2006/chartDrawing">
    <cdr:from>
      <cdr:x>0.71359</cdr:x>
      <cdr:y>0.61135</cdr:y>
    </cdr:from>
    <cdr:to>
      <cdr:x>0.71359</cdr:x>
      <cdr:y>0.83759</cdr:y>
    </cdr:to>
    <cdr:cxnSp>
      <cdr:nvCxnSpPr>
        <cdr:cNvPr id="5" name="直接连接符 4"/>
        <cdr:cNvCxnSpPr/>
      </cdr:nvCxnSpPr>
      <cdr:spPr xmlns:a="http://schemas.openxmlformats.org/drawingml/2006/main">
        <a:xfrm xmlns:a="http://schemas.openxmlformats.org/drawingml/2006/main" flipV="true">
          <a:off x="4351940" y="1934889"/>
          <a:ext cx="0" cy="716018"/>
        </a:xfrm>
        <a:prstGeom xmlns:a="http://schemas.openxmlformats.org/drawingml/2006/main" prst="line">
          <a:avLst/>
        </a:prstGeom>
        <a:ln>
          <a:solidFill>
            <a:sysClr val="windowText" lastClr="000000"/>
          </a:solidFill>
          <a:prstDash val="dash"/>
        </a:ln>
      </cdr:spPr>
      <cdr:style>
        <a:lnRef xmlns:a="http://schemas.openxmlformats.org/drawingml/2006/main" idx="1">
          <a:srgbClr val="4F81BD"/>
        </a:lnRef>
        <a:fillRef xmlns:a="http://schemas.openxmlformats.org/drawingml/2006/main" idx="0">
          <a:srgbClr val="4F81BD"/>
        </a:fillRef>
        <a:effectRef xmlns:a="http://schemas.openxmlformats.org/drawingml/2006/main" idx="0">
          <a:srgbClr val="4F81BD"/>
        </a:effectRef>
        <a:fontRef xmlns:a="http://schemas.openxmlformats.org/drawingml/2006/main" idx="minor">
          <a:sysClr val="windowText" lastClr="000000"/>
        </a:fontRef>
      </cdr:style>
    </cdr:cxnSp>
  </cdr:relSizeAnchor>
  <cdr:relSizeAnchor xmlns:cdr="http://schemas.openxmlformats.org/drawingml/2006/chartDrawing">
    <cdr:from>
      <cdr:x>0.66667</cdr:x>
      <cdr:y>0.57187</cdr:y>
    </cdr:from>
    <cdr:to>
      <cdr:x>0.66667</cdr:x>
      <cdr:y>0.8318</cdr:y>
    </cdr:to>
    <cdr:cxnSp>
      <cdr:nvCxnSpPr>
        <cdr:cNvPr id="6" name="直接连接符 5"/>
        <cdr:cNvCxnSpPr/>
      </cdr:nvCxnSpPr>
      <cdr:spPr xmlns:a="http://schemas.openxmlformats.org/drawingml/2006/main">
        <a:xfrm xmlns:a="http://schemas.openxmlformats.org/drawingml/2006/main" flipV="true">
          <a:off x="4076700" y="1781177"/>
          <a:ext cx="0" cy="809624"/>
        </a:xfrm>
        <a:prstGeom xmlns:a="http://schemas.openxmlformats.org/drawingml/2006/main" prst="line">
          <a:avLst/>
        </a:prstGeom>
        <a:ln>
          <a:solidFill>
            <a:sysClr val="windowText" lastClr="000000"/>
          </a:solidFill>
          <a:prstDash val="dash"/>
        </a:ln>
      </cdr:spPr>
      <cdr:style>
        <a:lnRef xmlns:a="http://schemas.openxmlformats.org/drawingml/2006/main" idx="1">
          <a:srgbClr val="4F81BD"/>
        </a:lnRef>
        <a:fillRef xmlns:a="http://schemas.openxmlformats.org/drawingml/2006/main" idx="0">
          <a:srgbClr val="4F81BD"/>
        </a:fillRef>
        <a:effectRef xmlns:a="http://schemas.openxmlformats.org/drawingml/2006/main" idx="0">
          <a:srgbClr val="4F81BD"/>
        </a:effectRef>
        <a:fontRef xmlns:a="http://schemas.openxmlformats.org/drawingml/2006/main" idx="minor">
          <a:sysClr val="windowText" lastClr="000000"/>
        </a:fontRef>
      </cdr:style>
    </cdr:cxnSp>
  </cdr:relSizeAnchor>
  <cdr:relSizeAnchor xmlns:cdr="http://schemas.openxmlformats.org/drawingml/2006/chartDrawing">
    <cdr:from>
      <cdr:x>0.50935</cdr:x>
      <cdr:y>0.44954</cdr:y>
    </cdr:from>
    <cdr:to>
      <cdr:x>0.50935</cdr:x>
      <cdr:y>0.84098</cdr:y>
    </cdr:to>
    <cdr:cxnSp>
      <cdr:nvCxnSpPr>
        <cdr:cNvPr id="7" name="直接连接符 6"/>
        <cdr:cNvCxnSpPr/>
      </cdr:nvCxnSpPr>
      <cdr:spPr xmlns:a="http://schemas.openxmlformats.org/drawingml/2006/main">
        <a:xfrm xmlns:a="http://schemas.openxmlformats.org/drawingml/2006/main" flipV="true">
          <a:off x="3114675" y="1400176"/>
          <a:ext cx="0" cy="1219200"/>
        </a:xfrm>
        <a:prstGeom xmlns:a="http://schemas.openxmlformats.org/drawingml/2006/main" prst="line">
          <a:avLst/>
        </a:prstGeom>
        <a:ln>
          <a:solidFill>
            <a:sysClr val="windowText" lastClr="000000"/>
          </a:solidFill>
          <a:prstDash val="dash"/>
        </a:ln>
      </cdr:spPr>
      <cdr:style>
        <a:lnRef xmlns:a="http://schemas.openxmlformats.org/drawingml/2006/main" idx="1">
          <a:srgbClr val="4F81BD"/>
        </a:lnRef>
        <a:fillRef xmlns:a="http://schemas.openxmlformats.org/drawingml/2006/main" idx="0">
          <a:srgbClr val="4F81BD"/>
        </a:fillRef>
        <a:effectRef xmlns:a="http://schemas.openxmlformats.org/drawingml/2006/main" idx="0">
          <a:srgbClr val="4F81BD"/>
        </a:effectRef>
        <a:fontRef xmlns:a="http://schemas.openxmlformats.org/drawingml/2006/main" idx="minor">
          <a:sysClr val="windowText" lastClr="000000"/>
        </a:fontRef>
      </cdr:style>
    </cdr:cxnSp>
  </cdr:relSizeAnchor>
  <cdr:relSizeAnchor xmlns:cdr="http://schemas.openxmlformats.org/drawingml/2006/chartDrawing">
    <cdr:from>
      <cdr:x>0.2757</cdr:x>
      <cdr:y>0.31804</cdr:y>
    </cdr:from>
    <cdr:to>
      <cdr:x>0.2757</cdr:x>
      <cdr:y>0.83792</cdr:y>
    </cdr:to>
    <cdr:cxnSp>
      <cdr:nvCxnSpPr>
        <cdr:cNvPr id="8" name="直接连接符 7"/>
        <cdr:cNvCxnSpPr/>
      </cdr:nvCxnSpPr>
      <cdr:spPr xmlns:a="http://schemas.openxmlformats.org/drawingml/2006/main">
        <a:xfrm xmlns:a="http://schemas.openxmlformats.org/drawingml/2006/main" flipV="true">
          <a:off x="1685925" y="990601"/>
          <a:ext cx="0" cy="1619250"/>
        </a:xfrm>
        <a:prstGeom xmlns:a="http://schemas.openxmlformats.org/drawingml/2006/main" prst="line">
          <a:avLst/>
        </a:prstGeom>
        <a:ln>
          <a:solidFill>
            <a:sysClr val="windowText" lastClr="000000"/>
          </a:solidFill>
          <a:prstDash val="dash"/>
        </a:ln>
      </cdr:spPr>
      <cdr:style>
        <a:lnRef xmlns:a="http://schemas.openxmlformats.org/drawingml/2006/main" idx="1">
          <a:srgbClr val="4F81BD"/>
        </a:lnRef>
        <a:fillRef xmlns:a="http://schemas.openxmlformats.org/drawingml/2006/main" idx="0">
          <a:srgbClr val="4F81BD"/>
        </a:fillRef>
        <a:effectRef xmlns:a="http://schemas.openxmlformats.org/drawingml/2006/main" idx="0">
          <a:srgbClr val="4F81BD"/>
        </a:effectRef>
        <a:fontRef xmlns:a="http://schemas.openxmlformats.org/drawingml/2006/main" idx="minor">
          <a:sysClr val="windowText" lastClr="000000"/>
        </a:fontRef>
      </cdr:style>
    </cdr:cxnSp>
  </cdr:relSizeAnchor>
  <cdr:relSizeAnchor xmlns:cdr="http://schemas.openxmlformats.org/drawingml/2006/chartDrawing">
    <cdr:from>
      <cdr:x>0.48339</cdr:x>
      <cdr:y>0.37105</cdr:y>
    </cdr:from>
    <cdr:to>
      <cdr:x>0.61007</cdr:x>
      <cdr:y>0.45668</cdr:y>
    </cdr:to>
    <cdr:sp>
      <cdr:nvSpPr>
        <cdr:cNvPr id="9" name="矩形 8"/>
        <cdr:cNvSpPr/>
      </cdr:nvSpPr>
      <cdr:spPr xmlns:a="http://schemas.openxmlformats.org/drawingml/2006/main">
        <a:xfrm xmlns:a="http://schemas.openxmlformats.org/drawingml/2006/main">
          <a:off x="2955925" y="1155700"/>
          <a:ext cx="774700" cy="266700"/>
        </a:xfrm>
        <a:prstGeom xmlns:a="http://schemas.openxmlformats.org/drawingml/2006/main" prst="rect">
          <a:avLst/>
        </a:prstGeom>
      </cdr:spPr>
      <cdr:txBody xmlns:a="http://schemas.openxmlformats.org/drawingml/2006/main">
        <a:bodyPr vert="horz" wrap="square" lIns="45720" tIns="45720" rIns="45720" bIns="45720" rtlCol="0" anchor="t" anchorCtr="false">
          <a:normAutofit/>
        </a:bodyPr>
        <a:lstStyle>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a:r>
            <a:rPr lang="zh-CN" altLang="en-US" sz="1000" baseline="0">
              <a:solidFill>
                <a:sysClr val="windowText" lastClr="000000"/>
              </a:solidFill>
            </a:rPr>
            <a:t>桥河枢纽</a:t>
          </a:r>
          <a:endParaRPr lang="zh-CN" altLang="en-US" sz="1000" baseline="0">
            <a:solidFill>
              <a:sysClr val="windowText" lastClr="000000"/>
            </a:solidFill>
          </a:endParaRPr>
        </a:p>
      </cdr:txBody>
    </cdr:sp>
  </cdr:relSizeAnchor>
  <cdr:relSizeAnchor xmlns:cdr="http://schemas.openxmlformats.org/drawingml/2006/chartDrawing">
    <cdr:from>
      <cdr:x>0.269948302989436</cdr:x>
      <cdr:y>0.242681203311125</cdr:y>
    </cdr:from>
    <cdr:to>
      <cdr:x>0.438525511350865</cdr:x>
      <cdr:y>0.328285887341005</cdr:y>
    </cdr:to>
    <cdr:sp>
      <cdr:nvSpPr>
        <cdr:cNvPr id="10" name="矩形 9"/>
        <cdr:cNvSpPr/>
      </cdr:nvSpPr>
      <cdr:spPr xmlns:a="http://schemas.openxmlformats.org/drawingml/2006/main">
        <a:xfrm xmlns:a="http://schemas.openxmlformats.org/drawingml/2006/main">
          <a:off x="1525270" y="763270"/>
          <a:ext cx="952500" cy="269240"/>
        </a:xfrm>
        <a:prstGeom xmlns:a="http://schemas.openxmlformats.org/drawingml/2006/main" prst="rect">
          <a:avLst/>
        </a:prstGeom>
      </cdr:spPr>
      <cdr:txBody xmlns:a="http://schemas.openxmlformats.org/drawingml/2006/main">
        <a:bodyPr vert="horz" wrap="square" lIns="45720" tIns="45720" rIns="45720" bIns="45720" rtlCol="0" anchor="t" anchorCtr="false">
          <a:normAutofit/>
        </a:bodyPr>
        <a:lstStyle>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a:r>
            <a:rPr lang="zh-CN" altLang="en-US" sz="1000" baseline="0">
              <a:solidFill>
                <a:sysClr val="windowText" lastClr="000000"/>
              </a:solidFill>
            </a:rPr>
            <a:t>石溪口枢纽</a:t>
          </a:r>
          <a:endParaRPr lang="zh-CN" altLang="en-US" sz="1000" baseline="0">
            <a:solidFill>
              <a:sysClr val="windowText" lastClr="000000"/>
            </a:solidFill>
          </a:endParaRPr>
        </a:p>
      </cdr:txBody>
    </cdr:sp>
  </cdr:relSizeAnchor>
  <cdr:relSizeAnchor xmlns:cdr="http://schemas.openxmlformats.org/drawingml/2006/chartDrawing">
    <cdr:from>
      <cdr:x>0.10021</cdr:x>
      <cdr:y>0.04077</cdr:y>
    </cdr:from>
    <cdr:to>
      <cdr:x>0.24455</cdr:x>
      <cdr:y>0.1264</cdr:y>
    </cdr:to>
    <cdr:sp>
      <cdr:nvSpPr>
        <cdr:cNvPr id="11" name="矩形 10"/>
        <cdr:cNvSpPr/>
      </cdr:nvSpPr>
      <cdr:spPr xmlns:a="http://schemas.openxmlformats.org/drawingml/2006/main">
        <a:xfrm xmlns:a="http://schemas.openxmlformats.org/drawingml/2006/main">
          <a:off x="612775" y="127000"/>
          <a:ext cx="882650" cy="266700"/>
        </a:xfrm>
        <a:prstGeom xmlns:a="http://schemas.openxmlformats.org/drawingml/2006/main" prst="rect">
          <a:avLst/>
        </a:prstGeom>
      </cdr:spPr>
      <cdr:txBody xmlns:a="http://schemas.openxmlformats.org/drawingml/2006/main">
        <a:bodyPr vert="horz" wrap="square" lIns="45720" tIns="45720" rIns="45720" bIns="45720" rtlCol="0" anchor="t" anchorCtr="false">
          <a:normAutofit/>
        </a:bodyPr>
        <a:lstStyle>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a:r>
            <a:rPr lang="zh-CN" altLang="en-US" sz="1000" baseline="0"/>
            <a:t>珠滩枢纽</a:t>
          </a:r>
          <a:endParaRPr lang="zh-CN" altLang="en-US" sz="1000" baseline="0"/>
        </a:p>
      </cdr:txBody>
    </cdr:sp>
  </cdr:relSizeAnchor>
  <cdr:relSizeAnchor xmlns:cdr="http://schemas.openxmlformats.org/drawingml/2006/chartDrawing">
    <cdr:from>
      <cdr:x>0.2243</cdr:x>
      <cdr:y>0.24771</cdr:y>
    </cdr:from>
    <cdr:to>
      <cdr:x>0.2243</cdr:x>
      <cdr:y>0.84098</cdr:y>
    </cdr:to>
    <cdr:cxnSp>
      <cdr:nvCxnSpPr>
        <cdr:cNvPr id="12" name="直接连接符 11"/>
        <cdr:cNvCxnSpPr/>
      </cdr:nvCxnSpPr>
      <cdr:spPr xmlns:a="http://schemas.openxmlformats.org/drawingml/2006/main">
        <a:xfrm xmlns:a="http://schemas.openxmlformats.org/drawingml/2006/main" flipV="true">
          <a:off x="1371600" y="771527"/>
          <a:ext cx="1" cy="1847849"/>
        </a:xfrm>
        <a:prstGeom xmlns:a="http://schemas.openxmlformats.org/drawingml/2006/main" prst="line">
          <a:avLst/>
        </a:prstGeom>
        <a:ln>
          <a:solidFill>
            <a:sysClr val="windowText" lastClr="000000"/>
          </a:solidFill>
          <a:prstDash val="dash"/>
        </a:ln>
      </cdr:spPr>
      <cdr:style>
        <a:lnRef xmlns:a="http://schemas.openxmlformats.org/drawingml/2006/main" idx="1">
          <a:srgbClr val="4F81BD"/>
        </a:lnRef>
        <a:fillRef xmlns:a="http://schemas.openxmlformats.org/drawingml/2006/main" idx="0">
          <a:srgbClr val="4F81BD"/>
        </a:fillRef>
        <a:effectRef xmlns:a="http://schemas.openxmlformats.org/drawingml/2006/main" idx="0">
          <a:srgbClr val="4F81BD"/>
        </a:effectRef>
        <a:fontRef xmlns:a="http://schemas.openxmlformats.org/drawingml/2006/main" idx="minor">
          <a:sysClr val="windowText" lastClr="000000"/>
        </a:fontRef>
      </cdr:style>
    </cdr:cxnSp>
  </cdr:relSizeAnchor>
  <cdr:relSizeAnchor xmlns:cdr="http://schemas.openxmlformats.org/drawingml/2006/chartDrawing">
    <cdr:from>
      <cdr:x>0.18899</cdr:x>
      <cdr:y>0.17839</cdr:y>
    </cdr:from>
    <cdr:to>
      <cdr:x>0.29439</cdr:x>
      <cdr:y>0.26402</cdr:y>
    </cdr:to>
    <cdr:sp>
      <cdr:nvSpPr>
        <cdr:cNvPr id="13" name="矩形 12"/>
        <cdr:cNvSpPr/>
      </cdr:nvSpPr>
      <cdr:spPr xmlns:a="http://schemas.openxmlformats.org/drawingml/2006/main">
        <a:xfrm xmlns:a="http://schemas.openxmlformats.org/drawingml/2006/main">
          <a:off x="1155700" y="555625"/>
          <a:ext cx="644525" cy="266700"/>
        </a:xfrm>
        <a:prstGeom xmlns:a="http://schemas.openxmlformats.org/drawingml/2006/main" prst="rect">
          <a:avLst/>
        </a:prstGeom>
      </cdr:spPr>
      <cdr:txBody xmlns:a="http://schemas.openxmlformats.org/drawingml/2006/main">
        <a:bodyPr vert="horz" wrap="square" lIns="45720" tIns="45720" rIns="45720" bIns="45720" rtlCol="0" anchor="t" anchorCtr="false">
          <a:normAutofit/>
        </a:bodyPr>
        <a:lstStyle>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a:r>
            <a:rPr lang="zh-CN" altLang="en-US" sz="1000" baseline="0">
              <a:solidFill>
                <a:sysClr val="windowText" lastClr="000000"/>
              </a:solidFill>
            </a:rPr>
            <a:t>蒲河口</a:t>
          </a:r>
          <a:endParaRPr lang="zh-CN" altLang="en-US" sz="1000" baseline="0">
            <a:solidFill>
              <a:sysClr val="windowText" lastClr="000000"/>
            </a:solidFill>
          </a:endParaRPr>
        </a:p>
      </cdr:txBody>
    </cdr:sp>
  </cdr:relSizeAnchor>
  <cdr:relSizeAnchor xmlns:cdr="http://schemas.openxmlformats.org/drawingml/2006/chartDrawing">
    <cdr:from>
      <cdr:x>0.19003</cdr:x>
      <cdr:y>0.1896</cdr:y>
    </cdr:from>
    <cdr:to>
      <cdr:x>0.28972</cdr:x>
      <cdr:y>0.31193</cdr:y>
    </cdr:to>
    <cdr:sp>
      <cdr:nvSpPr>
        <cdr:cNvPr id="14" name="椭圆 13"/>
        <cdr:cNvSpPr/>
      </cdr:nvSpPr>
      <cdr:spPr xmlns:a="http://schemas.openxmlformats.org/drawingml/2006/main">
        <a:xfrm xmlns:a="http://schemas.openxmlformats.org/drawingml/2006/main" rot="1557093">
          <a:off x="1162050" y="590551"/>
          <a:ext cx="609600" cy="381000"/>
        </a:xfrm>
        <a:prstGeom xmlns:a="http://schemas.openxmlformats.org/drawingml/2006/main" prst="ellipse">
          <a:avLst/>
        </a:prstGeom>
        <a:noFill/>
      </cdr:spPr>
      <cdr:style>
        <a:lnRef xmlns:a="http://schemas.openxmlformats.org/drawingml/2006/main" idx="2">
          <a:srgbClr val="4F81BD">
            <a:shade val="50000"/>
          </a:srgbClr>
        </a:lnRef>
        <a:fillRef xmlns:a="http://schemas.openxmlformats.org/drawingml/2006/main" idx="1">
          <a:srgbClr val="4F81BD"/>
        </a:fillRef>
        <a:effectRef xmlns:a="http://schemas.openxmlformats.org/drawingml/2006/main" idx="0">
          <a:srgbClr val="4F81BD"/>
        </a:effectRef>
        <a:fontRef xmlns:a="http://schemas.openxmlformats.org/drawingml/2006/main" idx="minor">
          <a:sysClr val="window" lastClr="FFFFFF"/>
        </a:fontRef>
      </cdr:style>
      <cdr:txBody xmlns:a="http://schemas.openxmlformats.org/drawingml/2006/main">
        <a:bodyPr vertOverflow="clip" vert="horz" wrap="none" lIns="45720" tIns="45720" rIns="45720" bIns="45720" anchor="t" anchorCtr="false">
          <a:normAutofit/>
        </a:bodyPr>
        <a:lstStyle>
          <a:defPPr>
            <a:defRPr lang="zh-CN">
              <a:solidFill>
                <a:sysClr val="window" lastClr="FFFFFF"/>
              </a:solidFill>
            </a:defRPr>
          </a:defPPr>
          <a:lvl1pPr marL="0" algn="l" defTabSz="914400" rtl="0" eaLnBrk="1" latinLnBrk="0" hangingPunct="1">
            <a:defRPr sz="1100">
              <a:solidFill>
                <a:sysClr val="window" lastClr="FFFFFF"/>
              </a:solidFill>
              <a:latin typeface="+mn-lt"/>
              <a:ea typeface="+mn-ea"/>
              <a:cs typeface="+mn-cs"/>
            </a:defRPr>
          </a:lvl1pPr>
          <a:lvl2pPr marL="457200" algn="l" defTabSz="914400" rtl="0" eaLnBrk="1" latinLnBrk="0" hangingPunct="1">
            <a:defRPr sz="1100">
              <a:solidFill>
                <a:sysClr val="window" lastClr="FFFFFF"/>
              </a:solidFill>
              <a:latin typeface="+mn-lt"/>
              <a:ea typeface="+mn-ea"/>
              <a:cs typeface="+mn-cs"/>
            </a:defRPr>
          </a:lvl2pPr>
          <a:lvl3pPr marL="914400" algn="l" defTabSz="914400" rtl="0" eaLnBrk="1" latinLnBrk="0" hangingPunct="1">
            <a:defRPr sz="1100">
              <a:solidFill>
                <a:sysClr val="window" lastClr="FFFFFF"/>
              </a:solidFill>
              <a:latin typeface="+mn-lt"/>
              <a:ea typeface="+mn-ea"/>
              <a:cs typeface="+mn-cs"/>
            </a:defRPr>
          </a:lvl3pPr>
          <a:lvl4pPr marL="1371600" algn="l" defTabSz="914400" rtl="0" eaLnBrk="1" latinLnBrk="0" hangingPunct="1">
            <a:defRPr sz="1100">
              <a:solidFill>
                <a:sysClr val="window" lastClr="FFFFFF"/>
              </a:solidFill>
              <a:latin typeface="+mn-lt"/>
              <a:ea typeface="+mn-ea"/>
              <a:cs typeface="+mn-cs"/>
            </a:defRPr>
          </a:lvl4pPr>
          <a:lvl5pPr marL="1828800" algn="l" defTabSz="914400" rtl="0" eaLnBrk="1" latinLnBrk="0" hangingPunct="1">
            <a:defRPr sz="1100">
              <a:solidFill>
                <a:sysClr val="window" lastClr="FFFFFF"/>
              </a:solidFill>
              <a:latin typeface="+mn-lt"/>
              <a:ea typeface="+mn-ea"/>
              <a:cs typeface="+mn-cs"/>
            </a:defRPr>
          </a:lvl5pPr>
          <a:lvl6pPr marL="2286000" algn="l" defTabSz="914400" rtl="0" eaLnBrk="1" latinLnBrk="0" hangingPunct="1">
            <a:defRPr sz="1100">
              <a:solidFill>
                <a:sysClr val="window" lastClr="FFFFFF"/>
              </a:solidFill>
              <a:latin typeface="+mn-lt"/>
              <a:ea typeface="+mn-ea"/>
              <a:cs typeface="+mn-cs"/>
            </a:defRPr>
          </a:lvl6pPr>
          <a:lvl7pPr marL="2743200" algn="l" defTabSz="914400" rtl="0" eaLnBrk="1" latinLnBrk="0" hangingPunct="1">
            <a:defRPr sz="1100">
              <a:solidFill>
                <a:sysClr val="window" lastClr="FFFFFF"/>
              </a:solidFill>
              <a:latin typeface="+mn-lt"/>
              <a:ea typeface="+mn-ea"/>
              <a:cs typeface="+mn-cs"/>
            </a:defRPr>
          </a:lvl7pPr>
          <a:lvl8pPr marL="3200400" algn="l" defTabSz="914400" rtl="0" eaLnBrk="1" latinLnBrk="0" hangingPunct="1">
            <a:defRPr sz="1100">
              <a:solidFill>
                <a:sysClr val="window" lastClr="FFFFFF"/>
              </a:solidFill>
              <a:latin typeface="+mn-lt"/>
              <a:ea typeface="+mn-ea"/>
              <a:cs typeface="+mn-cs"/>
            </a:defRPr>
          </a:lvl8pPr>
          <a:lvl9pPr marL="3657600" algn="l" defTabSz="914400" rtl="0" eaLnBrk="1" latinLnBrk="0" hangingPunct="1">
            <a:defRPr sz="1100">
              <a:solidFill>
                <a:sysClr val="window" lastClr="FFFFFF"/>
              </a:solidFill>
              <a:latin typeface="+mn-lt"/>
              <a:ea typeface="+mn-ea"/>
              <a:cs typeface="+mn-cs"/>
            </a:defRPr>
          </a:lvl9pPr>
        </a:lstStyle>
        <a:p>
          <a:endParaRPr lang="zh-CN" altLang="en-US"/>
        </a:p>
      </cdr:txBody>
    </cdr:sp>
  </cdr:relSizeAnchor>
  <cdr:relSizeAnchor xmlns:cdr="http://schemas.openxmlformats.org/drawingml/2006/chartDrawing">
    <cdr:from>
      <cdr:x>0.57788</cdr:x>
      <cdr:y>0.45668</cdr:y>
    </cdr:from>
    <cdr:to>
      <cdr:x>0.72793</cdr:x>
      <cdr:y>0.62487</cdr:y>
    </cdr:to>
    <cdr:sp>
      <cdr:nvSpPr>
        <cdr:cNvPr id="15" name="椭圆 14"/>
        <cdr:cNvSpPr/>
      </cdr:nvSpPr>
      <cdr:spPr xmlns:a="http://schemas.openxmlformats.org/drawingml/2006/main">
        <a:xfrm xmlns:a="http://schemas.openxmlformats.org/drawingml/2006/main" rot="1216514">
          <a:off x="3533775" y="1422399"/>
          <a:ext cx="917575" cy="523875"/>
        </a:xfrm>
        <a:prstGeom xmlns:a="http://schemas.openxmlformats.org/drawingml/2006/main" prst="ellipse">
          <a:avLst/>
        </a:prstGeom>
        <a:noFill/>
      </cdr:spPr>
      <cdr:style>
        <a:lnRef xmlns:a="http://schemas.openxmlformats.org/drawingml/2006/main" idx="2">
          <a:srgbClr val="4F81BD">
            <a:shade val="50000"/>
          </a:srgbClr>
        </a:lnRef>
        <a:fillRef xmlns:a="http://schemas.openxmlformats.org/drawingml/2006/main" idx="1">
          <a:srgbClr val="4F81BD"/>
        </a:fillRef>
        <a:effectRef xmlns:a="http://schemas.openxmlformats.org/drawingml/2006/main" idx="0">
          <a:srgbClr val="4F81BD"/>
        </a:effectRef>
        <a:fontRef xmlns:a="http://schemas.openxmlformats.org/drawingml/2006/main" idx="minor">
          <a:sysClr val="window" lastClr="FFFFFF"/>
        </a:fontRef>
      </cdr:style>
      <cdr:txBody xmlns:a="http://schemas.openxmlformats.org/drawingml/2006/main">
        <a:bodyPr vert="horz" wrap="none" lIns="45720" tIns="45720" rIns="45720" bIns="45720" anchor="t" anchorCtr="false">
          <a:normAutofit/>
        </a:bodyPr>
        <a:lstStyle>
          <a:lvl1pPr marL="0" indent="0">
            <a:defRPr sz="1100">
              <a:solidFill>
                <a:sysClr val="window" lastClr="FFFFFF"/>
              </a:solidFill>
              <a:latin typeface="+mn-lt"/>
              <a:ea typeface="+mn-ea"/>
              <a:cs typeface="+mn-cs"/>
            </a:defRPr>
          </a:lvl1pPr>
          <a:lvl2pPr marL="457200" indent="0">
            <a:defRPr sz="1100">
              <a:solidFill>
                <a:sysClr val="window" lastClr="FFFFFF"/>
              </a:solidFill>
              <a:latin typeface="+mn-lt"/>
              <a:ea typeface="+mn-ea"/>
              <a:cs typeface="+mn-cs"/>
            </a:defRPr>
          </a:lvl2pPr>
          <a:lvl3pPr marL="914400" indent="0">
            <a:defRPr sz="1100">
              <a:solidFill>
                <a:sysClr val="window" lastClr="FFFFFF"/>
              </a:solidFill>
              <a:latin typeface="+mn-lt"/>
              <a:ea typeface="+mn-ea"/>
              <a:cs typeface="+mn-cs"/>
            </a:defRPr>
          </a:lvl3pPr>
          <a:lvl4pPr marL="1371600" indent="0">
            <a:defRPr sz="1100">
              <a:solidFill>
                <a:sysClr val="window" lastClr="FFFFFF"/>
              </a:solidFill>
              <a:latin typeface="+mn-lt"/>
              <a:ea typeface="+mn-ea"/>
              <a:cs typeface="+mn-cs"/>
            </a:defRPr>
          </a:lvl4pPr>
          <a:lvl5pPr marL="1828800" indent="0">
            <a:defRPr sz="1100">
              <a:solidFill>
                <a:sysClr val="window" lastClr="FFFFFF"/>
              </a:solidFill>
              <a:latin typeface="+mn-lt"/>
              <a:ea typeface="+mn-ea"/>
              <a:cs typeface="+mn-cs"/>
            </a:defRPr>
          </a:lvl5pPr>
          <a:lvl6pPr marL="2286000" indent="0">
            <a:defRPr sz="1100">
              <a:solidFill>
                <a:sysClr val="window" lastClr="FFFFFF"/>
              </a:solidFill>
              <a:latin typeface="+mn-lt"/>
              <a:ea typeface="+mn-ea"/>
              <a:cs typeface="+mn-cs"/>
            </a:defRPr>
          </a:lvl6pPr>
          <a:lvl7pPr marL="2743200" indent="0">
            <a:defRPr sz="1100">
              <a:solidFill>
                <a:sysClr val="window" lastClr="FFFFFF"/>
              </a:solidFill>
              <a:latin typeface="+mn-lt"/>
              <a:ea typeface="+mn-ea"/>
              <a:cs typeface="+mn-cs"/>
            </a:defRPr>
          </a:lvl7pPr>
          <a:lvl8pPr marL="3200400" indent="0">
            <a:defRPr sz="1100">
              <a:solidFill>
                <a:sysClr val="window" lastClr="FFFFFF"/>
              </a:solidFill>
              <a:latin typeface="+mn-lt"/>
              <a:ea typeface="+mn-ea"/>
              <a:cs typeface="+mn-cs"/>
            </a:defRPr>
          </a:lvl8pPr>
          <a:lvl9pPr marL="3657600" indent="0">
            <a:defRPr sz="1100">
              <a:solidFill>
                <a:sysClr val="window" lastClr="FFFFFF"/>
              </a:solidFill>
              <a:latin typeface="+mn-lt"/>
              <a:ea typeface="+mn-ea"/>
              <a:cs typeface="+mn-cs"/>
            </a:defRPr>
          </a:lvl9pPr>
        </a:lstStyle>
        <a:p>
          <a:endParaRPr lang="zh-CN" altLang="en-US"/>
        </a:p>
      </cdr:txBody>
    </cdr:sp>
  </cdr:relSizeAnchor>
  <cdr:relSizeAnchor xmlns:cdr="http://schemas.openxmlformats.org/drawingml/2006/chartDrawing">
    <cdr:from>
      <cdr:x>0.59034</cdr:x>
      <cdr:y>0.50765</cdr:y>
    </cdr:from>
    <cdr:to>
      <cdr:x>0.59034</cdr:x>
      <cdr:y>0.85015</cdr:y>
    </cdr:to>
    <cdr:cxnSp>
      <cdr:nvCxnSpPr>
        <cdr:cNvPr id="16" name="直接连接符 15"/>
        <cdr:cNvCxnSpPr/>
      </cdr:nvCxnSpPr>
      <cdr:spPr xmlns:a="http://schemas.openxmlformats.org/drawingml/2006/main">
        <a:xfrm xmlns:a="http://schemas.openxmlformats.org/drawingml/2006/main" flipV="true">
          <a:off x="3609975" y="1581151"/>
          <a:ext cx="1" cy="1066800"/>
        </a:xfrm>
        <a:prstGeom xmlns:a="http://schemas.openxmlformats.org/drawingml/2006/main" prst="line">
          <a:avLst/>
        </a:prstGeom>
        <a:ln>
          <a:solidFill>
            <a:sysClr val="windowText" lastClr="000000"/>
          </a:solidFill>
          <a:prstDash val="dash"/>
        </a:ln>
      </cdr:spPr>
      <cdr:style>
        <a:lnRef xmlns:a="http://schemas.openxmlformats.org/drawingml/2006/main" idx="1">
          <a:srgbClr val="4F81BD"/>
        </a:lnRef>
        <a:fillRef xmlns:a="http://schemas.openxmlformats.org/drawingml/2006/main" idx="0">
          <a:srgbClr val="4F81BD"/>
        </a:fillRef>
        <a:effectRef xmlns:a="http://schemas.openxmlformats.org/drawingml/2006/main" idx="0">
          <a:srgbClr val="4F81BD"/>
        </a:effectRef>
        <a:fontRef xmlns:a="http://schemas.openxmlformats.org/drawingml/2006/main" idx="minor">
          <a:sysClr val="windowText" lastClr="000000"/>
        </a:fontRef>
      </cdr:style>
    </cdr:cxnSp>
  </cdr:relSizeAnchor>
  <cdr:relSizeAnchor xmlns:cdr="http://schemas.openxmlformats.org/drawingml/2006/chartDrawing">
    <cdr:from>
      <cdr:x>0.55348</cdr:x>
      <cdr:y>0.41692</cdr:y>
    </cdr:from>
    <cdr:to>
      <cdr:x>0.68017</cdr:x>
      <cdr:y>0.50281</cdr:y>
    </cdr:to>
    <cdr:sp>
      <cdr:nvSpPr>
        <cdr:cNvPr id="17" name="矩形 16"/>
        <cdr:cNvSpPr/>
      </cdr:nvSpPr>
      <cdr:spPr xmlns:a="http://schemas.openxmlformats.org/drawingml/2006/main">
        <a:xfrm xmlns:a="http://schemas.openxmlformats.org/drawingml/2006/main">
          <a:off x="3384550" y="1298575"/>
          <a:ext cx="774699" cy="267508"/>
        </a:xfrm>
        <a:prstGeom xmlns:a="http://schemas.openxmlformats.org/drawingml/2006/main" prst="rect">
          <a:avLst/>
        </a:prstGeom>
      </cdr:spPr>
      <cdr:txBody xmlns:a="http://schemas.openxmlformats.org/drawingml/2006/main">
        <a:bodyPr vert="horz" wrap="square" lIns="45720" tIns="45720" rIns="45720" bIns="45720" rtlCol="0" anchor="t" anchorCtr="false">
          <a:normAutofit/>
        </a:bodyPr>
        <a:lstStyle>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a:r>
            <a:rPr lang="zh-CN" altLang="en-US" sz="1000" baseline="0">
              <a:solidFill>
                <a:sysClr val="windowText" lastClr="000000"/>
              </a:solidFill>
            </a:rPr>
            <a:t>火车站</a:t>
          </a:r>
          <a:endParaRPr lang="zh-CN" altLang="en-US" sz="1000" baseline="0">
            <a:solidFill>
              <a:sysClr val="windowText" lastClr="000000"/>
            </a:solidFill>
          </a:endParaRPr>
        </a:p>
      </cdr:txBody>
    </cdr:sp>
  </cdr:relSizeAnchor>
  <cdr:relSizeAnchor xmlns:cdr="http://schemas.openxmlformats.org/drawingml/2006/chartDrawing">
    <cdr:from>
      <cdr:x>0.17186</cdr:x>
      <cdr:y>0.33129</cdr:y>
    </cdr:from>
    <cdr:to>
      <cdr:x>0.3162</cdr:x>
      <cdr:y>0.41692</cdr:y>
    </cdr:to>
    <cdr:sp>
      <cdr:nvSpPr>
        <cdr:cNvPr id="18" name="矩形 17"/>
        <cdr:cNvSpPr/>
      </cdr:nvSpPr>
      <cdr:spPr xmlns:a="http://schemas.openxmlformats.org/drawingml/2006/main">
        <a:xfrm xmlns:a="http://schemas.openxmlformats.org/drawingml/2006/main">
          <a:off x="1050925" y="1031875"/>
          <a:ext cx="882650" cy="266700"/>
        </a:xfrm>
        <a:prstGeom xmlns:a="http://schemas.openxmlformats.org/drawingml/2006/main" prst="rect">
          <a:avLst/>
        </a:prstGeom>
      </cdr:spPr>
      <cdr:txBody xmlns:a="http://schemas.openxmlformats.org/drawingml/2006/main">
        <a:bodyPr vert="horz" wrap="square" lIns="45720" tIns="45720" rIns="45720" bIns="45720" rtlCol="0" anchor="t" anchorCtr="false">
          <a:normAutofit/>
        </a:bodyPr>
        <a:lstStyle>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a:r>
            <a:rPr lang="zh-CN" altLang="en-US" sz="1000" b="1" baseline="0">
              <a:solidFill>
                <a:srgbClr val="FF0000"/>
              </a:solidFill>
            </a:rPr>
            <a:t>三江街道</a:t>
          </a:r>
          <a:endParaRPr lang="zh-CN" altLang="en-US" sz="1000" b="1" baseline="0">
            <a:solidFill>
              <a:srgbClr val="FF0000"/>
            </a:solidFill>
          </a:endParaRPr>
        </a:p>
      </cdr:txBody>
    </cdr:sp>
  </cdr:relSizeAnchor>
  <cdr:relSizeAnchor xmlns:cdr="http://schemas.openxmlformats.org/drawingml/2006/chartDrawing">
    <cdr:from>
      <cdr:x>0.5893</cdr:x>
      <cdr:y>0.6371</cdr:y>
    </cdr:from>
    <cdr:to>
      <cdr:x>0.73364</cdr:x>
      <cdr:y>0.72273</cdr:y>
    </cdr:to>
    <cdr:sp>
      <cdr:nvSpPr>
        <cdr:cNvPr id="19" name="矩形 18"/>
        <cdr:cNvSpPr/>
      </cdr:nvSpPr>
      <cdr:spPr xmlns:a="http://schemas.openxmlformats.org/drawingml/2006/main">
        <a:xfrm xmlns:a="http://schemas.openxmlformats.org/drawingml/2006/main">
          <a:off x="3603625" y="1984375"/>
          <a:ext cx="882650" cy="266700"/>
        </a:xfrm>
        <a:prstGeom xmlns:a="http://schemas.openxmlformats.org/drawingml/2006/main" prst="rect">
          <a:avLst/>
        </a:prstGeom>
      </cdr:spPr>
      <cdr:txBody xmlns:a="http://schemas.openxmlformats.org/drawingml/2006/main">
        <a:bodyPr vert="horz" wrap="square" lIns="45720" tIns="45720" rIns="45720" bIns="45720" rtlCol="0" anchor="t" anchorCtr="false">
          <a:normAutofit/>
        </a:bodyPr>
        <a:lstStyle>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a:r>
            <a:rPr lang="zh-CN" altLang="en-US" sz="1000" b="1" baseline="0">
              <a:solidFill>
                <a:srgbClr val="FF0000"/>
              </a:solidFill>
            </a:rPr>
            <a:t>主城区</a:t>
          </a:r>
          <a:endParaRPr lang="zh-CN" altLang="en-US" sz="1000" b="1" baseline="0">
            <a:solidFill>
              <a:srgbClr val="FF0000"/>
            </a:solidFill>
          </a:endParaRPr>
        </a:p>
      </cdr:txBody>
    </cdr:sp>
  </cdr:relSizeAnchor>
</c:userShape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tint val="50000"/>
                <a:satMod val="300000"/>
              </a:schemeClr>
            </a:gs>
            <a:gs pos="35000">
              <a:schemeClr val="phClr">
                <a:tint val="37000"/>
                <a:satMod val="300000"/>
              </a:schemeClr>
            </a:gs>
            <a:gs pos="100000">
              <a:schemeClr val="phClr">
                <a:tint val="15000"/>
                <a:satMod val="350000"/>
              </a:schemeClr>
            </a:gs>
          </a:gsLst>
          <a:lin ang="16200000" scaled="true"/>
        </a:gradFill>
        <a:gradFill rotWithShape="true">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false"/>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true">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true">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rgbClr val="FFFFFF"/>
      </a:solidFill>
      <a:gradFill rotWithShape="true">
        <a:gsLst>
          <a:gs pos="0">
            <a:srgbClr val="FFFFFF">
              <a:tint val="50000"/>
              <a:satMod val="300000"/>
            </a:srgbClr>
          </a:gs>
          <a:gs pos="35000">
            <a:srgbClr val="FFFFFF">
              <a:tint val="37000"/>
              <a:satMod val="300000"/>
            </a:srgbClr>
          </a:gs>
          <a:gs pos="100000">
            <a:srgbClr val="FFFFFF">
              <a:tint val="15000"/>
              <a:satMod val="350000"/>
            </a:srgbClr>
          </a:gs>
        </a:gsLst>
        <a:lin ang="16200000" scaled="true"/>
      </a:gradFill>
      <a:gradFill rotWithShape="true">
        <a:gsLst>
          <a:gs pos="0">
            <a:srgbClr val="BDBDBD">
              <a:shade val="51000"/>
              <a:satMod val="130000"/>
            </a:srgbClr>
          </a:gs>
          <a:gs pos="80000">
            <a:srgbClr val="F7F7F7">
              <a:shade val="93000"/>
              <a:satMod val="130000"/>
            </a:srgbClr>
          </a:gs>
          <a:gs pos="100000">
            <a:srgbClr val="F8F8F8">
              <a:shade val="94000"/>
              <a:satMod val="135000"/>
            </a:srgbClr>
          </a:gs>
        </a:gsLst>
        <a:lin ang="16200000" scaled="false"/>
      </a:gradFill>
    </a:fillStyleLst>
    <a:lnStyleLst>
      <a:ln w="9525" cap="flat" cmpd="sng" algn="ctr">
        <a:solidFill>
          <a:srgbClr val="F9F9F9">
            <a:shade val="95000"/>
            <a:satMod val="105000"/>
          </a:srgbClr>
        </a:solidFill>
        <a:prstDash val="solid"/>
      </a:ln>
      <a:ln w="25400" cap="flat" cmpd="sng" algn="ctr">
        <a:solidFill>
          <a:srgbClr val="FFFFFF"/>
        </a:solidFill>
        <a:prstDash val="solid"/>
      </a:ln>
      <a:ln w="38100" cap="flat" cmpd="sng" algn="ctr">
        <a:solidFill>
          <a:srgbClr val="FFFFFF"/>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rgbClr val="FFFFFF"/>
      </a:solidFill>
      <a:gradFill rotWithShape="true">
        <a:gsLst>
          <a:gs pos="0">
            <a:srgbClr val="FFFFFF">
              <a:tint val="40000"/>
              <a:satMod val="350000"/>
            </a:srgbClr>
          </a:gs>
          <a:gs pos="40000">
            <a:srgbClr val="FEFEFE">
              <a:tint val="45000"/>
              <a:shade val="99000"/>
              <a:satMod val="350000"/>
            </a:srgbClr>
          </a:gs>
          <a:gs pos="100000">
            <a:srgbClr val="7C7C7C">
              <a:shade val="20000"/>
              <a:satMod val="255000"/>
            </a:srgbClr>
          </a:gs>
        </a:gsLst>
        <a:path path="circle">
          <a:fillToRect l="50000" t="-80000" r="50000" b="180000"/>
        </a:path>
      </a:gradFill>
      <a:gradFill rotWithShape="true">
        <a:gsLst>
          <a:gs pos="0">
            <a:srgbClr val="FFFFFF">
              <a:tint val="80000"/>
              <a:satMod val="300000"/>
            </a:srgbClr>
          </a:gs>
          <a:gs pos="100000">
            <a:srgbClr val="959595">
              <a:shade val="30000"/>
              <a:satMod val="200000"/>
            </a:srgb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295</Pages>
  <Words>112255</Words>
  <Characters>133115</Characters>
  <Lines>1131</Lines>
  <Paragraphs>318</Paragraphs>
  <TotalTime>11</TotalTime>
  <ScaleCrop>false</ScaleCrop>
  <LinksUpToDate>false</LinksUpToDate>
  <CharactersWithSpaces>135180</CharactersWithSpaces>
  <Application>WPS Office_11.8.2.9958_F1E327BC-269C-435d-A152-05C5408002CA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2021-09-01T00:56:00Z</dcterms:created>
  <dc:creator>guotienv</dc:creator>
  <cp:lastModifiedBy>guest</cp:lastModifiedBy>
  <cp:lastPrinted>2022-06-23T18:34:00Z</cp:lastPrinted>
  <dcterms:modified xsi:type="dcterms:W3CDTF">2022-06-24T17:12:07Z</dcterms:modified>
  <dc:title>1 城市概况</dc:title>
  <cp:revision>28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2052-11.8.2.9958</vt:lpwstr>
  </property>
  <property fmtid="{D5CDD505-2E9C-101B-9397-08002B2CF9AE}" pid="3" name="ICV">
    <vt:lpwstr>D6C03DD6DAE249B6B12A0E553C6EE471</vt:lpwstr>
  </property>
</Properties>
</file>