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D4" w:rsidRDefault="00B044D4" w:rsidP="00B044D4">
      <w:pPr>
        <w:pStyle w:val="a3"/>
        <w:shd w:val="clear" w:color="auto" w:fill="FFFFFF"/>
        <w:spacing w:before="0" w:beforeAutospacing="0" w:after="180" w:afterAutospacing="0" w:line="360" w:lineRule="atLeast"/>
        <w:ind w:firstLine="645"/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2022年高素质农民培训补贴结果</w:t>
      </w:r>
    </w:p>
    <w:p w:rsidR="00B044D4" w:rsidRDefault="00B044D4" w:rsidP="00B044D4">
      <w:pPr>
        <w:pStyle w:val="a3"/>
        <w:shd w:val="clear" w:color="auto" w:fill="FFFFFF"/>
        <w:spacing w:before="0" w:beforeAutospacing="0" w:after="180" w:afterAutospacing="0" w:line="360" w:lineRule="atLeast"/>
        <w:ind w:firstLine="645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333300"/>
          <w:sz w:val="32"/>
          <w:szCs w:val="32"/>
          <w:shd w:val="clear" w:color="auto" w:fill="FFFFFF"/>
        </w:rPr>
        <w:t>1、培训人数：2022年高素质农民培训经费由国家项目资金按人数补助到培训机构，2022年培训630人，培训经费177万元。</w:t>
      </w:r>
    </w:p>
    <w:p w:rsidR="00B044D4" w:rsidRDefault="00B044D4" w:rsidP="00B044D4">
      <w:pPr>
        <w:pStyle w:val="a3"/>
        <w:shd w:val="clear" w:color="auto" w:fill="FFFFFF"/>
        <w:spacing w:before="0" w:beforeAutospacing="0" w:after="180" w:afterAutospacing="0" w:line="360" w:lineRule="atLeast"/>
        <w:ind w:firstLine="645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2、补助标准：《重庆市农业农村委员会办公室关于做好2022年高素质农民培育工作的通知》〔2022〕-44，高素质农民培训资金使用标准如下：新型农业经营主体培训，按累计培训时间不少于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120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学时，人均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3000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元标准进行培训（含线上培训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24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学时以上）。</w:t>
      </w:r>
      <w:r>
        <w:rPr>
          <w:rFonts w:ascii="微软雅黑" w:eastAsia="微软雅黑" w:hAnsi="微软雅黑" w:hint="eastAsia"/>
          <w:color w:val="333300"/>
        </w:rPr>
        <w:t> 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专业生产型、技能服务型、产业扶贫带头人及建卡贫困户人的培训，按累计培训时间不少于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56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学时，人均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1500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元标准进行培训。新型农业经营主体经营者的重点扶持、技能比赛、信息化手段、后续指导管理服务等费用，补助标准人均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1000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元。主要用于五个方面：一是举办农民致富带富技能大赛；二是评选最佳高素质农民；三是对本地从事农业生产有示范引领的高素质农民给予重点扶持；四是后续指导管理服务支出，包括跟踪培训、技术指导和经营管理等服务</w:t>
      </w:r>
      <w:r>
        <w:rPr>
          <w:rFonts w:ascii="Times New Roman" w:eastAsia="微软雅黑" w:hAnsi="Times New Roman" w:cs="Times New Roman"/>
          <w:color w:val="333300"/>
          <w:sz w:val="32"/>
          <w:szCs w:val="32"/>
          <w:shd w:val="clear" w:color="auto" w:fill="FFFFFF"/>
        </w:rPr>
        <w:t>;</w:t>
      </w:r>
      <w:r>
        <w:rPr>
          <w:rFonts w:ascii="方正仿宋_GBK" w:eastAsia="方正仿宋_GBK" w:hAnsi="微软雅黑" w:hint="eastAsia"/>
          <w:color w:val="333300"/>
          <w:sz w:val="32"/>
          <w:szCs w:val="32"/>
          <w:shd w:val="clear" w:color="auto" w:fill="FFFFFF"/>
        </w:rPr>
        <w:t>五是促进高素质农民学历提升，利用激励奖励政策，组织学员积极参加中高职学历提升教育。</w:t>
      </w:r>
    </w:p>
    <w:p w:rsidR="00007B4E" w:rsidRDefault="00007B4E"/>
    <w:sectPr w:rsidR="0000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8"/>
    <w:rsid w:val="00007B4E"/>
    <w:rsid w:val="00834198"/>
    <w:rsid w:val="00B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775CC"/>
            <w:right w:val="none" w:sz="0" w:space="0" w:color="auto"/>
          </w:divBdr>
          <w:divsChild>
            <w:div w:id="983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465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20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5176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5E5E5"/>
                                <w:left w:val="single" w:sz="6" w:space="2" w:color="E5E5E5"/>
                                <w:bottom w:val="single" w:sz="6" w:space="2" w:color="E5E5E5"/>
                                <w:right w:val="single" w:sz="6" w:space="2" w:color="E5E5E5"/>
                              </w:divBdr>
                            </w:div>
                          </w:divsChild>
                        </w:div>
                        <w:div w:id="11952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167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878392198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912937184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946037573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89591728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1523856948">
              <w:marLeft w:val="0"/>
              <w:marRight w:val="48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4284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16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719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87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002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0506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通惠街道</dc:creator>
  <cp:keywords/>
  <dc:description/>
  <cp:lastModifiedBy>通惠街道</cp:lastModifiedBy>
  <cp:revision>2</cp:revision>
  <dcterms:created xsi:type="dcterms:W3CDTF">2023-03-15T02:25:00Z</dcterms:created>
  <dcterms:modified xsi:type="dcterms:W3CDTF">2023-03-15T02:25:00Z</dcterms:modified>
</cp:coreProperties>
</file>