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ind w:firstLine="640" w:firstLineChars="200"/>
        <w:rPr>
          <w:rFonts w:hint="default" w:ascii="Times New Roman" w:hAnsi="Times New Roman" w:eastAsia="方正仿宋_GBK" w:cs="Times New Roman"/>
          <w:sz w:val="32"/>
        </w:rPr>
      </w:pPr>
    </w:p>
    <w:p>
      <w:pPr>
        <w:spacing w:line="60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一、单位基本情况</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（一）职能职责</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基层治理综合指挥室。承担基层治理指挥中心的日常运行和指挥调度相关工作。承担“一中心四板块一网格”基层智治体系建设和基层治理智治平台的统筹协调、运行监测、分析研判、协同流转、应急指挥、督查考核等工作。承担政府信息公开、机要、保密、档案、公文、会务等工作，承担机关接待、后勤保障、党务政务值班值守等工作。</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2.党的建设办公室。承担党的建设板块的日常管理协调工作。负责党的政治建设、思想建设、组织建设、作风建设、反腐倡廉建设、民主法治建设，以及意识形态、统一战线、群众团体等领域的工作，加强党的全面领导，全面加强党的建设，落实全面从严治党要求。承担基层党的建设、纪律检查、精神文明、法制、网络安全与信息化、机构编制、干部人事、民宗侨台等工作。承担辖区内党代表、人大代表、政协委员联络服务工作。</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3.经济发展办公室。承担经济发展板块的日常管理协调工作。负责经济发展、村镇建设、生态环境、农业农村和乡村振兴、财政管理、经济社会统计等领域的工作，制定和执行经济社会发展计划，强化产业引导，落实区域发展规划、专项规划、国土空间规划。承担市政设施管理、市容环卫、土地利用管理、交通建设等工作。承担财政收支、预决算、总会计、惠农资金兑付、财政资金监督检查、绩效评价、村级财务管理以及内部审计等工作。</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4.民生服务办公室。承担民生服务板块的日常管理协调工作。负责教育、文化、卫生健康、体育、劳动就业等领域工作，推动社会事业发展，落实社会保险、社会救助、社会福利、优抚安置、扶贫济困等社会保障政策，承担民政、生育服务、老龄事业发展、社会救助、残疾人事业、劳动就业、社会保障、物业管理、退役军人服务以及其他民政和社会事务管理工作。</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5.平安法治办公室。承担平安法治板块的日常管理协调工作。负责平安法治、应急管理、综合执法、信访稳定、人民武装等领域工作，承担信访、人民调解、社会治安综合治理、维护社会稳定、防范和处理邪教、安全生产综合监管、消防管理、行政执法监督管理等工作，协助开展非煤矿山、危险化学品、烟花爆竹等安全生产日常监管。</w:t>
      </w:r>
    </w:p>
    <w:p>
      <w:pPr>
        <w:pStyle w:val="8"/>
        <w:tabs>
          <w:tab w:val="center" w:pos="4153"/>
          <w:tab w:val="left" w:pos="7275"/>
        </w:tabs>
        <w:spacing w:line="600" w:lineRule="exact"/>
        <w:ind w:left="640" w:firstLine="0" w:firstLineChars="0"/>
        <w:jc w:val="left"/>
        <w:rPr>
          <w:rFonts w:hint="default" w:ascii="Times New Roman" w:hAnsi="Times New Roman" w:eastAsia="方正仿宋_GBK" w:cs="Times New Roman"/>
          <w:sz w:val="32"/>
        </w:rPr>
      </w:pPr>
      <w:r>
        <w:rPr>
          <w:rFonts w:hint="default" w:ascii="Times New Roman" w:hAnsi="Times New Roman" w:eastAsia="方正仿宋_GBK" w:cs="Times New Roman"/>
          <w:sz w:val="32"/>
        </w:rPr>
        <w:t>（二）单位构成</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重庆市綦江区赶水镇人民政府（本级）</w:t>
      </w:r>
      <w:r>
        <w:rPr>
          <w:rFonts w:hint="default" w:ascii="Times New Roman" w:hAnsi="Times New Roman" w:eastAsia="方正仿宋_GBK" w:cs="Times New Roman"/>
          <w:sz w:val="32"/>
        </w:rPr>
        <w:t xml:space="preserve">。下属 </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 xml:space="preserve"> 个二级预算单位。</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（三）机构改革相关情况</w:t>
      </w:r>
    </w:p>
    <w:p>
      <w:pPr>
        <w:spacing w:line="600" w:lineRule="exact"/>
        <w:ind w:firstLine="640" w:firstLineChars="200"/>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本</w:t>
      </w:r>
      <w:r>
        <w:rPr>
          <w:rFonts w:hint="default" w:ascii="Times New Roman" w:hAnsi="Times New Roman" w:eastAsia="方正仿宋_GBK" w:cs="Times New Roman"/>
          <w:sz w:val="32"/>
        </w:rPr>
        <w:t>部门</w:t>
      </w:r>
      <w:r>
        <w:rPr>
          <w:rFonts w:hint="default" w:ascii="Times New Roman" w:hAnsi="Times New Roman" w:eastAsia="方正仿宋_GBK" w:cs="Times New Roman"/>
          <w:sz w:val="32"/>
        </w:rPr>
        <w:t>于</w:t>
      </w:r>
      <w:r>
        <w:rPr>
          <w:rFonts w:hint="default" w:ascii="Times New Roman" w:hAnsi="Times New Roman" w:eastAsia="方正仿宋_GBK" w:cs="Times New Roman"/>
          <w:sz w:val="32"/>
          <w:lang w:eastAsia="zh-CN"/>
        </w:rPr>
        <w:t>202</w:t>
      </w:r>
      <w:r>
        <w:rPr>
          <w:rFonts w:hint="default" w:ascii="Times New Roman" w:hAnsi="Times New Roman" w:eastAsia="方正仿宋_GBK" w:cs="Times New Roman"/>
          <w:sz w:val="32"/>
          <w:lang w:val="en-US" w:eastAsia="zh-CN"/>
        </w:rPr>
        <w:t>4</w:t>
      </w:r>
      <w:r>
        <w:rPr>
          <w:rFonts w:hint="eastAsia" w:eastAsia="方正仿宋_GBK" w:cs="Times New Roman"/>
          <w:sz w:val="32"/>
          <w:lang w:val="en-US" w:eastAsia="zh-CN"/>
        </w:rPr>
        <w:t>—</w:t>
      </w:r>
      <w:r>
        <w:rPr>
          <w:rFonts w:hint="default" w:ascii="Times New Roman" w:hAnsi="Times New Roman" w:eastAsia="方正仿宋_GBK" w:cs="Times New Roman"/>
          <w:sz w:val="32"/>
          <w:lang w:eastAsia="zh-CN"/>
        </w:rPr>
        <w:t>202</w:t>
      </w:r>
      <w:r>
        <w:rPr>
          <w:rFonts w:hint="default" w:ascii="Times New Roman" w:hAnsi="Times New Roman" w:eastAsia="方正仿宋_GBK" w:cs="Times New Roman"/>
          <w:sz w:val="32"/>
          <w:lang w:val="en-US" w:eastAsia="zh-CN"/>
        </w:rPr>
        <w:t>5</w:t>
      </w:r>
      <w:r>
        <w:rPr>
          <w:rFonts w:hint="default" w:ascii="Times New Roman" w:hAnsi="Times New Roman" w:eastAsia="方正仿宋_GBK" w:cs="Times New Roman"/>
          <w:sz w:val="32"/>
        </w:rPr>
        <w:t>年期间</w:t>
      </w:r>
      <w:r>
        <w:rPr>
          <w:rFonts w:hint="default" w:ascii="Times New Roman" w:hAnsi="Times New Roman" w:eastAsia="方正仿宋_GBK" w:cs="Times New Roman"/>
          <w:sz w:val="32"/>
          <w:lang w:eastAsia="zh-CN"/>
        </w:rPr>
        <w:t>不</w:t>
      </w:r>
      <w:r>
        <w:rPr>
          <w:rFonts w:hint="default" w:ascii="Times New Roman" w:hAnsi="Times New Roman" w:eastAsia="方正仿宋_GBK" w:cs="Times New Roman"/>
          <w:sz w:val="32"/>
        </w:rPr>
        <w:t>涉及机构改革</w:t>
      </w:r>
      <w:r>
        <w:rPr>
          <w:rFonts w:hint="default" w:ascii="Times New Roman" w:hAnsi="Times New Roman" w:eastAsia="方正仿宋_GBK" w:cs="Times New Roman"/>
          <w:sz w:val="32"/>
          <w:lang w:eastAsia="zh-CN"/>
        </w:rPr>
        <w:t>。</w:t>
      </w:r>
    </w:p>
    <w:p>
      <w:pPr>
        <w:spacing w:line="600" w:lineRule="exact"/>
        <w:ind w:left="640"/>
        <w:rPr>
          <w:rFonts w:hint="default" w:ascii="Times New Roman" w:hAnsi="Times New Roman" w:eastAsia="方正仿宋_GBK" w:cs="Times New Roman"/>
          <w:sz w:val="32"/>
        </w:rPr>
      </w:pPr>
      <w:r>
        <w:rPr>
          <w:rFonts w:hint="default" w:ascii="Times New Roman" w:hAnsi="Times New Roman" w:eastAsia="方正黑体_GBK" w:cs="Times New Roman"/>
          <w:sz w:val="32"/>
        </w:rPr>
        <w:t>二、部门收支总体情况</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（一）收入预算：</w:t>
      </w:r>
      <w:r>
        <w:rPr>
          <w:rFonts w:hint="default" w:ascii="Times New Roman" w:hAnsi="Times New Roman" w:eastAsia="方正仿宋_GBK" w:cs="Times New Roman"/>
          <w:sz w:val="32"/>
          <w:lang w:eastAsia="zh-CN"/>
        </w:rPr>
        <w:t>2025年</w:t>
      </w:r>
      <w:r>
        <w:rPr>
          <w:rFonts w:hint="default" w:ascii="Times New Roman" w:hAnsi="Times New Roman" w:eastAsia="方正仿宋_GBK" w:cs="Times New Roman"/>
          <w:sz w:val="32"/>
        </w:rPr>
        <w:t>年初预算数</w:t>
      </w:r>
      <w:r>
        <w:rPr>
          <w:rFonts w:hint="default" w:ascii="Times New Roman" w:hAnsi="Times New Roman" w:eastAsia="方正仿宋_GBK" w:cs="Times New Roman"/>
          <w:sz w:val="32"/>
          <w:lang w:val="en-US" w:eastAsia="zh-CN"/>
        </w:rPr>
        <w:t>4673.18</w:t>
      </w:r>
      <w:r>
        <w:rPr>
          <w:rFonts w:hint="default" w:ascii="Times New Roman" w:hAnsi="Times New Roman" w:eastAsia="方正仿宋_GBK" w:cs="Times New Roman"/>
          <w:sz w:val="32"/>
        </w:rPr>
        <w:t>万元，其中：一般公共预算拨款4,488.18万元，政府性基金预算拨款</w:t>
      </w:r>
      <w:r>
        <w:rPr>
          <w:rFonts w:hint="default" w:ascii="Times New Roman" w:hAnsi="Times New Roman" w:eastAsia="方正仿宋_GBK" w:cs="Times New Roman"/>
          <w:sz w:val="32"/>
          <w:lang w:val="en-US" w:eastAsia="zh-CN"/>
        </w:rPr>
        <w:t>185</w:t>
      </w:r>
      <w:r>
        <w:rPr>
          <w:rFonts w:hint="default" w:ascii="Times New Roman" w:hAnsi="Times New Roman" w:eastAsia="方正仿宋_GBK" w:cs="Times New Roman"/>
          <w:sz w:val="32"/>
        </w:rPr>
        <w:t>万元，国有资本经营预算收入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万元，事业收入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 xml:space="preserve"> 万元，事业单位经营收入 </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 xml:space="preserve">万元，其他收入 </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万元。收入较</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减少</w:t>
      </w:r>
      <w:r>
        <w:rPr>
          <w:rFonts w:hint="default" w:ascii="Times New Roman" w:hAnsi="Times New Roman" w:eastAsia="方正仿宋_GBK" w:cs="Times New Roman"/>
          <w:sz w:val="32"/>
          <w:lang w:val="en-US" w:eastAsia="zh-CN"/>
        </w:rPr>
        <w:t>480.95</w:t>
      </w:r>
      <w:r>
        <w:rPr>
          <w:rFonts w:hint="default" w:ascii="Times New Roman" w:hAnsi="Times New Roman" w:eastAsia="方正仿宋_GBK" w:cs="Times New Roman"/>
          <w:sz w:val="32"/>
        </w:rPr>
        <w:t>万元，主要是一般公共预算资金经费拨款</w:t>
      </w:r>
      <w:r>
        <w:rPr>
          <w:rFonts w:hint="default" w:ascii="Times New Roman" w:hAnsi="Times New Roman" w:eastAsia="方正仿宋_GBK" w:cs="Times New Roman"/>
          <w:sz w:val="32"/>
          <w:lang w:eastAsia="zh-CN"/>
        </w:rPr>
        <w:t>增加</w:t>
      </w:r>
      <w:r>
        <w:rPr>
          <w:rFonts w:hint="default" w:ascii="Times New Roman" w:hAnsi="Times New Roman" w:eastAsia="方正仿宋_GBK" w:cs="Times New Roman"/>
          <w:sz w:val="32"/>
          <w:lang w:val="en-US" w:eastAsia="zh-CN"/>
        </w:rPr>
        <w:t>1319.87</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，政府性基金预算财政拨款收入增加</w:t>
      </w:r>
      <w:r>
        <w:rPr>
          <w:rFonts w:hint="default" w:ascii="Times New Roman" w:hAnsi="Times New Roman" w:eastAsia="方正仿宋_GBK" w:cs="Times New Roman"/>
          <w:sz w:val="32"/>
          <w:lang w:val="en-US" w:eastAsia="zh-CN"/>
        </w:rPr>
        <w:t>185</w:t>
      </w:r>
      <w:r>
        <w:rPr>
          <w:rFonts w:hint="default" w:ascii="Times New Roman" w:hAnsi="Times New Roman" w:eastAsia="方正仿宋_GBK" w:cs="Times New Roman"/>
          <w:sz w:val="32"/>
          <w:lang w:val="en-US" w:eastAsia="zh-CN"/>
        </w:rPr>
        <w:t>万元，年初结转和结余减少</w:t>
      </w:r>
      <w:r>
        <w:rPr>
          <w:rFonts w:hint="default" w:ascii="Times New Roman" w:hAnsi="Times New Roman" w:eastAsia="方正仿宋_GBK" w:cs="Times New Roman"/>
          <w:sz w:val="32"/>
          <w:lang w:val="en-US" w:eastAsia="zh-CN"/>
        </w:rPr>
        <w:t>1985.82</w:t>
      </w:r>
      <w:r>
        <w:rPr>
          <w:rFonts w:hint="default" w:ascii="Times New Roman" w:hAnsi="Times New Roman" w:eastAsia="方正仿宋_GBK" w:cs="Times New Roman"/>
          <w:sz w:val="32"/>
          <w:lang w:val="en-US" w:eastAsia="zh-CN"/>
        </w:rPr>
        <w:t>万元</w:t>
      </w:r>
      <w:r>
        <w:rPr>
          <w:rFonts w:hint="default" w:ascii="Times New Roman" w:hAnsi="Times New Roman" w:eastAsia="方正仿宋_GBK" w:cs="Times New Roman"/>
          <w:sz w:val="32"/>
        </w:rPr>
        <w:t>。</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（二）支出预算：</w:t>
      </w:r>
      <w:r>
        <w:rPr>
          <w:rFonts w:hint="default" w:ascii="Times New Roman" w:hAnsi="Times New Roman" w:eastAsia="方正仿宋_GBK" w:cs="Times New Roman"/>
          <w:sz w:val="32"/>
          <w:lang w:eastAsia="zh-CN"/>
        </w:rPr>
        <w:t>2025年</w:t>
      </w:r>
      <w:r>
        <w:rPr>
          <w:rFonts w:hint="default" w:ascii="Times New Roman" w:hAnsi="Times New Roman" w:eastAsia="方正仿宋_GBK" w:cs="Times New Roman"/>
          <w:sz w:val="32"/>
        </w:rPr>
        <w:t>年初预算数</w:t>
      </w:r>
      <w:r>
        <w:rPr>
          <w:rFonts w:hint="default" w:ascii="Times New Roman" w:hAnsi="Times New Roman" w:eastAsia="方正仿宋_GBK" w:cs="Times New Roman"/>
          <w:sz w:val="32"/>
          <w:lang w:val="en-US" w:eastAsia="zh-CN"/>
        </w:rPr>
        <w:t>4673.18</w:t>
      </w:r>
      <w:r>
        <w:rPr>
          <w:rFonts w:hint="default" w:ascii="Times New Roman" w:hAnsi="Times New Roman" w:eastAsia="方正仿宋_GBK" w:cs="Times New Roman"/>
          <w:sz w:val="32"/>
        </w:rPr>
        <w:t>万元，其中：一般公共服务支出预算1,281.57万元，公共安全支出48.50</w:t>
      </w:r>
      <w:r>
        <w:rPr>
          <w:rFonts w:hint="default" w:ascii="Times New Roman" w:hAnsi="Times New Roman" w:eastAsia="方正仿宋_GBK" w:cs="Times New Roman"/>
          <w:sz w:val="32"/>
          <w:lang w:eastAsia="zh-CN"/>
        </w:rPr>
        <w:t>万元，</w:t>
      </w:r>
      <w:r>
        <w:rPr>
          <w:rFonts w:hint="default" w:ascii="Times New Roman" w:hAnsi="Times New Roman" w:eastAsia="方正仿宋_GBK" w:cs="Times New Roman"/>
          <w:sz w:val="32"/>
        </w:rPr>
        <w:t>社会保障和就业支出373.31</w:t>
      </w:r>
      <w:r>
        <w:rPr>
          <w:rFonts w:hint="default" w:ascii="Times New Roman" w:hAnsi="Times New Roman" w:eastAsia="方正仿宋_GBK" w:cs="Times New Roman"/>
          <w:sz w:val="32"/>
          <w:lang w:eastAsia="zh-CN"/>
        </w:rPr>
        <w:t>万元，</w:t>
      </w:r>
      <w:r>
        <w:rPr>
          <w:rFonts w:hint="default" w:ascii="Times New Roman" w:hAnsi="Times New Roman" w:eastAsia="方正仿宋_GBK" w:cs="Times New Roman"/>
          <w:sz w:val="32"/>
        </w:rPr>
        <w:t>卫生健康支出72.89</w:t>
      </w:r>
      <w:r>
        <w:rPr>
          <w:rFonts w:hint="default" w:ascii="Times New Roman" w:hAnsi="Times New Roman" w:eastAsia="方正仿宋_GBK" w:cs="Times New Roman"/>
          <w:sz w:val="32"/>
          <w:lang w:eastAsia="zh-CN"/>
        </w:rPr>
        <w:t>万元，</w:t>
      </w:r>
      <w:r>
        <w:rPr>
          <w:rFonts w:hint="default" w:ascii="Times New Roman" w:hAnsi="Times New Roman" w:eastAsia="方正仿宋_GBK" w:cs="Times New Roman"/>
          <w:sz w:val="32"/>
        </w:rPr>
        <w:t>节能环保支出313.70</w:t>
      </w:r>
      <w:r>
        <w:rPr>
          <w:rFonts w:hint="default" w:ascii="Times New Roman" w:hAnsi="Times New Roman" w:eastAsia="方正仿宋_GBK" w:cs="Times New Roman"/>
          <w:sz w:val="32"/>
          <w:lang w:eastAsia="zh-CN"/>
        </w:rPr>
        <w:t>万元，</w:t>
      </w:r>
      <w:r>
        <w:rPr>
          <w:rFonts w:hint="default" w:ascii="Times New Roman" w:hAnsi="Times New Roman" w:eastAsia="方正仿宋_GBK" w:cs="Times New Roman"/>
          <w:sz w:val="32"/>
        </w:rPr>
        <w:t>农林水支出1,577.57</w:t>
      </w:r>
      <w:r>
        <w:rPr>
          <w:rFonts w:hint="default" w:ascii="Times New Roman" w:hAnsi="Times New Roman" w:eastAsia="方正仿宋_GBK" w:cs="Times New Roman"/>
          <w:sz w:val="32"/>
          <w:lang w:eastAsia="zh-CN"/>
        </w:rPr>
        <w:t>万元，</w:t>
      </w:r>
      <w:r>
        <w:rPr>
          <w:rFonts w:hint="default" w:ascii="Times New Roman" w:hAnsi="Times New Roman" w:eastAsia="方正仿宋_GBK" w:cs="Times New Roman"/>
          <w:sz w:val="32"/>
        </w:rPr>
        <w:t>交通运输支出10.00</w:t>
      </w:r>
      <w:r>
        <w:rPr>
          <w:rFonts w:hint="default" w:ascii="Times New Roman" w:hAnsi="Times New Roman" w:eastAsia="方正仿宋_GBK" w:cs="Times New Roman"/>
          <w:sz w:val="32"/>
          <w:lang w:eastAsia="zh-CN"/>
        </w:rPr>
        <w:t>万元，</w:t>
      </w:r>
      <w:r>
        <w:rPr>
          <w:rFonts w:hint="default" w:ascii="Times New Roman" w:hAnsi="Times New Roman" w:eastAsia="方正仿宋_GBK" w:cs="Times New Roman"/>
          <w:sz w:val="32"/>
        </w:rPr>
        <w:t>住房保障支出</w:t>
      </w:r>
      <w:r>
        <w:rPr>
          <w:rFonts w:hint="default" w:ascii="Times New Roman" w:hAnsi="Times New Roman" w:eastAsia="方正仿宋_GBK" w:cs="Times New Roman"/>
          <w:sz w:val="32"/>
          <w:lang w:val="en-US" w:eastAsia="zh-CN"/>
        </w:rPr>
        <w:t>151.06万元，灾害防治及应急管理支出52.00万元，其他支出792.57万元</w:t>
      </w:r>
      <w:r>
        <w:rPr>
          <w:rFonts w:hint="default" w:ascii="Times New Roman" w:hAnsi="Times New Roman" w:eastAsia="方正仿宋_GBK" w:cs="Times New Roman"/>
          <w:sz w:val="32"/>
        </w:rPr>
        <w:t>。支出预算较</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减少</w:t>
      </w:r>
      <w:r>
        <w:rPr>
          <w:rFonts w:hint="default" w:ascii="Times New Roman" w:hAnsi="Times New Roman" w:eastAsia="方正仿宋_GBK" w:cs="Times New Roman"/>
          <w:sz w:val="32"/>
          <w:lang w:val="en-US" w:eastAsia="zh-CN"/>
        </w:rPr>
        <w:t>480.95</w:t>
      </w:r>
      <w:r>
        <w:rPr>
          <w:rFonts w:hint="default" w:ascii="Times New Roman" w:hAnsi="Times New Roman" w:eastAsia="方正仿宋_GBK" w:cs="Times New Roman"/>
          <w:sz w:val="32"/>
        </w:rPr>
        <w:t>万元，主要是基本支出预算</w:t>
      </w:r>
      <w:r>
        <w:rPr>
          <w:rFonts w:hint="default" w:ascii="Times New Roman" w:hAnsi="Times New Roman" w:eastAsia="方正仿宋_GBK" w:cs="Times New Roman"/>
          <w:sz w:val="32"/>
          <w:lang w:eastAsia="zh-CN"/>
        </w:rPr>
        <w:t>减少</w:t>
      </w:r>
      <w:r>
        <w:rPr>
          <w:rFonts w:hint="default" w:ascii="Times New Roman" w:hAnsi="Times New Roman" w:eastAsia="方正仿宋_GBK" w:cs="Times New Roman"/>
          <w:sz w:val="32"/>
          <w:lang w:val="en-US" w:eastAsia="zh-CN"/>
        </w:rPr>
        <w:t>56.93</w:t>
      </w:r>
      <w:r>
        <w:rPr>
          <w:rFonts w:hint="default" w:ascii="Times New Roman" w:hAnsi="Times New Roman" w:eastAsia="方正仿宋_GBK" w:cs="Times New Roman"/>
          <w:sz w:val="32"/>
        </w:rPr>
        <w:t>万元，项目支出预算减少</w:t>
      </w:r>
      <w:r>
        <w:rPr>
          <w:rFonts w:hint="default" w:ascii="Times New Roman" w:hAnsi="Times New Roman" w:eastAsia="方正仿宋_GBK" w:cs="Times New Roman"/>
          <w:sz w:val="32"/>
          <w:lang w:val="en-US" w:eastAsia="zh-CN"/>
        </w:rPr>
        <w:t>510.03</w:t>
      </w:r>
      <w:r>
        <w:rPr>
          <w:rFonts w:hint="default" w:ascii="Times New Roman" w:hAnsi="Times New Roman" w:eastAsia="方正仿宋_GBK" w:cs="Times New Roman"/>
          <w:sz w:val="32"/>
        </w:rPr>
        <w:t>万元。</w:t>
      </w:r>
    </w:p>
    <w:p>
      <w:pPr>
        <w:spacing w:line="60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三、部门预算情况说明</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2025年</w:t>
      </w:r>
      <w:r>
        <w:rPr>
          <w:rFonts w:hint="default" w:ascii="Times New Roman" w:hAnsi="Times New Roman" w:eastAsia="方正仿宋_GBK" w:cs="Times New Roman"/>
          <w:sz w:val="32"/>
        </w:rPr>
        <w:t>一般公共预算财政拨款收入</w:t>
      </w:r>
      <w:r>
        <w:rPr>
          <w:rFonts w:hint="default" w:ascii="Times New Roman" w:hAnsi="Times New Roman" w:eastAsia="方正仿宋_GBK" w:cs="Times New Roman"/>
          <w:sz w:val="32"/>
        </w:rPr>
        <w:t>4488.18</w:t>
      </w:r>
      <w:r>
        <w:rPr>
          <w:rFonts w:hint="default" w:ascii="Times New Roman" w:hAnsi="Times New Roman" w:eastAsia="方正仿宋_GBK" w:cs="Times New Roman"/>
          <w:sz w:val="32"/>
        </w:rPr>
        <w:t>万元，一般公共预算财政拨款支出</w:t>
      </w:r>
      <w:r>
        <w:rPr>
          <w:rFonts w:hint="default" w:ascii="Times New Roman" w:hAnsi="Times New Roman" w:eastAsia="方正仿宋_GBK" w:cs="Times New Roman"/>
          <w:sz w:val="32"/>
        </w:rPr>
        <w:t>4488.18</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减少</w:t>
      </w:r>
      <w:r>
        <w:rPr>
          <w:rFonts w:hint="default" w:ascii="Times New Roman" w:hAnsi="Times New Roman" w:eastAsia="方正仿宋_GBK" w:cs="Times New Roman"/>
          <w:sz w:val="32"/>
          <w:lang w:val="en-US" w:eastAsia="zh-CN"/>
        </w:rPr>
        <w:t>566.95</w:t>
      </w:r>
      <w:r>
        <w:rPr>
          <w:rFonts w:hint="default" w:ascii="Times New Roman" w:hAnsi="Times New Roman" w:eastAsia="方正仿宋_GBK" w:cs="Times New Roman"/>
          <w:sz w:val="32"/>
        </w:rPr>
        <w:t>万元。其中：基本支出</w:t>
      </w:r>
      <w:r>
        <w:rPr>
          <w:rFonts w:hint="default" w:ascii="Times New Roman" w:hAnsi="Times New Roman" w:eastAsia="方正仿宋_GBK" w:cs="Times New Roman"/>
          <w:sz w:val="32"/>
        </w:rPr>
        <w:t>1406.18</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减少</w:t>
      </w:r>
      <w:r>
        <w:rPr>
          <w:rFonts w:hint="default" w:ascii="Times New Roman" w:hAnsi="Times New Roman" w:eastAsia="方正仿宋_GBK" w:cs="Times New Roman"/>
          <w:sz w:val="32"/>
          <w:lang w:val="en-US" w:eastAsia="zh-CN"/>
        </w:rPr>
        <w:t>56.93</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本年度厉行节约，缩减基本开支。</w:t>
      </w:r>
      <w:r>
        <w:rPr>
          <w:rFonts w:hint="default" w:ascii="Times New Roman" w:hAnsi="Times New Roman" w:eastAsia="方正仿宋_GBK" w:cs="Times New Roman"/>
          <w:sz w:val="32"/>
        </w:rPr>
        <w:t>主要用于保障</w:t>
      </w:r>
      <w:r>
        <w:rPr>
          <w:rFonts w:hint="default" w:ascii="Times New Roman" w:hAnsi="Times New Roman" w:eastAsia="方正仿宋_GBK" w:cs="Times New Roman"/>
          <w:sz w:val="32"/>
          <w:lang w:eastAsia="zh-CN"/>
        </w:rPr>
        <w:t>机关</w:t>
      </w:r>
      <w:r>
        <w:rPr>
          <w:rFonts w:hint="default" w:ascii="Times New Roman" w:hAnsi="Times New Roman" w:eastAsia="方正仿宋_GBK" w:cs="Times New Roman"/>
          <w:sz w:val="32"/>
        </w:rPr>
        <w:t>在职人员工资福利及社会保险缴费，离休人员离休费，退休人员补助等，保障部门正常运转的各项商品服务支出；项目支出</w:t>
      </w:r>
      <w:r>
        <w:rPr>
          <w:rFonts w:hint="default" w:ascii="Times New Roman" w:hAnsi="Times New Roman" w:eastAsia="方正仿宋_GBK" w:cs="Times New Roman"/>
          <w:sz w:val="32"/>
          <w:lang w:val="en-US" w:eastAsia="zh-CN"/>
        </w:rPr>
        <w:t>3082</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减少</w:t>
      </w:r>
      <w:r>
        <w:rPr>
          <w:rFonts w:hint="default" w:ascii="Times New Roman" w:hAnsi="Times New Roman" w:eastAsia="方正仿宋_GBK" w:cs="Times New Roman"/>
          <w:sz w:val="32"/>
          <w:lang w:val="en-US" w:eastAsia="zh-CN"/>
        </w:rPr>
        <w:t>510.03</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本年度项目建设减少</w:t>
      </w:r>
      <w:r>
        <w:rPr>
          <w:rFonts w:hint="default" w:ascii="Times New Roman" w:hAnsi="Times New Roman" w:eastAsia="方正仿宋_GBK" w:cs="Times New Roman"/>
          <w:sz w:val="32"/>
        </w:rPr>
        <w:t>，主要用于</w:t>
      </w:r>
      <w:r>
        <w:rPr>
          <w:rFonts w:hint="default" w:ascii="Times New Roman" w:hAnsi="Times New Roman" w:eastAsia="方正仿宋_GBK" w:cs="Times New Roman"/>
          <w:sz w:val="32"/>
          <w:lang w:eastAsia="zh-CN"/>
        </w:rPr>
        <w:t>农村基本设施建设</w:t>
      </w:r>
      <w:r>
        <w:rPr>
          <w:rFonts w:hint="default" w:ascii="Times New Roman" w:hAnsi="Times New Roman" w:eastAsia="方正仿宋_GBK" w:cs="Times New Roman"/>
          <w:sz w:val="32"/>
        </w:rPr>
        <w:t>等重点工作。</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2025年</w:t>
      </w:r>
      <w:r>
        <w:rPr>
          <w:rFonts w:hint="default" w:ascii="Times New Roman" w:hAnsi="Times New Roman" w:eastAsia="方正仿宋_GBK" w:cs="Times New Roman"/>
          <w:sz w:val="32"/>
        </w:rPr>
        <w:t>政府性基金预算收入</w:t>
      </w:r>
      <w:r>
        <w:rPr>
          <w:rFonts w:hint="default" w:ascii="Times New Roman" w:hAnsi="Times New Roman" w:eastAsia="方正仿宋_GBK" w:cs="Times New Roman"/>
          <w:sz w:val="32"/>
          <w:lang w:val="en-US" w:eastAsia="zh-CN"/>
        </w:rPr>
        <w:t>185</w:t>
      </w:r>
      <w:r>
        <w:rPr>
          <w:rFonts w:hint="default" w:ascii="Times New Roman" w:hAnsi="Times New Roman" w:eastAsia="方正仿宋_GBK" w:cs="Times New Roman"/>
          <w:sz w:val="32"/>
        </w:rPr>
        <w:t>万元，政府性基金预算支出</w:t>
      </w:r>
      <w:r>
        <w:rPr>
          <w:rFonts w:hint="default" w:ascii="Times New Roman" w:hAnsi="Times New Roman" w:eastAsia="方正仿宋_GBK" w:cs="Times New Roman"/>
          <w:sz w:val="32"/>
          <w:lang w:val="en-US" w:eastAsia="zh-CN"/>
        </w:rPr>
        <w:t>185</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增加</w:t>
      </w:r>
      <w:r>
        <w:rPr>
          <w:rFonts w:hint="default" w:ascii="Times New Roman" w:hAnsi="Times New Roman" w:eastAsia="方正仿宋_GBK" w:cs="Times New Roman"/>
          <w:sz w:val="32"/>
          <w:lang w:val="en-US" w:eastAsia="zh-CN"/>
        </w:rPr>
        <w:t>86</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政府性基金相关项目建设增加</w:t>
      </w:r>
      <w:r>
        <w:rPr>
          <w:rFonts w:hint="default" w:ascii="Times New Roman" w:hAnsi="Times New Roman" w:eastAsia="方正仿宋_GBK" w:cs="Times New Roman"/>
          <w:sz w:val="32"/>
        </w:rPr>
        <w:t>，主要用于</w:t>
      </w:r>
      <w:r>
        <w:rPr>
          <w:rFonts w:hint="default" w:ascii="Times New Roman" w:hAnsi="Times New Roman" w:eastAsia="方正仿宋_GBK" w:cs="Times New Roman"/>
          <w:sz w:val="32"/>
          <w:lang w:eastAsia="zh-CN"/>
        </w:rPr>
        <w:t>农村农业项目建设</w:t>
      </w:r>
      <w:r>
        <w:rPr>
          <w:rFonts w:hint="default" w:ascii="Times New Roman" w:hAnsi="Times New Roman" w:eastAsia="方正仿宋_GBK" w:cs="Times New Roman"/>
          <w:sz w:val="32"/>
        </w:rPr>
        <w:t>。</w:t>
      </w:r>
    </w:p>
    <w:p>
      <w:pPr>
        <w:spacing w:line="600" w:lineRule="exact"/>
        <w:ind w:left="640"/>
        <w:rPr>
          <w:rFonts w:hint="default" w:ascii="Times New Roman" w:hAnsi="Times New Roman" w:eastAsia="方正仿宋_GBK" w:cs="Times New Roman"/>
          <w:sz w:val="32"/>
        </w:rPr>
      </w:pPr>
      <w:r>
        <w:rPr>
          <w:rFonts w:hint="default" w:ascii="Times New Roman" w:hAnsi="Times New Roman" w:eastAsia="方正黑体_GBK" w:cs="Times New Roman"/>
          <w:sz w:val="32"/>
        </w:rPr>
        <w:t>四、“三公”经费情况说明</w:t>
      </w:r>
    </w:p>
    <w:p>
      <w:pPr>
        <w:spacing w:line="600" w:lineRule="exact"/>
        <w:ind w:firstLine="600"/>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2025年</w:t>
      </w:r>
      <w:r>
        <w:rPr>
          <w:rFonts w:hint="default" w:ascii="Times New Roman" w:hAnsi="Times New Roman" w:eastAsia="方正仿宋_GBK" w:cs="Times New Roman"/>
          <w:sz w:val="32"/>
        </w:rPr>
        <w:t>“三公”经费预算</w:t>
      </w:r>
      <w:r>
        <w:rPr>
          <w:rFonts w:hint="default" w:ascii="Times New Roman" w:hAnsi="Times New Roman" w:eastAsia="方正仿宋_GBK" w:cs="Times New Roman"/>
          <w:sz w:val="32"/>
          <w:lang w:val="en-US" w:eastAsia="zh-CN"/>
        </w:rPr>
        <w:t>26.5</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增加</w:t>
      </w:r>
      <w:r>
        <w:rPr>
          <w:rFonts w:hint="default" w:ascii="Times New Roman" w:hAnsi="Times New Roman" w:eastAsia="方正仿宋_GBK" w:cs="Times New Roman"/>
          <w:sz w:val="32"/>
          <w:lang w:val="en-US" w:eastAsia="zh-CN"/>
        </w:rPr>
        <w:t>0.85</w:t>
      </w:r>
      <w:r>
        <w:rPr>
          <w:rFonts w:hint="default" w:ascii="Times New Roman" w:hAnsi="Times New Roman" w:eastAsia="方正仿宋_GBK" w:cs="Times New Roman"/>
          <w:sz w:val="32"/>
        </w:rPr>
        <w:t>万元。其中：因公出国（境）费用</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减少(或增加)</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本单位无</w:t>
      </w:r>
      <w:r>
        <w:rPr>
          <w:rFonts w:hint="default" w:ascii="Times New Roman" w:hAnsi="Times New Roman" w:eastAsia="方正仿宋_GBK" w:cs="Times New Roman"/>
          <w:sz w:val="32"/>
        </w:rPr>
        <w:t>因公出国（境）</w:t>
      </w:r>
      <w:r>
        <w:rPr>
          <w:rFonts w:hint="default" w:ascii="Times New Roman" w:hAnsi="Times New Roman" w:eastAsia="方正仿宋_GBK" w:cs="Times New Roman"/>
          <w:sz w:val="32"/>
          <w:lang w:eastAsia="zh-CN"/>
        </w:rPr>
        <w:t>事务</w:t>
      </w:r>
      <w:r>
        <w:rPr>
          <w:rFonts w:hint="default" w:ascii="Times New Roman" w:hAnsi="Times New Roman" w:eastAsia="方正仿宋_GBK" w:cs="Times New Roman"/>
          <w:sz w:val="32"/>
        </w:rPr>
        <w:t>；公务接待费</w:t>
      </w:r>
      <w:r>
        <w:rPr>
          <w:rFonts w:hint="default" w:ascii="Times New Roman" w:hAnsi="Times New Roman" w:eastAsia="方正仿宋_GBK" w:cs="Times New Roman"/>
          <w:sz w:val="32"/>
          <w:lang w:val="en-US" w:eastAsia="zh-CN"/>
        </w:rPr>
        <w:t>8.5</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增加</w:t>
      </w:r>
      <w:r>
        <w:rPr>
          <w:rFonts w:hint="default" w:ascii="Times New Roman" w:hAnsi="Times New Roman" w:eastAsia="方正仿宋_GBK" w:cs="Times New Roman"/>
          <w:sz w:val="32"/>
          <w:lang w:val="en-US" w:eastAsia="zh-CN"/>
        </w:rPr>
        <w:t>0.85</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本年度与外接洽事务增多，导致公务接待稍微增加</w:t>
      </w:r>
      <w:r>
        <w:rPr>
          <w:rFonts w:hint="default" w:ascii="Times New Roman" w:hAnsi="Times New Roman" w:eastAsia="方正仿宋_GBK" w:cs="Times New Roman"/>
          <w:sz w:val="32"/>
        </w:rPr>
        <w:t>；公务用车运行维护费</w:t>
      </w:r>
      <w:r>
        <w:rPr>
          <w:rFonts w:hint="default" w:ascii="Times New Roman" w:hAnsi="Times New Roman" w:eastAsia="方正仿宋_GBK" w:cs="Times New Roman"/>
          <w:sz w:val="32"/>
          <w:lang w:val="en-US" w:eastAsia="zh-CN"/>
        </w:rPr>
        <w:t>18</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 xml:space="preserve">减少(或增加) </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本年度公务车辆与上年一致，且公车每年运行维护费标准未变，导致公务用车运行维护费不变</w:t>
      </w:r>
      <w:r>
        <w:rPr>
          <w:rFonts w:hint="default" w:ascii="Times New Roman" w:hAnsi="Times New Roman" w:eastAsia="方正仿宋_GBK" w:cs="Times New Roman"/>
          <w:sz w:val="32"/>
        </w:rPr>
        <w:t>；公务用车购置费</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减少(或增加)</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本年度未购置新车</w:t>
      </w:r>
      <w:r>
        <w:rPr>
          <w:rFonts w:hint="default" w:ascii="Times New Roman" w:hAnsi="Times New Roman" w:eastAsia="方正仿宋_GBK" w:cs="Times New Roman"/>
          <w:sz w:val="32"/>
        </w:rPr>
        <w:t>。</w:t>
      </w:r>
    </w:p>
    <w:p>
      <w:pPr>
        <w:spacing w:line="60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五、其他重要事项的情况说明</w:t>
      </w:r>
    </w:p>
    <w:p>
      <w:pPr>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w:t>
      </w:r>
      <w:r>
        <w:rPr>
          <w:rFonts w:hint="default" w:ascii="Times New Roman" w:hAnsi="Times New Roman" w:eastAsia="方正仿宋_GBK" w:cs="Times New Roman"/>
          <w:sz w:val="32"/>
        </w:rPr>
        <w:t xml:space="preserve"> 机关运行经费。</w:t>
      </w:r>
      <w:r>
        <w:rPr>
          <w:rFonts w:hint="default" w:ascii="Times New Roman" w:hAnsi="Times New Roman" w:eastAsia="方正仿宋_GBK" w:cs="Times New Roman"/>
          <w:sz w:val="32"/>
          <w:lang w:eastAsia="zh-CN"/>
        </w:rPr>
        <w:t>2025年</w:t>
      </w:r>
      <w:r>
        <w:rPr>
          <w:rFonts w:hint="default" w:ascii="Times New Roman" w:hAnsi="Times New Roman" w:eastAsia="方正仿宋_GBK" w:cs="Times New Roman"/>
          <w:sz w:val="32"/>
        </w:rPr>
        <w:t>一般公共预算财政拨款运行经费1281.57万元，比上年</w:t>
      </w:r>
      <w:r>
        <w:rPr>
          <w:rFonts w:hint="default" w:ascii="Times New Roman" w:hAnsi="Times New Roman" w:eastAsia="方正仿宋_GBK" w:cs="Times New Roman"/>
          <w:sz w:val="32"/>
          <w:lang w:eastAsia="zh-CN"/>
        </w:rPr>
        <w:t>减少</w:t>
      </w:r>
      <w:r>
        <w:rPr>
          <w:rFonts w:hint="default" w:ascii="Times New Roman" w:hAnsi="Times New Roman" w:eastAsia="方正仿宋_GBK" w:cs="Times New Roman"/>
          <w:sz w:val="32"/>
          <w:lang w:val="en-US" w:eastAsia="zh-CN"/>
        </w:rPr>
        <w:t>15.99</w:t>
      </w:r>
      <w:r>
        <w:rPr>
          <w:rFonts w:hint="default" w:ascii="Times New Roman" w:hAnsi="Times New Roman" w:eastAsia="方正仿宋_GBK" w:cs="Times New Roman"/>
          <w:sz w:val="32"/>
        </w:rPr>
        <w:t>万元，主要原因为</w:t>
      </w:r>
      <w:r>
        <w:rPr>
          <w:rFonts w:hint="default" w:ascii="Times New Roman" w:hAnsi="Times New Roman" w:eastAsia="方正仿宋_GBK" w:cs="Times New Roman"/>
          <w:sz w:val="32"/>
          <w:lang w:eastAsia="zh-CN"/>
        </w:rPr>
        <w:t>本年度厉行节约，缩减运行经费</w:t>
      </w:r>
      <w:r>
        <w:rPr>
          <w:rFonts w:hint="default" w:ascii="Times New Roman" w:hAnsi="Times New Roman" w:eastAsia="方正仿宋_GBK" w:cs="Times New Roman"/>
          <w:sz w:val="32"/>
        </w:rPr>
        <w:t>。主要用于办公费、印刷费、邮电费、水电费、物管费、差旅费、会议费、培训费及其他商品和服务支出等。</w:t>
      </w:r>
    </w:p>
    <w:p>
      <w:pPr>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2. </w:t>
      </w:r>
      <w:r>
        <w:rPr>
          <w:rFonts w:hint="default" w:ascii="Times New Roman" w:hAnsi="Times New Roman" w:eastAsia="方正仿宋_GBK" w:cs="Times New Roman"/>
          <w:sz w:val="32"/>
        </w:rPr>
        <w:t>政府采购情况。所属各预算单位政府采购预算总额</w:t>
      </w:r>
      <w:r>
        <w:rPr>
          <w:rFonts w:hint="default" w:ascii="Times New Roman" w:hAnsi="Times New Roman" w:eastAsia="方正仿宋_GBK" w:cs="Times New Roman"/>
          <w:sz w:val="32"/>
          <w:lang w:val="en-US" w:eastAsia="zh-CN"/>
        </w:rPr>
        <w:t>2</w:t>
      </w:r>
      <w:r>
        <w:rPr>
          <w:rFonts w:hint="default" w:ascii="Times New Roman" w:hAnsi="Times New Roman" w:eastAsia="方正仿宋_GBK" w:cs="Times New Roman"/>
          <w:sz w:val="32"/>
        </w:rPr>
        <w:t>万元：政府采购货物预算</w:t>
      </w:r>
      <w:r>
        <w:rPr>
          <w:rFonts w:hint="default" w:ascii="Times New Roman" w:hAnsi="Times New Roman" w:eastAsia="方正仿宋_GBK" w:cs="Times New Roman"/>
          <w:sz w:val="32"/>
          <w:lang w:val="en-US" w:eastAsia="zh-CN"/>
        </w:rPr>
        <w:t>2</w:t>
      </w:r>
      <w:r>
        <w:rPr>
          <w:rFonts w:hint="default" w:ascii="Times New Roman" w:hAnsi="Times New Roman" w:eastAsia="方正仿宋_GBK" w:cs="Times New Roman"/>
          <w:sz w:val="32"/>
        </w:rPr>
        <w:t>万元、政府采购工程预算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万元、政府采购服务预算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万元；其中一般公共预算拨款</w:t>
      </w:r>
      <w:r>
        <w:rPr>
          <w:rFonts w:hint="default" w:ascii="Times New Roman" w:hAnsi="Times New Roman" w:eastAsia="方正仿宋_GBK" w:cs="Times New Roman"/>
          <w:sz w:val="32"/>
          <w:lang w:val="en-US" w:eastAsia="zh-CN"/>
        </w:rPr>
        <w:t>2</w:t>
      </w:r>
      <w:r>
        <w:rPr>
          <w:rFonts w:hint="default" w:ascii="Times New Roman" w:hAnsi="Times New Roman" w:eastAsia="方正仿宋_GBK" w:cs="Times New Roman"/>
          <w:sz w:val="32"/>
        </w:rPr>
        <w:t>万元：政府采购货物预算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万元、政府采购工程预算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万元、政府采购服务预算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p>
    <w:p>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sz w:val="32"/>
        </w:rPr>
        <w:t xml:space="preserve">3. </w:t>
      </w:r>
      <w:r>
        <w:rPr>
          <w:rFonts w:hint="default" w:ascii="Times New Roman" w:hAnsi="Times New Roman" w:eastAsia="方正仿宋_GBK" w:cs="Times New Roman"/>
          <w:sz w:val="32"/>
        </w:rPr>
        <w:t>绩效目标设置情况。</w:t>
      </w:r>
      <w:r>
        <w:rPr>
          <w:rFonts w:hint="default" w:ascii="Times New Roman" w:hAnsi="Times New Roman" w:eastAsia="方正仿宋_GBK" w:cs="Times New Roman"/>
          <w:sz w:val="32"/>
          <w:lang w:eastAsia="zh-CN"/>
        </w:rPr>
        <w:t>2025年</w:t>
      </w:r>
      <w:r>
        <w:rPr>
          <w:rFonts w:hint="default" w:ascii="Times New Roman" w:hAnsi="Times New Roman" w:eastAsia="方正仿宋_GBK" w:cs="Times New Roman"/>
          <w:color w:val="000000"/>
          <w:sz w:val="32"/>
        </w:rPr>
        <w:t>项目支出均实行了绩效目标管理，涉及一般公共预算当年财政拨款</w:t>
      </w:r>
      <w:r>
        <w:rPr>
          <w:rFonts w:hint="default" w:ascii="Times New Roman" w:hAnsi="Times New Roman" w:eastAsia="方正仿宋_GBK" w:cs="Times New Roman"/>
          <w:color w:val="000000"/>
          <w:sz w:val="32"/>
          <w:lang w:val="en-US" w:eastAsia="zh-CN"/>
        </w:rPr>
        <w:t>3082</w:t>
      </w:r>
      <w:r>
        <w:rPr>
          <w:rFonts w:hint="default" w:ascii="Times New Roman" w:hAnsi="Times New Roman" w:eastAsia="方正仿宋_GBK" w:cs="Times New Roman"/>
          <w:color w:val="000000"/>
          <w:sz w:val="32"/>
        </w:rPr>
        <w:t>万元。</w:t>
      </w:r>
    </w:p>
    <w:p>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sz w:val="32"/>
        </w:rPr>
        <w:t xml:space="preserve">4. </w:t>
      </w:r>
      <w:r>
        <w:rPr>
          <w:rFonts w:hint="default" w:ascii="Times New Roman" w:hAnsi="Times New Roman" w:eastAsia="方正仿宋_GBK" w:cs="Times New Roman"/>
          <w:color w:val="000000"/>
          <w:sz w:val="32"/>
        </w:rPr>
        <w:t>国有资产占有使用情况。</w:t>
      </w:r>
      <w:r>
        <w:rPr>
          <w:rFonts w:hint="default" w:ascii="Times New Roman" w:hAnsi="Times New Roman" w:eastAsia="方正仿宋_GBK" w:cs="Times New Roman"/>
          <w:sz w:val="32"/>
        </w:rPr>
        <w:t>截</w:t>
      </w:r>
      <w:r>
        <w:rPr>
          <w:rFonts w:hint="eastAsia" w:eastAsia="方正仿宋_GBK" w:cs="Times New Roman"/>
          <w:sz w:val="32"/>
          <w:lang w:eastAsia="zh-CN"/>
        </w:rPr>
        <w:t>至</w:t>
      </w:r>
      <w:bookmarkStart w:id="0" w:name="_GoBack"/>
      <w:bookmarkEnd w:id="0"/>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12月</w:t>
      </w:r>
      <w:r>
        <w:rPr>
          <w:rFonts w:hint="default" w:ascii="Times New Roman" w:hAnsi="Times New Roman" w:eastAsia="方正仿宋_GBK" w:cs="Times New Roman"/>
          <w:color w:val="000000"/>
          <w:sz w:val="32"/>
        </w:rPr>
        <w:t>，所属各预算单位共有车辆</w:t>
      </w:r>
      <w:r>
        <w:rPr>
          <w:rFonts w:hint="default" w:ascii="Times New Roman" w:hAnsi="Times New Roman" w:eastAsia="方正仿宋_GBK" w:cs="Times New Roman"/>
          <w:color w:val="000000"/>
          <w:sz w:val="32"/>
          <w:lang w:val="en-US" w:eastAsia="zh-CN"/>
        </w:rPr>
        <w:t>4</w:t>
      </w:r>
      <w:r>
        <w:rPr>
          <w:rFonts w:hint="default" w:ascii="Times New Roman" w:hAnsi="Times New Roman" w:eastAsia="方正仿宋_GBK" w:cs="Times New Roman"/>
          <w:color w:val="000000"/>
          <w:sz w:val="32"/>
        </w:rPr>
        <w:t>辆，其中</w:t>
      </w:r>
      <w:r>
        <w:rPr>
          <w:rFonts w:hint="default" w:ascii="Times New Roman" w:hAnsi="Times New Roman" w:eastAsia="方正仿宋_GBK" w:cs="Times New Roman"/>
          <w:color w:val="000000"/>
          <w:sz w:val="32"/>
          <w:lang w:eastAsia="zh-CN"/>
        </w:rPr>
        <w:t>应急保障用车</w:t>
      </w:r>
      <w:r>
        <w:rPr>
          <w:rFonts w:hint="default" w:ascii="Times New Roman" w:hAnsi="Times New Roman" w:eastAsia="方正仿宋_GBK" w:cs="Times New Roman"/>
          <w:color w:val="000000"/>
          <w:sz w:val="32"/>
          <w:lang w:val="en-US" w:eastAsia="zh-CN"/>
        </w:rPr>
        <w:t>1辆</w:t>
      </w:r>
      <w:r>
        <w:rPr>
          <w:rFonts w:hint="default" w:ascii="Times New Roman" w:hAnsi="Times New Roman" w:eastAsia="方正仿宋_GBK" w:cs="Times New Roman"/>
          <w:color w:val="000000"/>
          <w:sz w:val="32"/>
        </w:rPr>
        <w:t>、</w:t>
      </w:r>
      <w:r>
        <w:rPr>
          <w:rFonts w:hint="default" w:ascii="Times New Roman" w:hAnsi="Times New Roman" w:eastAsia="方正仿宋_GBK" w:cs="Times New Roman"/>
          <w:color w:val="000000"/>
          <w:sz w:val="32"/>
          <w:lang w:eastAsia="zh-CN"/>
        </w:rPr>
        <w:t>综合执法用车</w:t>
      </w:r>
      <w:r>
        <w:rPr>
          <w:rFonts w:hint="default" w:ascii="Times New Roman" w:hAnsi="Times New Roman" w:eastAsia="方正仿宋_GBK" w:cs="Times New Roman"/>
          <w:color w:val="000000"/>
          <w:sz w:val="32"/>
          <w:lang w:val="en-US" w:eastAsia="zh-CN"/>
        </w:rPr>
        <w:t>1辆、机要通信用车1辆、</w:t>
      </w:r>
      <w:r>
        <w:rPr>
          <w:rFonts w:hint="default" w:ascii="Times New Roman" w:hAnsi="Times New Roman" w:eastAsia="方正仿宋_GBK" w:cs="Times New Roman"/>
          <w:color w:val="000000"/>
          <w:sz w:val="32"/>
        </w:rPr>
        <w:t>执勤执法用车</w:t>
      </w:r>
      <w:r>
        <w:rPr>
          <w:rFonts w:hint="default" w:ascii="Times New Roman" w:hAnsi="Times New Roman" w:eastAsia="方正仿宋_GBK" w:cs="Times New Roman"/>
          <w:color w:val="000000"/>
          <w:sz w:val="32"/>
          <w:lang w:val="en-US" w:eastAsia="zh-CN"/>
        </w:rPr>
        <w:t>1</w:t>
      </w:r>
      <w:r>
        <w:rPr>
          <w:rFonts w:hint="default" w:ascii="Times New Roman" w:hAnsi="Times New Roman" w:eastAsia="方正仿宋_GBK" w:cs="Times New Roman"/>
          <w:color w:val="000000"/>
          <w:sz w:val="32"/>
        </w:rPr>
        <w:t>辆。</w:t>
      </w:r>
      <w:r>
        <w:rPr>
          <w:rFonts w:hint="default" w:ascii="Times New Roman" w:hAnsi="Times New Roman" w:eastAsia="方正仿宋_GBK" w:cs="Times New Roman"/>
          <w:sz w:val="32"/>
          <w:lang w:eastAsia="zh-CN"/>
        </w:rPr>
        <w:t>2025年</w:t>
      </w:r>
      <w:r>
        <w:rPr>
          <w:rFonts w:hint="default" w:ascii="Times New Roman" w:hAnsi="Times New Roman" w:eastAsia="方正仿宋_GBK" w:cs="Times New Roman"/>
          <w:color w:val="000000"/>
          <w:sz w:val="32"/>
        </w:rPr>
        <w:t>一般公共预算安排购置车辆</w:t>
      </w:r>
      <w:r>
        <w:rPr>
          <w:rFonts w:hint="default" w:ascii="Times New Roman" w:hAnsi="Times New Roman" w:eastAsia="方正仿宋_GBK" w:cs="Times New Roman"/>
          <w:color w:val="000000"/>
          <w:sz w:val="32"/>
          <w:lang w:val="en-US" w:eastAsia="zh-CN"/>
        </w:rPr>
        <w:t>4</w:t>
      </w:r>
      <w:r>
        <w:rPr>
          <w:rFonts w:hint="default" w:ascii="Times New Roman" w:hAnsi="Times New Roman" w:eastAsia="方正仿宋_GBK" w:cs="Times New Roman"/>
          <w:color w:val="000000"/>
          <w:sz w:val="32"/>
        </w:rPr>
        <w:t>辆，其中</w:t>
      </w:r>
      <w:r>
        <w:rPr>
          <w:rFonts w:hint="default" w:ascii="Times New Roman" w:hAnsi="Times New Roman" w:eastAsia="方正仿宋_GBK" w:cs="Times New Roman"/>
          <w:color w:val="000000"/>
          <w:sz w:val="32"/>
          <w:lang w:eastAsia="zh-CN"/>
        </w:rPr>
        <w:t>应急保障用车</w:t>
      </w:r>
      <w:r>
        <w:rPr>
          <w:rFonts w:hint="default" w:ascii="Times New Roman" w:hAnsi="Times New Roman" w:eastAsia="方正仿宋_GBK" w:cs="Times New Roman"/>
          <w:color w:val="000000"/>
          <w:sz w:val="32"/>
          <w:lang w:val="en-US" w:eastAsia="zh-CN"/>
        </w:rPr>
        <w:t>1辆</w:t>
      </w:r>
      <w:r>
        <w:rPr>
          <w:rFonts w:hint="default" w:ascii="Times New Roman" w:hAnsi="Times New Roman" w:eastAsia="方正仿宋_GBK" w:cs="Times New Roman"/>
          <w:color w:val="000000"/>
          <w:sz w:val="32"/>
        </w:rPr>
        <w:t>、</w:t>
      </w:r>
      <w:r>
        <w:rPr>
          <w:rFonts w:hint="default" w:ascii="Times New Roman" w:hAnsi="Times New Roman" w:eastAsia="方正仿宋_GBK" w:cs="Times New Roman"/>
          <w:color w:val="000000"/>
          <w:sz w:val="32"/>
          <w:lang w:eastAsia="zh-CN"/>
        </w:rPr>
        <w:t>综合执法用车</w:t>
      </w:r>
      <w:r>
        <w:rPr>
          <w:rFonts w:hint="default" w:ascii="Times New Roman" w:hAnsi="Times New Roman" w:eastAsia="方正仿宋_GBK" w:cs="Times New Roman"/>
          <w:color w:val="000000"/>
          <w:sz w:val="32"/>
          <w:lang w:val="en-US" w:eastAsia="zh-CN"/>
        </w:rPr>
        <w:t>1辆、机要通信用车1辆、</w:t>
      </w:r>
      <w:r>
        <w:rPr>
          <w:rFonts w:hint="default" w:ascii="Times New Roman" w:hAnsi="Times New Roman" w:eastAsia="方正仿宋_GBK" w:cs="Times New Roman"/>
          <w:color w:val="000000"/>
          <w:sz w:val="32"/>
        </w:rPr>
        <w:t>执勤执法用车</w:t>
      </w:r>
      <w:r>
        <w:rPr>
          <w:rFonts w:hint="default" w:ascii="Times New Roman" w:hAnsi="Times New Roman" w:eastAsia="方正仿宋_GBK" w:cs="Times New Roman"/>
          <w:color w:val="000000"/>
          <w:sz w:val="32"/>
          <w:lang w:val="en-US" w:eastAsia="zh-CN"/>
        </w:rPr>
        <w:t>1</w:t>
      </w:r>
      <w:r>
        <w:rPr>
          <w:rFonts w:hint="default" w:ascii="Times New Roman" w:hAnsi="Times New Roman" w:eastAsia="方正仿宋_GBK" w:cs="Times New Roman"/>
          <w:color w:val="000000"/>
          <w:sz w:val="32"/>
        </w:rPr>
        <w:t>辆。</w:t>
      </w:r>
    </w:p>
    <w:p>
      <w:pPr>
        <w:spacing w:line="60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六、专业性名词解释（纳入向社会公开范围的部门必须填写）</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（以下为常见专业名词解释，部门应根据</w:t>
      </w:r>
      <w:r>
        <w:rPr>
          <w:rFonts w:hint="default" w:ascii="Times New Roman" w:hAnsi="Times New Roman" w:eastAsia="方正仿宋_GBK" w:cs="Times New Roman"/>
          <w:b/>
          <w:bCs/>
          <w:sz w:val="32"/>
          <w:szCs w:val="32"/>
        </w:rPr>
        <w:t>实际情况</w:t>
      </w:r>
      <w:r>
        <w:rPr>
          <w:rFonts w:hint="default" w:ascii="Times New Roman" w:hAnsi="Times New Roman" w:eastAsia="方正仿宋_GBK" w:cs="Times New Roman"/>
          <w:sz w:val="32"/>
          <w:szCs w:val="32"/>
        </w:rPr>
        <w:t>进行解释和增减。）</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（二）其他收入：指单位取得的除“财政拨款收入”、“事业收入”、“经营收入”等以外的收入。</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（三）基本支出：指为保障机构正常运转、完成日常工作任务而发生的人员经费和公用经费。</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（四）项目支出：指在基本支出之外为完成特定行政任务和事业发展目标所发生的支出。</w:t>
      </w:r>
    </w:p>
    <w:p>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2" w:firstLineChars="200"/>
        <w:rPr>
          <w:rFonts w:hint="default" w:ascii="Times New Roman" w:hAnsi="Times New Roman" w:eastAsia="方正仿宋_GBK" w:cs="Times New Roman"/>
          <w:b/>
          <w:sz w:val="32"/>
          <w:lang w:val="en-US" w:eastAsia="zh-CN"/>
        </w:rPr>
      </w:pPr>
      <w:r>
        <w:rPr>
          <w:rFonts w:hint="default" w:ascii="Times New Roman" w:hAnsi="Times New Roman" w:eastAsia="方正仿宋_GBK" w:cs="Times New Roman"/>
          <w:b/>
          <w:sz w:val="32"/>
        </w:rPr>
        <w:t>部门预算公开联系人：</w:t>
      </w:r>
      <w:r>
        <w:rPr>
          <w:rFonts w:hint="default" w:ascii="Times New Roman" w:hAnsi="Times New Roman" w:eastAsia="方正仿宋_GBK" w:cs="Times New Roman"/>
          <w:b/>
          <w:sz w:val="32"/>
          <w:lang w:eastAsia="zh-CN"/>
        </w:rPr>
        <w:t>杨悦</w:t>
      </w:r>
      <w:r>
        <w:rPr>
          <w:rFonts w:hint="default" w:ascii="Times New Roman" w:hAnsi="Times New Roman" w:eastAsia="方正仿宋_GBK" w:cs="Times New Roman"/>
          <w:b/>
          <w:sz w:val="32"/>
        </w:rPr>
        <w:t xml:space="preserve"> 联系方式：</w:t>
      </w:r>
      <w:r>
        <w:rPr>
          <w:rFonts w:hint="default" w:ascii="Times New Roman" w:hAnsi="Times New Roman" w:eastAsia="方正仿宋_GBK" w:cs="Times New Roman"/>
          <w:b/>
          <w:sz w:val="32"/>
          <w:lang w:val="en-US" w:eastAsia="zh-CN"/>
        </w:rPr>
        <w:t>48775380</w:t>
      </w:r>
    </w:p>
    <w:sectPr>
      <w:footerReference r:id="rId3" w:type="default"/>
      <w:pgSz w:w="16838" w:h="11906" w:orient="landscape"/>
      <w:pgMar w:top="1531" w:right="1474" w:bottom="1474" w:left="147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vert="horz" wrap="none" lIns="0" tIns="0" rIns="0" bIns="0" anchor="t"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OqXm5zwAAAAUBAAAPAAAAAAAAAAEAIAAAADgA&#10;AABkcnMvZG93bnJldi54bWxQSwECFAAUAAAACACHTuJAUQU0CMMBAABpAwAADgAAAAAAAAABACAA&#10;AAA0AQAAZHJzL2Uyb0RvYy54bWxQSwUGAAAAAAYABgBZAQAAaQUAAAAA&#10;">
              <v:fill on="f" focussize="0,0"/>
              <v:stroke on="f"/>
              <v:imagedata o:title=""/>
              <o:lock v:ext="edit" aspectratio="f"/>
              <v:textbox inset="0mm,0mm,0mm,0mm" style="mso-fit-shape-to-text:t;">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1D"/>
    <w:rsid w:val="0000223B"/>
    <w:rsid w:val="00006FB1"/>
    <w:rsid w:val="0001271B"/>
    <w:rsid w:val="00023A4C"/>
    <w:rsid w:val="00042219"/>
    <w:rsid w:val="00047C7A"/>
    <w:rsid w:val="00053834"/>
    <w:rsid w:val="000551A4"/>
    <w:rsid w:val="000624D8"/>
    <w:rsid w:val="0007330D"/>
    <w:rsid w:val="00074317"/>
    <w:rsid w:val="00075914"/>
    <w:rsid w:val="0008570C"/>
    <w:rsid w:val="00091B93"/>
    <w:rsid w:val="00093301"/>
    <w:rsid w:val="00096685"/>
    <w:rsid w:val="000A60FC"/>
    <w:rsid w:val="000C594E"/>
    <w:rsid w:val="000D2E8F"/>
    <w:rsid w:val="000D6437"/>
    <w:rsid w:val="000F1499"/>
    <w:rsid w:val="000F5707"/>
    <w:rsid w:val="0010264D"/>
    <w:rsid w:val="00106A76"/>
    <w:rsid w:val="00125C07"/>
    <w:rsid w:val="001424B0"/>
    <w:rsid w:val="0014404E"/>
    <w:rsid w:val="001525DD"/>
    <w:rsid w:val="00161474"/>
    <w:rsid w:val="00165A74"/>
    <w:rsid w:val="00186100"/>
    <w:rsid w:val="00191ADC"/>
    <w:rsid w:val="001957F9"/>
    <w:rsid w:val="001C0A7C"/>
    <w:rsid w:val="001D0CAA"/>
    <w:rsid w:val="001D4937"/>
    <w:rsid w:val="001E1AED"/>
    <w:rsid w:val="001E31D9"/>
    <w:rsid w:val="00202E0A"/>
    <w:rsid w:val="002132E9"/>
    <w:rsid w:val="00213635"/>
    <w:rsid w:val="00216BF6"/>
    <w:rsid w:val="00226F1D"/>
    <w:rsid w:val="00230754"/>
    <w:rsid w:val="00242727"/>
    <w:rsid w:val="00246006"/>
    <w:rsid w:val="00246AA4"/>
    <w:rsid w:val="00252849"/>
    <w:rsid w:val="002605A5"/>
    <w:rsid w:val="0026529F"/>
    <w:rsid w:val="0027005A"/>
    <w:rsid w:val="002773F0"/>
    <w:rsid w:val="00280A93"/>
    <w:rsid w:val="00286440"/>
    <w:rsid w:val="002911AA"/>
    <w:rsid w:val="002959B6"/>
    <w:rsid w:val="002B41F1"/>
    <w:rsid w:val="002C4122"/>
    <w:rsid w:val="002D2A88"/>
    <w:rsid w:val="002E46A9"/>
    <w:rsid w:val="0030024E"/>
    <w:rsid w:val="003019D9"/>
    <w:rsid w:val="00341606"/>
    <w:rsid w:val="00346387"/>
    <w:rsid w:val="0034700C"/>
    <w:rsid w:val="00350F80"/>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17C8B"/>
    <w:rsid w:val="00430B72"/>
    <w:rsid w:val="00437D88"/>
    <w:rsid w:val="004417DC"/>
    <w:rsid w:val="00445520"/>
    <w:rsid w:val="00460979"/>
    <w:rsid w:val="00462595"/>
    <w:rsid w:val="004756B4"/>
    <w:rsid w:val="0049017F"/>
    <w:rsid w:val="00492FB3"/>
    <w:rsid w:val="004B1650"/>
    <w:rsid w:val="004C42ED"/>
    <w:rsid w:val="004C60BD"/>
    <w:rsid w:val="004D1E02"/>
    <w:rsid w:val="004E082A"/>
    <w:rsid w:val="004E34FD"/>
    <w:rsid w:val="004E592A"/>
    <w:rsid w:val="004E6E1A"/>
    <w:rsid w:val="004F1853"/>
    <w:rsid w:val="004F7D1D"/>
    <w:rsid w:val="00500B1D"/>
    <w:rsid w:val="00506DF4"/>
    <w:rsid w:val="00507823"/>
    <w:rsid w:val="005174B9"/>
    <w:rsid w:val="00536713"/>
    <w:rsid w:val="00543257"/>
    <w:rsid w:val="00572736"/>
    <w:rsid w:val="0058350C"/>
    <w:rsid w:val="00595C24"/>
    <w:rsid w:val="005A1227"/>
    <w:rsid w:val="005A4606"/>
    <w:rsid w:val="005A4AD7"/>
    <w:rsid w:val="005B0F11"/>
    <w:rsid w:val="005D120C"/>
    <w:rsid w:val="005E18A6"/>
    <w:rsid w:val="005F1960"/>
    <w:rsid w:val="006115F1"/>
    <w:rsid w:val="00620BCE"/>
    <w:rsid w:val="0066585E"/>
    <w:rsid w:val="006809FA"/>
    <w:rsid w:val="006C01C3"/>
    <w:rsid w:val="006C24D3"/>
    <w:rsid w:val="006D0C33"/>
    <w:rsid w:val="006D1609"/>
    <w:rsid w:val="006E0BEC"/>
    <w:rsid w:val="006E455F"/>
    <w:rsid w:val="006F043E"/>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458DC"/>
    <w:rsid w:val="0085394A"/>
    <w:rsid w:val="008560C6"/>
    <w:rsid w:val="00876439"/>
    <w:rsid w:val="00880920"/>
    <w:rsid w:val="00893BF5"/>
    <w:rsid w:val="008A13B7"/>
    <w:rsid w:val="008A622D"/>
    <w:rsid w:val="008C395F"/>
    <w:rsid w:val="008D2570"/>
    <w:rsid w:val="008E3C27"/>
    <w:rsid w:val="008E5A19"/>
    <w:rsid w:val="008E7590"/>
    <w:rsid w:val="008F1CA6"/>
    <w:rsid w:val="008F599D"/>
    <w:rsid w:val="008F731A"/>
    <w:rsid w:val="00905727"/>
    <w:rsid w:val="00914195"/>
    <w:rsid w:val="00926FE2"/>
    <w:rsid w:val="00933A24"/>
    <w:rsid w:val="00936EDC"/>
    <w:rsid w:val="00940465"/>
    <w:rsid w:val="0094655E"/>
    <w:rsid w:val="009561D9"/>
    <w:rsid w:val="009653AE"/>
    <w:rsid w:val="00972AB0"/>
    <w:rsid w:val="00983001"/>
    <w:rsid w:val="0098712E"/>
    <w:rsid w:val="009B77D4"/>
    <w:rsid w:val="009E6734"/>
    <w:rsid w:val="009F01A9"/>
    <w:rsid w:val="00A04AD2"/>
    <w:rsid w:val="00A05F72"/>
    <w:rsid w:val="00A07288"/>
    <w:rsid w:val="00A15ABA"/>
    <w:rsid w:val="00A174AB"/>
    <w:rsid w:val="00A21DCD"/>
    <w:rsid w:val="00A33F5E"/>
    <w:rsid w:val="00A35F07"/>
    <w:rsid w:val="00A45A23"/>
    <w:rsid w:val="00A52D34"/>
    <w:rsid w:val="00A64A71"/>
    <w:rsid w:val="00A712EA"/>
    <w:rsid w:val="00A8020D"/>
    <w:rsid w:val="00A802E9"/>
    <w:rsid w:val="00A80B6C"/>
    <w:rsid w:val="00AA324B"/>
    <w:rsid w:val="00AB25DF"/>
    <w:rsid w:val="00AC6F85"/>
    <w:rsid w:val="00AE0A20"/>
    <w:rsid w:val="00AE4156"/>
    <w:rsid w:val="00B01225"/>
    <w:rsid w:val="00B1352B"/>
    <w:rsid w:val="00B24FA7"/>
    <w:rsid w:val="00B257E3"/>
    <w:rsid w:val="00B54CE7"/>
    <w:rsid w:val="00B558CC"/>
    <w:rsid w:val="00B63DCF"/>
    <w:rsid w:val="00B65450"/>
    <w:rsid w:val="00B72347"/>
    <w:rsid w:val="00B86388"/>
    <w:rsid w:val="00B91A35"/>
    <w:rsid w:val="00BB3B39"/>
    <w:rsid w:val="00BC2C3D"/>
    <w:rsid w:val="00BD0BB9"/>
    <w:rsid w:val="00BD5FA5"/>
    <w:rsid w:val="00BE572E"/>
    <w:rsid w:val="00BE573E"/>
    <w:rsid w:val="00BF67E7"/>
    <w:rsid w:val="00C2696C"/>
    <w:rsid w:val="00C427D3"/>
    <w:rsid w:val="00C47446"/>
    <w:rsid w:val="00C5758E"/>
    <w:rsid w:val="00C601F9"/>
    <w:rsid w:val="00C7602D"/>
    <w:rsid w:val="00C827DC"/>
    <w:rsid w:val="00C95346"/>
    <w:rsid w:val="00C97F70"/>
    <w:rsid w:val="00CA4340"/>
    <w:rsid w:val="00CB0296"/>
    <w:rsid w:val="00CC4A96"/>
    <w:rsid w:val="00CD1C4A"/>
    <w:rsid w:val="00CD2B20"/>
    <w:rsid w:val="00CE1014"/>
    <w:rsid w:val="00CF42ED"/>
    <w:rsid w:val="00D0143D"/>
    <w:rsid w:val="00D10AB7"/>
    <w:rsid w:val="00D160DD"/>
    <w:rsid w:val="00D21CDE"/>
    <w:rsid w:val="00D40ADE"/>
    <w:rsid w:val="00D411DD"/>
    <w:rsid w:val="00D46486"/>
    <w:rsid w:val="00D4665A"/>
    <w:rsid w:val="00D64C2C"/>
    <w:rsid w:val="00D66063"/>
    <w:rsid w:val="00D77D37"/>
    <w:rsid w:val="00D80BC2"/>
    <w:rsid w:val="00D8620E"/>
    <w:rsid w:val="00DA4844"/>
    <w:rsid w:val="00DA7788"/>
    <w:rsid w:val="00DA7FE6"/>
    <w:rsid w:val="00DB0EC5"/>
    <w:rsid w:val="00DB4539"/>
    <w:rsid w:val="00DE3685"/>
    <w:rsid w:val="00DE5805"/>
    <w:rsid w:val="00E00D68"/>
    <w:rsid w:val="00E01CEB"/>
    <w:rsid w:val="00E11FB2"/>
    <w:rsid w:val="00E275D0"/>
    <w:rsid w:val="00E40ED1"/>
    <w:rsid w:val="00E4747D"/>
    <w:rsid w:val="00E712B9"/>
    <w:rsid w:val="00E90FE1"/>
    <w:rsid w:val="00E96899"/>
    <w:rsid w:val="00EC09E7"/>
    <w:rsid w:val="00ED74F6"/>
    <w:rsid w:val="00EE21B6"/>
    <w:rsid w:val="00EF1B14"/>
    <w:rsid w:val="00EF782E"/>
    <w:rsid w:val="00EF7D6B"/>
    <w:rsid w:val="00F11A07"/>
    <w:rsid w:val="00F258CE"/>
    <w:rsid w:val="00F605C0"/>
    <w:rsid w:val="00F60C0F"/>
    <w:rsid w:val="00F66710"/>
    <w:rsid w:val="00F84112"/>
    <w:rsid w:val="00F86A3C"/>
    <w:rsid w:val="00F90464"/>
    <w:rsid w:val="00F9492F"/>
    <w:rsid w:val="00FB0F72"/>
    <w:rsid w:val="00FC2169"/>
    <w:rsid w:val="00FC2267"/>
    <w:rsid w:val="00FE12C3"/>
    <w:rsid w:val="00FE28C5"/>
    <w:rsid w:val="03BE06E9"/>
    <w:rsid w:val="03C279D9"/>
    <w:rsid w:val="0C4D7764"/>
    <w:rsid w:val="0D92424A"/>
    <w:rsid w:val="136479B6"/>
    <w:rsid w:val="1729409D"/>
    <w:rsid w:val="18CC21E2"/>
    <w:rsid w:val="19D75DEA"/>
    <w:rsid w:val="1EE74E77"/>
    <w:rsid w:val="257307CD"/>
    <w:rsid w:val="358A68A2"/>
    <w:rsid w:val="3BC5739B"/>
    <w:rsid w:val="421C7239"/>
    <w:rsid w:val="48310C7F"/>
    <w:rsid w:val="4B1735E2"/>
    <w:rsid w:val="4CDE4EB5"/>
    <w:rsid w:val="51281453"/>
    <w:rsid w:val="534E12E6"/>
    <w:rsid w:val="58960513"/>
    <w:rsid w:val="63477795"/>
    <w:rsid w:val="66796353"/>
    <w:rsid w:val="6B684772"/>
    <w:rsid w:val="73AE7B06"/>
    <w:rsid w:val="740318CF"/>
    <w:rsid w:val="78B104FE"/>
    <w:rsid w:val="7BC97BEE"/>
    <w:rsid w:val="7E4C2A38"/>
    <w:rsid w:val="7E6DC443"/>
    <w:rsid w:val="F75F8812"/>
    <w:rsid w:val="F77F0561"/>
    <w:rsid w:val="FF7F549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List Paragraph"/>
    <w:basedOn w:val="1"/>
    <w:qFormat/>
    <w:uiPriority w:val="34"/>
    <w:pPr>
      <w:ind w:firstLine="420" w:firstLineChars="200"/>
    </w:pPr>
  </w:style>
  <w:style w:type="character" w:customStyle="1" w:styleId="9">
    <w:name w:val="页脚 Char"/>
    <w:link w:val="3"/>
    <w:qFormat/>
    <w:uiPriority w:val="0"/>
    <w:rPr>
      <w:kern w:val="2"/>
      <w:sz w:val="18"/>
      <w:szCs w:val="18"/>
    </w:rPr>
  </w:style>
  <w:style w:type="character" w:customStyle="1" w:styleId="10">
    <w:name w:val="页眉 Char"/>
    <w:link w:val="4"/>
    <w:qFormat/>
    <w:uiPriority w:val="0"/>
    <w:rPr>
      <w:kern w:val="2"/>
      <w:sz w:val="18"/>
      <w:szCs w:val="18"/>
    </w:rPr>
  </w:style>
  <w:style w:type="character" w:customStyle="1" w:styleId="11">
    <w:name w:val="批注框文本 Char"/>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316</Words>
  <Characters>1806</Characters>
  <Lines>15</Lines>
  <Paragraphs>4</Paragraphs>
  <TotalTime>3</TotalTime>
  <ScaleCrop>false</ScaleCrop>
  <LinksUpToDate>false</LinksUpToDate>
  <CharactersWithSpaces>2118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2018-12-17T14:47:00Z</dcterms:created>
  <dc:creator>Administrator</dc:creator>
  <cp:lastModifiedBy>guest</cp:lastModifiedBy>
  <cp:lastPrinted>2021-02-01T17:10:00Z</cp:lastPrinted>
  <dcterms:modified xsi:type="dcterms:W3CDTF">2025-02-28T10:43:58Z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