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eastAsia" w:ascii="方正小标宋_GBK" w:hAnsi="方正小标宋_GBK" w:eastAsia="方正小标宋_GBK" w:cs="方正小标宋_GBK"/>
          <w:sz w:val="44"/>
          <w:szCs w:val="44"/>
          <w:shd w:val="clear" w:color="auto" w:fill="FFFFFF"/>
        </w:rPr>
      </w:pPr>
      <w:r>
        <w:rPr>
          <w:rFonts w:hint="eastAsia" w:ascii="方正小标宋_GBK" w:hAnsi="方正小标宋_GBK" w:eastAsia="方正小标宋_GBK" w:cs="方正小标宋_GBK"/>
          <w:sz w:val="44"/>
          <w:szCs w:val="44"/>
        </w:rPr>
        <w:t>重庆市綦江区安稳镇综合行政执法大队</w:t>
      </w:r>
      <w:r>
        <w:rPr>
          <w:rFonts w:hint="eastAsia" w:ascii="方正小标宋_GBK" w:hAnsi="方正小标宋_GBK" w:eastAsia="方正小标宋_GBK" w:cs="方正小标宋_GBK"/>
          <w:sz w:val="44"/>
          <w:szCs w:val="44"/>
          <w:shd w:val="clear" w:color="auto" w:fill="FFFFFF"/>
        </w:rPr>
        <w:t>202</w:t>
      </w:r>
      <w:r>
        <w:rPr>
          <w:rFonts w:hint="eastAsia" w:ascii="方正小标宋_GBK" w:hAnsi="方正小标宋_GBK" w:eastAsia="方正小标宋_GBK" w:cs="方正小标宋_GBK"/>
          <w:sz w:val="44"/>
          <w:szCs w:val="44"/>
          <w:shd w:val="clear" w:color="auto" w:fill="FFFFFF"/>
          <w:lang w:val="en-US" w:eastAsia="zh-CN"/>
        </w:rPr>
        <w:t>4</w:t>
      </w:r>
      <w:r>
        <w:rPr>
          <w:rFonts w:hint="eastAsia" w:ascii="方正小标宋_GBK" w:hAnsi="方正小标宋_GBK" w:eastAsia="方正小标宋_GBK" w:cs="方正小标宋_GBK"/>
          <w:sz w:val="44"/>
          <w:szCs w:val="44"/>
          <w:shd w:val="clear" w:color="auto" w:fill="FFFFFF"/>
        </w:rPr>
        <w:t>年度决算说明</w:t>
      </w:r>
    </w:p>
    <w:p>
      <w:pPr>
        <w:pStyle w:val="9"/>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pStyle w:val="9"/>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Fonts w:hint="eastAsia" w:eastAsia="方正仿宋_GBK"/>
          <w:sz w:val="32"/>
          <w:szCs w:val="32"/>
          <w:lang w:eastAsia="zh-CN"/>
        </w:rPr>
      </w:pPr>
      <w:r>
        <w:rPr>
          <w:rFonts w:hint="eastAsia" w:eastAsia="方正仿宋_GBK"/>
          <w:sz w:val="32"/>
          <w:szCs w:val="32"/>
        </w:rPr>
        <w:t>重庆市綦江区安稳镇综合行政执法大队</w:t>
      </w:r>
      <w:r>
        <w:rPr>
          <w:rFonts w:hint="eastAsia" w:eastAsia="方正仿宋_GBK"/>
          <w:sz w:val="32"/>
          <w:szCs w:val="32"/>
          <w:lang w:eastAsia="zh-CN"/>
        </w:rPr>
        <w:t>承担综合行政执法工作，集中行驶法定、依法授权或委托的农林水利、规划建设、生态环境保护、城市管理、交通、卫生健康、文化旅游、民政管理等领域的行政执法权；配合区级有关部门及派驻机构开展其他领域的联合执法。</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楷体_GB2312" w:hAnsi="楷体_GB2312" w:eastAsia="楷体_GB2312" w:cs="楷体_GB2312"/>
          <w:b w:val="0"/>
          <w:bCs/>
          <w:sz w:val="32"/>
          <w:szCs w:val="32"/>
          <w:shd w:val="clear" w:color="auto" w:fill="FFFFFF"/>
        </w:rPr>
      </w:pPr>
      <w:r>
        <w:rPr>
          <w:rStyle w:val="13"/>
          <w:rFonts w:hint="eastAsia" w:ascii="方正仿宋_GBK" w:hAnsi="方正仿宋_GBK" w:eastAsia="方正仿宋_GBK" w:cs="方正仿宋_GBK"/>
          <w:b w:val="0"/>
          <w:bCs/>
          <w:sz w:val="32"/>
          <w:szCs w:val="32"/>
          <w:shd w:val="clear" w:color="auto" w:fill="FFFFFF"/>
        </w:rPr>
        <w:t>重庆市綦江区安稳镇综合行政执法大队，为重庆市綦江区安稳镇人民政府所属二级预算单位</w:t>
      </w:r>
      <w:r>
        <w:rPr>
          <w:rStyle w:val="13"/>
          <w:rFonts w:hint="eastAsia" w:ascii="方正仿宋_GBK" w:hAnsi="方正仿宋_GBK" w:eastAsia="方正仿宋_GBK" w:cs="方正仿宋_GBK"/>
          <w:b w:val="0"/>
          <w:bCs/>
          <w:sz w:val="32"/>
          <w:szCs w:val="32"/>
          <w:shd w:val="clear" w:color="auto" w:fill="FFFFFF"/>
          <w:lang w:eastAsia="zh-CN"/>
        </w:rPr>
        <w:t>，2024年在职</w:t>
      </w:r>
      <w:r>
        <w:rPr>
          <w:rStyle w:val="13"/>
          <w:rFonts w:hint="eastAsia" w:ascii="方正仿宋_GBK" w:hAnsi="方正仿宋_GBK" w:eastAsia="方正仿宋_GBK" w:cs="方正仿宋_GBK"/>
          <w:b w:val="0"/>
          <w:bCs/>
          <w:sz w:val="32"/>
          <w:szCs w:val="32"/>
          <w:shd w:val="clear" w:color="auto" w:fill="FFFFFF"/>
        </w:rPr>
        <w:t>人数</w:t>
      </w:r>
      <w:r>
        <w:rPr>
          <w:rStyle w:val="13"/>
          <w:rFonts w:hint="eastAsia" w:ascii="方正仿宋_GBK" w:hAnsi="方正仿宋_GBK" w:eastAsia="方正仿宋_GBK" w:cs="方正仿宋_GBK"/>
          <w:b w:val="0"/>
          <w:bCs/>
          <w:sz w:val="32"/>
          <w:szCs w:val="32"/>
          <w:shd w:val="clear" w:color="auto" w:fill="FFFFFF"/>
          <w:lang w:val="en-US" w:eastAsia="zh-CN"/>
        </w:rPr>
        <w:t>6</w:t>
      </w:r>
      <w:r>
        <w:rPr>
          <w:rStyle w:val="13"/>
          <w:rFonts w:hint="eastAsia" w:ascii="方正仿宋_GBK" w:hAnsi="方正仿宋_GBK" w:eastAsia="方正仿宋_GBK" w:cs="方正仿宋_GBK"/>
          <w:b w:val="0"/>
          <w:bCs/>
          <w:sz w:val="32"/>
          <w:szCs w:val="32"/>
          <w:shd w:val="clear" w:color="auto" w:fill="FFFFFF"/>
          <w:lang w:eastAsia="zh-CN"/>
        </w:rPr>
        <w:t>人</w:t>
      </w:r>
      <w:r>
        <w:rPr>
          <w:rStyle w:val="13"/>
          <w:rFonts w:hint="eastAsia" w:ascii="方正仿宋_GBK" w:hAnsi="方正仿宋_GBK" w:eastAsia="方正仿宋_GBK" w:cs="方正仿宋_GBK"/>
          <w:b w:val="0"/>
          <w:bCs/>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eastAsia" w:ascii="方正仿宋_GBK" w:hAnsi="方正仿宋_GBK" w:eastAsia="方正仿宋_GBK" w:cs="方正仿宋_GBK"/>
          <w:sz w:val="32"/>
          <w:szCs w:val="32"/>
          <w:lang w:eastAsia="zh-CN"/>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本单位无结转结余。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较年初预算数增加14.42万元，增长15.0%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与2023年度相比，增加19.06万元，增长20.8%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较年初预算数增加14.42万元，增长15.0%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1</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13.91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12.6%</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较年初预算数增加4.99万元，增长55.9%</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本单位人数增加，人员经费支出增加</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4.59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4.1%</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较年初预算数增加0.26万元，增长6.0%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本单位人数增加，人员经费支出增加</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）城乡社区支出</w:t>
      </w:r>
      <w:r>
        <w:rPr>
          <w:rFonts w:hint="default" w:ascii="Times New Roman" w:hAnsi="Times New Roman" w:eastAsia="方正仿宋_GBK"/>
          <w:sz w:val="32"/>
          <w:szCs w:val="32"/>
          <w:shd w:val="clear" w:color="auto" w:fill="FFFFFF"/>
        </w:rPr>
        <w:t>87.44</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79.0%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较年初预算数增加8.85万元，增长11.3%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本单位人数增加，人员经费支出增加</w:t>
      </w:r>
      <w:r>
        <w:rPr>
          <w:rFonts w:hint="eastAsia" w:ascii="方正仿宋_GBK" w:hAnsi="方正仿宋_GBK" w:eastAsia="方正仿宋_GBK" w:cs="方正仿宋_GBK"/>
          <w:sz w:val="32"/>
          <w:szCs w:val="32"/>
          <w:shd w:val="clear" w:color="auto" w:fill="FFFFFF"/>
          <w:lang w:eastAsia="zh-CN"/>
        </w:rPr>
        <w:t>。</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4.79</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4.3%</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较年初预算数增加0.33万元，增长7.4%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本单位人数增加，人员经费支出增加</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本单位无结转结余。</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110.73</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96.12</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与2023年度相比，增加19.42万元，增长25.3%</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本单位人数增加，人员经费支出增加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人员经费用途主要包括</w:t>
      </w:r>
      <w:r>
        <w:rPr>
          <w:rFonts w:hint="eastAsia" w:ascii="方正仿宋_GBK" w:hAnsi="仿宋_GB2312" w:eastAsia="方正仿宋_GBK" w:cs="仿宋_GB2312"/>
          <w:color w:val="auto"/>
          <w:kern w:val="2"/>
          <w:sz w:val="32"/>
          <w:szCs w:val="24"/>
          <w:lang w:val="en-US" w:eastAsia="zh-CN" w:bidi="ar-SA"/>
        </w:rPr>
        <w:t>职工工资福利、缴纳社保、公积金等工资福利支出。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14.61</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与2023年度相比，减少0.36万元，下降2.4%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按照厉行节约原则，结合本单位实际，压缩公用经费支出。</w:t>
      </w:r>
      <w:r>
        <w:rPr>
          <w:rFonts w:ascii="方正仿宋_GBK" w:hAnsi="方正仿宋_GBK" w:eastAsia="方正仿宋_GBK" w:cs="方正仿宋_GBK"/>
          <w:sz w:val="32"/>
          <w:szCs w:val="32"/>
          <w:shd w:val="clear" w:color="auto" w:fill="FFFFFF"/>
        </w:rPr>
        <w:t>公用经费用途主要包括</w:t>
      </w:r>
      <w:r>
        <w:rPr>
          <w:rFonts w:hint="eastAsia" w:ascii="方正仿宋_GBK" w:hAnsi="方正仿宋_GBK" w:eastAsia="方正仿宋_GBK" w:cs="方正仿宋_GBK"/>
          <w:sz w:val="32"/>
          <w:szCs w:val="32"/>
          <w:shd w:val="clear" w:color="auto" w:fill="FFFFFF"/>
          <w:lang w:eastAsia="zh-CN"/>
        </w:rPr>
        <w:t>办公费、劳务费、印刷费、</w:t>
      </w:r>
      <w:r>
        <w:rPr>
          <w:rFonts w:hint="eastAsia" w:ascii="方正仿宋_GBK" w:hAnsi="方正仿宋_GBK" w:eastAsia="方正仿宋_GBK" w:cs="方正仿宋_GBK"/>
          <w:kern w:val="0"/>
          <w:sz w:val="32"/>
          <w:szCs w:val="32"/>
          <w:shd w:val="clear" w:fill="FFFFFF"/>
        </w:rPr>
        <w:t>维修（护）费</w:t>
      </w:r>
      <w:r>
        <w:rPr>
          <w:rFonts w:hint="eastAsia" w:ascii="方正仿宋_GBK" w:hAnsi="方正仿宋_GBK" w:eastAsia="方正仿宋_GBK" w:cs="方正仿宋_GBK"/>
          <w:kern w:val="0"/>
          <w:sz w:val="32"/>
          <w:szCs w:val="32"/>
          <w:shd w:val="clear" w:fill="FFFFFF"/>
          <w:lang w:eastAsia="zh-CN"/>
        </w:rPr>
        <w:t>等</w:t>
      </w:r>
      <w:r>
        <w:rPr>
          <w:rFonts w:ascii="方正仿宋_GBK" w:hAnsi="方正仿宋_GBK" w:eastAsia="方正仿宋_GBK" w:cs="方正仿宋_GBK"/>
          <w:sz w:val="32"/>
          <w:szCs w:val="32"/>
          <w:shd w:val="clear" w:color="auto" w:fill="FFFFFF"/>
        </w:rPr>
        <w:t>商品和服务支出</w:t>
      </w:r>
      <w:r>
        <w:rPr>
          <w:rFonts w:hint="eastAsia" w:ascii="方正仿宋_GBK" w:hAnsi="方正仿宋_GBK" w:eastAsia="方正仿宋_GBK" w:cs="方正仿宋_GBK"/>
          <w:kern w:val="0"/>
          <w:sz w:val="32"/>
          <w:szCs w:val="32"/>
          <w:shd w:val="clear"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（五）政府性基金预算收支决算情况说明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年度无政府性基金预算财政拨款收支。</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（六）国有资本经营预算财政拨款支出决算情况说明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eastAsia="zh-CN"/>
        </w:rPr>
      </w:pP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lang w:eastAsia="zh-CN"/>
        </w:rPr>
        <w:t>2024</w:t>
      </w:r>
      <w:r>
        <w:rPr>
          <w:rFonts w:hint="eastAsia" w:ascii="方正仿宋_GBK" w:hAnsi="方正仿宋_GBK" w:eastAsia="方正仿宋_GBK" w:cs="方正仿宋_GBK"/>
          <w:sz w:val="32"/>
          <w:szCs w:val="32"/>
          <w:shd w:val="clear" w:color="auto" w:fill="FFFFFF"/>
          <w:lang w:eastAsia="zh-CN"/>
        </w:rPr>
        <w:t>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较年初预算数减少0.20万元，下降100.0%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r>
        <w:rPr>
          <w:rFonts w:hint="default" w:ascii="Times New Roman" w:hAnsi="Times New Roman" w:eastAsia="方正仿宋_GBK"/>
          <w:sz w:val="32"/>
          <w:szCs w:val="32"/>
          <w:shd w:val="clear" w:color="auto" w:fill="FFFFFF"/>
        </w:rPr>
        <w:t>较上年支出数减少1.11万元，下降100.0%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“三公”</w:t>
      </w:r>
      <w:r>
        <w:rPr>
          <w:rFonts w:hint="eastAsia" w:ascii="方正仿宋_GBK" w:hAnsi="方正仿宋_GBK" w:eastAsia="方正仿宋_GBK" w:cs="方正仿宋_GBK"/>
          <w:sz w:val="32"/>
          <w:szCs w:val="32"/>
          <w:shd w:val="clear" w:color="auto" w:fill="FFFFFF"/>
          <w:lang w:eastAsia="zh-CN"/>
        </w:rPr>
        <w:t>经费支出。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Times New Roman" w:hAnsi="Times New Roman" w:eastAsia="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较上年支出数无增减</w:t>
      </w:r>
      <w:r>
        <w:rPr>
          <w:rFonts w:hint="eastAsia" w:ascii="Times New Roman" w:hAnsi="Times New Roman" w:eastAsia="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shd w:val="clear" w:color="auto" w:fill="FFFFFF"/>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eastAsia" w:ascii="方正仿宋_GBK" w:hAnsi="方正仿宋_GBK" w:eastAsia="方正仿宋_GBK" w:cs="方正仿宋_GBK"/>
          <w:sz w:val="32"/>
          <w:szCs w:val="32"/>
          <w:shd w:val="clear" w:color="auto" w:fill="FFFFFF"/>
          <w:lang w:eastAsia="zh-CN"/>
        </w:rPr>
        <w:t>费</w:t>
      </w:r>
      <w:r>
        <w:rPr>
          <w:rFonts w:ascii="方正仿宋_GBK" w:hAnsi="方正仿宋_GBK" w:eastAsia="方正仿宋_GBK" w:cs="方正仿宋_GBK"/>
          <w:sz w:val="32"/>
          <w:szCs w:val="32"/>
          <w:shd w:val="clear" w:color="auto" w:fill="FFFFFF"/>
        </w:rPr>
        <w:t>用支出</w:t>
      </w:r>
      <w:r>
        <w:rPr>
          <w:rFonts w:hint="default" w:ascii="Times New Roman" w:hAnsi="Times New Roman" w:eastAsia="方正仿宋_GBK"/>
          <w:sz w:val="32"/>
          <w:szCs w:val="32"/>
          <w:shd w:val="clear" w:color="auto" w:fill="FFFFFF"/>
        </w:rPr>
        <w:t>较年初预算数无增减</w:t>
      </w:r>
      <w:r>
        <w:rPr>
          <w:rFonts w:hint="eastAsia" w:ascii="Times New Roman" w:hAnsi="Times New Roman" w:eastAsia="方正仿宋_GBK"/>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较上年支出数无增减</w:t>
      </w:r>
      <w:r>
        <w:rPr>
          <w:rFonts w:hint="eastAsia" w:ascii="方正仿宋_GBK" w:hAnsi="方正仿宋_GBK" w:eastAsia="方正仿宋_GBK" w:cs="方正仿宋_GBK"/>
          <w:sz w:val="32"/>
          <w:szCs w:val="32"/>
          <w:shd w:val="clear" w:color="auto" w:fill="FFFFFF"/>
          <w:lang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较年初预算数减少0.20万元，下降100.0%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w:t>
      </w:r>
      <w:r>
        <w:rPr>
          <w:rFonts w:hint="eastAsia" w:ascii="方正仿宋_GBK" w:hAnsi="方正仿宋_GBK" w:eastAsia="方正仿宋_GBK" w:cs="方正仿宋_GBK"/>
          <w:sz w:val="32"/>
          <w:szCs w:val="32"/>
          <w:shd w:val="clear" w:color="auto" w:fill="FFFFFF"/>
          <w:lang w:eastAsia="zh-CN"/>
        </w:rPr>
        <w:t>费支出。</w:t>
      </w:r>
      <w:r>
        <w:rPr>
          <w:rFonts w:hint="default" w:ascii="Times New Roman" w:hAnsi="Times New Roman" w:eastAsia="方正仿宋_GBK"/>
          <w:sz w:val="32"/>
          <w:szCs w:val="32"/>
          <w:shd w:val="clear" w:color="auto" w:fill="FFFFFF"/>
        </w:rPr>
        <w:t>较上年支出数减少1.11万元，下降100.0%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w:t>
      </w:r>
      <w:r>
        <w:rPr>
          <w:rFonts w:ascii="方正仿宋_GBK" w:hAnsi="方正仿宋_GBK" w:eastAsia="方正仿宋_GBK" w:cs="方正仿宋_GBK"/>
          <w:sz w:val="32"/>
          <w:szCs w:val="32"/>
          <w:shd w:val="clear" w:color="auto" w:fill="FFFFFF"/>
        </w:rPr>
        <w:t>公务接待</w:t>
      </w:r>
      <w:r>
        <w:rPr>
          <w:rFonts w:hint="eastAsia" w:ascii="方正仿宋_GBK" w:hAnsi="方正仿宋_GBK" w:eastAsia="方正仿宋_GBK" w:cs="方正仿宋_GBK"/>
          <w:sz w:val="32"/>
          <w:szCs w:val="32"/>
          <w:shd w:val="clear" w:color="auto" w:fill="FFFFFF"/>
          <w:lang w:eastAsia="zh-CN"/>
        </w:rPr>
        <w:t>费支出。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lang w:eastAsia="zh-CN"/>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与2023年度相比，无增减</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按照厉行节约原则，结合本单位实际，压缩会议费支出。</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0.56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与2023年度相比，增加0.02万元，增长3.7%</w:t>
      </w:r>
      <w:r>
        <w:rPr>
          <w:rFonts w:ascii="方正仿宋_GBK" w:hAnsi="方正仿宋_GBK" w:eastAsia="方正仿宋_GBK" w:cs="方正仿宋_GBK"/>
          <w:sz w:val="32"/>
          <w:szCs w:val="32"/>
          <w:shd w:val="clear" w:color="auto" w:fill="FFFFFF"/>
        </w:rPr>
        <w:t>，主要原因是</w:t>
      </w:r>
      <w:bookmarkStart w:id="0" w:name="_GoBack"/>
      <w:bookmarkEnd w:id="0"/>
      <w:r>
        <w:rPr>
          <w:rFonts w:hint="eastAsia" w:ascii="方正仿宋_GBK" w:hAnsi="方正仿宋_GBK" w:eastAsia="方正仿宋_GBK" w:cs="方正仿宋_GBK"/>
          <w:sz w:val="32"/>
          <w:szCs w:val="32"/>
          <w:shd w:val="clear" w:color="auto" w:fill="FFFFFF"/>
          <w:lang w:val="en-US" w:eastAsia="zh-CN"/>
        </w:rPr>
        <w:t>新进人员一人，培训费支出增加</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与2023年度相比，无变化</w:t>
      </w:r>
      <w:r>
        <w:rPr>
          <w:rFonts w:hint="eastAsia" w:ascii="方正仿宋_GBK" w:hAnsi="方正仿宋_GBK" w:eastAsia="方正仿宋_GBK" w:cs="方正仿宋_GBK"/>
          <w:sz w:val="32"/>
          <w:szCs w:val="32"/>
          <w:shd w:val="clear" w:color="auto" w:fill="FFFFFF"/>
          <w:lang w:eastAsia="zh-CN"/>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（二）机关运行经费情况说明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pPr>
      <w:r>
        <w:rPr>
          <w:rFonts w:hint="default" w:ascii="方正仿宋_GBK" w:hAnsi="方正仿宋_GBK" w:eastAsia="方正仿宋_GBK" w:cs="方正仿宋_GBK"/>
          <w:sz w:val="32"/>
          <w:szCs w:val="32"/>
          <w:shd w:val="clear" w:color="auto" w:fill="FFFFFF"/>
          <w:lang w:val="en-US" w:eastAsia="zh-CN"/>
        </w:rPr>
        <w:t>按照部门决算列报口径，我</w:t>
      </w:r>
      <w:r>
        <w:rPr>
          <w:rFonts w:hint="eastAsia" w:ascii="方正仿宋_GBK" w:hAnsi="方正仿宋_GBK" w:eastAsia="方正仿宋_GBK" w:cs="方正仿宋_GBK"/>
          <w:sz w:val="32"/>
          <w:szCs w:val="32"/>
          <w:shd w:val="clear" w:color="auto" w:fill="FFFFFF"/>
          <w:lang w:val="en-US" w:eastAsia="zh-CN"/>
        </w:rPr>
        <w:t>单位</w:t>
      </w:r>
      <w:r>
        <w:rPr>
          <w:rFonts w:hint="default" w:ascii="方正仿宋_GBK" w:hAnsi="方正仿宋_GBK" w:eastAsia="方正仿宋_GBK" w:cs="方正仿宋_GBK"/>
          <w:sz w:val="32"/>
          <w:szCs w:val="32"/>
          <w:shd w:val="clear" w:color="auto" w:fill="FFFFFF"/>
          <w:lang w:val="en-US" w:eastAsia="zh-CN"/>
        </w:rPr>
        <w:t>不在机关运行经费统计范围之内。</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rPr>
      </w:pPr>
      <w:r>
        <w:rPr>
          <w:rFonts w:hint="default" w:ascii="方正仿宋_GBK" w:hAnsi="方正仿宋_GBK" w:eastAsia="方正仿宋_GBK" w:cs="方正仿宋_GBK"/>
          <w:sz w:val="32"/>
          <w:szCs w:val="32"/>
          <w:shd w:val="clear" w:color="auto" w:fill="FFFFFF"/>
        </w:rPr>
        <w:t>因</w:t>
      </w:r>
      <w:r>
        <w:rPr>
          <w:rFonts w:hint="eastAsia" w:ascii="方正仿宋_GBK" w:hAnsi="方正仿宋_GBK" w:eastAsia="方正仿宋_GBK" w:cs="方正仿宋_GBK"/>
          <w:sz w:val="32"/>
          <w:szCs w:val="32"/>
          <w:shd w:val="clear" w:color="auto" w:fill="FFFFFF"/>
          <w:lang w:eastAsia="zh-CN"/>
        </w:rPr>
        <w:t>与机关合署办公</w:t>
      </w:r>
      <w:r>
        <w:rPr>
          <w:rFonts w:hint="default" w:ascii="方正仿宋_GBK" w:hAnsi="方正仿宋_GBK" w:eastAsia="方正仿宋_GBK" w:cs="方正仿宋_GBK"/>
          <w:sz w:val="32"/>
          <w:szCs w:val="32"/>
          <w:shd w:val="clear" w:color="auto" w:fill="FFFFFF"/>
        </w:rPr>
        <w:t>原因，我</w:t>
      </w:r>
      <w:r>
        <w:rPr>
          <w:rFonts w:hint="eastAsia" w:ascii="方正仿宋_GBK" w:hAnsi="方正仿宋_GBK" w:eastAsia="方正仿宋_GBK" w:cs="方正仿宋_GBK"/>
          <w:sz w:val="32"/>
          <w:szCs w:val="32"/>
          <w:shd w:val="clear" w:color="auto" w:fill="FFFFFF"/>
          <w:lang w:eastAsia="zh-CN"/>
        </w:rPr>
        <w:t>单位</w:t>
      </w:r>
      <w:r>
        <w:rPr>
          <w:rFonts w:hint="default" w:ascii="方正仿宋_GBK" w:hAnsi="方正仿宋_GBK" w:eastAsia="方正仿宋_GBK" w:cs="方正仿宋_GBK"/>
          <w:sz w:val="32"/>
          <w:szCs w:val="32"/>
          <w:shd w:val="clear" w:color="auto" w:fill="FFFFFF"/>
        </w:rPr>
        <w:t>资产未</w:t>
      </w:r>
      <w:r>
        <w:rPr>
          <w:rFonts w:hint="eastAsia" w:ascii="方正仿宋_GBK" w:hAnsi="方正仿宋_GBK" w:eastAsia="方正仿宋_GBK" w:cs="方正仿宋_GBK"/>
          <w:sz w:val="32"/>
          <w:szCs w:val="32"/>
          <w:shd w:val="clear" w:color="auto" w:fill="FFFFFF"/>
          <w:lang w:eastAsia="zh-CN"/>
        </w:rPr>
        <w:t>单独</w:t>
      </w:r>
      <w:r>
        <w:rPr>
          <w:rFonts w:hint="default" w:ascii="方正仿宋_GBK" w:hAnsi="方正仿宋_GBK" w:eastAsia="方正仿宋_GBK" w:cs="方正仿宋_GBK"/>
          <w:sz w:val="32"/>
          <w:szCs w:val="32"/>
          <w:shd w:val="clear" w:color="auto" w:fill="FFFFFF"/>
        </w:rPr>
        <w:t>纳入部门决算报表。</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楷体_GBK" w:hAnsi="方正楷体_GBK" w:eastAsia="方正楷体_GBK" w:cs="方正楷体_GBK"/>
          <w:b w:val="0"/>
          <w:bCs/>
          <w:sz w:val="32"/>
          <w:szCs w:val="32"/>
          <w:shd w:val="clear" w:color="auto" w:fill="FFFFFF"/>
        </w:rPr>
      </w:pPr>
      <w:r>
        <w:rPr>
          <w:rStyle w:val="13"/>
          <w:rFonts w:hint="eastAsia" w:ascii="方正楷体_GBK" w:hAnsi="方正楷体_GBK" w:eastAsia="方正楷体_GBK" w:cs="方正楷体_GBK"/>
          <w:b w:val="0"/>
          <w:bCs/>
          <w:sz w:val="32"/>
          <w:szCs w:val="32"/>
          <w:shd w:val="clear" w:color="auto" w:fill="FFFFFF"/>
        </w:rPr>
        <w:t>（四）政府采购支出情况说明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2024年度我</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未发生政府采购事项，无相关经费支出。</w:t>
      </w:r>
    </w:p>
    <w:p>
      <w:pPr>
        <w:pStyle w:val="9"/>
        <w:keepNext w:val="0"/>
        <w:keepLines w:val="0"/>
        <w:pageBreakBefore w:val="0"/>
        <w:numPr>
          <w:ilvl w:val="0"/>
          <w:numId w:val="0"/>
        </w:numPr>
        <w:shd w:val="clear" w:color="auto" w:fill="FFFFFF"/>
        <w:kinsoku/>
        <w:wordWrap/>
        <w:overflowPunct/>
        <w:topLinePunct w:val="0"/>
        <w:autoSpaceDN/>
        <w:bidi w:val="0"/>
        <w:adjustRightInd/>
        <w:spacing w:before="0" w:beforeAutospacing="0" w:after="0" w:afterAutospacing="0" w:line="600"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rPr>
      </w:pPr>
      <w:r>
        <w:rPr>
          <w:rFonts w:hint="eastAsia" w:ascii="方正黑体_GBK" w:hAnsi="方正黑体_GBK" w:eastAsia="方正黑体_GBK" w:cs="方正黑体_GBK"/>
          <w:b w:val="0"/>
          <w:bCs/>
          <w:sz w:val="32"/>
          <w:szCs w:val="32"/>
          <w:shd w:val="clear" w:fill="FFFFFF"/>
          <w:lang w:val="en-US" w:eastAsia="zh-CN" w:bidi="ar-SA"/>
        </w:rPr>
        <w:t>五、</w:t>
      </w:r>
      <w:r>
        <w:rPr>
          <w:rStyle w:val="13"/>
          <w:rFonts w:hint="eastAsia" w:ascii="方正黑体_GBK" w:hAnsi="方正黑体_GBK" w:eastAsia="方正黑体_GBK" w:cs="方正黑体_GBK"/>
          <w:b w:val="0"/>
          <w:bCs/>
          <w:sz w:val="32"/>
          <w:szCs w:val="32"/>
          <w:shd w:val="clear" w:color="auto" w:fill="FFFFFF"/>
        </w:rPr>
        <w:t>预算绩效管理情况说明</w:t>
      </w:r>
    </w:p>
    <w:p>
      <w:pPr>
        <w:pStyle w:val="15"/>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楷体_GBK" w:hAnsi="方正楷体_GBK" w:eastAsia="方正楷体_GBK" w:cs="方正楷体_GBK"/>
          <w:sz w:val="32"/>
          <w:szCs w:val="32"/>
          <w:highlight w:val="yellow"/>
          <w:shd w:val="clear" w:color="auto" w:fill="FFFFFF"/>
        </w:rPr>
      </w:pPr>
      <w:r>
        <w:rPr>
          <w:rFonts w:hint="eastAsia" w:ascii="方正楷体_GBK" w:hAnsi="方正楷体_GBK" w:eastAsia="方正楷体_GBK" w:cs="方正楷体_GBK"/>
          <w:b w:val="0"/>
          <w:bCs w:val="0"/>
          <w:sz w:val="32"/>
          <w:szCs w:val="32"/>
          <w:shd w:val="clear" w:color="auto" w:fill="FFFFFF"/>
        </w:rPr>
        <w:t>（一）单位自评情况</w:t>
      </w:r>
    </w:p>
    <w:p>
      <w:pPr>
        <w:pStyle w:val="14"/>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楷体" w:hAnsi="楷体" w:eastAsia="楷体" w:cs="楷体"/>
          <w:b w:val="0"/>
          <w:bCs w:val="0"/>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w:t>
      </w:r>
      <w:r>
        <w:rPr>
          <w:rFonts w:hint="eastAsia" w:ascii="方正仿宋_GBK" w:hAnsi="方正仿宋_GBK" w:eastAsia="方正仿宋_GBK" w:cs="方正仿宋_GBK"/>
          <w:sz w:val="32"/>
          <w:szCs w:val="32"/>
          <w:shd w:val="clear" w:color="auto" w:fill="FFFFFF"/>
          <w:lang w:eastAsia="zh-CN"/>
        </w:rPr>
        <w:t>单位自评</w:t>
      </w:r>
      <w:r>
        <w:rPr>
          <w:rFonts w:hint="eastAsia" w:ascii="方正仿宋_GBK" w:hAnsi="方正仿宋_GBK" w:eastAsia="方正仿宋_GBK" w:cs="方正仿宋_GBK"/>
          <w:sz w:val="32"/>
          <w:szCs w:val="32"/>
          <w:shd w:val="clear" w:color="auto" w:fill="FFFFFF"/>
        </w:rPr>
        <w:t>。</w:t>
      </w:r>
    </w:p>
    <w:p>
      <w:pPr>
        <w:pStyle w:val="15"/>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（二）单位绩效评价情</w:t>
      </w:r>
      <w:r>
        <w:rPr>
          <w:rFonts w:hint="eastAsia" w:ascii="方正楷体_GBK" w:hAnsi="方正楷体_GBK" w:eastAsia="方正楷体_GBK" w:cs="方正楷体_GBK"/>
          <w:b w:val="0"/>
          <w:bCs w:val="0"/>
          <w:sz w:val="32"/>
          <w:szCs w:val="32"/>
          <w:shd w:val="clear" w:color="auto" w:fill="FFFFFF"/>
          <w:lang w:eastAsia="zh-CN"/>
        </w:rPr>
        <w:t>况</w:t>
      </w:r>
    </w:p>
    <w:p>
      <w:pPr>
        <w:pStyle w:val="14"/>
        <w:keepNext w:val="0"/>
        <w:keepLines w:val="0"/>
        <w:pageBreakBefore w:val="0"/>
        <w:kinsoku/>
        <w:wordWrap/>
        <w:overflowPunct/>
        <w:topLinePunct w:val="0"/>
        <w:autoSpaceDE w:val="0"/>
        <w:autoSpaceDN/>
        <w:bidi w:val="0"/>
        <w:adjustRightInd/>
        <w:spacing w:line="600" w:lineRule="exact"/>
        <w:ind w:firstLine="643"/>
        <w:textAlignment w:val="auto"/>
        <w:rPr>
          <w:rFonts w:hint="eastAsia" w:ascii="楷体" w:hAnsi="楷体" w:eastAsia="楷体" w:cs="楷体"/>
          <w:b w:val="0"/>
          <w:bCs w:val="0"/>
          <w:sz w:val="32"/>
          <w:szCs w:val="32"/>
          <w:shd w:val="clear" w:color="auto" w:fill="FFFFFF"/>
        </w:rPr>
      </w:pPr>
      <w:r>
        <w:rPr>
          <w:rFonts w:ascii="方正仿宋_GBK" w:hAnsi="方正仿宋_GBK" w:eastAsia="方正仿宋_GBK" w:cs="方正仿宋_GBK"/>
          <w:sz w:val="32"/>
          <w:szCs w:val="32"/>
          <w:shd w:val="clear" w:color="auto" w:fill="FFFFFF"/>
        </w:rPr>
        <w:t>截至202</w:t>
      </w:r>
      <w:r>
        <w:rPr>
          <w:rFonts w:hint="eastAsia" w:ascii="方正仿宋_GBK" w:hAnsi="方正仿宋_GBK" w:eastAsia="方正仿宋_GBK" w:cs="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年12月31日，</w:t>
      </w:r>
      <w:r>
        <w:rPr>
          <w:rFonts w:hint="eastAsia" w:ascii="方正仿宋_GBK" w:hAnsi="方正仿宋_GBK" w:eastAsia="方正仿宋_GBK" w:cs="方正仿宋_GBK"/>
          <w:sz w:val="32"/>
          <w:szCs w:val="32"/>
          <w:shd w:val="clear" w:color="auto" w:fill="FFFFFF"/>
          <w:lang w:eastAsia="zh-CN"/>
        </w:rPr>
        <w:t>本单位</w:t>
      </w:r>
      <w:r>
        <w:rPr>
          <w:rFonts w:hint="default" w:ascii="方正仿宋_GBK" w:hAnsi="方正仿宋_GBK" w:eastAsia="方正仿宋_GBK" w:cs="方正仿宋_GBK"/>
          <w:sz w:val="32"/>
          <w:szCs w:val="32"/>
          <w:shd w:val="clear" w:color="auto" w:fill="FFFFFF"/>
        </w:rPr>
        <w:t>无</w:t>
      </w:r>
      <w:r>
        <w:rPr>
          <w:rFonts w:hint="eastAsia" w:ascii="方正仿宋_GBK" w:hAnsi="方正仿宋_GBK" w:eastAsia="方正仿宋_GBK" w:cs="方正仿宋_GBK"/>
          <w:sz w:val="32"/>
          <w:szCs w:val="32"/>
          <w:shd w:val="clear" w:color="auto" w:fill="FFFFFF"/>
          <w:lang w:eastAsia="zh-CN"/>
        </w:rPr>
        <w:t>项目支出</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rPr>
        <w:t>我单位未</w:t>
      </w:r>
      <w:r>
        <w:rPr>
          <w:rFonts w:hint="eastAsia" w:ascii="方正仿宋_GBK" w:hAnsi="方正仿宋_GBK" w:eastAsia="方正仿宋_GBK" w:cs="方正仿宋_GBK"/>
          <w:sz w:val="32"/>
          <w:szCs w:val="32"/>
          <w:shd w:val="clear" w:color="auto" w:fill="FFFFFF"/>
          <w:lang w:eastAsia="zh-CN"/>
        </w:rPr>
        <w:t>能</w:t>
      </w:r>
      <w:r>
        <w:rPr>
          <w:rFonts w:hint="eastAsia" w:ascii="方正仿宋_GBK" w:hAnsi="方正仿宋_GBK" w:eastAsia="方正仿宋_GBK" w:cs="方正仿宋_GBK"/>
          <w:sz w:val="32"/>
          <w:szCs w:val="32"/>
          <w:shd w:val="clear" w:color="auto" w:fill="FFFFFF"/>
        </w:rPr>
        <w:t>组织开展绩效评价。</w:t>
      </w:r>
    </w:p>
    <w:p>
      <w:pPr>
        <w:pStyle w:val="15"/>
        <w:keepNext w:val="0"/>
        <w:keepLines w:val="0"/>
        <w:pageBreakBefore w:val="0"/>
        <w:kinsoku/>
        <w:wordWrap/>
        <w:overflowPunct/>
        <w:topLinePunct w:val="0"/>
        <w:autoSpaceDE w:val="0"/>
        <w:autoSpaceDN/>
        <w:bidi w:val="0"/>
        <w:adjustRightInd/>
        <w:spacing w:before="0" w:beforeAutospacing="0" w:after="0" w:afterAutospacing="0" w:line="600"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lang w:val="en-US" w:eastAsia="zh-CN"/>
        </w:rPr>
        <w:t>（三）</w:t>
      </w:r>
      <w:r>
        <w:rPr>
          <w:rFonts w:hint="eastAsia" w:ascii="方正楷体_GBK" w:hAnsi="方正楷体_GBK" w:eastAsia="方正楷体_GBK" w:cs="方正楷体_GBK"/>
          <w:b w:val="0"/>
          <w:bCs w:val="0"/>
          <w:sz w:val="32"/>
          <w:szCs w:val="32"/>
          <w:shd w:val="clear" w:color="auto" w:fill="FFFFFF"/>
        </w:rPr>
        <w:t>财政绩效评价情况</w:t>
      </w:r>
    </w:p>
    <w:p>
      <w:pPr>
        <w:pStyle w:val="14"/>
        <w:keepNext w:val="0"/>
        <w:keepLines w:val="0"/>
        <w:pageBreakBefore w:val="0"/>
        <w:numPr>
          <w:ilvl w:val="0"/>
          <w:numId w:val="0"/>
        </w:numPr>
        <w:kinsoku/>
        <w:wordWrap/>
        <w:overflowPunct/>
        <w:topLinePunct w:val="0"/>
        <w:autoSpaceDE w:val="0"/>
        <w:autoSpaceDN/>
        <w:bidi w:val="0"/>
        <w:adjustRightInd/>
        <w:spacing w:line="600" w:lineRule="exact"/>
        <w:ind w:firstLine="640" w:firstLineChars="200"/>
        <w:textAlignment w:val="auto"/>
        <w:rPr>
          <w:rFonts w:hint="eastAsia" w:ascii="楷体" w:hAnsi="楷体" w:eastAsia="楷体" w:cs="楷体"/>
          <w:b w:val="0"/>
          <w:bCs w:val="0"/>
          <w:sz w:val="32"/>
          <w:szCs w:val="32"/>
          <w:shd w:val="clear" w:color="auto" w:fill="FFFFFF"/>
        </w:rPr>
      </w:pPr>
      <w:r>
        <w:rPr>
          <w:rFonts w:hint="eastAsia" w:ascii="方正仿宋_GBK" w:hAnsi="方正仿宋_GBK" w:eastAsia="方正仿宋_GBK" w:cs="方正仿宋_GBK"/>
          <w:sz w:val="32"/>
          <w:szCs w:val="32"/>
          <w:shd w:val="clear" w:color="auto" w:fill="FFFFFF"/>
          <w:lang w:val="en-US" w:eastAsia="zh-CN"/>
        </w:rPr>
        <w:t>市财政局未委托第三方对我单位开展绩效评价。</w:t>
      </w:r>
    </w:p>
    <w:p>
      <w:pPr>
        <w:pStyle w:val="14"/>
        <w:keepNext w:val="0"/>
        <w:keepLines w:val="0"/>
        <w:pageBreakBefore w:val="0"/>
        <w:numPr>
          <w:ilvl w:val="0"/>
          <w:numId w:val="0"/>
        </w:numPr>
        <w:kinsoku/>
        <w:wordWrap/>
        <w:overflowPunct/>
        <w:topLinePunct w:val="0"/>
        <w:autoSpaceDE w:val="0"/>
        <w:autoSpaceDN/>
        <w:bidi w:val="0"/>
        <w:adjustRightInd/>
        <w:spacing w:line="600" w:lineRule="exact"/>
        <w:ind w:firstLine="640" w:firstLineChars="200"/>
        <w:textAlignment w:val="auto"/>
        <w:rPr>
          <w:rStyle w:val="13"/>
          <w:rFonts w:hint="eastAsia" w:ascii="方正黑体_GBK" w:hAnsi="方正黑体_GBK" w:eastAsia="方正黑体_GBK" w:cs="方正黑体_GBK"/>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六、专业名词解释</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楷体" w:hAnsi="楷体" w:eastAsia="楷体" w:cs="楷体"/>
          <w:sz w:val="32"/>
          <w:szCs w:val="32"/>
          <w:shd w:val="clear" w:color="auto" w:fill="FFFFFF"/>
          <w:lang w:val="en-US" w:eastAsia="zh-CN" w:bidi="ar-SA"/>
        </w:rPr>
        <w:t> （一）财政拨款收入：</w:t>
      </w:r>
      <w:r>
        <w:rPr>
          <w:rFonts w:ascii="方正仿宋_GBK" w:hAnsi="方正仿宋_GBK" w:eastAsia="方正仿宋_GBK" w:cs="方正仿宋_GBK"/>
          <w:sz w:val="32"/>
          <w:szCs w:val="32"/>
          <w:shd w:val="clear" w:color="auto" w:fill="FFFFFF"/>
        </w:rPr>
        <w:t>指本年度从本级财政部门取得的财政拨款，包括一般公共预算财政拨款和政府性基金预算财政拨款。</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hint="default"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 </w:t>
      </w:r>
      <w:r>
        <w:rPr>
          <w:rStyle w:val="13"/>
          <w:rFonts w:hint="eastAsia" w:ascii="楷体" w:hAnsi="楷体" w:eastAsia="楷体" w:cs="楷体"/>
          <w:sz w:val="32"/>
          <w:szCs w:val="32"/>
          <w:shd w:val="clear" w:color="auto" w:fill="FFFFFF"/>
          <w:lang w:val="en-US" w:eastAsia="zh-CN" w:bidi="ar-SA"/>
        </w:rPr>
        <w:t>（二）基本支出：</w:t>
      </w:r>
      <w:r>
        <w:rPr>
          <w:rFonts w:ascii="方正仿宋_GBK" w:hAnsi="方正仿宋_GBK" w:eastAsia="方正仿宋_GBK" w:cs="方正仿宋_GBK"/>
          <w:sz w:val="32"/>
          <w:szCs w:val="32"/>
          <w:shd w:val="clear" w:color="auto"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3" w:firstLineChars="200"/>
        <w:jc w:val="both"/>
        <w:textAlignment w:val="auto"/>
        <w:rPr>
          <w:rFonts w:hint="default" w:ascii="方正仿宋_GBK" w:hAnsi="方正仿宋_GBK" w:eastAsia="方正仿宋_GBK" w:cs="方正仿宋_GBK"/>
          <w:sz w:val="32"/>
          <w:szCs w:val="32"/>
          <w:shd w:val="clear" w:color="auto" w:fill="FFFFFF"/>
        </w:rPr>
      </w:pPr>
      <w:r>
        <w:rPr>
          <w:rStyle w:val="13"/>
          <w:rFonts w:hint="eastAsia" w:ascii="楷体" w:hAnsi="楷体" w:eastAsia="楷体" w:cs="楷体"/>
          <w:sz w:val="32"/>
          <w:szCs w:val="32"/>
          <w:shd w:val="clear" w:color="auto" w:fill="FFFFFF"/>
          <w:lang w:val="en-US" w:eastAsia="zh-CN" w:bidi="ar-SA"/>
        </w:rPr>
        <w:t> （三）“三公”经费：</w:t>
      </w:r>
      <w:r>
        <w:rPr>
          <w:rFonts w:ascii="方正仿宋_GBK" w:hAnsi="方正仿宋_GBK" w:eastAsia="方正仿宋_GBK" w:cs="方正仿宋_GBK"/>
          <w:sz w:val="32"/>
          <w:szCs w:val="32"/>
          <w:shd w:val="clear" w:color="auto"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3" w:firstLineChars="200"/>
        <w:textAlignment w:val="auto"/>
        <w:rPr>
          <w:rFonts w:hint="eastAsia" w:ascii="方正仿宋_GBK" w:hAnsi="方正仿宋_GBK" w:eastAsia="方正仿宋_GBK" w:cs="方正仿宋_GBK"/>
          <w:kern w:val="0"/>
          <w:sz w:val="32"/>
          <w:szCs w:val="32"/>
        </w:rPr>
      </w:pPr>
      <w:r>
        <w:rPr>
          <w:rStyle w:val="13"/>
          <w:rFonts w:hint="eastAsia" w:ascii="楷体" w:hAnsi="楷体" w:eastAsia="楷体" w:cs="楷体"/>
          <w:sz w:val="32"/>
          <w:szCs w:val="32"/>
          <w:shd w:val="clear" w:color="auto" w:fill="FFFFFF"/>
          <w:lang w:val="en-US" w:eastAsia="zh-CN" w:bidi="ar-SA"/>
        </w:rPr>
        <w:t>（四）工资福利支出（支出经济分类科目类级）：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9"/>
        <w:keepNext w:val="0"/>
        <w:keepLines w:val="0"/>
        <w:pageBreakBefore w:val="0"/>
        <w:shd w:val="clear" w:color="auto" w:fill="FFFFFF"/>
        <w:kinsoku/>
        <w:wordWrap/>
        <w:overflowPunct/>
        <w:topLinePunct w:val="0"/>
        <w:autoSpaceDN/>
        <w:bidi w:val="0"/>
        <w:adjustRightInd/>
        <w:spacing w:before="0" w:beforeAutospacing="0" w:after="0" w:afterAutospacing="0" w:line="600" w:lineRule="exact"/>
        <w:textAlignment w:val="auto"/>
        <w:rPr>
          <w:rFonts w:ascii="方正仿宋_GBK" w:hAnsi="方正仿宋_GBK" w:eastAsia="方正仿宋_GBK" w:cs="方正仿宋_GBK"/>
          <w:sz w:val="32"/>
          <w:szCs w:val="32"/>
          <w:shd w:val="clear" w:color="auto" w:fill="FFFFFF"/>
        </w:rPr>
      </w:pPr>
      <w:r>
        <w:rPr>
          <w:rStyle w:val="13"/>
          <w:rFonts w:ascii="方正仿宋_GBK" w:hAnsi="方正仿宋_GBK" w:eastAsia="方正仿宋_GBK" w:cs="方正仿宋_GBK"/>
          <w:sz w:val="32"/>
          <w:szCs w:val="32"/>
          <w:shd w:val="clear" w:color="auto" w:fill="FFFFFF"/>
        </w:rPr>
        <w:t xml:space="preserve">  </w:t>
      </w:r>
      <w:r>
        <w:rPr>
          <w:rStyle w:val="13"/>
          <w:rFonts w:hint="eastAsia" w:ascii="方正仿宋_GBK" w:hAnsi="方正仿宋_GBK" w:eastAsia="方正仿宋_GBK" w:cs="方正仿宋_GBK"/>
          <w:sz w:val="32"/>
          <w:szCs w:val="32"/>
          <w:shd w:val="clear" w:color="auto" w:fill="FFFFFF"/>
          <w:lang w:val="en-US" w:eastAsia="zh-CN"/>
        </w:rPr>
        <w:t xml:space="preserve">  </w:t>
      </w:r>
      <w:r>
        <w:rPr>
          <w:rStyle w:val="13"/>
          <w:rFonts w:hint="eastAsia" w:ascii="方正黑体_GBK" w:hAnsi="方正黑体_GBK" w:eastAsia="方正黑体_GBK" w:cs="方正黑体_GBK"/>
          <w:b w:val="0"/>
          <w:bCs/>
          <w:sz w:val="32"/>
          <w:szCs w:val="32"/>
          <w:shd w:val="clear" w:color="auto" w:fill="FFFFFF"/>
        </w:rPr>
        <w:t>七、决算公开联系方式及信息反馈渠道</w:t>
      </w:r>
    </w:p>
    <w:p>
      <w:pPr>
        <w:pStyle w:val="9"/>
        <w:keepNext w:val="0"/>
        <w:keepLines w:val="0"/>
        <w:pageBreakBefore w:val="0"/>
        <w:kinsoku/>
        <w:wordWrap/>
        <w:overflowPunct/>
        <w:topLinePunct w:val="0"/>
        <w:autoSpaceDN/>
        <w:bidi w:val="0"/>
        <w:adjustRightInd/>
        <w:snapToGrid w:val="0"/>
        <w:spacing w:before="0" w:beforeAutospacing="0" w:after="0" w:afterAutospacing="0" w:line="600" w:lineRule="exact"/>
        <w:ind w:firstLine="640" w:firstLineChars="20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本单位决算公开信息反馈和联系方式：</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shd w:val="clear" w:color="auto" w:fill="FFFFFF"/>
          <w:lang w:val="en-US" w:eastAsia="zh-CN"/>
        </w:rPr>
        <w:sectPr>
          <w:footerReference r:id="rId3" w:type="default"/>
          <w:pgSz w:w="11915" w:h="16840"/>
          <w:pgMar w:top="1440" w:right="1800" w:bottom="1440" w:left="1800" w:header="851" w:footer="992" w:gutter="0"/>
          <w:pgNumType w:fmt="numberInDash"/>
          <w:cols w:space="720" w:num="1"/>
          <w:docGrid w:type="lines" w:linePitch="312" w:charSpace="0"/>
        </w:sectPr>
      </w:pPr>
      <w:r>
        <w:rPr>
          <w:rFonts w:hint="eastAsia" w:ascii="方正仿宋_GBK" w:hAnsi="方正仿宋_GBK" w:eastAsia="方正仿宋_GBK" w:cs="方正仿宋_GBK"/>
          <w:sz w:val="32"/>
          <w:szCs w:val="32"/>
          <w:shd w:val="clear" w:color="auto" w:fill="FFFFFF"/>
          <w:lang w:eastAsia="zh-CN"/>
        </w:rPr>
        <w:t>张利娟</w:t>
      </w:r>
      <w:r>
        <w:rPr>
          <w:rFonts w:hint="eastAsia" w:ascii="方正仿宋_GBK" w:hAnsi="方正仿宋_GBK" w:eastAsia="方正仿宋_GBK" w:cs="方正仿宋_GBK"/>
          <w:sz w:val="32"/>
          <w:szCs w:val="32"/>
          <w:shd w:val="clear" w:color="auto" w:fill="FFFFFF"/>
          <w:lang w:val="en-US" w:eastAsia="zh-CN"/>
        </w:rPr>
        <w:t xml:space="preserve"> </w:t>
      </w:r>
      <w:r>
        <w:rPr>
          <w:rFonts w:ascii="方正仿宋_GBK" w:hAnsi="方正仿宋_GBK" w:eastAsia="方正仿宋_GBK" w:cs="方正仿宋_GBK"/>
          <w:sz w:val="32"/>
          <w:szCs w:val="32"/>
          <w:shd w:val="clear" w:color="auto" w:fill="FFFFFF"/>
        </w:rPr>
        <w:t>023-</w:t>
      </w:r>
      <w:r>
        <w:rPr>
          <w:rFonts w:hint="eastAsia" w:ascii="方正仿宋_GBK" w:hAnsi="方正仿宋_GBK" w:eastAsia="方正仿宋_GBK" w:cs="方正仿宋_GBK"/>
          <w:sz w:val="32"/>
          <w:szCs w:val="32"/>
          <w:shd w:val="clear" w:color="auto" w:fill="FFFFFF"/>
          <w:lang w:val="en-US" w:eastAsia="zh-CN"/>
        </w:rPr>
        <w:t>48826140</w:t>
      </w: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1"/>
        <w:gridCol w:w="3560"/>
        <w:gridCol w:w="4044"/>
        <w:gridCol w:w="2842"/>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6"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7"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重庆市綦江区安稳镇综合行政执法大队</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7"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13.91</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4.59</w:t>
            </w:r>
            <w:r>
              <w:rPr>
                <w:rFonts w:ascii="Times New Roman" w:hAnsi="Times New Roman"/>
                <w:color w:val="000000"/>
                <w:sz w:val="20"/>
                <w:u w:color="auto"/>
              </w:rPr>
              <w:t xml:space="preserve"> </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r>
      <w:tr>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110.73</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重庆市綦江区安稳镇综合行政执法大队</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重庆市綦江区安稳镇综合行政执法大队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13.91</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4.59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87.44</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110.73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110.73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13.91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9.28</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4.64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4.59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0.80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城乡社区管理事务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87.44</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2120199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其他城乡社区管理事务支出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87.44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4.79</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4.79</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经济分类科目（按“款”级功能分类科目）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96.11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19.02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7.78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49.19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9.28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0.20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4.79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0.80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3.45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0.53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96.12</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14.61</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重庆市綦江区安稳镇综合行政执法大队</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重庆市綦江区安稳镇综合行政执法大队</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0.56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script"/>
    <w:pitch w:val="default"/>
    <w:sig w:usb0="00000001" w:usb1="0800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方正仿宋_GBK">
    <w:panose1 w:val="02000000000000000000"/>
    <w:charset w:val="86"/>
    <w:family w:val="script"/>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
    <w:altName w:val="方正楷体_GBK"/>
    <w:panose1 w:val="02010609060101010101"/>
    <w:charset w:val="86"/>
    <w:family w:val="modern"/>
    <w:pitch w:val="default"/>
    <w:sig w:usb0="00000000" w:usb1="00000000" w:usb2="00000016" w:usb3="00000000" w:csb0="00040001" w:csb1="00000000"/>
  </w:font>
  <w:font w:name="文泉驿微米黑">
    <w:panose1 w:val="020B0606030804020204"/>
    <w:charset w:val="86"/>
    <w:family w:val="auto"/>
    <w:pitch w:val="default"/>
    <w:sig w:usb0="E10002EF" w:usb1="6BDFFCFB" w:usb2="00800036" w:usb3="00000000" w:csb0="603E01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9dBt2NwIAAG8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MUB0szDAREp96dEK7b4d+OxNcQZNZ/o58ZZvapSyZT48MIfBQPl4OuEeSykNUprBoqQy&#10;7su/zmM8+gUvJQ0GLaca74oS+V6jjwAMo+FGYz8a+qjuDCYXvUEtnYkLLsjRLJ1Rn/GeVjEHXExz&#10;ZMppGM270A873iMXq1UXdLSuPlT9BUyhZWGrd5bHNFEqb1fHAGk7xaNAvSroVNxgDrueDW8mDvqf&#10;+y7q8T+x/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WAAAAZHJzL1BLAQIUABQAAAAIAIdO4kCzSVju0AAAAAUBAAAPAAAAAAAAAAEAIAAA&#10;ADgAAABkcnMvZG93bnJldi54bWxQSwECFAAUAAAACACHTuJAvXQbdjcCAABvBAAADgAAAAAAAAAB&#10;ACAAAAA1AQAAZHJzL2Uyb0RvYy54bWxQSwUGAAAAAAYABgBZAQAA3gUAAAAA&#10;">
              <v:fill on="f" focussize="0,0"/>
              <v:stroke on="f" weight="0.5pt"/>
              <v:imagedata o:title=""/>
              <o:lock v:ext="edit" aspectratio="f"/>
              <v:textbox inset="0mm,0mm,0mm,0mm" style="mso-fit-shape-to-text:t;">
                <w:txbxContent>
                  <w:p>
                    <w:pPr>
                      <w:pStyle w:val="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mc:AlternateContent>
        <mc:Choice Requires="wps">
          <w:drawing>
            <wp:anchor distT="0" distB="0" distL="114300" distR="114300" simplePos="0" relativeHeight="251661312" behindDoc="0" locked="0" layoutInCell="1" allowOverlap="0">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jmKK6MwIAAGcEAAAOAAAAZHJz&#10;L2Uyb0RvYy54bWytVM2O0zAQviPxDpbvNGkRS1U1XZWtipAqdqUFcXYdp4nkP9luk/IA8AacuHDf&#10;5+pz8NlpumjhsAcu6dgz/ma+b2Y6v+6UJAfhfGN0QcejnBKhuSkbvSvo50/rV1NKfGC6ZNJoUdCj&#10;8PR68fLFvLUzMTG1kaVwBCDaz1pb0DoEO8syz2uhmB8ZKzSclXGKBRzdLisda4GuZDbJ86usNa60&#10;znDhPW5XvZOeEd1zAE1VNVysDN8roUOP6oRkAZR83VhPF6naqhI83FaVF4HIgoJpSF8kgb2N32wx&#10;Z7OdY7Zu+LkE9pwSnnBSrNFIeoFascDI3jV/QamGO+NNFUbcqKwnkhQBi3H+RJv7mlmRuEBqby+i&#10;+/8Hyz8e7hxpSkzC5C0lmim0/PTj++nnw+nXNxIvIVFr/QyR9xaxoXtnOoQP9x6XkXlXORV/wYnA&#10;D4GPF4FFFwiPj6aT6TSHi8M3HICfPT63zof3wigSjYI6dDAJyw4bH/rQISRm02bdSJm6KDVpC3r1&#10;+k2eHlw8AJc6xoo0D2eYSKkvPVqh23ZnnltTHkHTmX5WvOXrBqVsmA93zGE4UD7WJ9ziU0mDlOZs&#10;UVIb9/Vf9zEePYOXkhbDVlCN3aJEftDoJQDDYLjB2A6G3qsbg+kdYy0tTyYeuCAHs3JGfcFOLWMO&#10;uJjmyFTQMJg3oR947CQXy2UKwvRZFjb63vIIHeXxdrkPkDOpHEXplUB34gHzl/p03pU44H+eU9Tj&#10;/8Pi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BYAAABkcnMvUEsBAhQAFAAAAAgAh07iQLNJWO7QAAAABQEAAA8AAAAAAAAAAQAgAAAAOAAA&#10;AGRycy9kb3ducmV2LnhtbFBLAQIUABQAAAAIAIdO4kCjmKK6MwIAAGcEAAAOAAAAAAAAAAEAIAAA&#10;ADUBAABkcnMvZTJvRG9jLnhtbFBLBQYAAAAABgAGAFkBAADaBQAAAAA=&#10;">
              <v:fill on="f" focussize="0,0"/>
              <v:stroke on="f" weight="0.5pt"/>
              <v:imagedata o:title=""/>
              <o:lock v:ext="edit" aspectratio="f"/>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mc:Fallback>
      </mc:AlternateContent>
    </w:r>
    <w:r>
      <w:rPr>
        <w:rFonts w:hint="default"/>
      </w:rPr>
      <mc:AlternateContent>
        <mc:Choice Requires="wps">
          <w:drawing>
            <wp:anchor distT="0" distB="0" distL="114300" distR="114300" simplePos="0" relativeHeight="251660288" behindDoc="0" locked="0" layoutInCell="1" allowOverlap="0">
              <wp:simplePos x="0" y="0"/>
              <wp:positionH relativeFrom="margin">
                <wp:align>center</wp:align>
              </wp:positionH>
              <wp:positionV relativeFrom="page">
                <wp:posOffset>14737080</wp:posOffset>
              </wp:positionV>
              <wp:extent cx="1828800" cy="22098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220980"/>
                      </a:xfrm>
                      <a:prstGeom prst="rect">
                        <a:avLst/>
                      </a:prstGeom>
                      <a:noFill/>
                      <a:ln w="6350">
                        <a:noFill/>
                      </a:ln>
                      <a:effectLst/>
                    </wps:spPr>
                    <wps:txbx>
                      <w:txbxContent>
                        <w:p>
                          <w:pPr>
                            <w:pStyle w:val="6"/>
                            <w:jc w:val="both"/>
                            <w:rPr>
                              <w:rFonts w:hint="default" w:cs="宋体"/>
                            </w:rPr>
                          </w:pPr>
                          <w:r>
                            <w:rPr>
                              <w:rFonts w:cs="宋体"/>
                            </w:rPr>
                            <w:t>— 27.1 —</w:t>
                          </w:r>
                        </w:p>
                      </w:txbxContent>
                    </wps:txbx>
                    <wps:bodyPr rot="0" spcFirstLastPara="0" vertOverflow="overflow" horzOverflow="overflow" vert="horz" wrap="none" lIns="0" tIns="0" rIns="0" bIns="0" numCol="1" spcCol="0" rtlCol="0" fromWordArt="0" anchor="t" anchorCtr="0" forceAA="0" compatLnSpc="1">
                      <a:noAutofit/>
                    </wps:bodyPr>
                  </wps:wsp>
                </a:graphicData>
              </a:graphic>
            </wp:anchor>
          </w:drawing>
        </mc:Choice>
        <mc:Fallback>
          <w:pict>
            <v:shape id="_x0000_s1026" o:spid="_x0000_s1026"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FBgAAAAAAAAAAAAAAAAAAAAAAAFBLAwQKAAAAAACHTuJAAAAAAAAAAAAAAAAABAAAAGRycy9Q&#10;SwMEFAAAAAgAh07iQHgNVFTYAAAACgEAAA8AAABkcnMvZG93bnJldi54bWxNj8FOwzAQRO9I/IO1&#10;lbhRu4FUUYhTISR64dRQkLi5sZtEtdeR7TaBr2d7guPOjGbnVZvZWXYxIQ4eJayWApjB1usBOwn7&#10;99f7AlhMCrWyHo2EbxNhU9/eVKrUfsKduTSpY1SCsVQS+pTGkvPY9sapuPSjQfKOPjiV6Awd10FN&#10;VO4sz4RYc6cGpA+9Gs1Lb9pTc3YStvPP5+Nb+Eq2Ubs2/3DP3XE7SXm3WIknYMnM6S8M1/k0HWra&#10;dPBn1JFZCQSSJGQPmSAC8rOiIOlwlfJ8Dbyu+H+E+hdQSwMEFAAAAAgAh07iQALFEI03AgAAZgQA&#10;AA4AAABkcnMvZTJvRG9jLnhtbK1UwW4TMRC9I/EPlu90t0FUIeqmCo2KkCpaqSDOjtebXcn2WLbT&#10;3fIB8AecuHDvd/U7ePZmU1Q49MBlM/aM38x7M5PTs8Fodqt86MhW/Pio5ExZSXVntxX//Oni1Zyz&#10;EIWthSarKn6nAj9bvnxx2ruFmlFLulaeAcSGRe8q3sboFkURZKuMCEfklIWzIW9ExNFvi9qLHuhG&#10;F7OyPCl68rXzJFUIuF2PTr5H9M8BpKbppFqT3Bll44jqlRYRlELbucCXudqmUTJeNU1QkemKg2nM&#10;XySBvUnfYnkqFlsvXNvJfQniOSU84WREZ5H0ALUWUbCd7/6CMp30FKiJR5JMMRLJioDFcflEm5tW&#10;OJW5QOrgDqKH/wcrP95ee9bVmITZCWdWGLT84cf3h5/3D7++sXQJiXoXFoi8cYiNwzsaED7dB1wm&#10;5kPjTfoFJwY/BL47CKyGyGR6NJ/N5yVcEr7ZrHw7zx0oHl87H+J7RYYlo+IeDcy6itvLEFEJQqeQ&#10;lMzSRad1bqK2rK/4yes3ZX5w8OCFtilW5XHYwyRGY+XJisNm2NPcUH0Hlp7GUQlOXnQo5VKEeC08&#10;ZgPVY3viFT6NJqSkvcVZS/7rv+5TPFoGL2c9Zq3iFqvFmf5g0UoAxsnwk7GZDLsz54ThPcZWOplN&#10;PPBRT2bjyXzBSq1SDriElchU8TiZ53Gcd6ykVKtVDsLwOREv7Y2TCXqUcrWL1HRZ5STKqAQkTweM&#10;XxZ/vyppvv8856jHv4flb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L4EAABbQ29udGVudF9UeXBlc10ueG1sUEsBAhQACgAAAAAAh07iQAAAAAAA&#10;AAAAAAAAAAYAAAAAAAAAAAAQAAAAoAMAAF9yZWxzL1BLAQIUABQAAAAIAIdO4kCKFGY80QAAAJQB&#10;AAALAAAAAAAAAAEAIAAAAMQDAABfcmVscy8ucmVsc1BLAQIUAAoAAAAAAIdO4kAAAAAAAAAAAAAA&#10;AAAEAAAAAAAAAAAAEAAAABYAAABkcnMvUEsBAhQAFAAAAAgAh07iQHgNVFTYAAAACgEAAA8AAAAA&#10;AAAAAQAgAAAAOAAAAGRycy9kb3ducmV2LnhtbFBLAQIUABQAAAAIAIdO4kACxRCNNwIAAGYEAAAO&#10;AAAAAAAAAAEAIAAAAD0BAABkcnMvZTJvRG9jLnhtbFBLBQYAAAAABgAGAFkBAADmBQAAAAA=&#10;">
              <v:fill on="f" focussize="0,0"/>
              <v:stroke on="f" weight="0.5pt"/>
              <v:imagedata o:title=""/>
              <o:lock v:ext="edit" aspectratio="f"/>
              <v:textbox inset="0mm,0mm,0mm,0mm">
                <w:txbxContent>
                  <w:p>
                    <w:pPr>
                      <w:pStyle w:val="6"/>
                      <w:jc w:val="both"/>
                      <w:rPr>
                        <w:rFonts w:hint="default" w:cs="宋体"/>
                      </w:rPr>
                    </w:pPr>
                    <w:r>
                      <w:rPr>
                        <w:rFonts w:cs="宋体"/>
                      </w:rPr>
                      <w:t>— 27.1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QwYWQ1YTE0ZDA0NjgxYzlhMjZlMDExNTFmMWI3MmE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5BC6D49"/>
    <w:rsid w:val="06194FF1"/>
    <w:rsid w:val="06A2550B"/>
    <w:rsid w:val="06F80EE2"/>
    <w:rsid w:val="07001CCA"/>
    <w:rsid w:val="075678DB"/>
    <w:rsid w:val="077B465F"/>
    <w:rsid w:val="079D7CC7"/>
    <w:rsid w:val="08051BCA"/>
    <w:rsid w:val="086C12F4"/>
    <w:rsid w:val="08705944"/>
    <w:rsid w:val="08BA052C"/>
    <w:rsid w:val="08DB07BA"/>
    <w:rsid w:val="0969353F"/>
    <w:rsid w:val="098305D0"/>
    <w:rsid w:val="09B1218B"/>
    <w:rsid w:val="0A3317EA"/>
    <w:rsid w:val="0A5C4B69"/>
    <w:rsid w:val="0A86124A"/>
    <w:rsid w:val="0AB54CC0"/>
    <w:rsid w:val="0B9335CE"/>
    <w:rsid w:val="0BF2311A"/>
    <w:rsid w:val="0C7927C4"/>
    <w:rsid w:val="0C9B098C"/>
    <w:rsid w:val="0D673E11"/>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5BF8577"/>
    <w:rsid w:val="56530F5D"/>
    <w:rsid w:val="567700D3"/>
    <w:rsid w:val="56FF7E9E"/>
    <w:rsid w:val="578867FC"/>
    <w:rsid w:val="5842572D"/>
    <w:rsid w:val="5A3B59D6"/>
    <w:rsid w:val="5AD134D8"/>
    <w:rsid w:val="5BF41F67"/>
    <w:rsid w:val="5C263CE4"/>
    <w:rsid w:val="5C5D2777"/>
    <w:rsid w:val="5CF66BF3"/>
    <w:rsid w:val="5D290C69"/>
    <w:rsid w:val="5DA80C2C"/>
    <w:rsid w:val="5F2D4A41"/>
    <w:rsid w:val="60C74F6C"/>
    <w:rsid w:val="61015958"/>
    <w:rsid w:val="61025A59"/>
    <w:rsid w:val="613D5BBC"/>
    <w:rsid w:val="61536C39"/>
    <w:rsid w:val="62944DD7"/>
    <w:rsid w:val="6319381F"/>
    <w:rsid w:val="63C25DC5"/>
    <w:rsid w:val="63C62057"/>
    <w:rsid w:val="64571EF5"/>
    <w:rsid w:val="64FB113D"/>
    <w:rsid w:val="656152C6"/>
    <w:rsid w:val="6587477F"/>
    <w:rsid w:val="658C3A08"/>
    <w:rsid w:val="65C031CA"/>
    <w:rsid w:val="65CE6852"/>
    <w:rsid w:val="66267C04"/>
    <w:rsid w:val="663F505A"/>
    <w:rsid w:val="666C2D2F"/>
    <w:rsid w:val="66AF5D7C"/>
    <w:rsid w:val="66EE5541"/>
    <w:rsid w:val="676FA023"/>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37073"/>
    <w:rsid w:val="772E1EBA"/>
    <w:rsid w:val="781926BC"/>
    <w:rsid w:val="796D60A4"/>
    <w:rsid w:val="79A031D5"/>
    <w:rsid w:val="79B47FDF"/>
    <w:rsid w:val="79E569A9"/>
    <w:rsid w:val="7A1525F7"/>
    <w:rsid w:val="7B420052"/>
    <w:rsid w:val="7BD06A28"/>
    <w:rsid w:val="7C3A7C0B"/>
    <w:rsid w:val="7C5248E4"/>
    <w:rsid w:val="7C566698"/>
    <w:rsid w:val="7C5866A3"/>
    <w:rsid w:val="7D7406BB"/>
    <w:rsid w:val="7DE94331"/>
    <w:rsid w:val="7EFF7CDC"/>
    <w:rsid w:val="7F446A19"/>
    <w:rsid w:val="7F7452B9"/>
    <w:rsid w:val="FEDEF8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31</Pages>
  <Words>3935</Words>
  <Characters>22430</Characters>
  <Lines>186</Lines>
  <Paragraphs>52</Paragraphs>
  <TotalTime>1</TotalTime>
  <ScaleCrop>false</ScaleCrop>
  <LinksUpToDate>false</LinksUpToDate>
  <CharactersWithSpaces>26313</CharactersWithSpaces>
  <Application>WPS Office_11.8.2.12019_F1E327BC-269C-435d-A152-05C5408002CA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2024-07-12T10:00:00Z</dcterms:created>
  <dc:creator>Administrator</dc:creator>
  <cp:lastModifiedBy>anwenzf</cp:lastModifiedBy>
  <cp:lastPrinted>2025-10-14T01:05:00Z</cp:lastPrinted>
  <dcterms:modified xsi:type="dcterms:W3CDTF">2026-01-22T10:51:49Z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2052-11.8.2.12019</vt:lpwstr>
  </property>
  <property fmtid="{D5CDD505-2E9C-101B-9397-08002B2CF9AE}" pid="3" name="ICV">
    <vt:lpwstr>13575113999E5FBD6D73E8688030A706</vt:lpwstr>
  </property>
</Properties>
</file>