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8A" w:rsidRPr="005C761D" w:rsidRDefault="005C761D" w:rsidP="005C761D">
      <w:pPr>
        <w:spacing w:before="219" w:line="227" w:lineRule="auto"/>
        <w:ind w:left="800" w:firstLineChars="600" w:firstLine="2292"/>
        <w:rPr>
          <w:rFonts w:ascii="楷体" w:eastAsia="楷体" w:hAnsi="楷体" w:cs="楷体"/>
          <w:sz w:val="32"/>
          <w:szCs w:val="32"/>
          <w:lang w:eastAsia="zh-CN"/>
        </w:rPr>
      </w:pPr>
      <w:bookmarkStart w:id="0" w:name="_GoBack"/>
      <w:r w:rsidRPr="005C761D">
        <w:rPr>
          <w:rFonts w:ascii="楷体" w:eastAsia="楷体" w:hAnsi="楷体" w:cs="楷体"/>
          <w:spacing w:val="31"/>
          <w:sz w:val="32"/>
          <w:szCs w:val="32"/>
          <w:lang w:eastAsia="zh-CN"/>
        </w:rPr>
        <w:t>竣工验收标准</w:t>
      </w:r>
    </w:p>
    <w:p w:rsidR="00155B8A" w:rsidRDefault="005C761D">
      <w:pPr>
        <w:spacing w:before="228" w:line="357" w:lineRule="auto"/>
        <w:ind w:firstLine="65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修缮加固的住房应满足以下要求：危险点构件全部更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换或维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修；房屋安全隐患全部排除，达到住房安全要求。新建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住房应满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足以下要求：选址安全；基础牢靠，结构稳定，强度满足要求；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抗震构造措施齐全、符合规定；围护结构和非结构构件与主体结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构连接牢固；建筑材料质量合格；具备室内卫生厕所且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做到人蓄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分离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；建筑面积符合政策要求；房屋达到住房安全要求。</w:t>
      </w:r>
    </w:p>
    <w:bookmarkEnd w:id="0"/>
    <w:p w:rsidR="00155B8A" w:rsidRDefault="00155B8A">
      <w:pPr>
        <w:rPr>
          <w:lang w:eastAsia="zh-CN"/>
        </w:rPr>
      </w:pPr>
    </w:p>
    <w:sectPr w:rsidR="0015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40B2E"/>
    <w:rsid w:val="00155B8A"/>
    <w:rsid w:val="005C761D"/>
    <w:rsid w:val="2514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3</cp:revision>
  <dcterms:created xsi:type="dcterms:W3CDTF">2024-09-06T02:49:00Z</dcterms:created>
  <dcterms:modified xsi:type="dcterms:W3CDTF">2024-09-06T06:50:00Z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