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before="0" w:after="744" w:line="220" w:lineRule="exact"/>
        <w:ind w:left="0" w:right="0"/>
      </w:pPr>
    </w:p>
    <w:p>
      <w:pPr>
        <w:widowControl/>
        <w:autoSpaceDE w:val="0"/>
        <w:autoSpaceDN w:val="0"/>
        <w:spacing w:before="24" w:after="0" w:line="558" w:lineRule="exact"/>
        <w:ind w:left="2304" w:right="2304" w:firstLine="0"/>
        <w:jc w:val="center"/>
      </w:pPr>
      <w:r>
        <w:rPr>
          <w:rFonts w:ascii="华文中宋" w:hAnsi="华文中宋" w:eastAsia="华文中宋"/>
          <w:b w:val="0"/>
          <w:i w:val="0"/>
          <w:color w:val="000000"/>
          <w:sz w:val="44"/>
        </w:rPr>
        <w:t>安全生产行政执法文书</w:t>
      </w:r>
      <w:r>
        <w:br w:type="textWrapping"/>
      </w:r>
      <w:r>
        <w:rPr>
          <w:rFonts w:ascii="华文中宋" w:hAnsi="华文中宋" w:eastAsia="华文中宋"/>
          <w:b w:val="0"/>
          <w:i w:val="0"/>
          <w:color w:val="000000"/>
          <w:sz w:val="44"/>
        </w:rPr>
        <w:t>行政处罚决定书</w:t>
      </w:r>
    </w:p>
    <w:p>
      <w:pPr>
        <w:widowControl/>
        <w:autoSpaceDE w:val="0"/>
        <w:autoSpaceDN w:val="0"/>
        <w:spacing w:before="254" w:after="0" w:line="240" w:lineRule="exact"/>
        <w:ind w:left="0" w:right="0"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olor w:val="000000"/>
          <w:sz w:val="28"/>
          <w:szCs w:val="28"/>
        </w:rPr>
        <w:t>（綦）应急罚〔2025〕（危化）1 号</w:t>
      </w:r>
    </w:p>
    <w:p>
      <w:pPr>
        <w:widowControl/>
        <w:tabs>
          <w:tab w:val="left" w:pos="626"/>
        </w:tabs>
        <w:autoSpaceDE w:val="0"/>
        <w:autoSpaceDN w:val="0"/>
        <w:spacing w:before="34" w:after="0" w:line="440" w:lineRule="exact"/>
        <w:ind w:left="146" w:right="144" w:firstLine="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olor w:val="000000"/>
          <w:sz w:val="28"/>
          <w:szCs w:val="28"/>
        </w:rPr>
        <w:t>被处罚单位：綦江区****经营部</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b w:val="0"/>
          <w:i w:val="0"/>
          <w:color w:val="000000"/>
          <w:sz w:val="28"/>
          <w:szCs w:val="28"/>
        </w:rPr>
        <w:t>地址：重庆市綦江区******** 号邮政编码：401451</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b w:val="0"/>
          <w:i w:val="0"/>
          <w:color w:val="000000"/>
          <w:sz w:val="28"/>
          <w:szCs w:val="28"/>
        </w:rPr>
        <w:t>负责人：李</w:t>
      </w:r>
      <w:r>
        <w:rPr>
          <w:rFonts w:hint="eastAsia" w:ascii="方正仿宋_GBK" w:hAnsi="方正仿宋_GBK" w:eastAsia="方正仿宋_GBK" w:cs="方正仿宋_GBK"/>
          <w:b w:val="0"/>
          <w:i w:val="0"/>
          <w:color w:val="000000"/>
          <w:sz w:val="28"/>
          <w:szCs w:val="28"/>
          <w:lang w:val="en-US" w:eastAsia="zh-CN"/>
        </w:rPr>
        <w:t>*</w:t>
      </w:r>
      <w:r>
        <w:rPr>
          <w:rFonts w:hint="eastAsia" w:ascii="方正仿宋_GBK" w:hAnsi="方正仿宋_GBK" w:eastAsia="方正仿宋_GBK" w:cs="方正仿宋_GBK"/>
          <w:b w:val="0"/>
          <w:i w:val="0"/>
          <w:color w:val="000000"/>
          <w:sz w:val="28"/>
          <w:szCs w:val="28"/>
        </w:rPr>
        <w:t>君</w:t>
      </w:r>
      <w:r>
        <w:rPr>
          <w:rFonts w:hint="eastAsia" w:ascii="方正仿宋_GBK" w:hAnsi="方正仿宋_GBK" w:eastAsia="方正仿宋_GBK" w:cs="方正仿宋_GBK"/>
          <w:b w:val="0"/>
          <w:i w:val="0"/>
          <w:color w:val="000000"/>
          <w:sz w:val="28"/>
          <w:szCs w:val="28"/>
          <w:lang w:val="en-US" w:eastAsia="zh-CN"/>
        </w:rPr>
        <w:t xml:space="preserve">   </w:t>
      </w:r>
      <w:bookmarkStart w:id="0" w:name="_GoBack"/>
      <w:bookmarkEnd w:id="0"/>
      <w:r>
        <w:rPr>
          <w:rFonts w:hint="eastAsia" w:ascii="方正仿宋_GBK" w:hAnsi="方正仿宋_GBK" w:eastAsia="方正仿宋_GBK" w:cs="方正仿宋_GBK"/>
          <w:b w:val="0"/>
          <w:i w:val="0"/>
          <w:color w:val="000000"/>
          <w:sz w:val="28"/>
          <w:szCs w:val="28"/>
        </w:rPr>
        <w:t>职务：负责人联系电话：13*******12</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b w:val="0"/>
          <w:i w:val="0"/>
          <w:color w:val="000000"/>
          <w:sz w:val="28"/>
          <w:szCs w:val="28"/>
        </w:rPr>
        <w:t>违法事实及证据：綦江区****经营部将3488.5KG 危险化学品生物油储存在其租用的重庆市綦江区**********农场房间内，该储存场所不属于危险化学品专用仓库，现场不具备危险化学品安全储存条件。</w:t>
      </w:r>
    </w:p>
    <w:p>
      <w:pPr>
        <w:widowControl/>
        <w:tabs>
          <w:tab w:val="left" w:pos="626"/>
        </w:tabs>
        <w:autoSpaceDE w:val="0"/>
        <w:autoSpaceDN w:val="0"/>
        <w:spacing w:before="2" w:after="0" w:line="440" w:lineRule="exact"/>
        <w:ind w:left="146" w:right="144" w:firstLine="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b w:val="0"/>
          <w:i w:val="0"/>
          <w:color w:val="000000"/>
          <w:sz w:val="28"/>
          <w:szCs w:val="28"/>
        </w:rPr>
        <w:t>以上事实主要证据如下：</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b w:val="0"/>
          <w:i w:val="0"/>
          <w:color w:val="000000"/>
          <w:sz w:val="28"/>
          <w:szCs w:val="28"/>
        </w:rPr>
        <w:t>证据一：《现场检查记录》（綦）应急现记〔2025〕打非5 号、李*君、王*雨《询问笔录》、物证（扣押的3488.5KG 生物油）、视听资料（李*君、王*雨询问执法记录仪视频、现场检查执法记录仪视频）、《现场检查照片》、《李*君现场指认照片》。证明綦江区****经营部将3488.5KG 生物油储存在其租用的重庆市綦江区*******房间内。该房间不属于危险化学品专用仓库，现场不具备危险化学品安全储存条件。</w:t>
      </w:r>
    </w:p>
    <w:p>
      <w:pPr>
        <w:widowControl/>
        <w:autoSpaceDE w:val="0"/>
        <w:autoSpaceDN w:val="0"/>
        <w:spacing w:before="0" w:after="0" w:line="440" w:lineRule="exact"/>
        <w:ind w:left="146" w:right="146" w:firstLine="48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olor w:val="000000"/>
          <w:sz w:val="28"/>
          <w:szCs w:val="28"/>
        </w:rPr>
        <w:t>证据二：《化学品物理危险性鉴定报告》（报告编号：1525040135）、《化学品物理危险性鉴定报告》（报告编号：1525040136），证明储存的3488.5KG 生物油属于危险化学品。</w:t>
      </w:r>
    </w:p>
    <w:p>
      <w:pPr>
        <w:widowControl/>
        <w:autoSpaceDE w:val="0"/>
        <w:autoSpaceDN w:val="0"/>
        <w:spacing w:before="0" w:after="0" w:line="440" w:lineRule="exact"/>
        <w:ind w:left="146" w:right="146" w:firstLine="48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olor w:val="000000"/>
          <w:sz w:val="28"/>
          <w:szCs w:val="28"/>
        </w:rPr>
        <w:t>以上事实违反了《危险化学品安全管理条例》（国务院令第344 号）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的规定。</w:t>
      </w:r>
    </w:p>
    <w:p>
      <w:pPr>
        <w:widowControl/>
        <w:autoSpaceDE w:val="0"/>
        <w:autoSpaceDN w:val="0"/>
        <w:spacing w:before="0" w:after="0" w:line="440" w:lineRule="exact"/>
        <w:ind w:left="146" w:right="146" w:firstLine="480"/>
        <w:jc w:val="both"/>
        <w:rPr>
          <w:rFonts w:hint="eastAsia" w:ascii="方正仿宋_GBK" w:hAnsi="方正仿宋_GBK" w:eastAsia="方正仿宋_GBK" w:cs="方正仿宋_GBK"/>
          <w:b w:val="0"/>
          <w:i w:val="0"/>
          <w:color w:val="000000"/>
          <w:sz w:val="28"/>
          <w:szCs w:val="28"/>
        </w:rPr>
      </w:pPr>
      <w:r>
        <w:rPr>
          <w:rFonts w:hint="eastAsia" w:ascii="方正仿宋_GBK" w:hAnsi="方正仿宋_GBK" w:eastAsia="方正仿宋_GBK" w:cs="方正仿宋_GBK"/>
          <w:b w:val="0"/>
          <w:i w:val="0"/>
          <w:color w:val="000000"/>
          <w:sz w:val="28"/>
          <w:szCs w:val="28"/>
        </w:rPr>
        <w:t>依据《危险化学品安全管理条例》（国务院令第344 号）第八十条第一款第（四）项：“生产、储存、使用危险化学品的单位有下列情形之一的，由安全生产监督管理部门责令改正，处5 万元以上10 万元以下的罚款：(四)未将危险化学品储存在专用仓库内，或者未将剧毒化学品以及储存数量构成重大危险源的其他危险化学品在专用仓库内单独存放的”和《重庆市安全生产行政处罚裁量基准》（试行）（渝应急发〔2023〕43 号）第二部分第二节第22 项：“一档（从轻）:未将危险化学品储存在专用仓库内的,责令改正,处5 万元以上6.5 万元以下的罚款”的规定，决定对綦江区****经营部作出处罚款人民币51000 元（大写：伍万壹仟元整）的行政处罚。</w:t>
      </w:r>
    </w:p>
    <w:p>
      <w:pPr>
        <w:widowControl/>
        <w:autoSpaceDE w:val="0"/>
        <w:autoSpaceDN w:val="0"/>
        <w:spacing w:before="0" w:after="0" w:line="440" w:lineRule="exact"/>
        <w:ind w:left="146" w:right="146" w:firstLine="480"/>
        <w:jc w:val="both"/>
        <w:rPr>
          <w:rFonts w:hint="eastAsia" w:ascii="方正仿宋_GBK" w:hAnsi="方正仿宋_GBK" w:eastAsia="方正仿宋_GBK" w:cs="方正仿宋_GBK"/>
          <w:b w:val="0"/>
          <w:i w:val="0"/>
          <w:color w:val="000000"/>
          <w:sz w:val="28"/>
          <w:szCs w:val="28"/>
        </w:rPr>
      </w:pPr>
      <w:r>
        <w:rPr>
          <w:rFonts w:hint="eastAsia" w:ascii="方正仿宋_GBK" w:hAnsi="方正仿宋_GBK" w:eastAsia="方正仿宋_GBK" w:cs="方正仿宋_GBK"/>
          <w:b w:val="0"/>
          <w:i w:val="0"/>
          <w:color w:val="000000"/>
          <w:sz w:val="28"/>
          <w:szCs w:val="28"/>
        </w:rPr>
        <w:tab/>
      </w:r>
      <w:r>
        <w:rPr>
          <w:rFonts w:hint="eastAsia" w:ascii="方正仿宋_GBK" w:hAnsi="方正仿宋_GBK" w:eastAsia="方正仿宋_GBK" w:cs="方正仿宋_GBK"/>
          <w:b w:val="0"/>
          <w:i w:val="0"/>
          <w:color w:val="000000"/>
          <w:sz w:val="28"/>
          <w:szCs w:val="28"/>
        </w:rPr>
        <w:t>处以罚款的，罚款自收到本决定书之日起15 日内缴至邮储银行重庆綦江区支行，账号10***************4，到期不缴本机关有权每日按罚款数额的3%加处罚款。</w:t>
      </w:r>
    </w:p>
    <w:p>
      <w:pPr>
        <w:widowControl/>
        <w:autoSpaceDE w:val="0"/>
        <w:autoSpaceDN w:val="0"/>
        <w:spacing w:before="0" w:after="0" w:line="440" w:lineRule="exact"/>
        <w:ind w:left="146" w:right="146" w:firstLine="480"/>
        <w:jc w:val="both"/>
        <w:rPr>
          <w:rFonts w:hint="eastAsia" w:ascii="方正仿宋_GBK" w:hAnsi="方正仿宋_GBK" w:eastAsia="方正仿宋_GBK" w:cs="方正仿宋_GBK"/>
          <w:b w:val="0"/>
          <w:i w:val="0"/>
          <w:color w:val="000000"/>
          <w:sz w:val="28"/>
          <w:szCs w:val="28"/>
        </w:rPr>
      </w:pPr>
      <w:r>
        <w:rPr>
          <w:rFonts w:hint="eastAsia" w:ascii="方正仿宋_GBK" w:hAnsi="方正仿宋_GBK" w:eastAsia="方正仿宋_GBK" w:cs="方正仿宋_GBK"/>
          <w:b w:val="0"/>
          <w:i w:val="0"/>
          <w:color w:val="000000"/>
          <w:sz w:val="28"/>
          <w:szCs w:val="28"/>
        </w:rPr>
        <w:t>如果不服本处罚决定，可以依法在60 日内向重庆市綦江区人民政府申请行政复议，或者在6 个月内依法向重庆市綦江区人民法院提起行政诉讼，但本决定不停止执行，法律另有规定的除外。逾期不申请行政复议、不提起行政诉讼又不履行的，本机关将依法申请人民法院强制执行或者依照有关规定强制执行。</w:t>
      </w:r>
    </w:p>
    <w:p>
      <w:pPr>
        <w:widowControl/>
        <w:autoSpaceDE w:val="0"/>
        <w:autoSpaceDN w:val="0"/>
        <w:spacing w:before="200" w:after="366" w:line="240" w:lineRule="exact"/>
        <w:ind w:right="0"/>
        <w:jc w:val="left"/>
        <w:rPr>
          <w:rFonts w:hint="eastAsia" w:ascii="方正仿宋_GBK" w:hAnsi="方正仿宋_GBK" w:eastAsia="方正仿宋_GBK" w:cs="方正仿宋_GBK"/>
          <w:b w:val="0"/>
          <w:i w:val="0"/>
          <w:color w:val="000000"/>
          <w:sz w:val="28"/>
          <w:szCs w:val="28"/>
        </w:rPr>
      </w:pPr>
    </w:p>
    <w:tbl>
      <w:tblPr>
        <w:tblStyle w:val="32"/>
        <w:tblW w:w="0" w:type="auto"/>
        <w:tblInd w:w="38" w:type="dxa"/>
        <w:tblLayout w:type="fixed"/>
        <w:tblCellMar>
          <w:top w:w="0" w:type="dxa"/>
          <w:left w:w="108" w:type="dxa"/>
          <w:bottom w:w="0" w:type="dxa"/>
          <w:right w:w="108" w:type="dxa"/>
        </w:tblCellMar>
      </w:tblPr>
      <w:tblGrid>
        <w:gridCol w:w="4513"/>
        <w:gridCol w:w="4513"/>
      </w:tblGrid>
      <w:tr>
        <w:trPr>
          <w:trHeight w:val="322" w:hRule="exact"/>
        </w:trPr>
        <w:tc>
          <w:tcPr>
            <w:tcW w:w="4513" w:type="dxa"/>
            <w:tcBorders>
              <w:top w:val="single" w:color="FFFFFF" w:sz="0" w:space="0"/>
              <w:left w:val="single" w:color="FFFFFF" w:sz="0" w:space="0"/>
              <w:bottom w:val="single" w:color="FFFFFF" w:sz="0" w:space="0"/>
              <w:right w:val="single" w:color="FFFFFF" w:sz="0" w:space="0"/>
            </w:tcBorders>
            <w:tcMar>
              <w:left w:w="0" w:type="dxa"/>
              <w:right w:w="0" w:type="dxa"/>
            </w:tcMar>
          </w:tcPr>
          <w:p>
            <w:pPr>
              <w:rPr>
                <w:rFonts w:hint="eastAsia" w:ascii="方正仿宋_GBK" w:hAnsi="方正仿宋_GBK" w:eastAsia="方正仿宋_GBK" w:cs="方正仿宋_GBK"/>
                <w:sz w:val="28"/>
                <w:szCs w:val="28"/>
              </w:rPr>
            </w:pPr>
          </w:p>
        </w:tc>
        <w:tc>
          <w:tcPr>
            <w:tcW w:w="4513" w:type="dxa"/>
            <w:tcBorders>
              <w:top w:val="single" w:color="FFFFFF" w:sz="0" w:space="0"/>
              <w:left w:val="single" w:color="FFFFFF" w:sz="0" w:space="0"/>
              <w:bottom w:val="single" w:color="FFFFFF" w:sz="0" w:space="0"/>
              <w:right w:val="single" w:color="FFFFFF" w:sz="0" w:space="0"/>
            </w:tcBorders>
            <w:tcMar>
              <w:left w:w="0" w:type="dxa"/>
              <w:right w:w="0" w:type="dxa"/>
            </w:tcMar>
          </w:tcPr>
          <w:p>
            <w:pPr>
              <w:rPr>
                <w:rFonts w:hint="eastAsia" w:ascii="方正仿宋_GBK" w:hAnsi="方正仿宋_GBK" w:eastAsia="方正仿宋_GBK" w:cs="方正仿宋_GBK"/>
                <w:sz w:val="28"/>
                <w:szCs w:val="28"/>
              </w:rPr>
            </w:pPr>
          </w:p>
        </w:tc>
      </w:tr>
      <w:tr>
        <w:trPr>
          <w:trHeight w:val="324" w:hRule="exact"/>
        </w:trPr>
        <w:tc>
          <w:tcPr>
            <w:tcW w:w="4513" w:type="dxa"/>
            <w:tcBorders>
              <w:top w:val="single" w:color="FFFFFF" w:sz="0" w:space="0"/>
              <w:left w:val="single" w:color="FFFFFF" w:sz="0" w:space="0"/>
              <w:bottom w:val="single" w:color="FFFFFF" w:sz="0" w:space="0"/>
              <w:right w:val="single" w:color="FFFFFF" w:sz="0" w:space="0"/>
            </w:tcBorders>
            <w:tcMar>
              <w:left w:w="0" w:type="dxa"/>
              <w:right w:w="0" w:type="dxa"/>
            </w:tcMar>
          </w:tcPr>
          <w:p>
            <w:pPr>
              <w:rPr>
                <w:rFonts w:hint="eastAsia" w:ascii="方正仿宋_GBK" w:hAnsi="方正仿宋_GBK" w:eastAsia="方正仿宋_GBK" w:cs="方正仿宋_GBK"/>
                <w:sz w:val="28"/>
                <w:szCs w:val="28"/>
              </w:rPr>
            </w:pPr>
          </w:p>
        </w:tc>
        <w:tc>
          <w:tcPr>
            <w:tcW w:w="4513" w:type="dxa"/>
            <w:tcBorders>
              <w:top w:val="single" w:color="FFFFFF" w:sz="0" w:space="0"/>
              <w:left w:val="single" w:color="FFFFFF" w:sz="0" w:space="0"/>
              <w:bottom w:val="single" w:color="FFFFFF" w:sz="0" w:space="0"/>
              <w:right w:val="single" w:color="FFFFFF" w:sz="0" w:space="0"/>
            </w:tcBorders>
            <w:tcMar>
              <w:left w:w="0" w:type="dxa"/>
              <w:right w:w="0" w:type="dxa"/>
            </w:tcMar>
          </w:tcPr>
          <w:p>
            <w:pPr>
              <w:rPr>
                <w:rFonts w:hint="eastAsia" w:ascii="方正仿宋_GBK" w:hAnsi="方正仿宋_GBK" w:eastAsia="方正仿宋_GBK" w:cs="方正仿宋_GBK"/>
                <w:sz w:val="28"/>
                <w:szCs w:val="28"/>
              </w:rPr>
            </w:pPr>
          </w:p>
        </w:tc>
      </w:tr>
      <w:tr>
        <w:trPr>
          <w:trHeight w:val="320" w:hRule="exact"/>
        </w:trPr>
        <w:tc>
          <w:tcPr>
            <w:tcW w:w="4513" w:type="dxa"/>
            <w:tcBorders>
              <w:top w:val="single" w:color="FFFFFF" w:sz="0" w:space="0"/>
              <w:left w:val="single" w:color="FFFFFF" w:sz="0" w:space="0"/>
              <w:bottom w:val="single" w:color="FFFFFF" w:sz="0" w:space="0"/>
              <w:right w:val="single" w:color="FFFFFF" w:sz="0" w:space="0"/>
            </w:tcBorders>
            <w:tcMar>
              <w:left w:w="0" w:type="dxa"/>
              <w:right w:w="0" w:type="dxa"/>
            </w:tcMar>
          </w:tcPr>
          <w:p>
            <w:pPr>
              <w:rPr>
                <w:rFonts w:hint="eastAsia" w:ascii="方正仿宋_GBK" w:hAnsi="方正仿宋_GBK" w:eastAsia="方正仿宋_GBK" w:cs="方正仿宋_GBK"/>
                <w:sz w:val="28"/>
                <w:szCs w:val="28"/>
              </w:rPr>
            </w:pPr>
          </w:p>
        </w:tc>
        <w:tc>
          <w:tcPr>
            <w:tcW w:w="4513" w:type="dxa"/>
            <w:tcBorders>
              <w:top w:val="single" w:color="FFFFFF" w:sz="0" w:space="0"/>
              <w:left w:val="single" w:color="FFFFFF" w:sz="0" w:space="0"/>
              <w:bottom w:val="single" w:color="FFFFFF" w:sz="0" w:space="0"/>
              <w:right w:val="single" w:color="FFFFFF" w:sz="0" w:space="0"/>
            </w:tcBorders>
            <w:tcMar>
              <w:left w:w="0" w:type="dxa"/>
              <w:right w:w="0" w:type="dxa"/>
            </w:tcMar>
          </w:tcPr>
          <w:p>
            <w:pPr>
              <w:widowControl/>
              <w:autoSpaceDE w:val="0"/>
              <w:autoSpaceDN w:val="0"/>
              <w:spacing w:before="36" w:after="0" w:line="240" w:lineRule="exact"/>
              <w:ind w:left="0" w:right="0"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olor w:val="000000"/>
                <w:sz w:val="28"/>
                <w:szCs w:val="28"/>
              </w:rPr>
              <w:t>重庆市綦江区应急管理局</w:t>
            </w:r>
          </w:p>
        </w:tc>
      </w:tr>
      <w:tr>
        <w:trPr>
          <w:trHeight w:val="324" w:hRule="exact"/>
        </w:trPr>
        <w:tc>
          <w:tcPr>
            <w:tcW w:w="4513" w:type="dxa"/>
            <w:tcBorders>
              <w:top w:val="single" w:color="FFFFFF" w:sz="0" w:space="0"/>
              <w:left w:val="single" w:color="FFFFFF" w:sz="0" w:space="0"/>
              <w:bottom w:val="single" w:color="FFFFFF" w:sz="0" w:space="0"/>
              <w:right w:val="single" w:color="FFFFFF" w:sz="0" w:space="0"/>
            </w:tcBorders>
            <w:tcMar>
              <w:left w:w="0" w:type="dxa"/>
              <w:right w:w="0" w:type="dxa"/>
            </w:tcMar>
          </w:tcPr>
          <w:p>
            <w:pPr>
              <w:rPr>
                <w:rFonts w:hint="eastAsia" w:ascii="方正仿宋_GBK" w:hAnsi="方正仿宋_GBK" w:eastAsia="方正仿宋_GBK" w:cs="方正仿宋_GBK"/>
                <w:sz w:val="28"/>
                <w:szCs w:val="28"/>
              </w:rPr>
            </w:pPr>
          </w:p>
        </w:tc>
        <w:tc>
          <w:tcPr>
            <w:tcW w:w="4513" w:type="dxa"/>
            <w:tcBorders>
              <w:top w:val="single" w:color="FFFFFF" w:sz="0" w:space="0"/>
              <w:left w:val="single" w:color="FFFFFF" w:sz="0" w:space="0"/>
              <w:bottom w:val="single" w:color="FFFFFF" w:sz="0" w:space="0"/>
              <w:right w:val="single" w:color="FFFFFF" w:sz="0" w:space="0"/>
            </w:tcBorders>
            <w:tcMar>
              <w:left w:w="0" w:type="dxa"/>
              <w:right w:w="0" w:type="dxa"/>
            </w:tcMar>
          </w:tcPr>
          <w:p>
            <w:pPr>
              <w:widowControl/>
              <w:autoSpaceDE w:val="0"/>
              <w:autoSpaceDN w:val="0"/>
              <w:spacing w:before="38" w:after="0" w:line="240" w:lineRule="exact"/>
              <w:ind w:left="0" w:right="0"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olor w:val="FFFFFF"/>
                <w:w w:val="101"/>
                <w:sz w:val="28"/>
                <w:szCs w:val="28"/>
              </w:rPr>
              <w:t>盖章处</w:t>
            </w:r>
            <w:r>
              <w:rPr>
                <w:rFonts w:hint="eastAsia" w:ascii="方正仿宋_GBK" w:hAnsi="方正仿宋_GBK" w:eastAsia="方正仿宋_GBK" w:cs="方正仿宋_GBK"/>
                <w:b w:val="0"/>
                <w:i w:val="0"/>
                <w:color w:val="000000"/>
                <w:sz w:val="28"/>
                <w:szCs w:val="28"/>
              </w:rPr>
              <w:t>2025 年6 月17</w:t>
            </w:r>
            <w:r>
              <w:rPr>
                <w:rFonts w:hint="eastAsia" w:ascii="方正仿宋_GBK" w:hAnsi="方正仿宋_GBK" w:eastAsia="方正仿宋_GBK" w:cs="方正仿宋_GBK"/>
                <w:b w:val="0"/>
                <w:i w:val="0"/>
                <w:color w:val="121212"/>
                <w:sz w:val="28"/>
                <w:szCs w:val="28"/>
              </w:rPr>
              <w:t xml:space="preserve"> 日</w:t>
            </w:r>
            <w:r>
              <w:rPr>
                <w:rFonts w:hint="eastAsia" w:ascii="方正仿宋_GBK" w:hAnsi="方正仿宋_GBK" w:eastAsia="方正仿宋_GBK" w:cs="方正仿宋_GBK"/>
                <w:b w:val="0"/>
                <w:i w:val="0"/>
                <w:color w:val="FFFFFF"/>
                <w:w w:val="101"/>
                <w:sz w:val="28"/>
                <w:szCs w:val="28"/>
              </w:rPr>
              <w:t>留白处</w:t>
            </w:r>
          </w:p>
        </w:tc>
      </w:tr>
    </w:tbl>
    <w:p>
      <w:pPr>
        <w:widowControl/>
        <w:autoSpaceDE w:val="0"/>
        <w:autoSpaceDN w:val="0"/>
        <w:spacing w:before="1072" w:after="0" w:line="240" w:lineRule="exact"/>
        <w:ind w:left="146" w:right="0" w:firstLine="0"/>
        <w:jc w:val="left"/>
        <w:rPr>
          <w:rFonts w:hint="eastAsia" w:ascii="方正仿宋_GBK" w:hAnsi="方正仿宋_GBK" w:eastAsia="方正仿宋_GBK" w:cs="方正仿宋_GBK"/>
          <w:sz w:val="28"/>
          <w:szCs w:val="28"/>
        </w:rPr>
        <w:sectPr>
          <w:pgSz w:w="11906" w:h="16838"/>
          <w:pgMar w:top="964" w:right="1440" w:bottom="514" w:left="1440" w:header="720" w:footer="720" w:gutter="0"/>
          <w:cols w:space="720" w:num="1"/>
          <w:docGrid w:linePitch="360" w:charSpace="0"/>
        </w:sectPr>
      </w:pPr>
      <w:r>
        <w:rPr>
          <w:rFonts w:hint="eastAsia" w:ascii="方正仿宋_GBK" w:hAnsi="方正仿宋_GBK" w:eastAsia="方正仿宋_GBK" w:cs="方正仿宋_GBK"/>
          <w:b w:val="0"/>
          <w:i w:val="0"/>
          <w:color w:val="000000"/>
          <w:sz w:val="28"/>
          <w:szCs w:val="28"/>
        </w:rPr>
        <w:t>本文书一式两份：一份由应急管理部门备案，一份交被处罚人（单位）</w:t>
      </w:r>
    </w:p>
    <w:p>
      <w:pPr>
        <w:widowControl/>
        <w:autoSpaceDE w:val="0"/>
        <w:autoSpaceDN w:val="0"/>
        <w:spacing w:before="1072" w:after="0" w:line="240" w:lineRule="exact"/>
        <w:ind w:right="0"/>
        <w:jc w:val="left"/>
      </w:pPr>
    </w:p>
    <w:sectPr>
      <w:pgSz w:w="11906" w:h="16838"/>
      <w:pgMar w:top="1036" w:right="1326" w:bottom="514"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96241FC"/>
    <w:rsid w:val="25274085"/>
    <w:rsid w:val="4E2A0D99"/>
  </w:rsids>
  <m:mathPr>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uiPriority="99" w:semiHidden="0" w:name="List Bullet"/>
    <w:lsdException w:uiPriority="99" w:semiHidden="0" w:name="List Number"/>
    <w:lsdException w:uiPriority="99" w:semiHidden="0" w:name="List 2"/>
    <w:lsdException w:qFormat="1"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spacing w:after="200" w:line="276" w:lineRule="auto"/>
    </w:pPr>
    <w:rPr>
      <w:rFonts w:asciiTheme="minorHAnsi" w:hAnsiTheme="minorHAnsi" w:eastAsiaTheme="minorEastAsia" w:cstheme="minorBidi"/>
      <w:kern w:val="2"/>
      <w:sz w:val="22"/>
      <w:szCs w:val="22"/>
      <w:lang w:val="en-US" w:eastAsia="en-US" w:bidi="ar-SA"/>
    </w:rPr>
  </w:style>
  <w:style w:type="paragraph" w:styleId="3">
    <w:name w:val="heading 1"/>
    <w:basedOn w:val="1"/>
    <w:next w:val="1"/>
    <w:link w:val="15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8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8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84"/>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76"/>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7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5"/>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6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7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73"/>
    <w:unhideWhenUsed/>
    <w:qFormat/>
    <w:uiPriority w:val="99"/>
    <w:pPr>
      <w:tabs>
        <w:tab w:val="left" w:pos="576"/>
        <w:tab w:val="left" w:pos="1152"/>
        <w:tab w:val="left" w:pos="1728"/>
        <w:tab w:val="left" w:pos="2304"/>
        <w:tab w:val="left" w:pos="2880"/>
        <w:tab w:val="left" w:pos="3456"/>
        <w:tab w:val="left" w:pos="4032"/>
      </w:tabs>
      <w:snapToGrid/>
      <w:spacing w:after="200" w:line="276" w:lineRule="auto"/>
    </w:pPr>
    <w:rPr>
      <w:rFonts w:ascii="Courier" w:hAnsi="Courier" w:eastAsiaTheme="minorEastAsia" w:cstheme="minorBidi"/>
      <w:kern w:val="2"/>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uiPriority w:val="99"/>
    <w:pPr>
      <w:contextualSpacing/>
    </w:pPr>
  </w:style>
  <w:style w:type="paragraph" w:styleId="14">
    <w:name w:val="List Number"/>
    <w:basedOn w:val="1"/>
    <w:unhideWhenUsed/>
    <w:uiPriority w:val="99"/>
    <w:p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contextualSpacing/>
    </w:pPr>
  </w:style>
  <w:style w:type="paragraph" w:styleId="17">
    <w:name w:val="Body Text 3"/>
    <w:basedOn w:val="1"/>
    <w:link w:val="152"/>
    <w:unhideWhenUsed/>
    <w:qFormat/>
    <w:uiPriority w:val="99"/>
    <w:pPr>
      <w:spacing w:after="120"/>
    </w:pPr>
    <w:rPr>
      <w:sz w:val="16"/>
      <w:szCs w:val="16"/>
    </w:rPr>
  </w:style>
  <w:style w:type="paragraph" w:styleId="18">
    <w:name w:val="List Bullet 3"/>
    <w:basedOn w:val="1"/>
    <w:unhideWhenUsed/>
    <w:uiPriority w:val="99"/>
    <w:pPr>
      <w:contextualSpacing/>
    </w:pPr>
  </w:style>
  <w:style w:type="paragraph" w:styleId="19">
    <w:name w:val="Body Text"/>
    <w:basedOn w:val="1"/>
    <w:link w:val="169"/>
    <w:unhideWhenUsed/>
    <w:uiPriority w:val="99"/>
    <w:pPr>
      <w:spacing w:after="120"/>
    </w:pPr>
  </w:style>
  <w:style w:type="paragraph" w:styleId="20">
    <w:name w:val="List Number 3"/>
    <w:basedOn w:val="1"/>
    <w:unhideWhenUsed/>
    <w:qFormat/>
    <w:uiPriority w:val="99"/>
    <w:p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contextualSpacing/>
    </w:pPr>
  </w:style>
  <w:style w:type="paragraph" w:styleId="24">
    <w:name w:val="footer"/>
    <w:basedOn w:val="1"/>
    <w:link w:val="181"/>
    <w:unhideWhenUsed/>
    <w:uiPriority w:val="99"/>
    <w:pPr>
      <w:tabs>
        <w:tab w:val="center" w:pos="4680"/>
        <w:tab w:val="right" w:pos="9360"/>
      </w:tabs>
      <w:spacing w:after="0" w:line="240" w:lineRule="auto"/>
    </w:pPr>
  </w:style>
  <w:style w:type="paragraph" w:styleId="25">
    <w:name w:val="header"/>
    <w:basedOn w:val="1"/>
    <w:link w:val="146"/>
    <w:unhideWhenUsed/>
    <w:qFormat/>
    <w:uiPriority w:val="99"/>
    <w:pPr>
      <w:tabs>
        <w:tab w:val="center" w:pos="4680"/>
        <w:tab w:val="right" w:pos="9360"/>
      </w:tabs>
      <w:spacing w:after="0" w:line="240" w:lineRule="auto"/>
    </w:pPr>
  </w:style>
  <w:style w:type="paragraph" w:styleId="26">
    <w:name w:val="Subtitle"/>
    <w:basedOn w:val="1"/>
    <w:next w:val="1"/>
    <w:link w:val="1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77"/>
    <w:unhideWhenUsed/>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54"/>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Intense Emphasis"/>
    <w:basedOn w:val="132"/>
    <w:qFormat/>
    <w:uiPriority w:val="21"/>
    <w:rPr>
      <w:b/>
      <w:bCs/>
      <w:i/>
      <w:iCs/>
      <w:color w:val="4F81BD" w:themeColor="accent1"/>
      <w14:textFill>
        <w14:solidFill>
          <w14:schemeClr w14:val="accent1"/>
        </w14:solidFill>
      </w14:textFill>
    </w:rPr>
  </w:style>
  <w:style w:type="paragraph" w:customStyle="1" w:styleId="136">
    <w:name w:val="TOC Heading"/>
    <w:basedOn w:val="3"/>
    <w:next w:val="1"/>
    <w:semiHidden/>
    <w:unhideWhenUsed/>
    <w:qFormat/>
    <w:uiPriority w:val="39"/>
    <w:pPr>
      <w:outlineLvl w:val="9"/>
    </w:pPr>
  </w:style>
  <w:style w:type="character" w:customStyle="1" w:styleId="137">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8">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139">
    <w:name w:val="Subtitle Char1"/>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140">
    <w:name w:val="Body Text 3 Char"/>
    <w:basedOn w:val="132"/>
    <w:link w:val="17"/>
    <w:qFormat/>
    <w:uiPriority w:val="99"/>
    <w:rPr>
      <w:sz w:val="16"/>
      <w:szCs w:val="16"/>
    </w:rPr>
  </w:style>
  <w:style w:type="character" w:customStyle="1" w:styleId="141">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42">
    <w:name w:val="Body Text Char"/>
    <w:basedOn w:val="132"/>
    <w:link w:val="19"/>
    <w:qFormat/>
    <w:uiPriority w:val="99"/>
  </w:style>
  <w:style w:type="character" w:customStyle="1" w:styleId="143">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44">
    <w:name w:val="No Spacing"/>
    <w:qFormat/>
    <w:uiPriority w:val="1"/>
    <w:pPr>
      <w:snapToGrid/>
      <w:spacing w:after="0" w:line="240" w:lineRule="auto"/>
    </w:pPr>
    <w:rPr>
      <w:rFonts w:asciiTheme="minorHAnsi" w:hAnsiTheme="minorHAnsi" w:eastAsiaTheme="minorEastAsia" w:cstheme="minorBidi"/>
      <w:kern w:val="2"/>
      <w:sz w:val="22"/>
      <w:szCs w:val="22"/>
      <w:lang w:val="en-US" w:eastAsia="en-US" w:bidi="ar-SA"/>
    </w:rPr>
  </w:style>
  <w:style w:type="character" w:customStyle="1" w:styleId="145">
    <w:name w:val="Heading 7 Char1"/>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46">
    <w:name w:val="Header Char"/>
    <w:basedOn w:val="132"/>
    <w:link w:val="25"/>
    <w:uiPriority w:val="99"/>
  </w:style>
  <w:style w:type="character" w:customStyle="1" w:styleId="147">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8">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49">
    <w:name w:val="Intense Quote Char"/>
    <w:basedOn w:val="132"/>
    <w:qFormat/>
    <w:uiPriority w:val="30"/>
    <w:rPr>
      <w:b/>
      <w:bCs/>
      <w:i/>
      <w:iCs/>
      <w:color w:val="4F81BD" w:themeColor="accent1"/>
      <w14:textFill>
        <w14:solidFill>
          <w14:schemeClr w14:val="accent1"/>
        </w14:solidFill>
      </w14:textFill>
    </w:rPr>
  </w:style>
  <w:style w:type="paragraph" w:styleId="150">
    <w:name w:val="Intense Quote"/>
    <w:basedOn w:val="1"/>
    <w:next w:val="1"/>
    <w:link w:val="16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52">
    <w:name w:val="Body Text 3 Char1"/>
    <w:basedOn w:val="132"/>
    <w:link w:val="17"/>
    <w:qFormat/>
    <w:uiPriority w:val="99"/>
    <w:rPr>
      <w:sz w:val="16"/>
      <w:szCs w:val="16"/>
    </w:rPr>
  </w:style>
  <w:style w:type="character" w:customStyle="1" w:styleId="153">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54">
    <w:name w:val="Title Char1"/>
    <w:basedOn w:val="132"/>
    <w:link w:val="31"/>
    <w:uiPriority w:val="10"/>
    <w:rPr>
      <w:rFonts w:asciiTheme="majorHAnsi" w:hAnsiTheme="majorHAnsi" w:eastAsiaTheme="majorEastAsia" w:cstheme="majorBidi"/>
      <w:color w:val="17375E" w:themeColor="text2" w:themeShade="BF"/>
      <w:spacing w:val="5"/>
      <w:kern w:val="28"/>
      <w:sz w:val="52"/>
      <w:szCs w:val="52"/>
    </w:rPr>
  </w:style>
  <w:style w:type="paragraph" w:styleId="155">
    <w:name w:val="List Paragraph"/>
    <w:basedOn w:val="1"/>
    <w:qFormat/>
    <w:uiPriority w:val="34"/>
    <w:pPr>
      <w:ind w:left="720"/>
      <w:contextualSpacing/>
    </w:pPr>
  </w:style>
  <w:style w:type="character" w:customStyle="1" w:styleId="156">
    <w:name w:val="Heading 1 Char1"/>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57">
    <w:name w:val="Subtle Reference"/>
    <w:basedOn w:val="132"/>
    <w:qFormat/>
    <w:uiPriority w:val="31"/>
    <w:rPr>
      <w:smallCaps/>
      <w:color w:val="C0504D" w:themeColor="accent2"/>
      <w:u w:val="single"/>
      <w14:textFill>
        <w14:solidFill>
          <w14:schemeClr w14:val="accent2"/>
        </w14:solidFill>
      </w14:textFill>
    </w:rPr>
  </w:style>
  <w:style w:type="character" w:customStyle="1" w:styleId="158">
    <w:name w:val="Intense Reference1"/>
    <w:basedOn w:val="132"/>
    <w:qFormat/>
    <w:uiPriority w:val="32"/>
    <w:rPr>
      <w:b/>
      <w:bCs/>
      <w:smallCaps/>
      <w:color w:val="C0504D" w:themeColor="accent2"/>
      <w:spacing w:val="5"/>
      <w:u w:val="single"/>
      <w14:textFill>
        <w14:solidFill>
          <w14:schemeClr w14:val="accent2"/>
        </w14:solidFill>
      </w14:textFill>
    </w:rPr>
  </w:style>
  <w:style w:type="character" w:customStyle="1" w:styleId="159">
    <w:name w:val="Quote Char"/>
    <w:basedOn w:val="132"/>
    <w:uiPriority w:val="29"/>
    <w:rPr>
      <w:i/>
      <w:iCs/>
      <w:color w:val="000000" w:themeColor="text1"/>
      <w14:textFill>
        <w14:solidFill>
          <w14:schemeClr w14:val="tx1"/>
        </w14:solidFill>
      </w14:textFill>
    </w:rPr>
  </w:style>
  <w:style w:type="paragraph" w:styleId="160">
    <w:name w:val="Quote"/>
    <w:basedOn w:val="1"/>
    <w:next w:val="1"/>
    <w:link w:val="165"/>
    <w:qFormat/>
    <w:uiPriority w:val="29"/>
    <w:rPr>
      <w:i/>
      <w:iCs/>
      <w:color w:val="000000" w:themeColor="text1"/>
      <w14:textFill>
        <w14:solidFill>
          <w14:schemeClr w14:val="tx1"/>
        </w14:solidFill>
      </w14:textFill>
    </w:rPr>
  </w:style>
  <w:style w:type="character" w:customStyle="1" w:styleId="161">
    <w:name w:val="Intense Emphasis1"/>
    <w:basedOn w:val="132"/>
    <w:qFormat/>
    <w:uiPriority w:val="21"/>
    <w:rPr>
      <w:b/>
      <w:bCs/>
      <w:i/>
      <w:iCs/>
      <w:color w:val="4F81BD" w:themeColor="accent1"/>
      <w14:textFill>
        <w14:solidFill>
          <w14:schemeClr w14:val="accent1"/>
        </w14:solidFill>
      </w14:textFill>
    </w:rPr>
  </w:style>
  <w:style w:type="character" w:customStyle="1" w:styleId="162">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63">
    <w:name w:val="Intense Quote Char1"/>
    <w:basedOn w:val="132"/>
    <w:link w:val="150"/>
    <w:qFormat/>
    <w:uiPriority w:val="30"/>
    <w:rPr>
      <w:b/>
      <w:bCs/>
      <w:i/>
      <w:iCs/>
      <w:color w:val="4F81BD" w:themeColor="accent1"/>
      <w14:textFill>
        <w14:solidFill>
          <w14:schemeClr w14:val="accent1"/>
        </w14:solidFill>
      </w14:textFill>
    </w:rPr>
  </w:style>
  <w:style w:type="character" w:customStyle="1" w:styleId="164">
    <w:name w:val="Heading 8 Char1"/>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65">
    <w:name w:val="Quote Char1"/>
    <w:basedOn w:val="132"/>
    <w:link w:val="160"/>
    <w:qFormat/>
    <w:uiPriority w:val="29"/>
    <w:rPr>
      <w:i/>
      <w:iCs/>
      <w:color w:val="000000" w:themeColor="text1"/>
      <w14:textFill>
        <w14:solidFill>
          <w14:schemeClr w14:val="tx1"/>
        </w14:solidFill>
      </w14:textFill>
    </w:rPr>
  </w:style>
  <w:style w:type="character" w:customStyle="1" w:styleId="166">
    <w:name w:val="Body Text 2 Char"/>
    <w:basedOn w:val="132"/>
    <w:link w:val="28"/>
    <w:qFormat/>
    <w:uiPriority w:val="99"/>
  </w:style>
  <w:style w:type="character" w:customStyle="1" w:styleId="167">
    <w:name w:val="Book Title"/>
    <w:basedOn w:val="132"/>
    <w:qFormat/>
    <w:uiPriority w:val="33"/>
    <w:rPr>
      <w:b/>
      <w:bCs/>
      <w:smallCaps/>
      <w:spacing w:val="5"/>
    </w:rPr>
  </w:style>
  <w:style w:type="character" w:customStyle="1" w:styleId="168">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69">
    <w:name w:val="Body Text Char1"/>
    <w:basedOn w:val="132"/>
    <w:link w:val="19"/>
    <w:qFormat/>
    <w:uiPriority w:val="99"/>
  </w:style>
  <w:style w:type="character" w:customStyle="1" w:styleId="170">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171">
    <w:name w:val="Macro Text Char"/>
    <w:basedOn w:val="132"/>
    <w:link w:val="2"/>
    <w:uiPriority w:val="99"/>
    <w:rPr>
      <w:rFonts w:ascii="Courier" w:hAnsi="Courier"/>
      <w:sz w:val="20"/>
      <w:szCs w:val="20"/>
    </w:rPr>
  </w:style>
  <w:style w:type="character" w:customStyle="1" w:styleId="17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73">
    <w:name w:val="Macro Text Char1"/>
    <w:basedOn w:val="132"/>
    <w:link w:val="2"/>
    <w:uiPriority w:val="99"/>
    <w:rPr>
      <w:rFonts w:ascii="Courier" w:hAnsi="Courier"/>
      <w:sz w:val="20"/>
      <w:szCs w:val="20"/>
    </w:rPr>
  </w:style>
  <w:style w:type="paragraph" w:customStyle="1" w:styleId="174">
    <w:name w:val="TOC Heading1"/>
    <w:basedOn w:val="3"/>
    <w:next w:val="1"/>
    <w:semiHidden/>
    <w:unhideWhenUsed/>
    <w:qFormat/>
    <w:uiPriority w:val="39"/>
    <w:pPr>
      <w:outlineLvl w:val="9"/>
    </w:pPr>
  </w:style>
  <w:style w:type="character" w:customStyle="1" w:styleId="175">
    <w:name w:val="Heading 9 Char1"/>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176">
    <w:name w:val="Heading 5 Char1"/>
    <w:basedOn w:val="132"/>
    <w:link w:val="7"/>
    <w:semiHidden/>
    <w:uiPriority w:val="9"/>
    <w:rPr>
      <w:rFonts w:asciiTheme="majorHAnsi" w:hAnsiTheme="majorHAnsi" w:eastAsiaTheme="majorEastAsia" w:cstheme="majorBidi"/>
      <w:color w:val="254061" w:themeColor="accent1" w:themeShade="80"/>
    </w:rPr>
  </w:style>
  <w:style w:type="character" w:customStyle="1" w:styleId="177">
    <w:name w:val="Body Text 2 Char1"/>
    <w:basedOn w:val="132"/>
    <w:link w:val="28"/>
    <w:uiPriority w:val="99"/>
  </w:style>
  <w:style w:type="character" w:customStyle="1" w:styleId="178">
    <w:name w:val="Heading 6 Char1"/>
    <w:basedOn w:val="132"/>
    <w:link w:val="8"/>
    <w:semiHidden/>
    <w:uiPriority w:val="9"/>
    <w:rPr>
      <w:rFonts w:asciiTheme="majorHAnsi" w:hAnsiTheme="majorHAnsi" w:eastAsiaTheme="majorEastAsia" w:cstheme="majorBidi"/>
      <w:i/>
      <w:iCs/>
      <w:color w:val="254061" w:themeColor="accent1" w:themeShade="80"/>
    </w:rPr>
  </w:style>
  <w:style w:type="character" w:customStyle="1" w:styleId="179">
    <w:name w:val="Book Title1"/>
    <w:basedOn w:val="132"/>
    <w:qFormat/>
    <w:uiPriority w:val="33"/>
    <w:rPr>
      <w:b/>
      <w:bCs/>
      <w:smallCaps/>
      <w:spacing w:val="5"/>
    </w:rPr>
  </w:style>
  <w:style w:type="character" w:customStyle="1" w:styleId="180">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81">
    <w:name w:val="Footer Char"/>
    <w:basedOn w:val="132"/>
    <w:link w:val="24"/>
    <w:uiPriority w:val="99"/>
  </w:style>
  <w:style w:type="character" w:customStyle="1" w:styleId="182">
    <w:name w:val="Subtle Reference1"/>
    <w:basedOn w:val="132"/>
    <w:qFormat/>
    <w:uiPriority w:val="31"/>
    <w:rPr>
      <w:smallCaps/>
      <w:color w:val="C0504D" w:themeColor="accent2"/>
      <w:u w:val="single"/>
      <w14:textFill>
        <w14:solidFill>
          <w14:schemeClr w14:val="accent2"/>
        </w14:solidFill>
      </w14:textFill>
    </w:rPr>
  </w:style>
  <w:style w:type="character" w:customStyle="1" w:styleId="183">
    <w:name w:val="Heading 3 Char1"/>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84">
    <w:name w:val="Heading 4 Char1"/>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85">
    <w:name w:val="Subtle Emphasis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86">
    <w:name w:val="Heading 2 Char1"/>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2025-06-19T09:02:00Z</dcterms:created>
  <dc:creator>Administrator</dc:creator>
  <cp:lastModifiedBy>Administrator</cp:lastModifiedBy>
  <dcterms:modified xsi:type="dcterms:W3CDTF">2025-06-19T05:02:23Z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3AD6D931353D4EA09AD7710F82B7FC7D</vt:lpwstr>
  </property>
</Properties>
</file>