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20" w:lineRule="exact"/>
        <w:jc w:val="center"/>
        <w:rPr>
          <w:rFonts w:eastAsia="方正小标宋_GBK"/>
          <w:sz w:val="44"/>
          <w:szCs w:val="44"/>
        </w:rPr>
      </w:pPr>
    </w:p>
    <w:p>
      <w:pPr>
        <w:snapToGrid w:val="0"/>
        <w:spacing w:line="620" w:lineRule="exact"/>
        <w:jc w:val="center"/>
        <w:rPr>
          <w:rFonts w:eastAsia="方正小标宋_GBK"/>
          <w:sz w:val="44"/>
          <w:szCs w:val="44"/>
        </w:rPr>
      </w:pPr>
    </w:p>
    <w:p>
      <w:pPr>
        <w:snapToGrid w:val="0"/>
        <w:spacing w:line="620" w:lineRule="exact"/>
        <w:jc w:val="center"/>
        <w:rPr>
          <w:rFonts w:eastAsia="方正小标宋_GBK"/>
          <w:sz w:val="44"/>
          <w:szCs w:val="44"/>
        </w:rPr>
      </w:pPr>
    </w:p>
    <w:p>
      <w:pPr>
        <w:snapToGrid w:val="0"/>
        <w:spacing w:line="620" w:lineRule="exact"/>
        <w:jc w:val="center"/>
        <w:rPr>
          <w:rFonts w:eastAsia="方正小标宋_GBK"/>
          <w:sz w:val="44"/>
          <w:szCs w:val="44"/>
        </w:rPr>
      </w:pPr>
    </w:p>
    <w:p>
      <w:pPr>
        <w:spacing w:line="620" w:lineRule="exact"/>
        <w:ind w:right="35" w:rightChars="11"/>
        <w:jc w:val="center"/>
        <w:rPr>
          <w:rFonts w:eastAsia="方正小标宋_GBK"/>
          <w:sz w:val="44"/>
          <w:szCs w:val="44"/>
        </w:rPr>
      </w:pPr>
    </w:p>
    <w:p>
      <w:pPr>
        <w:spacing w:line="620" w:lineRule="exact"/>
        <w:jc w:val="center"/>
        <w:rPr>
          <w:szCs w:val="32"/>
        </w:rPr>
      </w:pPr>
      <w:r>
        <w:rPr>
          <w:color w:val="000000"/>
          <w:spacing w:val="20"/>
          <w:szCs w:val="32"/>
        </w:rPr>
        <w:t>綦乡振</w:t>
      </w:r>
      <w:r>
        <w:rPr>
          <w:color w:val="000000"/>
          <w:szCs w:val="32"/>
        </w:rPr>
        <w:t>〔202</w:t>
      </w:r>
      <w:r>
        <w:rPr>
          <w:rFonts w:hint="eastAsia"/>
          <w:color w:val="000000"/>
          <w:szCs w:val="32"/>
          <w:lang w:val="en-US" w:eastAsia="zh-CN"/>
        </w:rPr>
        <w:t>6</w:t>
      </w:r>
      <w:r>
        <w:rPr>
          <w:color w:val="000000"/>
          <w:szCs w:val="32"/>
        </w:rPr>
        <w:t>〕</w:t>
      </w:r>
      <w:r>
        <w:rPr>
          <w:rFonts w:hint="eastAsia"/>
          <w:color w:val="000000"/>
          <w:szCs w:val="32"/>
          <w:lang w:val="en-US" w:eastAsia="zh-CN"/>
        </w:rPr>
        <w:t>5</w:t>
      </w:r>
      <w:bookmarkStart w:id="0" w:name="_GoBack"/>
      <w:bookmarkEnd w:id="0"/>
      <w:r>
        <w:rPr>
          <w:color w:val="000000"/>
          <w:spacing w:val="20"/>
          <w:szCs w:val="32"/>
        </w:rPr>
        <w:t>号</w:t>
      </w:r>
    </w:p>
    <w:p>
      <w:pPr>
        <w:snapToGrid w:val="0"/>
        <w:spacing w:line="620" w:lineRule="exact"/>
        <w:jc w:val="center"/>
        <w:rPr>
          <w:rFonts w:eastAsia="方正小标宋_GBK"/>
          <w:sz w:val="44"/>
          <w:szCs w:val="44"/>
        </w:rPr>
      </w:pPr>
    </w:p>
    <w:p>
      <w:pPr>
        <w:snapToGrid w:val="0"/>
        <w:spacing w:line="620" w:lineRule="exact"/>
        <w:jc w:val="center"/>
        <w:rPr>
          <w:rFonts w:eastAsia="方正小标宋_GBK"/>
          <w:sz w:val="44"/>
          <w:szCs w:val="44"/>
        </w:rPr>
      </w:pPr>
    </w:p>
    <w:p>
      <w:pPr>
        <w:snapToGrid w:val="0"/>
        <w:spacing w:line="576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重庆市綦江区乡村振兴局</w:t>
      </w:r>
    </w:p>
    <w:p>
      <w:pPr>
        <w:snapToGrid w:val="0"/>
        <w:spacing w:line="576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55"/>
          <w:kern w:val="0"/>
          <w:sz w:val="44"/>
          <w:szCs w:val="44"/>
          <w:fitText w:val="4840" w:id="-980702720"/>
        </w:rPr>
        <w:t>重庆市綦江区财政</w:t>
      </w:r>
      <w:r>
        <w:rPr>
          <w:rFonts w:hint="eastAsia" w:ascii="方正小标宋_GBK" w:hAnsi="方正小标宋_GBK" w:eastAsia="方正小标宋_GBK" w:cs="方正小标宋_GBK"/>
          <w:spacing w:val="0"/>
          <w:kern w:val="0"/>
          <w:sz w:val="44"/>
          <w:szCs w:val="44"/>
          <w:fitText w:val="4840" w:id="-980702720"/>
        </w:rPr>
        <w:t>局</w:t>
      </w:r>
    </w:p>
    <w:p>
      <w:pPr>
        <w:snapToGrid w:val="0"/>
        <w:spacing w:line="576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关于下达</w:t>
      </w:r>
      <w:r>
        <w:rPr>
          <w:rFonts w:eastAsia="方正小标宋_GBK"/>
          <w:sz w:val="44"/>
          <w:szCs w:val="44"/>
        </w:rPr>
        <w:t>202</w:t>
      </w:r>
      <w:r>
        <w:rPr>
          <w:rFonts w:hint="eastAsia" w:eastAsia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第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三批上级财政常态化</w:t>
      </w:r>
    </w:p>
    <w:p>
      <w:pPr>
        <w:snapToGrid w:val="0"/>
        <w:spacing w:line="576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帮扶资金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项目计划的通知</w:t>
      </w:r>
    </w:p>
    <w:p>
      <w:pPr>
        <w:spacing w:line="576" w:lineRule="exact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beforeAutospacing="0" w:afterAutospacing="0" w:line="576" w:lineRule="exact"/>
        <w:textAlignment w:val="auto"/>
        <w:rPr>
          <w:rFonts w:hint="eastAsia" w:eastAsia="方正仿宋_GBK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>区农业农村委</w:t>
      </w:r>
      <w:r>
        <w:rPr>
          <w:rFonts w:hint="eastAsia"/>
          <w:szCs w:val="32"/>
          <w:lang w:val="en-US" w:eastAsia="zh"/>
        </w:rPr>
        <w:t>，</w:t>
      </w:r>
      <w:r>
        <w:rPr>
          <w:rFonts w:hint="eastAsia"/>
          <w:szCs w:val="32"/>
          <w:lang w:val="en-US" w:eastAsia="zh-CN"/>
        </w:rPr>
        <w:t>相关街镇：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区委农村工作暨实施乡村振兴战略领导小组</w:t>
      </w:r>
      <w:r>
        <w:rPr>
          <w:rFonts w:hint="eastAsia" w:cs="Times New Roman"/>
          <w:sz w:val="32"/>
          <w:szCs w:val="32"/>
          <w:lang w:eastAsia="zh-CN"/>
        </w:rPr>
        <w:t>研究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同意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，本次下达202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  <w:t>市级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常态化帮扶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资金（以下简称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帮扶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资金）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1267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调整安排中央资金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231万元。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主要用于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eastAsia="zh-CN"/>
        </w:rPr>
        <w:t>2026年綦江区产业帮扶补助项目等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（详见附件）。具体要求如下：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spacing w:before="0" w:beforeAutospacing="0" w:after="0" w:afterAutospacing="0" w:line="576" w:lineRule="exact"/>
        <w:ind w:left="0" w:right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</w:rPr>
        <w:t>一、严格规范资金用途。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项目实施单位要严格按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照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《重庆市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财政局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等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5部门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关于印发重庆市财政常态化帮扶资金管理实施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细则的通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知》（渝财农〔2026〕18号）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  <w:t>，</w:t>
      </w:r>
      <w:r>
        <w:rPr>
          <w:rFonts w:hint="default" w:ascii="方正仿宋_GBK" w:hAnsi="方正仿宋_GBK" w:eastAsia="方正仿宋_GBK" w:cs="方正仿宋_GBK"/>
          <w:kern w:val="2"/>
          <w:sz w:val="32"/>
          <w:szCs w:val="32"/>
        </w:rPr>
        <w:t>切实加强资金监管，强化绩效管理，</w:t>
      </w:r>
      <w:r>
        <w:rPr>
          <w:rFonts w:hint="default" w:ascii="方正仿宋_GBK" w:hAnsi="方正仿宋_GBK" w:eastAsia="方正仿宋_GBK" w:cs="方正仿宋_GBK"/>
          <w:kern w:val="2"/>
          <w:sz w:val="32"/>
          <w:szCs w:val="32"/>
          <w:highlight w:val="none"/>
        </w:rPr>
        <w:t>帮扶资金不得用于：弥补预算支出缺口、单位基本支出、交通工具及通讯设备支出、修建楼堂馆所支出、各种奖金津贴和福利补助、偿还债务和垫资等，以及中介</w:t>
      </w:r>
      <w:r>
        <w:rPr>
          <w:rFonts w:hint="eastAsia" w:ascii="方正仿宋_GBK" w:hAnsi="方正仿宋_GBK" w:cs="方正仿宋_GBK"/>
          <w:kern w:val="2"/>
          <w:sz w:val="32"/>
          <w:szCs w:val="32"/>
          <w:highlight w:val="none"/>
          <w:lang w:eastAsia="zh-CN"/>
        </w:rPr>
        <w:t>费用（除项目管理费外）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highlight w:val="none"/>
          <w:lang w:eastAsia="zh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驻村工作队所在村，驻村第一书记需在本村实施的项目验收单上签字，并监督资金项目的公告公示情况。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shd w:val="clear" w:color="auto" w:fill="FFFFFF"/>
        </w:rPr>
        <w:t>二、保质保量推进项目建设。</w:t>
      </w:r>
      <w:r>
        <w:rPr>
          <w:color w:val="000000" w:themeColor="text1"/>
          <w:sz w:val="32"/>
          <w:szCs w:val="32"/>
        </w:rPr>
        <w:t>各</w:t>
      </w:r>
      <w:r>
        <w:rPr>
          <w:rFonts w:hint="eastAsia"/>
          <w:color w:val="000000" w:themeColor="text1"/>
          <w:sz w:val="32"/>
          <w:szCs w:val="32"/>
          <w:lang w:eastAsia="zh-CN"/>
        </w:rPr>
        <w:t>项目实施单位及</w:t>
      </w:r>
      <w:r>
        <w:rPr>
          <w:rFonts w:hint="eastAsia"/>
          <w:sz w:val="32"/>
          <w:szCs w:val="32"/>
          <w:lang w:eastAsia="zh-CN"/>
        </w:rPr>
        <w:t>属地街镇</w:t>
      </w:r>
      <w:r>
        <w:rPr>
          <w:rFonts w:hint="eastAsia"/>
          <w:sz w:val="32"/>
          <w:szCs w:val="32"/>
        </w:rPr>
        <w:t>强化事前事中事后全链条监管，</w:t>
      </w:r>
      <w:r>
        <w:rPr>
          <w:sz w:val="32"/>
          <w:szCs w:val="32"/>
        </w:rPr>
        <w:t>确保形象进度</w:t>
      </w:r>
      <w:r>
        <w:rPr>
          <w:rFonts w:hint="eastAsia"/>
          <w:sz w:val="32"/>
          <w:szCs w:val="32"/>
        </w:rPr>
        <w:t>质量达标，投资进度真实有效，支付进度规范及时。</w:t>
      </w:r>
      <w:r>
        <w:rPr>
          <w:rFonts w:hint="eastAsia"/>
          <w:sz w:val="32"/>
          <w:szCs w:val="32"/>
          <w:lang w:val="en-US" w:eastAsia="zh-CN"/>
        </w:rPr>
        <w:t>明确实施以工代赈的项目，须统筹落实务工薪酬发放要求，安排不低于财政资金的30% 用于发放务工人员工资。项目建设期间优先吸纳本地农户、脱贫户、防止返贫监测对象等当地群众参与工程务工，切实发挥以工代赈就地就近就业、增收惠民政策效能。同时严格遵照《綦江区重点工程项目以工代赈工作指南（试行）》（綦发改〔2023〕3号）相关规定，规范归集、建立健全项目全流程管理台账及档案资料。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34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shd w:val="clear" w:color="auto" w:fill="FFFFFF"/>
        </w:rPr>
        <w:t>三、合法合规落实项目管理。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shd w:val="clear" w:color="auto" w:fill="FFFFFF"/>
        </w:rPr>
        <w:t>项目实施按照相关规定签订廉政合同，按规定组织好项目的评审、招投标、政府采购、工程监理、竣工验收、绩效评价、审计评估等工作。加强对项目实施过程的安全检查，并作好相关记录，确保项目实施安全。各单位</w:t>
      </w:r>
      <w:r>
        <w:rPr>
          <w:rFonts w:hint="eastAsia" w:cs="Times New Roman"/>
          <w:color w:val="000000" w:themeColor="text1"/>
          <w:sz w:val="32"/>
          <w:szCs w:val="32"/>
          <w:shd w:val="clear" w:color="auto" w:fill="FFFFFF"/>
          <w:lang w:eastAsia="zh"/>
        </w:rPr>
        <w:t>认真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shd w:val="clear" w:color="auto" w:fill="FFFFFF"/>
        </w:rPr>
        <w:t>落实区镇村三级公告公示制度，主动接受群众和社会监督。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Autospacing="0" w:line="576" w:lineRule="exact"/>
        <w:ind w:firstLine="640" w:firstLineChars="200"/>
        <w:textAlignment w:val="auto"/>
        <w:rPr>
          <w:color w:val="000000" w:themeColor="text1"/>
          <w:szCs w:val="32"/>
        </w:rPr>
      </w:pPr>
      <w:r>
        <w:rPr>
          <w:rFonts w:hint="eastAsia" w:ascii="方正黑体_GBK" w:hAnsi="方正黑体_GBK" w:eastAsia="方正黑体_GBK" w:cs="方正黑体_GBK"/>
          <w:bCs/>
          <w:szCs w:val="32"/>
        </w:rPr>
        <w:t>四、严肃查处腐败和作风问题。</w:t>
      </w:r>
      <w:r>
        <w:rPr>
          <w:bCs/>
          <w:szCs w:val="32"/>
        </w:rPr>
        <w:t>畅通举报渠道，主动接受群众、社会各界监督。进一步健全监督检查机制，及时开展项目实施情况检查，督促项目实施单位限期整改，对拒不整改或整改工作不力、达不到整改效果的严肃追责问责，绝不手软。对</w:t>
      </w:r>
      <w:r>
        <w:rPr>
          <w:rFonts w:hint="eastAsia"/>
          <w:bCs/>
          <w:szCs w:val="32"/>
          <w:lang w:eastAsia="zh-CN"/>
        </w:rPr>
        <w:t>帮扶</w:t>
      </w:r>
      <w:r>
        <w:rPr>
          <w:bCs/>
          <w:szCs w:val="32"/>
        </w:rPr>
        <w:t>资金项目建设中存在的腐败和作风问题要加强线索搜集、重点关注，严禁套取、骗取项目资金，不得重复享受项目补助资金。若有违规违纪问题将移交纪检监察机关处理，违法行为将移送司法机关处理，确保</w:t>
      </w:r>
      <w:r>
        <w:rPr>
          <w:rFonts w:hint="eastAsia"/>
          <w:bCs/>
          <w:szCs w:val="32"/>
          <w:lang w:eastAsia="zh-CN"/>
        </w:rPr>
        <w:t>帮扶</w:t>
      </w:r>
      <w:r>
        <w:rPr>
          <w:bCs/>
          <w:szCs w:val="32"/>
        </w:rPr>
        <w:t>资金用到实处，保障群众利益。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34"/>
        <w:jc w:val="left"/>
        <w:textAlignment w:val="auto"/>
        <w:rPr>
          <w:color w:val="000000" w:themeColor="text1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shd w:val="clear" w:color="auto" w:fill="FFFFFF"/>
        </w:rPr>
        <w:t>五、管好用好项目库。</w:t>
      </w:r>
      <w:r>
        <w:rPr>
          <w:color w:val="000000" w:themeColor="text1"/>
          <w:sz w:val="32"/>
          <w:szCs w:val="32"/>
        </w:rPr>
        <w:t>严格按照</w:t>
      </w:r>
      <w:r>
        <w:rPr>
          <w:rFonts w:hint="eastAsia"/>
          <w:color w:val="000000" w:themeColor="text1"/>
          <w:sz w:val="32"/>
          <w:szCs w:val="32"/>
          <w:lang w:eastAsia="zh-CN"/>
        </w:rPr>
        <w:t>项目库管理要求</w:t>
      </w:r>
      <w:r>
        <w:rPr>
          <w:color w:val="000000" w:themeColor="text1"/>
          <w:sz w:val="32"/>
          <w:szCs w:val="32"/>
        </w:rPr>
        <w:t>，及时更新项目库信息，做好项目库建设和维护，实现系统录入、上报数据、实际情况，三者相符。</w:t>
      </w:r>
    </w:p>
    <w:p>
      <w:pPr>
        <w:spacing w:line="576" w:lineRule="exact"/>
        <w:ind w:left="1600" w:leftChars="200" w:hanging="960" w:hangingChars="300"/>
        <w:rPr>
          <w:color w:val="000000" w:themeColor="text1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left="1600" w:leftChars="200" w:hanging="960" w:hangingChars="3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color w:val="000000" w:themeColor="text1"/>
          <w:szCs w:val="32"/>
        </w:rPr>
        <w:t>附件：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綦江区2026年部分中央财政常态化帮扶资金项目调减明细表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left="1600" w:leftChars="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綦江区2026年第三批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上级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财政常态化帮扶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资金安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排项目明细表</w:t>
      </w:r>
    </w:p>
    <w:p>
      <w:pPr>
        <w:spacing w:line="576" w:lineRule="exact"/>
        <w:ind w:left="1600" w:leftChars="200" w:hanging="960" w:hangingChars="300"/>
        <w:rPr>
          <w:color w:val="000000" w:themeColor="text1"/>
          <w:szCs w:val="32"/>
        </w:rPr>
      </w:pPr>
    </w:p>
    <w:p>
      <w:pPr>
        <w:spacing w:line="576" w:lineRule="exact"/>
        <w:rPr>
          <w:color w:val="000000" w:themeColor="text1"/>
          <w:szCs w:val="32"/>
        </w:rPr>
      </w:pPr>
    </w:p>
    <w:p>
      <w:pPr>
        <w:spacing w:line="576" w:lineRule="exact"/>
        <w:ind w:firstLine="320" w:firstLineChars="100"/>
        <w:rPr>
          <w:szCs w:val="32"/>
        </w:rPr>
      </w:pPr>
      <w:r>
        <w:rPr>
          <w:szCs w:val="32"/>
        </w:rPr>
        <w:t xml:space="preserve">重庆市綦江区乡村振兴局      </w:t>
      </w:r>
      <w:r>
        <w:rPr>
          <w:rFonts w:hint="eastAsia"/>
          <w:szCs w:val="32"/>
        </w:rPr>
        <w:t xml:space="preserve">   </w:t>
      </w:r>
      <w:r>
        <w:rPr>
          <w:szCs w:val="32"/>
        </w:rPr>
        <w:t xml:space="preserve"> 重庆市綦江区财政局</w:t>
      </w:r>
    </w:p>
    <w:p>
      <w:pPr>
        <w:spacing w:line="576" w:lineRule="exact"/>
        <w:jc w:val="center"/>
      </w:pPr>
      <w:r>
        <w:rPr>
          <w:rFonts w:hint="eastAsia"/>
          <w:szCs w:val="32"/>
        </w:rPr>
        <w:t xml:space="preserve">                               </w:t>
      </w:r>
      <w:r>
        <w:rPr>
          <w:szCs w:val="32"/>
        </w:rPr>
        <w:t>202</w:t>
      </w:r>
      <w:r>
        <w:rPr>
          <w:rFonts w:hint="eastAsia"/>
          <w:szCs w:val="32"/>
          <w:lang w:val="en-US" w:eastAsia="zh-CN"/>
        </w:rPr>
        <w:t>6</w:t>
      </w:r>
      <w:r>
        <w:rPr>
          <w:szCs w:val="32"/>
        </w:rPr>
        <w:t>年</w:t>
      </w:r>
      <w:r>
        <w:rPr>
          <w:rFonts w:hint="eastAsia"/>
          <w:szCs w:val="32"/>
          <w:lang w:val="en-US" w:eastAsia="zh-CN"/>
        </w:rPr>
        <w:t>7</w:t>
      </w:r>
      <w:r>
        <w:rPr>
          <w:szCs w:val="32"/>
        </w:rPr>
        <w:t>月</w:t>
      </w:r>
      <w:r>
        <w:rPr>
          <w:rFonts w:hint="eastAsia"/>
          <w:szCs w:val="32"/>
          <w:lang w:val="en-US" w:eastAsia="zh-CN"/>
        </w:rPr>
        <w:t>24</w:t>
      </w:r>
      <w:r>
        <w:rPr>
          <w:szCs w:val="32"/>
        </w:rPr>
        <w:t>日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34"/>
        <w:jc w:val="left"/>
        <w:textAlignment w:val="auto"/>
        <w:rPr>
          <w:rFonts w:hint="eastAsia" w:eastAsia="方正仿宋_GBK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（此件公开发布）</w:t>
      </w:r>
    </w:p>
    <w:p>
      <w:pPr>
        <w:pStyle w:val="5"/>
        <w:spacing w:line="576" w:lineRule="exact"/>
        <w:rPr>
          <w:sz w:val="32"/>
          <w:szCs w:val="32"/>
        </w:rPr>
      </w:pPr>
    </w:p>
    <w:p>
      <w:pPr>
        <w:pStyle w:val="5"/>
        <w:spacing w:line="576" w:lineRule="exact"/>
        <w:rPr>
          <w:sz w:val="32"/>
          <w:szCs w:val="32"/>
        </w:rPr>
      </w:pPr>
    </w:p>
    <w:p>
      <w:pPr>
        <w:pStyle w:val="5"/>
        <w:spacing w:line="576" w:lineRule="exact"/>
        <w:rPr>
          <w:sz w:val="32"/>
          <w:szCs w:val="32"/>
        </w:rPr>
      </w:pPr>
    </w:p>
    <w:p>
      <w:pPr>
        <w:pStyle w:val="5"/>
        <w:spacing w:line="576" w:lineRule="exact"/>
        <w:rPr>
          <w:sz w:val="32"/>
          <w:szCs w:val="32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decimal"/>
      <w:cols w:space="720" w:num="1"/>
      <w:titlePg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 w:hAnsi="宋体" w:eastAsia="宋体"/>
        <w:sz w:val="28"/>
        <w:szCs w:val="28"/>
      </w:rPr>
    </w:pPr>
    <w:r>
      <w:rPr>
        <w:sz w:val="28"/>
      </w:rPr>
      <w:pict>
        <v:shape id="_x0000_s3073" o:spid="_x0000_s3073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- 3 -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  <w:rPr>
        <w:rFonts w:ascii="宋体" w:hAnsi="宋体" w:eastAsia="宋体"/>
        <w:sz w:val="28"/>
        <w:szCs w:val="28"/>
      </w:rPr>
    </w:pPr>
    <w:r>
      <w:rPr>
        <w:sz w:val="28"/>
      </w:rPr>
      <w:pict>
        <v:shape id="_x0000_s3074" o:spid="_x0000_s3074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2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w:pict>
        <v:shape id="_x0000_s3075" o:spid="_x0000_s3075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1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c5MjYwYzI2ZjgzNDIzYTU2ODhjMGE0NmZhYzYxYmYifQ=="/>
  </w:docVars>
  <w:rsids>
    <w:rsidRoot w:val="0CF66C67"/>
    <w:rsid w:val="00096F9B"/>
    <w:rsid w:val="002F3B0D"/>
    <w:rsid w:val="00323146"/>
    <w:rsid w:val="00364B97"/>
    <w:rsid w:val="00654395"/>
    <w:rsid w:val="006B054E"/>
    <w:rsid w:val="006E0C5D"/>
    <w:rsid w:val="0078001B"/>
    <w:rsid w:val="009C2E8D"/>
    <w:rsid w:val="00E36F95"/>
    <w:rsid w:val="00E52EE6"/>
    <w:rsid w:val="02EC4BD2"/>
    <w:rsid w:val="05997B72"/>
    <w:rsid w:val="06A9677E"/>
    <w:rsid w:val="0785502B"/>
    <w:rsid w:val="0BE35E8C"/>
    <w:rsid w:val="0C525237"/>
    <w:rsid w:val="0C8D50C5"/>
    <w:rsid w:val="0CF66C67"/>
    <w:rsid w:val="0D005DD4"/>
    <w:rsid w:val="0DA7060E"/>
    <w:rsid w:val="10C46534"/>
    <w:rsid w:val="1220319B"/>
    <w:rsid w:val="133F4149"/>
    <w:rsid w:val="14B16142"/>
    <w:rsid w:val="17F233ED"/>
    <w:rsid w:val="187F1162"/>
    <w:rsid w:val="19761967"/>
    <w:rsid w:val="1B4E755A"/>
    <w:rsid w:val="1BB867BB"/>
    <w:rsid w:val="1BFC713A"/>
    <w:rsid w:val="1CDB7931"/>
    <w:rsid w:val="1DEB3B60"/>
    <w:rsid w:val="1E1F5300"/>
    <w:rsid w:val="219854FD"/>
    <w:rsid w:val="225A66CA"/>
    <w:rsid w:val="24455956"/>
    <w:rsid w:val="24817B1A"/>
    <w:rsid w:val="261C543B"/>
    <w:rsid w:val="26C42C90"/>
    <w:rsid w:val="282E78D1"/>
    <w:rsid w:val="28B47CB5"/>
    <w:rsid w:val="28E25ED4"/>
    <w:rsid w:val="2A99258B"/>
    <w:rsid w:val="2A9C6EB6"/>
    <w:rsid w:val="2AD73080"/>
    <w:rsid w:val="2BDBA2AF"/>
    <w:rsid w:val="2CD65B36"/>
    <w:rsid w:val="2E1A4012"/>
    <w:rsid w:val="2F184319"/>
    <w:rsid w:val="2FFC022D"/>
    <w:rsid w:val="30C55B94"/>
    <w:rsid w:val="325E6787"/>
    <w:rsid w:val="330E722D"/>
    <w:rsid w:val="33AE7A82"/>
    <w:rsid w:val="344B5016"/>
    <w:rsid w:val="35446B8C"/>
    <w:rsid w:val="36E80F76"/>
    <w:rsid w:val="3753537C"/>
    <w:rsid w:val="37FB5B3E"/>
    <w:rsid w:val="3B716BD9"/>
    <w:rsid w:val="3B9E2AC2"/>
    <w:rsid w:val="3BA11222"/>
    <w:rsid w:val="3BD8100B"/>
    <w:rsid w:val="3CB90837"/>
    <w:rsid w:val="3CBA54C5"/>
    <w:rsid w:val="3CC24F3A"/>
    <w:rsid w:val="3D7E1BA8"/>
    <w:rsid w:val="3E153786"/>
    <w:rsid w:val="3E774C08"/>
    <w:rsid w:val="3ED6A955"/>
    <w:rsid w:val="3EFB03E1"/>
    <w:rsid w:val="3F1051F8"/>
    <w:rsid w:val="3F3F5FE6"/>
    <w:rsid w:val="3F7FC2A2"/>
    <w:rsid w:val="3FA90E98"/>
    <w:rsid w:val="408D092B"/>
    <w:rsid w:val="458B06FC"/>
    <w:rsid w:val="46803F69"/>
    <w:rsid w:val="481E005F"/>
    <w:rsid w:val="484F02A2"/>
    <w:rsid w:val="49F96AA4"/>
    <w:rsid w:val="4D1F6494"/>
    <w:rsid w:val="4D4D021B"/>
    <w:rsid w:val="4E073294"/>
    <w:rsid w:val="4EEA13A7"/>
    <w:rsid w:val="4FC14B44"/>
    <w:rsid w:val="5085007B"/>
    <w:rsid w:val="50F157F3"/>
    <w:rsid w:val="51123B3B"/>
    <w:rsid w:val="52B30FA2"/>
    <w:rsid w:val="5351521C"/>
    <w:rsid w:val="53E01762"/>
    <w:rsid w:val="55C55E66"/>
    <w:rsid w:val="55FA157E"/>
    <w:rsid w:val="571903F8"/>
    <w:rsid w:val="58AC4CBD"/>
    <w:rsid w:val="5B617016"/>
    <w:rsid w:val="5C381321"/>
    <w:rsid w:val="5C46675C"/>
    <w:rsid w:val="5C4C2333"/>
    <w:rsid w:val="5CCB5B64"/>
    <w:rsid w:val="5E08087F"/>
    <w:rsid w:val="5EA52572"/>
    <w:rsid w:val="5F0E7453"/>
    <w:rsid w:val="5FEB53D3"/>
    <w:rsid w:val="60F47630"/>
    <w:rsid w:val="61323457"/>
    <w:rsid w:val="61725814"/>
    <w:rsid w:val="61A60ADB"/>
    <w:rsid w:val="61BD395C"/>
    <w:rsid w:val="624F2451"/>
    <w:rsid w:val="64A416DE"/>
    <w:rsid w:val="650302C0"/>
    <w:rsid w:val="65037775"/>
    <w:rsid w:val="65BF14D9"/>
    <w:rsid w:val="66C570D1"/>
    <w:rsid w:val="68475FF6"/>
    <w:rsid w:val="690A420D"/>
    <w:rsid w:val="69240F89"/>
    <w:rsid w:val="693E3C75"/>
    <w:rsid w:val="698D3155"/>
    <w:rsid w:val="69F952DD"/>
    <w:rsid w:val="6A10568B"/>
    <w:rsid w:val="6A5973B1"/>
    <w:rsid w:val="6B2D2868"/>
    <w:rsid w:val="6B4E4C23"/>
    <w:rsid w:val="6C805757"/>
    <w:rsid w:val="73633E72"/>
    <w:rsid w:val="787459B6"/>
    <w:rsid w:val="791B1D53"/>
    <w:rsid w:val="793312E5"/>
    <w:rsid w:val="794964C4"/>
    <w:rsid w:val="79A84CF6"/>
    <w:rsid w:val="79F646B1"/>
    <w:rsid w:val="7BEB05BF"/>
    <w:rsid w:val="7C275F73"/>
    <w:rsid w:val="7C5622C9"/>
    <w:rsid w:val="7CCF314A"/>
    <w:rsid w:val="7CD73DE6"/>
    <w:rsid w:val="7D8D6F68"/>
    <w:rsid w:val="7DEFA98E"/>
    <w:rsid w:val="7F5E48E8"/>
    <w:rsid w:val="7F79F749"/>
    <w:rsid w:val="7F7F8C17"/>
    <w:rsid w:val="7FA75CF2"/>
    <w:rsid w:val="7FEFB204"/>
    <w:rsid w:val="8FF1E2E5"/>
    <w:rsid w:val="BFFDB11D"/>
    <w:rsid w:val="D4062910"/>
    <w:rsid w:val="D77FFE48"/>
    <w:rsid w:val="DA3FB50B"/>
    <w:rsid w:val="DB7FF937"/>
    <w:rsid w:val="DDA774D7"/>
    <w:rsid w:val="DEE7EA89"/>
    <w:rsid w:val="DFDFE8EE"/>
    <w:rsid w:val="ED6D9709"/>
    <w:rsid w:val="EEBCA54C"/>
    <w:rsid w:val="F9FFD734"/>
    <w:rsid w:val="FBBE288B"/>
    <w:rsid w:val="FBEF9B2A"/>
    <w:rsid w:val="FC77555E"/>
    <w:rsid w:val="FCEFEAAE"/>
    <w:rsid w:val="FCF391B4"/>
    <w:rsid w:val="FF6D4215"/>
    <w:rsid w:val="FFBAA9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 w:eastAsia="宋体"/>
      <w:sz w:val="21"/>
      <w:szCs w:val="24"/>
    </w:rPr>
  </w:style>
  <w:style w:type="paragraph" w:styleId="3">
    <w:name w:val="toc 5"/>
    <w:basedOn w:val="1"/>
    <w:next w:val="1"/>
    <w:unhideWhenUsed/>
    <w:qFormat/>
    <w:uiPriority w:val="39"/>
    <w:pPr>
      <w:jc w:val="center"/>
    </w:pPr>
    <w:rPr>
      <w:rFonts w:ascii="方正小标宋_GBK" w:hAnsi="方正小标宋_GBK" w:eastAsia="方正小标宋_GBK"/>
      <w:sz w:val="36"/>
    </w:rPr>
  </w:style>
  <w:style w:type="paragraph" w:styleId="4">
    <w:name w:val="Date"/>
    <w:basedOn w:val="1"/>
    <w:next w:val="1"/>
    <w:link w:val="33"/>
    <w:qFormat/>
    <w:uiPriority w:val="0"/>
    <w:pPr>
      <w:ind w:left="100" w:leftChars="2500"/>
    </w:pPr>
  </w:style>
  <w:style w:type="paragraph" w:styleId="5">
    <w:name w:val="footer"/>
    <w:basedOn w:val="1"/>
    <w:link w:val="3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3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FollowedHyperlink"/>
    <w:basedOn w:val="9"/>
    <w:qFormat/>
    <w:uiPriority w:val="0"/>
    <w:rPr>
      <w:color w:val="333333"/>
      <w:u w:val="none"/>
    </w:rPr>
  </w:style>
  <w:style w:type="character" w:styleId="11">
    <w:name w:val="Hyperlink"/>
    <w:basedOn w:val="9"/>
    <w:qFormat/>
    <w:uiPriority w:val="0"/>
    <w:rPr>
      <w:color w:val="333333"/>
      <w:u w:val="none"/>
    </w:rPr>
  </w:style>
  <w:style w:type="character" w:customStyle="1" w:styleId="12">
    <w:name w:val="w100"/>
    <w:basedOn w:val="9"/>
    <w:qFormat/>
    <w:uiPriority w:val="0"/>
  </w:style>
  <w:style w:type="character" w:customStyle="1" w:styleId="13">
    <w:name w:val="yjl"/>
    <w:basedOn w:val="9"/>
    <w:qFormat/>
    <w:uiPriority w:val="0"/>
    <w:rPr>
      <w:color w:val="999999"/>
    </w:rPr>
  </w:style>
  <w:style w:type="character" w:customStyle="1" w:styleId="14">
    <w:name w:val="tit36"/>
    <w:basedOn w:val="9"/>
    <w:qFormat/>
    <w:uiPriority w:val="0"/>
    <w:rPr>
      <w:b/>
      <w:bCs/>
      <w:color w:val="333333"/>
      <w:sz w:val="31"/>
      <w:szCs w:val="31"/>
    </w:rPr>
  </w:style>
  <w:style w:type="character" w:customStyle="1" w:styleId="15">
    <w:name w:val="red"/>
    <w:basedOn w:val="9"/>
    <w:qFormat/>
    <w:uiPriority w:val="0"/>
    <w:rPr>
      <w:color w:val="E1211F"/>
    </w:rPr>
  </w:style>
  <w:style w:type="character" w:customStyle="1" w:styleId="16">
    <w:name w:val="red1"/>
    <w:basedOn w:val="9"/>
    <w:qFormat/>
    <w:uiPriority w:val="0"/>
    <w:rPr>
      <w:color w:val="E1211F"/>
    </w:rPr>
  </w:style>
  <w:style w:type="character" w:customStyle="1" w:styleId="17">
    <w:name w:val="red2"/>
    <w:basedOn w:val="9"/>
    <w:qFormat/>
    <w:uiPriority w:val="0"/>
    <w:rPr>
      <w:color w:val="E33938"/>
      <w:u w:val="single"/>
    </w:rPr>
  </w:style>
  <w:style w:type="character" w:customStyle="1" w:styleId="18">
    <w:name w:val="red3"/>
    <w:basedOn w:val="9"/>
    <w:qFormat/>
    <w:uiPriority w:val="0"/>
    <w:rPr>
      <w:color w:val="E1211F"/>
      <w:u w:val="single"/>
    </w:rPr>
  </w:style>
  <w:style w:type="character" w:customStyle="1" w:styleId="19">
    <w:name w:val="red4"/>
    <w:basedOn w:val="9"/>
    <w:qFormat/>
    <w:uiPriority w:val="0"/>
    <w:rPr>
      <w:color w:val="E1211F"/>
    </w:rPr>
  </w:style>
  <w:style w:type="character" w:customStyle="1" w:styleId="20">
    <w:name w:val="red5"/>
    <w:basedOn w:val="9"/>
    <w:qFormat/>
    <w:uiPriority w:val="0"/>
    <w:rPr>
      <w:color w:val="E1211F"/>
    </w:rPr>
  </w:style>
  <w:style w:type="character" w:customStyle="1" w:styleId="21">
    <w:name w:val="arrow"/>
    <w:basedOn w:val="9"/>
    <w:qFormat/>
    <w:uiPriority w:val="0"/>
  </w:style>
  <w:style w:type="character" w:customStyle="1" w:styleId="22">
    <w:name w:val="con8"/>
    <w:basedOn w:val="9"/>
    <w:qFormat/>
    <w:uiPriority w:val="0"/>
  </w:style>
  <w:style w:type="character" w:customStyle="1" w:styleId="23">
    <w:name w:val="cur8"/>
    <w:basedOn w:val="9"/>
    <w:qFormat/>
    <w:uiPriority w:val="0"/>
    <w:rPr>
      <w:color w:val="3354A2"/>
    </w:rPr>
  </w:style>
  <w:style w:type="character" w:customStyle="1" w:styleId="24">
    <w:name w:val="cur9"/>
    <w:basedOn w:val="9"/>
    <w:qFormat/>
    <w:uiPriority w:val="0"/>
    <w:rPr>
      <w:shd w:val="clear" w:color="auto" w:fill="448FE2"/>
    </w:rPr>
  </w:style>
  <w:style w:type="character" w:customStyle="1" w:styleId="25">
    <w:name w:val="hover77"/>
    <w:basedOn w:val="9"/>
    <w:qFormat/>
    <w:uiPriority w:val="0"/>
    <w:rPr>
      <w:b/>
      <w:bCs/>
    </w:rPr>
  </w:style>
  <w:style w:type="character" w:customStyle="1" w:styleId="26">
    <w:name w:val="yj-time"/>
    <w:basedOn w:val="9"/>
    <w:qFormat/>
    <w:uiPriority w:val="0"/>
    <w:rPr>
      <w:color w:val="AAAAAA"/>
      <w:sz w:val="14"/>
      <w:szCs w:val="14"/>
    </w:rPr>
  </w:style>
  <w:style w:type="character" w:customStyle="1" w:styleId="27">
    <w:name w:val="name"/>
    <w:basedOn w:val="9"/>
    <w:qFormat/>
    <w:uiPriority w:val="0"/>
    <w:rPr>
      <w:color w:val="2760B7"/>
    </w:rPr>
  </w:style>
  <w:style w:type="character" w:customStyle="1" w:styleId="28">
    <w:name w:val="yj-blue"/>
    <w:basedOn w:val="9"/>
    <w:qFormat/>
    <w:uiPriority w:val="0"/>
    <w:rPr>
      <w:b/>
      <w:bCs/>
      <w:color w:val="FFFFFF"/>
      <w:sz w:val="16"/>
      <w:szCs w:val="16"/>
      <w:shd w:val="clear" w:color="auto" w:fill="1E84CB"/>
    </w:rPr>
  </w:style>
  <w:style w:type="character" w:customStyle="1" w:styleId="29">
    <w:name w:val="yjr"/>
    <w:basedOn w:val="9"/>
    <w:qFormat/>
    <w:uiPriority w:val="0"/>
  </w:style>
  <w:style w:type="character" w:customStyle="1" w:styleId="30">
    <w:name w:val="tyhl"/>
    <w:basedOn w:val="9"/>
    <w:qFormat/>
    <w:uiPriority w:val="0"/>
    <w:rPr>
      <w:shd w:val="clear" w:color="auto" w:fill="FFFFFF"/>
    </w:rPr>
  </w:style>
  <w:style w:type="character" w:customStyle="1" w:styleId="31">
    <w:name w:val="sp"/>
    <w:basedOn w:val="9"/>
    <w:qFormat/>
    <w:uiPriority w:val="0"/>
    <w:rPr>
      <w:b/>
      <w:bCs/>
      <w:color w:val="307CD2"/>
    </w:rPr>
  </w:style>
  <w:style w:type="character" w:customStyle="1" w:styleId="32">
    <w:name w:val="页眉 Char"/>
    <w:basedOn w:val="9"/>
    <w:link w:val="6"/>
    <w:qFormat/>
    <w:uiPriority w:val="0"/>
    <w:rPr>
      <w:rFonts w:eastAsia="方正仿宋_GBK"/>
      <w:kern w:val="2"/>
      <w:sz w:val="18"/>
      <w:szCs w:val="18"/>
    </w:rPr>
  </w:style>
  <w:style w:type="character" w:customStyle="1" w:styleId="33">
    <w:name w:val="日期 Char"/>
    <w:basedOn w:val="9"/>
    <w:link w:val="4"/>
    <w:qFormat/>
    <w:uiPriority w:val="0"/>
    <w:rPr>
      <w:rFonts w:eastAsia="方正仿宋_GBK"/>
      <w:kern w:val="2"/>
      <w:sz w:val="32"/>
    </w:rPr>
  </w:style>
  <w:style w:type="character" w:customStyle="1" w:styleId="34">
    <w:name w:val="页脚 Char"/>
    <w:basedOn w:val="9"/>
    <w:link w:val="5"/>
    <w:qFormat/>
    <w:uiPriority w:val="0"/>
    <w:rPr>
      <w:rFonts w:eastAsia="方正仿宋_GBK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 textRotate="1"/>
    <customShpInfo spid="_x0000_s3074" textRotate="1"/>
    <customShpInfo spid="_x0000_s307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1225</Words>
  <Characters>1271</Characters>
  <Lines>1</Lines>
  <Paragraphs>1</Paragraphs>
  <TotalTime>38</TotalTime>
  <ScaleCrop>false</ScaleCrop>
  <LinksUpToDate>false</LinksUpToDate>
  <CharactersWithSpaces>1330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2022-01-01T17:16:00Z</dcterms:created>
  <dc:creator>XIA</dc:creator>
  <cp:lastModifiedBy>user</cp:lastModifiedBy>
  <cp:lastPrinted>2026-07-25T19:40:00Z</cp:lastPrinted>
  <dcterms:modified xsi:type="dcterms:W3CDTF">2026-08-24T11:27:09Z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A297209BC61B4546A5C7626A3790B2B2_43</vt:lpwstr>
  </property>
  <property fmtid="{D5CDD505-2E9C-101B-9397-08002B2CF9AE}" pid="4" name="KSOTemplateDocerSaveRecord">
    <vt:lpwstr>eyJoZGlkIjoiNjI0YTkxYmY1NDhkOWI2NjdmYWQ2NzdlZTNiNjc1MGUiLCJ1c2VySWQiOiIzNzQyNTU5MDIifQ==</vt:lpwstr>
  </property>
</Properties>
</file>