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rightChars="0" w:firstLine="0" w:firstLineChars="0"/>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重庆市綦江区供销合作社联合社</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rightChars="0" w:firstLine="0" w:firstLineChars="0"/>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3" w:firstLineChars="200"/>
        <w:textAlignment w:val="auto"/>
        <w:rPr>
          <w:rStyle w:val="14"/>
          <w:rFonts w:ascii="黑体" w:hAnsi="黑体" w:eastAsia="黑体" w:cs="黑体"/>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一、</w:t>
      </w:r>
      <w:r>
        <w:rPr>
          <w:rStyle w:val="14"/>
          <w:rFonts w:hint="eastAsia" w:ascii="方正黑体_GBK" w:hAnsi="方正黑体_GBK" w:eastAsia="方正黑体_GBK" w:cs="方正黑体_GBK"/>
          <w:b w:val="0"/>
          <w:bCs/>
          <w:sz w:val="32"/>
          <w:szCs w:val="32"/>
          <w:shd w:val="clear" w:color="auto" w:fill="FFFFFF"/>
          <w:lang w:eastAsia="zh-CN"/>
        </w:rPr>
        <w:t>部门</w:t>
      </w:r>
      <w:r>
        <w:rPr>
          <w:rStyle w:val="14"/>
          <w:rFonts w:hint="eastAsia" w:ascii="方正黑体_GBK" w:hAnsi="方正黑体_GBK" w:eastAsia="方正黑体_GBK" w:cs="方正黑体_GBK"/>
          <w:b w:val="0"/>
          <w:bCs/>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sz w:val="32"/>
          <w:szCs w:val="32"/>
        </w:rPr>
      </w:pPr>
      <w:r>
        <w:rPr>
          <w:rStyle w:val="14"/>
          <w:rFonts w:hint="eastAsia" w:ascii="方正楷体_GBK" w:hAnsi="方正楷体_GBK" w:eastAsia="方正楷体_GBK" w:cs="方正楷体_GBK"/>
          <w:b w:val="0"/>
          <w:bCs/>
          <w:sz w:val="32"/>
          <w:szCs w:val="32"/>
          <w:shd w:val="clear" w:color="auto" w:fill="FFFFFF"/>
        </w:rPr>
        <w:t>（一）职能职责</w:t>
      </w:r>
    </w:p>
    <w:p>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.贯彻执行党中央、国务院、市委、市政府和区委、区政府有关农村经济工作和社会发展的方针政策。</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.研究制定全区供销社的发展战略和发展规划；指导全区供销合作社的改革和发展。</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.按照政府授权对重要农业生产资料、烟花爆竹、再生资源及农副产品等经营进行组织、协调和管理；负责指导全区供销合作社系统做好化肥及农业救灾物资的储备和供应工作。</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指导推进全区农村合作经济组织发展；指导系统推动发展各类专业合作社；加强农村综合服务体系建设，开拓培育城乡市场；参与农业产业化经营工作；参与农村现代流通服务网络建设；开展对农村合作经济组织相关人员的培训工作。</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5</w:t>
      </w:r>
      <w:r>
        <w:rPr>
          <w:rFonts w:hint="eastAsia" w:ascii="方正仿宋_GBK" w:hAnsi="方正仿宋_GBK" w:eastAsia="方正仿宋_GBK" w:cs="方正仿宋_GBK"/>
          <w:sz w:val="32"/>
          <w:szCs w:val="32"/>
          <w:shd w:val="clear" w:color="auto" w:fill="FFFFFF"/>
          <w:lang w:val="en-US" w:eastAsia="zh-CN" w:bidi="ar-SA"/>
        </w:rPr>
        <w:t>.依法管理运营本级社有资产，建立完善现代企业制度，监督社有资产保值增值；指导社有出资企业改革发展；对社有出资企业行使出资人职责；对基层社社有资产管理进行指导监督。</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lang w:val="en-US" w:eastAsia="zh-CN" w:bidi="ar-SA"/>
        </w:rPr>
        <w:t>.协调与政府部门、社会组织的关系，指导主管社团（协会）的业务工作及成员社的业务活动。</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.负责全区烟花爆竹统一归口专营管理，承担烟花爆竹经营和烟花爆竹市场有序供销管理的日常工作。</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.调查研究供销合作经济发展中的重大问题，提出扶持性政策建议；向政府和有关部门反映供销社和社员的意见和要求，维护供销合作社的合法权益。</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bidi="ar-SA"/>
        </w:rPr>
        <w:t>.指导供销合作社基层组织建设，加强和改善经营管理，密切同农民的联系；协调成员社之间的关系，发挥群体联合优势。</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en-US" w:bidi="ar-SA"/>
        </w:rPr>
      </w:pPr>
      <w:r>
        <w:rPr>
          <w:rFonts w:hint="eastAsia" w:ascii="Times New Roman" w:hAnsi="Times New Roman" w:eastAsia="方正仿宋_GBK" w:cs="方正仿宋_GBK"/>
          <w:sz w:val="32"/>
          <w:szCs w:val="32"/>
          <w:shd w:val="clear" w:color="auto" w:fill="FFFFFF"/>
          <w:lang w:val="en-US" w:eastAsia="en-US" w:bidi="ar-SA"/>
        </w:rPr>
        <w:t>10</w:t>
      </w:r>
      <w:r>
        <w:rPr>
          <w:rFonts w:hint="eastAsia" w:ascii="方正仿宋_GBK" w:hAnsi="方正仿宋_GBK" w:eastAsia="方正仿宋_GBK" w:cs="方正仿宋_GBK"/>
          <w:sz w:val="32"/>
          <w:szCs w:val="32"/>
          <w:shd w:val="clear" w:color="auto" w:fill="FFFFFF"/>
          <w:lang w:val="en-US" w:eastAsia="en-US" w:bidi="ar-SA"/>
        </w:rPr>
        <w:t>.承办区委</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en-US" w:bidi="ar-SA"/>
        </w:rPr>
        <w:t>区政府和上级有关部门交办的其他事项。</w:t>
      </w:r>
    </w:p>
    <w:p>
      <w:pPr>
        <w:pStyle w:val="10"/>
        <w:keepNext w:val="0"/>
        <w:keepLines w:val="0"/>
        <w:pageBreakBefore w:val="0"/>
        <w:widowControl/>
        <w:shd w:val="clear" w:color="auto" w:fill="FFFFFF"/>
        <w:kinsoku/>
        <w:wordWrap/>
        <w:overflowPunct/>
        <w:topLinePunct w:val="0"/>
        <w:autoSpaceDN/>
        <w:bidi w:val="0"/>
        <w:adjustRightInd/>
        <w:spacing w:before="0"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sz w:val="32"/>
          <w:szCs w:val="32"/>
        </w:rPr>
      </w:pPr>
      <w:r>
        <w:rPr>
          <w:rStyle w:val="14"/>
          <w:rFonts w:hint="eastAsia" w:ascii="方正楷体_GBK" w:hAnsi="方正楷体_GBK" w:eastAsia="方正楷体_GBK" w:cs="方正楷体_GBK"/>
          <w:b w:val="0"/>
          <w:bCs/>
          <w:sz w:val="32"/>
          <w:szCs w:val="32"/>
          <w:shd w:val="clear" w:color="auto" w:fill="FFFFFF"/>
        </w:rPr>
        <w:t>（二）机构设置</w:t>
      </w:r>
    </w:p>
    <w:p>
      <w:pPr>
        <w:pStyle w:val="2"/>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按照綦江委办发〔</w:t>
      </w:r>
      <w:r>
        <w:rPr>
          <w:rFonts w:hint="eastAsia" w:ascii="Times New Roman" w:hAnsi="Times New Roman" w:eastAsia="方正仿宋_GBK" w:cs="方正仿宋_GBK"/>
          <w:sz w:val="32"/>
          <w:szCs w:val="32"/>
          <w:shd w:val="clear" w:color="auto" w:fill="FFFFFF"/>
          <w:lang w:val="en-US" w:eastAsia="zh-CN" w:bidi="ar-SA"/>
        </w:rPr>
        <w:t>2016</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19</w:t>
      </w:r>
      <w:r>
        <w:rPr>
          <w:rFonts w:hint="eastAsia" w:ascii="方正仿宋_GBK" w:hAnsi="方正仿宋_GBK" w:eastAsia="方正仿宋_GBK" w:cs="方正仿宋_GBK"/>
          <w:sz w:val="32"/>
          <w:szCs w:val="32"/>
          <w:shd w:val="clear" w:color="auto" w:fill="FFFFFF"/>
          <w:lang w:val="en-US" w:eastAsia="zh-CN" w:bidi="ar-SA"/>
        </w:rPr>
        <w:t>号文件和綦编〔</w:t>
      </w:r>
      <w:r>
        <w:rPr>
          <w:rFonts w:hint="eastAsia" w:ascii="Times New Roman" w:hAnsi="Times New Roman" w:eastAsia="方正仿宋_GBK" w:cs="方正仿宋_GBK"/>
          <w:sz w:val="32"/>
          <w:szCs w:val="32"/>
          <w:shd w:val="clear" w:color="auto" w:fill="FFFFFF"/>
          <w:lang w:val="en-US" w:eastAsia="zh-CN" w:bidi="ar-SA"/>
        </w:rPr>
        <w:t>2012</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255</w:t>
      </w:r>
      <w:r>
        <w:rPr>
          <w:rFonts w:hint="eastAsia" w:ascii="方正仿宋_GBK" w:hAnsi="方正仿宋_GBK" w:eastAsia="方正仿宋_GBK" w:cs="方正仿宋_GBK"/>
          <w:sz w:val="32"/>
          <w:szCs w:val="32"/>
          <w:shd w:val="clear" w:color="auto" w:fill="FFFFFF"/>
          <w:lang w:val="en-US" w:eastAsia="zh-CN" w:bidi="ar-SA"/>
        </w:rPr>
        <w:t>号文件精神，我社为区政府管理的其他机构，属财政经费全额拨款的参公管理的事业单位。根据綦编办〔</w:t>
      </w:r>
      <w:r>
        <w:rPr>
          <w:rFonts w:hint="eastAsia" w:ascii="Times New Roman" w:hAnsi="Times New Roman" w:eastAsia="方正仿宋_GBK" w:cs="方正仿宋_GBK"/>
          <w:sz w:val="32"/>
          <w:szCs w:val="32"/>
          <w:shd w:val="clear" w:color="auto" w:fill="FFFFFF"/>
          <w:lang w:val="en-US" w:eastAsia="zh-CN" w:bidi="ar-SA"/>
        </w:rPr>
        <w:t>2014</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177</w:t>
      </w:r>
      <w:r>
        <w:rPr>
          <w:rFonts w:hint="eastAsia" w:ascii="方正仿宋_GBK" w:hAnsi="方正仿宋_GBK" w:eastAsia="方正仿宋_GBK" w:cs="方正仿宋_GBK"/>
          <w:sz w:val="32"/>
          <w:szCs w:val="32"/>
          <w:shd w:val="clear" w:color="auto" w:fill="FFFFFF"/>
          <w:lang w:val="en-US" w:eastAsia="zh-CN" w:bidi="ar-SA"/>
        </w:rPr>
        <w:t>号文件规定，核定内设机构为</w:t>
      </w:r>
      <w:r>
        <w:rPr>
          <w:rFonts w:hint="eastAsia" w:ascii="Times New Roman" w:hAnsi="Times New Roman" w:eastAsia="方正仿宋_GBK" w:cs="方正仿宋_GBK"/>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个，分别为综合科、合作指导科、商贸流通科、社有企业监管科；綦委编〔</w:t>
      </w:r>
      <w:r>
        <w:rPr>
          <w:rFonts w:hint="eastAsia" w:ascii="Times New Roman" w:hAnsi="Times New Roman" w:eastAsia="方正仿宋_GBK" w:cs="方正仿宋_GBK"/>
          <w:sz w:val="32"/>
          <w:szCs w:val="32"/>
          <w:shd w:val="clear" w:color="auto" w:fill="FFFFFF"/>
          <w:lang w:val="en-US" w:eastAsia="zh-CN" w:bidi="ar-SA"/>
        </w:rPr>
        <w:t>2021</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11</w:t>
      </w:r>
      <w:r>
        <w:rPr>
          <w:rFonts w:hint="eastAsia" w:ascii="方正仿宋_GBK" w:hAnsi="方正仿宋_GBK" w:eastAsia="方正仿宋_GBK" w:cs="方正仿宋_GBK"/>
          <w:sz w:val="32"/>
          <w:szCs w:val="32"/>
          <w:shd w:val="clear" w:color="auto" w:fill="FFFFFF"/>
          <w:lang w:val="en-US" w:eastAsia="zh-CN" w:bidi="ar-SA"/>
        </w:rPr>
        <w:t>号文件新增设内设机构监事会办公室。</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年年初职工实有人数</w:t>
      </w:r>
      <w:r>
        <w:rPr>
          <w:rFonts w:hint="eastAsia" w:ascii="Times New Roman" w:hAnsi="Times New Roman" w:eastAsia="方正仿宋_GBK" w:cs="方正仿宋_GBK"/>
          <w:sz w:val="32"/>
          <w:szCs w:val="32"/>
          <w:shd w:val="clear" w:color="auto" w:fill="FFFFFF"/>
          <w:lang w:val="en-US" w:eastAsia="zh-CN" w:bidi="ar-SA"/>
        </w:rPr>
        <w:t>13</w:t>
      </w:r>
      <w:r>
        <w:rPr>
          <w:rFonts w:hint="eastAsia" w:ascii="方正仿宋_GBK" w:hAnsi="方正仿宋_GBK" w:eastAsia="方正仿宋_GBK" w:cs="方正仿宋_GBK"/>
          <w:sz w:val="32"/>
          <w:szCs w:val="32"/>
          <w:shd w:val="clear" w:color="auto" w:fill="FFFFFF"/>
          <w:lang w:val="en-US" w:eastAsia="zh-CN" w:bidi="ar-SA"/>
        </w:rPr>
        <w:t>人，</w:t>
      </w: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年年末职工实有人数</w:t>
      </w:r>
      <w:r>
        <w:rPr>
          <w:rFonts w:hint="eastAsia" w:ascii="Times New Roman" w:hAnsi="Times New Roman" w:eastAsia="方正仿宋_GBK" w:cs="方正仿宋_GBK"/>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人，</w:t>
      </w: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年退休</w:t>
      </w:r>
      <w:r>
        <w:rPr>
          <w:rFonts w:hint="eastAsia" w:ascii="Times New Roman" w:hAnsi="Times New Roman" w:eastAsia="方正仿宋_GBK" w:cs="方正仿宋_GBK"/>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人，调进</w:t>
      </w: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人，调出</w:t>
      </w: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二、</w:t>
      </w:r>
      <w:r>
        <w:rPr>
          <w:rStyle w:val="14"/>
          <w:rFonts w:hint="eastAsia" w:ascii="方正黑体_GBK" w:hAnsi="方正黑体_GBK" w:eastAsia="方正黑体_GBK" w:cs="方正黑体_GBK"/>
          <w:b w:val="0"/>
          <w:bCs/>
          <w:sz w:val="32"/>
          <w:szCs w:val="32"/>
          <w:shd w:val="clear" w:color="auto" w:fill="FFFFFF"/>
          <w:lang w:eastAsia="zh-CN"/>
        </w:rPr>
        <w:t>部门</w:t>
      </w:r>
      <w:r>
        <w:rPr>
          <w:rStyle w:val="14"/>
          <w:rFonts w:hint="eastAsia" w:ascii="方正黑体_GBK" w:hAnsi="方正黑体_GBK" w:eastAsia="方正黑体_GBK" w:cs="方正黑体_GBK"/>
          <w:b w:val="0"/>
          <w:bCs/>
          <w:sz w:val="32"/>
          <w:szCs w:val="32"/>
          <w:shd w:val="clear" w:color="auto" w:fill="FFFFFF"/>
        </w:rPr>
        <w:t>决算</w:t>
      </w:r>
      <w:r>
        <w:rPr>
          <w:rStyle w:val="14"/>
          <w:rFonts w:hint="eastAsia" w:ascii="方正黑体_GBK" w:hAnsi="方正黑体_GBK" w:eastAsia="方正黑体_GBK" w:cs="方正黑体_GBK"/>
          <w:b w:val="0"/>
          <w:bCs/>
          <w:sz w:val="32"/>
          <w:szCs w:val="32"/>
          <w:shd w:val="clear" w:color="auto" w:fill="FFFFFF"/>
          <w:lang w:eastAsia="zh-CN"/>
        </w:rPr>
        <w:t>收支</w:t>
      </w:r>
      <w:r>
        <w:rPr>
          <w:rStyle w:val="14"/>
          <w:rFonts w:hint="eastAsia" w:ascii="方正黑体_GBK" w:hAnsi="方正黑体_GBK" w:eastAsia="方正黑体_GBK" w:cs="方正黑体_GBK"/>
          <w:b w:val="0"/>
          <w:bCs/>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spacing w:before="0" w:beforeAutospacing="0" w:afterAutospacing="0" w:line="576" w:lineRule="exact"/>
        <w:ind w:left="0" w:right="0" w:rightChars="0" w:firstLine="643" w:firstLineChars="200"/>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收入总计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万元。收支较上年决算数增加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%，主要原因是基本支出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万元，项目支出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72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万元，总计</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支增加</w:t>
      </w:r>
      <w:r>
        <w:rPr>
          <w:rFonts w:ascii="方正仿宋_GBK" w:hAnsi="方正仿宋_GBK" w:eastAsia="方正仿宋_GBK" w:cs="方正仿宋_GBK"/>
          <w:sz w:val="32"/>
          <w:szCs w:val="32"/>
          <w:shd w:val="clear" w:color="auto" w:fill="FFFFFF"/>
        </w:rPr>
        <w:t>的主要原因</w:t>
      </w:r>
      <w:r>
        <w:rPr>
          <w:rFonts w:hint="eastAsia" w:ascii="方正仿宋_GBK" w:hAnsi="方正仿宋_GBK" w:eastAsia="方正仿宋_GBK" w:cs="方正仿宋_GBK"/>
          <w:sz w:val="32"/>
          <w:szCs w:val="32"/>
          <w:shd w:val="clear" w:color="auto" w:fill="FFFFFF"/>
          <w:lang w:val="en-US" w:eastAsia="zh-CN"/>
        </w:rPr>
        <w:t>是本单位</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年度涉及三社融合及废弃农膜等项目支出增加，故本年度整体支出有所增加。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ascii="Times New Roman" w:hAnsi="Times New Roman" w:eastAsia="方正仿宋_GBK" w:cs="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收入合计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ascii="Times New Roman" w:hAnsi="Times New Roman" w:eastAsia="方正仿宋_GBK" w:cs="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支出合计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本年度基本支出与项目支出增加，导致总体支出增加。</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422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4</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01</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582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67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99</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4</w:t>
      </w:r>
      <w:r>
        <w:rPr>
          <w:rStyle w:val="14"/>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年末结转和结余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，较上年决算数无增减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财政拨款收、支总计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万元。与</w:t>
      </w:r>
      <w:r>
        <w:rPr>
          <w:rFonts w:hint="eastAsia" w:ascii="方正仿宋_GBK" w:hAnsi="方正仿宋_GBK" w:eastAsia="方正仿宋_GBK" w:cs="方正仿宋_GBK"/>
          <w:sz w:val="32"/>
          <w:szCs w:val="32"/>
          <w:shd w:val="clear" w:color="auto" w:fill="FFFFFF"/>
          <w:lang w:val="en-US" w:eastAsia="zh-CN"/>
        </w:rPr>
        <w:t>上</w:t>
      </w:r>
      <w:r>
        <w:rPr>
          <w:rFonts w:ascii="方正仿宋_GBK" w:hAnsi="方正仿宋_GBK" w:eastAsia="方正仿宋_GBK" w:cs="方正仿宋_GBK"/>
          <w:sz w:val="32"/>
          <w:szCs w:val="32"/>
          <w:shd w:val="clear" w:color="auto" w:fill="FFFFFF"/>
        </w:rPr>
        <w:t>年相比，财政拨款收、支总计各增加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年度涉及三社融合及废弃农膜等项目支出增加，故本年度整体支出有所增加。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一般公共预算财政拨款收入</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项目预算削减，部分项目未实施等。</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一般公共预算财政拨款支出</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项目预算削减，部分项目未实施等。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4"/>
          <w:rFonts w:ascii="Times New Roman" w:hAnsi="Times New Roman" w:eastAsia="方正仿宋_GBK" w:cs="方正仿宋_GBK"/>
          <w:sz w:val="32"/>
          <w:szCs w:val="32"/>
          <w:shd w:val="clear" w:color="auto" w:fill="FFFFFF"/>
        </w:rPr>
        <w:t>4</w:t>
      </w:r>
      <w:r>
        <w:rPr>
          <w:rStyle w:val="14"/>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一般公共预算财政拨款支出主要用于以下几个方面：</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119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84</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退休人员增加，补发以前年度一次性退休费用导致支出增加。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18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59</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85</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27</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职工医保费用降低。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116</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03</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55</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44</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eastAsia" w:ascii="Times New Roman" w:hAnsi="Times New Roman" w:eastAsia="方正仿宋_GBK" w:cs="方正仿宋_GBK"/>
          <w:sz w:val="32"/>
          <w:szCs w:val="32"/>
          <w:lang w:val="en-US" w:eastAsia="zh-CN"/>
        </w:rPr>
        <w:t>420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41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80</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99</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）商业服务业等支出</w:t>
      </w:r>
      <w:r>
        <w:rPr>
          <w:rFonts w:hint="eastAsia" w:ascii="Times New Roman" w:hAnsi="Times New Roman" w:eastAsia="方正仿宋_GBK" w:cs="方正仿宋_GBK"/>
          <w:sz w:val="32"/>
          <w:szCs w:val="32"/>
          <w:lang w:val="en-US" w:eastAsia="zh-CN"/>
        </w:rPr>
        <w:t>308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30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75</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本年度开展日常工作经费相应有所增长。</w:t>
      </w:r>
    </w:p>
    <w:p>
      <w:pPr>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21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人员变动及工资调标相应的公积金支出增加。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一般公共财政拨款基本支出</w:t>
      </w:r>
      <w:r>
        <w:rPr>
          <w:rFonts w:hint="eastAsia" w:ascii="Times New Roman" w:hAnsi="Times New Roman" w:eastAsia="方正仿宋_GBK" w:cs="方正仿宋_GBK"/>
          <w:sz w:val="32"/>
          <w:szCs w:val="32"/>
          <w:lang w:val="en-US" w:eastAsia="zh-CN"/>
        </w:rPr>
        <w:t>422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04</w:t>
      </w:r>
      <w:r>
        <w:rPr>
          <w:rFonts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lang w:val="en-US" w:eastAsia="zh-CN"/>
        </w:rPr>
        <w:t>350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人员变动、工资调标等导致对应支出增加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人员经费用途主要包括基本工资、津贴补贴、奖金、社会保障缴费、目标考核奖及年终一次性奖、生活补助、住房公积金等。公用经费</w:t>
      </w:r>
      <w:r>
        <w:rPr>
          <w:rFonts w:hint="eastAsia" w:ascii="Times New Roman" w:hAnsi="Times New Roman" w:eastAsia="方正仿宋_GBK" w:cs="方正仿宋_GBK"/>
          <w:sz w:val="32"/>
          <w:szCs w:val="32"/>
          <w:lang w:val="en-US" w:eastAsia="zh-CN"/>
        </w:rPr>
        <w:t>71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日常工作增加</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日常工作经费开支</w:t>
      </w:r>
      <w:r>
        <w:rPr>
          <w:rFonts w:hint="eastAsia" w:ascii="方正仿宋_GBK" w:hAnsi="方正仿宋_GBK" w:eastAsia="方正仿宋_GBK" w:cs="方正仿宋_GBK"/>
          <w:sz w:val="32"/>
          <w:szCs w:val="32"/>
          <w:shd w:val="clear" w:color="auto" w:fill="FFFFFF"/>
        </w:rPr>
        <w:t>较上年有所增加。</w:t>
      </w:r>
      <w:r>
        <w:rPr>
          <w:rFonts w:ascii="方正仿宋_GBK" w:hAnsi="方正仿宋_GBK" w:eastAsia="方正仿宋_GBK" w:cs="方正仿宋_GBK"/>
          <w:sz w:val="32"/>
          <w:szCs w:val="32"/>
          <w:shd w:val="clear" w:color="auto" w:fill="FFFFFF"/>
        </w:rPr>
        <w:t>公用经费用途主要包括办公费、水电费、邮电费、</w:t>
      </w:r>
      <w:r>
        <w:rPr>
          <w:rFonts w:hint="eastAsia" w:ascii="方正仿宋_GBK" w:hAnsi="方正仿宋_GBK" w:eastAsia="方正仿宋_GBK" w:cs="方正仿宋_GBK"/>
          <w:sz w:val="32"/>
          <w:szCs w:val="32"/>
          <w:shd w:val="clear" w:color="auto" w:fill="FFFFFF"/>
          <w:lang w:val="en-US" w:eastAsia="zh-CN"/>
        </w:rPr>
        <w:t>劳务费、</w:t>
      </w:r>
      <w:r>
        <w:rPr>
          <w:rFonts w:ascii="方正仿宋_GBK" w:hAnsi="方正仿宋_GBK" w:eastAsia="方正仿宋_GBK" w:cs="方正仿宋_GBK"/>
          <w:sz w:val="32"/>
          <w:szCs w:val="32"/>
          <w:shd w:val="clear" w:color="auto" w:fill="FFFFFF"/>
        </w:rPr>
        <w:t>差旅费、会议费、培训费、福利费、其他交通费等。</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无政府性基金预算财政拨款收支。</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Style w:val="14"/>
          <w:rFonts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国有资本经营预算财政拨本年支出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万元，基本支出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万元，项目支出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w:t>
      </w:r>
      <w:r>
        <w:rPr>
          <w:rStyle w:val="14"/>
          <w:rFonts w:hint="eastAsia" w:ascii="方正黑体_GBK" w:hAnsi="方正黑体_GBK" w:eastAsia="方正黑体_GBK" w:cs="方正黑体_GBK"/>
          <w:b w:val="0"/>
          <w:bCs/>
          <w:sz w:val="32"/>
          <w:szCs w:val="32"/>
          <w:shd w:val="clear" w:color="auto" w:fill="FFFFFF"/>
          <w:lang w:eastAsia="zh-CN"/>
        </w:rPr>
        <w:t>财政拨款</w:t>
      </w:r>
      <w:r>
        <w:rPr>
          <w:rStyle w:val="14"/>
          <w:rFonts w:hint="eastAsia" w:ascii="方正黑体_GBK" w:hAnsi="方正黑体_GBK" w:eastAsia="方正黑体_GBK" w:cs="方正黑体_GBK"/>
          <w:b w:val="0"/>
          <w:bCs/>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19</w:t>
      </w:r>
      <w:r>
        <w:rPr>
          <w:rFonts w:ascii="方正仿宋_GBK" w:hAnsi="方正仿宋_GBK" w:eastAsia="方正仿宋_GBK" w:cs="方正仿宋_GBK"/>
          <w:sz w:val="32"/>
          <w:szCs w:val="32"/>
          <w:shd w:val="clear" w:color="auto" w:fill="FFFFFF"/>
        </w:rPr>
        <w:t>万元，较年初预算数减少</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36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严格控制三公经费支出，缩减不必要开支；</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38</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年度本单位在原有实施项目的基础上于年初承接红旗村高标准农田建设项目，并在三位一体综合改革前期工作中得到市社肯定，故承接市社检查指导工作和其他区县调研学习次数较上年有所增加，导致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年度公务接待费较上年有所增加；到项目现场和到市总社报告工作情况等公车使用次数较上年有所增加，导致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年度公务用车运行维护费较上年有所增加。综上因素，本单位</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年度三公经费较上年度有所增加。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46</w:t>
      </w:r>
      <w:r>
        <w:rPr>
          <w:rFonts w:ascii="方正仿宋_GBK" w:hAnsi="方正仿宋_GBK" w:eastAsia="方正仿宋_GBK" w:cs="方正仿宋_GBK"/>
          <w:sz w:val="32"/>
          <w:szCs w:val="32"/>
          <w:shd w:val="clear" w:color="auto" w:fill="FFFFFF"/>
        </w:rPr>
        <w:t>万元，主要用于单位按规定保留的公务用车燃料费、维修费、过路过桥费、保险费等支出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04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29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w:t>
      </w:r>
      <w:r>
        <w:rPr>
          <w:rFonts w:ascii="方正仿宋_GBK" w:hAnsi="方正仿宋_GBK" w:eastAsia="方正仿宋_GBK" w:cs="方正仿宋_GBK"/>
          <w:sz w:val="32"/>
          <w:szCs w:val="32"/>
          <w:shd w:val="clear" w:color="auto" w:fill="FFFFFF"/>
        </w:rPr>
        <w:t>公</w:t>
      </w:r>
      <w:r>
        <w:rPr>
          <w:rFonts w:ascii="方正仿宋_GBK" w:hAnsi="方正仿宋_GBK" w:eastAsia="方正仿宋_GBK" w:cs="方正仿宋_GBK"/>
          <w:color w:val="auto"/>
          <w:sz w:val="32"/>
          <w:szCs w:val="32"/>
          <w:shd w:val="clear" w:color="auto" w:fill="FFFFFF"/>
        </w:rPr>
        <w:t>务车运行维护</w:t>
      </w:r>
      <w:r>
        <w:rPr>
          <w:rFonts w:hint="eastAsia" w:ascii="方正仿宋_GBK" w:hAnsi="方正仿宋_GBK" w:eastAsia="方正仿宋_GBK" w:cs="方正仿宋_GBK"/>
          <w:color w:val="auto"/>
          <w:sz w:val="32"/>
          <w:szCs w:val="32"/>
          <w:shd w:val="clear" w:color="auto" w:fill="FFFFFF"/>
          <w:lang w:val="en-US" w:eastAsia="zh-CN"/>
        </w:rPr>
        <w:t>费用降低。</w:t>
      </w:r>
      <w:r>
        <w:rPr>
          <w:rFonts w:ascii="方正仿宋_GBK" w:hAnsi="方正仿宋_GBK" w:eastAsia="方正仿宋_GBK" w:cs="方正仿宋_GBK"/>
          <w:color w:val="auto"/>
          <w:sz w:val="32"/>
          <w:szCs w:val="32"/>
          <w:shd w:val="clear" w:color="auto" w:fill="FFFFFF"/>
        </w:rPr>
        <w:t>较上年支出数增加</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年度本单位在原有实施项目的基础上于年初承接红旗村高标准农田建设项目，并在三位一体综合改革前期工作中得到市社肯定，故到项目现场和到市总社报告工作情况等公车使用次数较上年有所增加，导致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年度公务用车运行维护费较上年有所增加。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73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上级单位检查工作以及市内外供销社来我社调研</w:t>
      </w:r>
      <w:r>
        <w:rPr>
          <w:rFonts w:hint="eastAsia" w:ascii="方正仿宋_GBK" w:hAnsi="方正仿宋_GBK" w:eastAsia="方正仿宋_GBK" w:cs="方正仿宋_GBK"/>
          <w:color w:val="auto"/>
          <w:sz w:val="32"/>
          <w:szCs w:val="32"/>
          <w:shd w:val="clear" w:color="auto" w:fill="FFFFFF"/>
          <w:lang w:val="en-US" w:eastAsia="zh-CN"/>
        </w:rPr>
        <w:t>学习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77</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严格控制三公经费支出，接待费用降低。</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年度本单位在原有实施项目的基础上于年初承接红旗村高标准农田建设项目，并在三位一体综合改革前期工作中得到市社肯定，故承接市社检查指导工作和其他区县调研学习次数较上年有所增加，导致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年度公务接待费较上年有所增加。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方正仿宋_GBK"/>
          <w:sz w:val="32"/>
          <w:szCs w:val="32"/>
          <w:lang w:val="en-US" w:eastAsia="zh-CN"/>
        </w:rPr>
        <w:t>7</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lang w:val="en-US" w:eastAsia="zh-CN"/>
        </w:rPr>
        <w:t>97</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方正仿宋_GBK"/>
          <w:sz w:val="32"/>
          <w:szCs w:val="32"/>
          <w:lang w:val="en-US" w:eastAsia="zh-CN"/>
        </w:rPr>
        <w:t>74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94</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46</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8</w:t>
      </w:r>
      <w:r>
        <w:rPr>
          <w:rFonts w:ascii="方正仿宋_GBK" w:hAnsi="方正仿宋_GBK" w:eastAsia="方正仿宋_GBK" w:cs="方正仿宋_GBK"/>
          <w:sz w:val="32"/>
          <w:szCs w:val="32"/>
          <w:shd w:val="clear" w:color="auto" w:fill="FFFFFF"/>
        </w:rPr>
        <w:t>万元，较上年决算数减少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与上年基本持平</w:t>
      </w:r>
      <w:r>
        <w:rPr>
          <w:rFonts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51</w:t>
      </w:r>
      <w:r>
        <w:rPr>
          <w:rFonts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52</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年度本单位严格执行政府下发过紧日子的通知，取消不必要的外出培训学习计划，故培训费用较上年度减少</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年度本单位机关运行经费支出</w:t>
      </w:r>
      <w:r>
        <w:rPr>
          <w:rFonts w:hint="eastAsia" w:ascii="Times New Roman" w:hAnsi="Times New Roman" w:eastAsia="方正仿宋_GBK" w:cs="方正仿宋_GBK"/>
          <w:sz w:val="32"/>
          <w:szCs w:val="32"/>
          <w:lang w:val="en-US" w:eastAsia="zh-CN"/>
        </w:rPr>
        <w:t>71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11</w:t>
      </w:r>
      <w:r>
        <w:rPr>
          <w:rFonts w:ascii="方正仿宋_GBK" w:hAnsi="方正仿宋_GBK" w:eastAsia="方正仿宋_GBK" w:cs="方正仿宋_GBK"/>
          <w:sz w:val="32"/>
          <w:szCs w:val="32"/>
          <w:shd w:val="clear" w:color="auto" w:fill="FFFFFF"/>
        </w:rPr>
        <w:t>万元，机关运行经费主要用于开支办公费</w:t>
      </w:r>
      <w:r>
        <w:rPr>
          <w:rFonts w:hint="eastAsia" w:ascii="Times New Roman" w:hAnsi="Times New Roman" w:eastAsia="方正仿宋_GBK" w:cs="方正仿宋_GBK"/>
          <w:sz w:val="32"/>
          <w:szCs w:val="32"/>
          <w:shd w:val="clear" w:color="auto" w:fill="FFFFFF"/>
          <w:lang w:val="en-US" w:eastAsia="zh-CN"/>
        </w:rPr>
        <w:t>26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15</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、水费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电费</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邮电费</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26</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、差旅费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、会议费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68</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、培训费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51</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公务接待费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73</w:t>
      </w:r>
      <w:r>
        <w:rPr>
          <w:rFonts w:hint="eastAsia" w:ascii="方正仿宋_GBK" w:hAnsi="方正仿宋_GBK" w:eastAsia="方正仿宋_GBK" w:cs="方正仿宋_GBK"/>
          <w:sz w:val="32"/>
          <w:szCs w:val="32"/>
          <w:shd w:val="clear" w:color="auto" w:fill="FFFFFF"/>
          <w:lang w:val="en-US" w:eastAsia="zh-CN"/>
        </w:rPr>
        <w:t>万元、劳务费</w:t>
      </w:r>
      <w:r>
        <w:rPr>
          <w:rFonts w:hint="eastAsia" w:ascii="Times New Roman" w:hAnsi="Times New Roman"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75</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工会经费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福利费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77</w:t>
      </w:r>
      <w:r>
        <w:rPr>
          <w:rFonts w:hint="eastAsia" w:ascii="方正仿宋_GBK" w:hAnsi="方正仿宋_GBK" w:eastAsia="方正仿宋_GBK" w:cs="方正仿宋_GBK"/>
          <w:sz w:val="32"/>
          <w:szCs w:val="32"/>
          <w:shd w:val="clear" w:color="auto" w:fill="FFFFFF"/>
          <w:lang w:val="en-US" w:eastAsia="zh-CN"/>
        </w:rPr>
        <w:t>万元、公务用车运行维护费</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46</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其他交通费</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其他商品和服务支出</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37</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机关运行经费较上年支出数增加</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日常工作增加</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机关运行经费开支</w:t>
      </w:r>
      <w:r>
        <w:rPr>
          <w:rFonts w:hint="eastAsia" w:ascii="方正仿宋_GBK" w:hAnsi="方正仿宋_GBK" w:eastAsia="方正仿宋_GBK" w:cs="方正仿宋_GBK"/>
          <w:sz w:val="32"/>
          <w:szCs w:val="32"/>
          <w:shd w:val="clear" w:color="auto" w:fill="FFFFFF"/>
        </w:rPr>
        <w:t>较上年有所增加。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五、</w:t>
      </w:r>
      <w:r>
        <w:rPr>
          <w:rStyle w:val="14"/>
          <w:rFonts w:hint="eastAsia" w:ascii="Times New Roman" w:hAnsi="Times New Roman" w:eastAsia="方正黑体_GBK" w:cs="方正黑体_GBK"/>
          <w:b w:val="0"/>
          <w:bCs/>
          <w:sz w:val="32"/>
          <w:szCs w:val="32"/>
          <w:shd w:val="clear" w:color="auto" w:fill="FFFFFF"/>
          <w:lang w:val="en-US" w:eastAsia="zh-CN" w:bidi="ar-SA"/>
        </w:rPr>
        <w:t>2024</w:t>
      </w:r>
      <w:r>
        <w:rPr>
          <w:rStyle w:val="14"/>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6"/>
        <w:keepNext w:val="0"/>
        <w:keepLines w:val="0"/>
        <w:pageBreakBefore w:val="0"/>
        <w:widowControl/>
        <w:kinsoku/>
        <w:wordWrap/>
        <w:overflowPunct/>
        <w:topLinePunct w:val="0"/>
        <w:autoSpaceDE w:val="0"/>
        <w:autoSpaceDN/>
        <w:bidi w:val="0"/>
        <w:adjustRightInd/>
        <w:spacing w:before="0" w:beforeAutospacing="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highlight w:val="yellow"/>
          <w:shd w:val="clear" w:fill="FFFFFF"/>
        </w:rPr>
      </w:pPr>
      <w:r>
        <w:rPr>
          <w:rFonts w:hint="eastAsia" w:ascii="Times New Roman" w:hAnsi="Times New Roman" w:eastAsia="方正仿宋_GBK" w:cs="宋体"/>
          <w:kern w:val="0"/>
          <w:sz w:val="32"/>
          <w:szCs w:val="32"/>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部门整体</w:t>
      </w:r>
      <w:r>
        <w:rPr>
          <w:rFonts w:hint="eastAsia" w:ascii="Times New Roman" w:hAnsi="Times New Roman" w:eastAsia="方正仿宋_GBK" w:cs="方正仿宋_GBK"/>
          <w:sz w:val="32"/>
          <w:szCs w:val="32"/>
          <w:shd w:val="clear" w:color="auto" w:fill="FFFFFF"/>
          <w:lang w:val="en-US" w:eastAsia="zh-CN"/>
        </w:rPr>
        <w:t>17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582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spacing w:val="-71"/>
        </w:rPr>
        <w:t xml:space="preserve"> </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详见附件。</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3" w:firstLineChars="200"/>
        <w:textAlignment w:val="auto"/>
        <w:rPr>
          <w:rFonts w:hint="eastAsia" w:ascii="方正仿宋_GBK" w:hAnsi="方正仿宋_GBK" w:eastAsia="方正仿宋_GBK" w:cs="方正仿宋_GBK"/>
          <w:b/>
          <w:bCs/>
          <w:kern w:val="0"/>
          <w:sz w:val="32"/>
          <w:szCs w:val="32"/>
          <w:highlight w:val="none"/>
          <w:shd w:val="clear" w:fill="FFFFFF"/>
        </w:rPr>
      </w:pPr>
      <w:r>
        <w:rPr>
          <w:rFonts w:hint="eastAsia" w:ascii="方正仿宋_GBK" w:hAnsi="方正仿宋_GBK" w:eastAsia="方正仿宋_GBK" w:cs="方正仿宋_GBK"/>
          <w:b/>
          <w:bCs/>
          <w:kern w:val="0"/>
          <w:sz w:val="32"/>
          <w:szCs w:val="32"/>
          <w:highlight w:val="none"/>
          <w:shd w:val="clear" w:fill="FFFFFF"/>
        </w:rPr>
        <w:t>项目支出绩效自评表（</w:t>
      </w:r>
      <w:r>
        <w:rPr>
          <w:rFonts w:hint="eastAsia" w:ascii="方正仿宋_GBK" w:hAnsi="方正仿宋_GBK" w:eastAsia="方正仿宋_GBK" w:cs="方正仿宋_GBK"/>
          <w:b/>
          <w:bCs/>
          <w:kern w:val="0"/>
          <w:sz w:val="32"/>
          <w:szCs w:val="32"/>
          <w:highlight w:val="none"/>
          <w:shd w:val="clear" w:fill="FFFFFF"/>
          <w:lang w:val="en-US" w:eastAsia="zh-CN"/>
        </w:rPr>
        <w:t>二</w:t>
      </w:r>
      <w:r>
        <w:rPr>
          <w:rFonts w:hint="eastAsia" w:ascii="方正仿宋_GBK" w:hAnsi="方正仿宋_GBK" w:eastAsia="方正仿宋_GBK" w:cs="方正仿宋_GBK"/>
          <w:b/>
          <w:bCs/>
          <w:kern w:val="0"/>
          <w:sz w:val="32"/>
          <w:szCs w:val="32"/>
          <w:highlight w:val="none"/>
          <w:shd w:val="clear" w:fill="FFFFFF"/>
        </w:rPr>
        <w:t>级项目）</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详见附件。</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jc w:val="left"/>
        <w:textAlignment w:val="auto"/>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20"/>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sz w:val="32"/>
          <w:szCs w:val="32"/>
          <w:shd w:val="clear" w:color="auto" w:fill="FFFFFF"/>
        </w:rPr>
        <w:t>未委托第三方对我单位开展绩效评价。</w:t>
      </w:r>
    </w:p>
    <w:p>
      <w:pPr>
        <w:pStyle w:val="20"/>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财政局未委托第三方对我单位开展绩效评价。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3" w:firstLineChars="200"/>
        <w:textAlignment w:val="auto"/>
        <w:rPr>
          <w:rFonts w:hint="eastAsia" w:ascii="方正黑体_GBK" w:hAnsi="方正黑体_GBK" w:eastAsia="方正黑体_GBK" w:cs="方正黑体_GBK"/>
          <w:kern w:val="0"/>
          <w:sz w:val="32"/>
          <w:szCs w:val="32"/>
        </w:rPr>
      </w:pPr>
      <w:r>
        <w:rPr>
          <w:rStyle w:val="14"/>
          <w:rFonts w:hint="eastAsia" w:ascii="方正黑体_GBK" w:hAnsi="方正黑体_GBK" w:eastAsia="方正黑体_GBK" w:cs="方正黑体_GBK"/>
          <w:sz w:val="32"/>
          <w:szCs w:val="32"/>
          <w:shd w:val="clear" w:color="auto" w:fill="FFFFFF"/>
          <w:lang w:val="en-US" w:eastAsia="zh-CN" w:bidi="ar-SA"/>
        </w:rPr>
        <w:t>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何东屹</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eastAsia" w:ascii="Times New Roman" w:hAnsi="Times New Roman" w:eastAsia="方正仿宋_GBK" w:cs="方正仿宋_GBK"/>
          <w:color w:val="auto"/>
          <w:kern w:val="0"/>
          <w:sz w:val="32"/>
          <w:szCs w:val="32"/>
          <w:shd w:val="clear" w:fill="FFFFFF"/>
          <w:lang w:val="en-US" w:eastAsia="zh-CN"/>
        </w:rPr>
        <w:t>61270520</w:t>
      </w:r>
    </w:p>
    <w:p>
      <w:pPr>
        <w:pStyle w:val="15"/>
        <w:keepNext w:val="0"/>
        <w:keepLines w:val="0"/>
        <w:pageBreakBefore w:val="0"/>
        <w:widowControl/>
        <w:kinsoku/>
        <w:overflowPunct/>
        <w:topLinePunct w:val="0"/>
        <w:autoSpaceDE w:val="0"/>
        <w:autoSpaceDN/>
        <w:bidi w:val="0"/>
        <w:adjustRightInd/>
        <w:spacing w:beforeAutospacing="0" w:line="576" w:lineRule="exact"/>
        <w:ind w:left="0" w:right="0" w:rightChars="0" w:firstLine="643" w:firstLineChars="200"/>
        <w:jc w:val="both"/>
        <w:rPr>
          <w:rStyle w:val="17"/>
          <w:rFonts w:hint="eastAsia" w:ascii="方正仿宋_GBK" w:hAnsi="方正仿宋_GBK" w:eastAsia="方正仿宋_GBK" w:cs="方正仿宋_GBK"/>
          <w:b/>
          <w:bCs/>
          <w:sz w:val="32"/>
          <w:szCs w:val="32"/>
          <w:shd w:val="clear" w:fill="FFFF00"/>
        </w:rPr>
      </w:pPr>
    </w:p>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rPr>
          <w:rStyle w:val="17"/>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7"/>
          <w:rFonts w:hint="eastAsia" w:ascii="方正仿宋_GBK" w:hAnsi="方正仿宋_GBK" w:eastAsia="方正仿宋_GBK" w:cs="方正仿宋_GBK"/>
          <w:b/>
          <w:bCs/>
          <w:sz w:val="32"/>
          <w:szCs w:val="32"/>
          <w:shd w:val="clear" w:fill="FFFF00"/>
        </w:rPr>
        <w:br w:type="page"/>
      </w:r>
      <w:bookmarkStart w:id="0" w:name="_GoBack"/>
      <w:bookmarkEnd w:id="0"/>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重庆市綦江区供销合作社联合社</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40" w:firstLineChars="20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default" w:ascii="Times New Roman" w:hAnsi="Times New Roman"/>
                <w:color w:val="000000"/>
                <w:sz w:val="20"/>
                <w:szCs w:val="20"/>
              </w:rPr>
              <w:t>.</w:t>
            </w:r>
            <w:r>
              <w:rPr>
                <w:rFonts w:hint="default" w:ascii="Times New Roman" w:hAnsi="Times New Roman"/>
                <w:color w:val="000000"/>
                <w:sz w:val="20"/>
                <w:szCs w:val="20"/>
              </w:rPr>
              <w:t>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hint="default" w:ascii="Times New Roman" w:hAnsi="Times New Roman"/>
                <w:color w:val="000000"/>
                <w:sz w:val="20"/>
                <w:szCs w:val="20"/>
              </w:rPr>
              <w:t>.</w:t>
            </w:r>
            <w:r>
              <w:rPr>
                <w:rFonts w:hint="default" w:ascii="Times New Roman" w:hAnsi="Times New Roman"/>
                <w:color w:val="000000"/>
                <w:sz w:val="20"/>
                <w:szCs w:val="20"/>
              </w:rPr>
              <w:t>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hint="default" w:ascii="Times New Roman" w:hAnsi="Times New Roman"/>
                <w:color w:val="000000"/>
                <w:sz w:val="20"/>
                <w:szCs w:val="20"/>
              </w:rPr>
              <w:t>.</w:t>
            </w:r>
            <w:r>
              <w:rPr>
                <w:rFonts w:hint="default" w:ascii="Times New Roman" w:hAnsi="Times New Roman"/>
                <w:color w:val="000000"/>
                <w:sz w:val="20"/>
                <w:szCs w:val="20"/>
              </w:rPr>
              <w:t>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p>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重庆市綦江区供销合作社联合社</w:t>
            </w: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.本表反映部门本年度取得的各项收入情况。</w:t>
      </w:r>
      <w:r>
        <w:rPr>
          <w:rFonts w:cs="宋体"/>
          <w:sz w:val="20"/>
          <w:szCs w:val="20"/>
        </w:rPr>
        <w:br w:type="textWrapping"/>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重庆市綦江区供销合作社联合社 </w:t>
            </w: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w:t>
            </w:r>
            <w:r>
              <w:rPr>
                <w:rFonts w:hint="default" w:ascii="Times New Roman" w:hAnsi="Times New Roman"/>
                <w:b/>
                <w:bCs/>
                <w:color w:val="000000"/>
                <w:sz w:val="20"/>
                <w:szCs w:val="20"/>
              </w:rPr>
              <w:t>.</w:t>
            </w:r>
            <w:r>
              <w:rPr>
                <w:rFonts w:hint="default" w:ascii="Times New Roman" w:hAnsi="Times New Roman"/>
                <w:b/>
                <w:bCs/>
                <w:color w:val="000000"/>
                <w:sz w:val="20"/>
                <w:szCs w:val="20"/>
              </w:rPr>
              <w:t>04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w:t>
            </w:r>
            <w:r>
              <w:rPr>
                <w:rFonts w:hint="default" w:ascii="Times New Roman" w:hAnsi="Times New Roman"/>
                <w:b/>
                <w:bCs/>
                <w:color w:val="000000"/>
                <w:sz w:val="20"/>
                <w:szCs w:val="20"/>
              </w:rPr>
              <w:t>.</w:t>
            </w:r>
            <w:r>
              <w:rPr>
                <w:rFonts w:hint="default" w:ascii="Times New Roman" w:hAnsi="Times New Roman"/>
                <w:b/>
                <w:bCs/>
                <w:color w:val="000000"/>
                <w:sz w:val="20"/>
                <w:szCs w:val="20"/>
              </w:rPr>
              <w:t>67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.本表反映部门本年度各项支出情况。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重庆市綦江区供销合作社联合社</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hint="default" w:ascii="Times New Roman" w:hAnsi="Times New Roman"/>
                <w:color w:val="000000"/>
                <w:sz w:val="18"/>
                <w:szCs w:val="18"/>
              </w:rPr>
              <w:t>.</w:t>
            </w:r>
            <w:r>
              <w:rPr>
                <w:rFonts w:hint="default" w:ascii="Times New Roman" w:hAnsi="Times New Roman"/>
                <w:color w:val="000000"/>
                <w:sz w:val="18"/>
                <w:szCs w:val="18"/>
              </w:rPr>
              <w:t>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hint="default" w:ascii="Times New Roman" w:hAnsi="Times New Roman"/>
                <w:color w:val="000000"/>
                <w:sz w:val="18"/>
                <w:szCs w:val="18"/>
              </w:rPr>
              <w:t>.</w:t>
            </w:r>
            <w:r>
              <w:rPr>
                <w:rFonts w:hint="default" w:ascii="Times New Roman" w:hAnsi="Times New Roman"/>
                <w:color w:val="000000"/>
                <w:sz w:val="18"/>
                <w:szCs w:val="18"/>
              </w:rPr>
              <w:t>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default" w:ascii="Times New Roman" w:hAnsi="Times New Roman"/>
                <w:color w:val="000000"/>
                <w:sz w:val="18"/>
                <w:szCs w:val="18"/>
              </w:rPr>
              <w:t>.</w:t>
            </w:r>
            <w:r>
              <w:rPr>
                <w:rFonts w:hint="default" w:ascii="Times New Roman" w:hAnsi="Times New Roman"/>
                <w:color w:val="000000"/>
                <w:sz w:val="18"/>
                <w:szCs w:val="18"/>
              </w:rPr>
              <w:t>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default" w:ascii="Times New Roman" w:hAnsi="Times New Roman"/>
                <w:color w:val="000000"/>
                <w:sz w:val="18"/>
                <w:szCs w:val="18"/>
              </w:rPr>
              <w:t>.</w:t>
            </w:r>
            <w:r>
              <w:rPr>
                <w:rFonts w:hint="default" w:ascii="Times New Roman" w:hAnsi="Times New Roman"/>
                <w:color w:val="000000"/>
                <w:sz w:val="18"/>
                <w:szCs w:val="18"/>
              </w:rPr>
              <w:t>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hint="default" w:ascii="Times New Roman" w:hAnsi="Times New Roman"/>
                <w:color w:val="000000"/>
                <w:sz w:val="18"/>
                <w:szCs w:val="18"/>
              </w:rPr>
              <w:t>.</w:t>
            </w:r>
            <w:r>
              <w:rPr>
                <w:rFonts w:hint="default" w:ascii="Times New Roman" w:hAnsi="Times New Roman"/>
                <w:color w:val="000000"/>
                <w:sz w:val="18"/>
                <w:szCs w:val="18"/>
              </w:rPr>
              <w:t>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hint="default" w:ascii="Times New Roman" w:hAnsi="Times New Roman"/>
                <w:color w:val="000000"/>
                <w:sz w:val="18"/>
                <w:szCs w:val="18"/>
              </w:rPr>
              <w:t>.</w:t>
            </w:r>
            <w:r>
              <w:rPr>
                <w:rFonts w:hint="default" w:ascii="Times New Roman" w:hAnsi="Times New Roman"/>
                <w:color w:val="000000"/>
                <w:sz w:val="18"/>
                <w:szCs w:val="18"/>
              </w:rPr>
              <w:t>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hint="default" w:ascii="Times New Roman" w:hAnsi="Times New Roman"/>
                <w:color w:val="000000"/>
                <w:sz w:val="18"/>
                <w:szCs w:val="18"/>
              </w:rPr>
              <w:t>.</w:t>
            </w:r>
            <w:r>
              <w:rPr>
                <w:rFonts w:hint="default" w:ascii="Times New Roman" w:hAnsi="Times New Roman"/>
                <w:color w:val="000000"/>
                <w:sz w:val="18"/>
                <w:szCs w:val="18"/>
              </w:rPr>
              <w:t>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hint="default" w:ascii="Times New Roman" w:hAnsi="Times New Roman"/>
                <w:color w:val="000000"/>
                <w:sz w:val="18"/>
                <w:szCs w:val="18"/>
              </w:rPr>
              <w:t>.</w:t>
            </w:r>
            <w:r>
              <w:rPr>
                <w:rFonts w:hint="default" w:ascii="Times New Roman" w:hAnsi="Times New Roman"/>
                <w:color w:val="000000"/>
                <w:sz w:val="18"/>
                <w:szCs w:val="18"/>
              </w:rPr>
              <w:t>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hint="default" w:ascii="Times New Roman" w:hAnsi="Times New Roman"/>
                <w:color w:val="000000"/>
                <w:sz w:val="18"/>
                <w:szCs w:val="18"/>
              </w:rPr>
              <w:t>.</w:t>
            </w:r>
            <w:r>
              <w:rPr>
                <w:rFonts w:hint="default" w:ascii="Times New Roman" w:hAnsi="Times New Roman"/>
                <w:color w:val="000000"/>
                <w:sz w:val="18"/>
                <w:szCs w:val="18"/>
              </w:rPr>
              <w:t>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hint="default" w:ascii="Times New Roman" w:hAnsi="Times New Roman"/>
                <w:color w:val="000000"/>
                <w:sz w:val="18"/>
                <w:szCs w:val="18"/>
              </w:rPr>
              <w:t>.</w:t>
            </w:r>
            <w:r>
              <w:rPr>
                <w:rFonts w:hint="default" w:ascii="Times New Roman" w:hAnsi="Times New Roman"/>
                <w:color w:val="000000"/>
                <w:sz w:val="18"/>
                <w:szCs w:val="18"/>
              </w:rPr>
              <w:t>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重庆市綦江区供销合作社联合社</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w:t>
            </w:r>
            <w:r>
              <w:rPr>
                <w:rFonts w:hint="default" w:ascii="Times New Roman" w:hAnsi="Times New Roman"/>
                <w:b/>
                <w:bCs/>
                <w:color w:val="000000"/>
                <w:sz w:val="20"/>
                <w:szCs w:val="20"/>
              </w:rPr>
              <w:t>.</w:t>
            </w:r>
            <w:r>
              <w:rPr>
                <w:rFonts w:hint="default" w:ascii="Times New Roman" w:hAnsi="Times New Roman"/>
                <w:b/>
                <w:bCs/>
                <w:color w:val="000000"/>
                <w:sz w:val="20"/>
                <w:szCs w:val="20"/>
              </w:rPr>
              <w:t>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w:t>
            </w:r>
            <w:r>
              <w:rPr>
                <w:rFonts w:hint="default" w:ascii="Times New Roman" w:hAnsi="Times New Roman"/>
                <w:b/>
                <w:bCs/>
                <w:color w:val="000000"/>
                <w:sz w:val="20"/>
                <w:szCs w:val="20"/>
              </w:rPr>
              <w:t>.</w:t>
            </w:r>
            <w:r>
              <w:rPr>
                <w:rFonts w:hint="default" w:ascii="Times New Roman" w:hAnsi="Times New Roman"/>
                <w:b/>
                <w:bCs/>
                <w:color w:val="000000"/>
                <w:sz w:val="20"/>
                <w:szCs w:val="20"/>
              </w:rPr>
              <w:t>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933"/>
        <w:gridCol w:w="3120"/>
        <w:gridCol w:w="977"/>
        <w:gridCol w:w="934"/>
        <w:gridCol w:w="2246"/>
        <w:gridCol w:w="890"/>
        <w:gridCol w:w="934"/>
        <w:gridCol w:w="3820"/>
        <w:gridCol w:w="1468"/>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重庆市綦江区供销合作社联合社</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hint="default" w:ascii="Times New Roman" w:hAnsi="Times New Roman"/>
                <w:color w:val="000000"/>
                <w:sz w:val="18"/>
                <w:szCs w:val="18"/>
              </w:rPr>
              <w:t>.</w:t>
            </w:r>
            <w:r>
              <w:rPr>
                <w:rFonts w:hint="default" w:ascii="Times New Roman" w:hAnsi="Times New Roman"/>
                <w:color w:val="000000"/>
                <w:sz w:val="18"/>
                <w:szCs w:val="18"/>
              </w:rPr>
              <w:t>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w:t>
            </w:r>
            <w:r>
              <w:rPr>
                <w:rFonts w:hint="default" w:ascii="Times New Roman" w:hAnsi="Times New Roman"/>
                <w:color w:val="000000"/>
                <w:sz w:val="18"/>
                <w:szCs w:val="18"/>
              </w:rPr>
              <w:t>.</w:t>
            </w:r>
            <w:r>
              <w:rPr>
                <w:rFonts w:hint="default" w:ascii="Times New Roman" w:hAnsi="Times New Roman"/>
                <w:color w:val="000000"/>
                <w:sz w:val="18"/>
                <w:szCs w:val="18"/>
              </w:rPr>
              <w:t>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w:t>
            </w:r>
            <w:r>
              <w:rPr>
                <w:rFonts w:hint="default" w:ascii="Times New Roman" w:hAnsi="Times New Roman"/>
                <w:color w:val="000000"/>
                <w:sz w:val="18"/>
                <w:szCs w:val="18"/>
              </w:rPr>
              <w:t>.</w:t>
            </w:r>
            <w:r>
              <w:rPr>
                <w:rFonts w:hint="default" w:ascii="Times New Roman" w:hAnsi="Times New Roman"/>
                <w:color w:val="000000"/>
                <w:sz w:val="18"/>
                <w:szCs w:val="18"/>
              </w:rPr>
              <w:t>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w:t>
            </w:r>
            <w:r>
              <w:rPr>
                <w:rFonts w:hint="default" w:ascii="Times New Roman" w:hAnsi="Times New Roman"/>
                <w:color w:val="000000"/>
                <w:sz w:val="18"/>
                <w:szCs w:val="18"/>
              </w:rPr>
              <w:t>.</w:t>
            </w:r>
            <w:r>
              <w:rPr>
                <w:rFonts w:hint="default" w:ascii="Times New Roman" w:hAnsi="Times New Roman"/>
                <w:color w:val="000000"/>
                <w:sz w:val="18"/>
                <w:szCs w:val="18"/>
              </w:rPr>
              <w:t>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w:t>
            </w:r>
            <w:r>
              <w:rPr>
                <w:rFonts w:hint="default" w:ascii="Times New Roman" w:hAnsi="Times New Roman"/>
                <w:color w:val="000000"/>
                <w:sz w:val="18"/>
                <w:szCs w:val="18"/>
              </w:rPr>
              <w:t>.</w:t>
            </w:r>
            <w:r>
              <w:rPr>
                <w:rFonts w:hint="default" w:ascii="Times New Roman" w:hAnsi="Times New Roman"/>
                <w:color w:val="000000"/>
                <w:sz w:val="18"/>
                <w:szCs w:val="18"/>
              </w:rPr>
              <w:t>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w:t>
            </w:r>
            <w:r>
              <w:rPr>
                <w:rFonts w:hint="default" w:ascii="Times New Roman" w:hAnsi="Times New Roman"/>
                <w:color w:val="000000"/>
                <w:sz w:val="18"/>
                <w:szCs w:val="18"/>
              </w:rPr>
              <w:t>.</w:t>
            </w:r>
            <w:r>
              <w:rPr>
                <w:rFonts w:hint="default" w:ascii="Times New Roman" w:hAnsi="Times New Roman"/>
                <w:color w:val="000000"/>
                <w:sz w:val="18"/>
                <w:szCs w:val="18"/>
              </w:rPr>
              <w:t>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w:t>
            </w:r>
            <w:r>
              <w:rPr>
                <w:rFonts w:hint="default" w:ascii="Times New Roman" w:hAnsi="Times New Roman"/>
                <w:color w:val="000000"/>
                <w:sz w:val="18"/>
                <w:szCs w:val="18"/>
              </w:rPr>
              <w:t>.</w:t>
            </w:r>
            <w:r>
              <w:rPr>
                <w:rFonts w:hint="default" w:ascii="Times New Roman" w:hAnsi="Times New Roman"/>
                <w:color w:val="000000"/>
                <w:sz w:val="18"/>
                <w:szCs w:val="18"/>
              </w:rPr>
              <w:t>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w:t>
            </w:r>
            <w:r>
              <w:rPr>
                <w:rFonts w:hint="default" w:ascii="Times New Roman" w:hAnsi="Times New Roman"/>
                <w:color w:val="000000"/>
                <w:sz w:val="18"/>
                <w:szCs w:val="18"/>
              </w:rPr>
              <w:t>.</w:t>
            </w:r>
            <w:r>
              <w:rPr>
                <w:rFonts w:hint="default" w:ascii="Times New Roman" w:hAnsi="Times New Roman"/>
                <w:color w:val="000000"/>
                <w:sz w:val="18"/>
                <w:szCs w:val="18"/>
              </w:rPr>
              <w:t>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w:t>
            </w:r>
            <w:r>
              <w:rPr>
                <w:rFonts w:hint="default" w:ascii="Times New Roman" w:hAnsi="Times New Roman"/>
                <w:color w:val="000000"/>
                <w:sz w:val="18"/>
                <w:szCs w:val="18"/>
              </w:rPr>
              <w:t>.</w:t>
            </w:r>
            <w:r>
              <w:rPr>
                <w:rFonts w:hint="default" w:ascii="Times New Roman" w:hAnsi="Times New Roman"/>
                <w:color w:val="000000"/>
                <w:sz w:val="18"/>
                <w:szCs w:val="18"/>
              </w:rPr>
              <w:t>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w:t>
            </w:r>
            <w:r>
              <w:rPr>
                <w:rFonts w:hint="default" w:ascii="Times New Roman" w:hAnsi="Times New Roman"/>
                <w:color w:val="000000"/>
                <w:sz w:val="18"/>
                <w:szCs w:val="18"/>
              </w:rPr>
              <w:t>.</w:t>
            </w:r>
            <w:r>
              <w:rPr>
                <w:rFonts w:hint="default" w:ascii="Times New Roman" w:hAnsi="Times New Roman"/>
                <w:color w:val="000000"/>
                <w:sz w:val="18"/>
                <w:szCs w:val="18"/>
              </w:rPr>
              <w:t>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w:t>
            </w:r>
            <w:r>
              <w:rPr>
                <w:rFonts w:hint="default" w:ascii="Times New Roman" w:hAnsi="Times New Roman"/>
                <w:color w:val="000000"/>
                <w:sz w:val="18"/>
                <w:szCs w:val="18"/>
              </w:rPr>
              <w:t>.</w:t>
            </w:r>
            <w:r>
              <w:rPr>
                <w:rFonts w:hint="default" w:ascii="Times New Roman" w:hAnsi="Times New Roman"/>
                <w:color w:val="000000"/>
                <w:sz w:val="18"/>
                <w:szCs w:val="18"/>
              </w:rPr>
              <w:t>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w:t>
            </w:r>
            <w:r>
              <w:rPr>
                <w:rFonts w:hint="default" w:ascii="Times New Roman" w:hAnsi="Times New Roman"/>
                <w:color w:val="000000"/>
                <w:sz w:val="18"/>
                <w:szCs w:val="18"/>
              </w:rPr>
              <w:t>.</w:t>
            </w:r>
            <w:r>
              <w:rPr>
                <w:rFonts w:hint="default" w:ascii="Times New Roman" w:hAnsi="Times New Roman"/>
                <w:color w:val="000000"/>
                <w:sz w:val="18"/>
                <w:szCs w:val="18"/>
              </w:rPr>
              <w:t>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w:t>
            </w:r>
            <w:r>
              <w:rPr>
                <w:rFonts w:hint="default" w:ascii="Times New Roman" w:hAnsi="Times New Roman"/>
                <w:color w:val="000000"/>
                <w:sz w:val="18"/>
                <w:szCs w:val="18"/>
              </w:rPr>
              <w:t>.</w:t>
            </w:r>
            <w:r>
              <w:rPr>
                <w:rFonts w:hint="default" w:ascii="Times New Roman" w:hAnsi="Times New Roman"/>
                <w:color w:val="000000"/>
                <w:sz w:val="18"/>
                <w:szCs w:val="18"/>
              </w:rPr>
              <w:t>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w:t>
            </w:r>
            <w:r>
              <w:rPr>
                <w:rFonts w:hint="default" w:ascii="Times New Roman" w:hAnsi="Times New Roman"/>
                <w:color w:val="000000"/>
                <w:sz w:val="18"/>
                <w:szCs w:val="18"/>
              </w:rPr>
              <w:t>.</w:t>
            </w:r>
            <w:r>
              <w:rPr>
                <w:rFonts w:hint="default" w:ascii="Times New Roman" w:hAnsi="Times New Roman"/>
                <w:color w:val="000000"/>
                <w:sz w:val="18"/>
                <w:szCs w:val="18"/>
              </w:rPr>
              <w:t>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w:t>
            </w:r>
            <w:r>
              <w:rPr>
                <w:rFonts w:hint="default" w:ascii="Times New Roman" w:hAnsi="Times New Roman"/>
                <w:color w:val="000000"/>
                <w:sz w:val="18"/>
                <w:szCs w:val="18"/>
              </w:rPr>
              <w:t>.</w:t>
            </w:r>
            <w:r>
              <w:rPr>
                <w:rFonts w:hint="default" w:ascii="Times New Roman" w:hAnsi="Times New Roman"/>
                <w:color w:val="000000"/>
                <w:sz w:val="18"/>
                <w:szCs w:val="18"/>
              </w:rPr>
              <w:t>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350</w:t>
            </w:r>
            <w:r>
              <w:rPr>
                <w:rFonts w:hint="default" w:ascii="Times New Roman" w:hAnsi="Times New Roman"/>
                <w:color w:val="000000"/>
                <w:sz w:val="18"/>
                <w:szCs w:val="18"/>
              </w:rPr>
              <w:t>.</w:t>
            </w:r>
            <w:r>
              <w:rPr>
                <w:rFonts w:hint="default" w:ascii="Times New Roman" w:hAnsi="Times New Roman"/>
                <w:color w:val="000000"/>
                <w:sz w:val="18"/>
                <w:szCs w:val="18"/>
              </w:rPr>
              <w:t>93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.本表反映部门本年度一般公共预算财政拨款基本支出明细情况。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重庆市綦江区供销合作社联合社</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重庆市綦江区供销合作社联合社</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hint="default" w:ascii="Times New Roman" w:hAnsi="Times New Roman"/>
                <w:color w:val="000000"/>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hint="default" w:ascii="Times New Roman" w:hAnsi="Times New Roman"/>
                <w:color w:val="000000"/>
                <w:sz w:val="20"/>
                <w:szCs w:val="20"/>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402"/>
        <w:gridCol w:w="2162"/>
        <w:gridCol w:w="2120"/>
        <w:gridCol w:w="4206"/>
        <w:gridCol w:w="224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重庆市綦江区供销合作社联合社</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ascii="Times New Roman" w:hAnsi="Times New Roman"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sz w:val="18"/>
          <w:szCs w:val="18"/>
        </w:rPr>
      </w:pPr>
      <w:r>
        <w:rPr>
          <w:rFonts w:cs="宋体"/>
          <w:sz w:val="18"/>
          <w:szCs w:val="18"/>
        </w:rPr>
        <w:t>备注：</w:t>
      </w:r>
      <w:r>
        <w:rPr>
          <w:rFonts w:ascii="Times New Roman" w:hAnsi="Times New Roman" w:cs="宋体"/>
          <w:sz w:val="18"/>
          <w:szCs w:val="18"/>
        </w:rPr>
        <w:t>1</w:t>
      </w:r>
      <w:r>
        <w:rPr>
          <w:rFonts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ascii="Times New Roman" w:hAnsi="Times New Roman" w:cs="宋体"/>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方正少儿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wZDI4OTUwMWQ1NTIyMGJlMGI5ZGM2YTY3NTQzNjA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87113A"/>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AC7572F"/>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9953</Words>
  <Characters>13151</Characters>
  <Lines>186</Lines>
  <Paragraphs>52</Paragraphs>
  <TotalTime>6</TotalTime>
  <ScaleCrop>false</ScaleCrop>
  <LinksUpToDate>false</LinksUpToDate>
  <CharactersWithSpaces>14320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HP</cp:lastModifiedBy>
  <dcterms:modified xsi:type="dcterms:W3CDTF">2025-10-30T01:12:32Z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BB46EABDBB2749749395447164B066B3_12</vt:lpwstr>
  </property>
</Properties>
</file>